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60" w:lineRule="exact"/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企业自查表</w:t>
      </w:r>
    </w:p>
    <w:p>
      <w:pPr>
        <w:spacing w:line="560" w:lineRule="exact"/>
        <w:jc w:val="center"/>
        <w:rPr>
          <w:rFonts w:ascii="方正小标宋简体" w:eastAsia="方正小标宋简体"/>
          <w:b/>
          <w:sz w:val="36"/>
          <w:szCs w:val="36"/>
        </w:rPr>
      </w:pPr>
    </w:p>
    <w:p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填表人：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填表时间：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hint="eastAsia" w:ascii="仿宋_GB2312" w:eastAsia="仿宋_GB2312"/>
          <w:sz w:val="32"/>
          <w:szCs w:val="32"/>
        </w:rPr>
        <w:t>企业负责人签字：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 xml:space="preserve"> 企业盖章：</w:t>
      </w:r>
    </w:p>
    <w:tbl>
      <w:tblPr>
        <w:tblStyle w:val="8"/>
        <w:tblW w:w="137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977"/>
        <w:gridCol w:w="3119"/>
        <w:gridCol w:w="2268"/>
        <w:gridCol w:w="708"/>
        <w:gridCol w:w="2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13792" w:type="dxa"/>
            <w:gridSpan w:val="6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企业名称（地址）　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56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主要设备（规格、数量）</w:t>
            </w:r>
          </w:p>
        </w:tc>
        <w:tc>
          <w:tcPr>
            <w:tcW w:w="2977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高炉（m</w:t>
            </w:r>
            <w:r>
              <w:rPr>
                <w:rFonts w:hint="eastAsia" w:ascii="仿宋_GB2312" w:eastAsia="仿宋_GB2312"/>
                <w:sz w:val="32"/>
                <w:szCs w:val="32"/>
                <w:vertAlign w:val="superscript"/>
              </w:rPr>
              <w:t>3</w:t>
            </w:r>
            <w:r>
              <w:rPr>
                <w:rFonts w:hint="eastAsia" w:ascii="仿宋_GB2312" w:eastAsia="仿宋_GB2312"/>
                <w:sz w:val="32"/>
                <w:szCs w:val="32"/>
              </w:rPr>
              <w:t>)</w:t>
            </w:r>
          </w:p>
        </w:tc>
        <w:tc>
          <w:tcPr>
            <w:tcW w:w="311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转炉（吨）</w:t>
            </w:r>
          </w:p>
        </w:tc>
        <w:tc>
          <w:tcPr>
            <w:tcW w:w="2976" w:type="dxa"/>
            <w:gridSpan w:val="2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电炉（吨）</w:t>
            </w:r>
          </w:p>
        </w:tc>
        <w:tc>
          <w:tcPr>
            <w:tcW w:w="2911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煤气柜（万立方米）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31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2976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2911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31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2976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2911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31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2976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2911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31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2976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  <w:tc>
          <w:tcPr>
            <w:tcW w:w="2911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7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119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76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11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92" w:type="dxa"/>
            <w:gridSpan w:val="6"/>
          </w:tcPr>
          <w:p>
            <w:pPr>
              <w:spacing w:line="560" w:lineRule="exact"/>
              <w:jc w:val="center"/>
              <w:rPr>
                <w:rFonts w:ascii="方正小标宋简体" w:eastAsia="方正小标宋简体"/>
                <w:b/>
                <w:sz w:val="32"/>
                <w:szCs w:val="32"/>
              </w:rPr>
            </w:pPr>
            <w:r>
              <w:rPr>
                <w:rFonts w:hint="eastAsia" w:ascii="方正小标宋简体" w:eastAsia="方正小标宋简体"/>
                <w:b/>
                <w:sz w:val="32"/>
                <w:szCs w:val="32"/>
              </w:rPr>
              <w:t>自查内容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自查类别</w:t>
            </w:r>
          </w:p>
        </w:tc>
        <w:tc>
          <w:tcPr>
            <w:tcW w:w="6096" w:type="dxa"/>
            <w:gridSpan w:val="2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自查项目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自查结果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情况说明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安全管理</w:t>
            </w: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企业安全生产标准化建设未达标。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金属冶炼企业主要负责人和安全生产管理人员未依法经考核合格。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从事煤气生产、储存、输送、使用、维护、检修人员未依法持证上岗。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未严格执行高危作业审批制度，未制定严谨的检维修工作方案，未落实交叉作业的现场安全管理职责。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restart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高温熔融金属</w:t>
            </w: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高温熔融金属</w:t>
            </w: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会议室、活动室、休息室、更衣室等场所设置在铁水、钢水与液渣吊运影响的范围内。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吊运铁水、钢水与液渣起重机不符合冶金起重机的相关要求；炼钢厂在吊运重罐铁水、钢水或液渣时，未使用固定式龙门钩的铸造起重机，龙门钩横梁、耳轴销和吊钩、钢丝绳及其端头固定零件，未进行定期检查，发现问题未及时整改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盛装铁水、钢水与液渣的罐（包、盆）等容器耳轴未按国家标准规定要求定期进行探伤检测。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冶炼、熔炼、精炼生产区域的安全坑内及熔体泄漏、喷溅影响范围内存在积水，放置有易燃易爆物品。金属铸造、连铸、浇铸流程未设置铁水罐、钢水罐、溢流槽、中间溢流罐等高温熔融金属紧急排放和应急储存设施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炉、窑、槽、罐类设备本体及附属设施未定期检查，出现严重焊缝开裂、腐蚀、破损、衬砖损坏、壳体发红及明显弯曲变形等未报修或报废，仍继续使用。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氧枪等水冷元件未配置出水温度与进出水流量差检测、报警装置及温度监测，未与炉体倾动、氧气开闭等联锁。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废钢配料，废钢不干燥，含有爆炸物、有毒物或密闭容器；废钢料高度超过料槽上口。</w:t>
            </w:r>
          </w:p>
        </w:tc>
        <w:tc>
          <w:tcPr>
            <w:tcW w:w="2268" w:type="dxa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煤气</w:t>
            </w: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煤气柜建设在居民稠密区，未远离大型建筑、仓库、通信和交通枢纽等重要设施；附属设备设施未按防火防爆要求配置防爆型设备；柜顶未设置防雷装置。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煤气区域的值班室、操作室等人员较集中的地方，未设置固定式一氧化碳监测报警装置。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高炉、转炉、加热炉、煤气柜、除尘器等设施的煤气管道未设置可靠隔离装置和吹扫设施。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809" w:type="dxa"/>
            <w:vMerge w:val="continue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6096" w:type="dxa"/>
            <w:gridSpan w:val="2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煤气分配主管上支管引接处，未设置可靠的切断装置；车间内各类燃气管线，在车间入口未设置总管切断阀。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7905" w:type="dxa"/>
            <w:gridSpan w:val="3"/>
            <w:vAlign w:val="center"/>
          </w:tcPr>
          <w:p>
            <w:pPr>
              <w:spacing w:line="240" w:lineRule="exac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未按照要求淘汰《金属冶炼企业禁止使用的设备及工艺目录（第一批）》中涉及的设备及工艺。</w:t>
            </w:r>
          </w:p>
        </w:tc>
        <w:tc>
          <w:tcPr>
            <w:tcW w:w="2268" w:type="dxa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□是    □否</w:t>
            </w:r>
          </w:p>
        </w:tc>
        <w:tc>
          <w:tcPr>
            <w:tcW w:w="3619" w:type="dxa"/>
            <w:gridSpan w:val="2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3792" w:type="dxa"/>
            <w:gridSpan w:val="6"/>
          </w:tcPr>
          <w:p>
            <w:pPr>
              <w:spacing w:line="560" w:lineRule="exact"/>
              <w:jc w:val="lef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其他严重安全问题（可另附页）：</w:t>
            </w:r>
          </w:p>
        </w:tc>
      </w:tr>
    </w:tbl>
    <w:p>
      <w:pPr>
        <w:spacing w:line="560" w:lineRule="exact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注：企业若自查发现存在重大生产安全事故隐患，请在情况说明中明确整改时限和具体安全措施。</w:t>
      </w:r>
    </w:p>
    <w:p>
      <w:pPr>
        <w:spacing w:line="560" w:lineRule="exact"/>
        <w:jc w:val="left"/>
        <w:rPr>
          <w:rFonts w:ascii="仿宋_GB2312" w:eastAsia="仿宋_GB2312"/>
          <w:b/>
          <w:sz w:val="28"/>
          <w:szCs w:val="28"/>
        </w:rPr>
      </w:pPr>
    </w:p>
    <w:p>
      <w:pPr>
        <w:spacing w:line="560" w:lineRule="exact"/>
        <w:jc w:val="left"/>
        <w:rPr>
          <w:rFonts w:ascii="仿宋_GB2312" w:eastAsia="仿宋_GB2312"/>
          <w:b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E197D"/>
    <w:rsid w:val="00026BAE"/>
    <w:rsid w:val="00044D43"/>
    <w:rsid w:val="000471FD"/>
    <w:rsid w:val="000533F6"/>
    <w:rsid w:val="000564B1"/>
    <w:rsid w:val="000668A6"/>
    <w:rsid w:val="000729BF"/>
    <w:rsid w:val="000903F1"/>
    <w:rsid w:val="000A67CD"/>
    <w:rsid w:val="000C0693"/>
    <w:rsid w:val="000C1E85"/>
    <w:rsid w:val="000C3D2E"/>
    <w:rsid w:val="000F4271"/>
    <w:rsid w:val="001041BB"/>
    <w:rsid w:val="001111F1"/>
    <w:rsid w:val="001304FD"/>
    <w:rsid w:val="001417F2"/>
    <w:rsid w:val="00161563"/>
    <w:rsid w:val="001B7C66"/>
    <w:rsid w:val="001C5056"/>
    <w:rsid w:val="001D2FD5"/>
    <w:rsid w:val="001D57EE"/>
    <w:rsid w:val="001F50FA"/>
    <w:rsid w:val="001F5361"/>
    <w:rsid w:val="001F7007"/>
    <w:rsid w:val="0020111B"/>
    <w:rsid w:val="0021194F"/>
    <w:rsid w:val="00222A52"/>
    <w:rsid w:val="00234E88"/>
    <w:rsid w:val="00250C18"/>
    <w:rsid w:val="002512AB"/>
    <w:rsid w:val="00255191"/>
    <w:rsid w:val="0025524C"/>
    <w:rsid w:val="00284D57"/>
    <w:rsid w:val="0029524E"/>
    <w:rsid w:val="002B7218"/>
    <w:rsid w:val="002C2351"/>
    <w:rsid w:val="002D14A7"/>
    <w:rsid w:val="002F1EA9"/>
    <w:rsid w:val="003046AE"/>
    <w:rsid w:val="00316983"/>
    <w:rsid w:val="00324AA1"/>
    <w:rsid w:val="00335210"/>
    <w:rsid w:val="00336F61"/>
    <w:rsid w:val="00340403"/>
    <w:rsid w:val="00345AB8"/>
    <w:rsid w:val="00356702"/>
    <w:rsid w:val="00362E57"/>
    <w:rsid w:val="003713C1"/>
    <w:rsid w:val="003850DA"/>
    <w:rsid w:val="00390FCF"/>
    <w:rsid w:val="003922DD"/>
    <w:rsid w:val="003A2C13"/>
    <w:rsid w:val="003B129E"/>
    <w:rsid w:val="003B5C98"/>
    <w:rsid w:val="003F555D"/>
    <w:rsid w:val="00402B16"/>
    <w:rsid w:val="00410200"/>
    <w:rsid w:val="00410873"/>
    <w:rsid w:val="00411985"/>
    <w:rsid w:val="00425F97"/>
    <w:rsid w:val="00447210"/>
    <w:rsid w:val="004639D7"/>
    <w:rsid w:val="0046458A"/>
    <w:rsid w:val="0047727C"/>
    <w:rsid w:val="00486525"/>
    <w:rsid w:val="00497D12"/>
    <w:rsid w:val="004A7A5A"/>
    <w:rsid w:val="004C1950"/>
    <w:rsid w:val="004C6774"/>
    <w:rsid w:val="004E12A6"/>
    <w:rsid w:val="004E14A5"/>
    <w:rsid w:val="004F7E7C"/>
    <w:rsid w:val="005062E1"/>
    <w:rsid w:val="00536C05"/>
    <w:rsid w:val="00552300"/>
    <w:rsid w:val="005777BE"/>
    <w:rsid w:val="00585970"/>
    <w:rsid w:val="005E2344"/>
    <w:rsid w:val="005E3556"/>
    <w:rsid w:val="005E798E"/>
    <w:rsid w:val="00600394"/>
    <w:rsid w:val="006106B5"/>
    <w:rsid w:val="00612381"/>
    <w:rsid w:val="00612E10"/>
    <w:rsid w:val="00613E08"/>
    <w:rsid w:val="00635292"/>
    <w:rsid w:val="0064478D"/>
    <w:rsid w:val="006561AC"/>
    <w:rsid w:val="006719E5"/>
    <w:rsid w:val="00673B9A"/>
    <w:rsid w:val="006833FA"/>
    <w:rsid w:val="0069792C"/>
    <w:rsid w:val="006A3465"/>
    <w:rsid w:val="006B6409"/>
    <w:rsid w:val="006C5C7B"/>
    <w:rsid w:val="006D0B50"/>
    <w:rsid w:val="006D25C3"/>
    <w:rsid w:val="006E1C57"/>
    <w:rsid w:val="006F1098"/>
    <w:rsid w:val="006F6BAC"/>
    <w:rsid w:val="0070071D"/>
    <w:rsid w:val="007326F9"/>
    <w:rsid w:val="007541D9"/>
    <w:rsid w:val="007806DD"/>
    <w:rsid w:val="00784105"/>
    <w:rsid w:val="007A77A2"/>
    <w:rsid w:val="007B0FA8"/>
    <w:rsid w:val="007C6194"/>
    <w:rsid w:val="007C6248"/>
    <w:rsid w:val="007E26BE"/>
    <w:rsid w:val="007E6226"/>
    <w:rsid w:val="008028C8"/>
    <w:rsid w:val="008038E2"/>
    <w:rsid w:val="00807D2F"/>
    <w:rsid w:val="00815811"/>
    <w:rsid w:val="0082409D"/>
    <w:rsid w:val="00825709"/>
    <w:rsid w:val="00860680"/>
    <w:rsid w:val="0087392C"/>
    <w:rsid w:val="00894E0F"/>
    <w:rsid w:val="008A7E32"/>
    <w:rsid w:val="008C233B"/>
    <w:rsid w:val="008C5878"/>
    <w:rsid w:val="008E0631"/>
    <w:rsid w:val="008E2814"/>
    <w:rsid w:val="008E6649"/>
    <w:rsid w:val="008F1223"/>
    <w:rsid w:val="009019AD"/>
    <w:rsid w:val="00906C51"/>
    <w:rsid w:val="00907E6C"/>
    <w:rsid w:val="00910073"/>
    <w:rsid w:val="00916BF3"/>
    <w:rsid w:val="0091789E"/>
    <w:rsid w:val="00934664"/>
    <w:rsid w:val="0094463F"/>
    <w:rsid w:val="00951EAE"/>
    <w:rsid w:val="00963006"/>
    <w:rsid w:val="0097085B"/>
    <w:rsid w:val="00974CB3"/>
    <w:rsid w:val="00991442"/>
    <w:rsid w:val="009A5851"/>
    <w:rsid w:val="009C0CA7"/>
    <w:rsid w:val="009E197D"/>
    <w:rsid w:val="009E429A"/>
    <w:rsid w:val="009F7B0F"/>
    <w:rsid w:val="00A004D7"/>
    <w:rsid w:val="00A24D01"/>
    <w:rsid w:val="00A47143"/>
    <w:rsid w:val="00A5339E"/>
    <w:rsid w:val="00A873CE"/>
    <w:rsid w:val="00AA07CE"/>
    <w:rsid w:val="00AA5825"/>
    <w:rsid w:val="00AB2D94"/>
    <w:rsid w:val="00AB4103"/>
    <w:rsid w:val="00AC4C5B"/>
    <w:rsid w:val="00AC62C9"/>
    <w:rsid w:val="00AD21CA"/>
    <w:rsid w:val="00AE5438"/>
    <w:rsid w:val="00AF3537"/>
    <w:rsid w:val="00B051FD"/>
    <w:rsid w:val="00B14A47"/>
    <w:rsid w:val="00B20CCE"/>
    <w:rsid w:val="00B25837"/>
    <w:rsid w:val="00B26F74"/>
    <w:rsid w:val="00B523BF"/>
    <w:rsid w:val="00B531DE"/>
    <w:rsid w:val="00B6124F"/>
    <w:rsid w:val="00B839D1"/>
    <w:rsid w:val="00B93C76"/>
    <w:rsid w:val="00BB67F3"/>
    <w:rsid w:val="00BD2784"/>
    <w:rsid w:val="00BF2930"/>
    <w:rsid w:val="00C017D1"/>
    <w:rsid w:val="00C01CBE"/>
    <w:rsid w:val="00C056CB"/>
    <w:rsid w:val="00C13D35"/>
    <w:rsid w:val="00C17C92"/>
    <w:rsid w:val="00C23A6D"/>
    <w:rsid w:val="00C26B35"/>
    <w:rsid w:val="00C36398"/>
    <w:rsid w:val="00C466DB"/>
    <w:rsid w:val="00C940EF"/>
    <w:rsid w:val="00CD2474"/>
    <w:rsid w:val="00CE2A28"/>
    <w:rsid w:val="00CE4AF9"/>
    <w:rsid w:val="00D003C6"/>
    <w:rsid w:val="00D017C3"/>
    <w:rsid w:val="00D05F6D"/>
    <w:rsid w:val="00D163CC"/>
    <w:rsid w:val="00D21433"/>
    <w:rsid w:val="00D228EE"/>
    <w:rsid w:val="00D26B2F"/>
    <w:rsid w:val="00D401FD"/>
    <w:rsid w:val="00D84A5B"/>
    <w:rsid w:val="00D851E1"/>
    <w:rsid w:val="00D8651B"/>
    <w:rsid w:val="00D86609"/>
    <w:rsid w:val="00D86718"/>
    <w:rsid w:val="00D918A7"/>
    <w:rsid w:val="00DA6949"/>
    <w:rsid w:val="00DC2B68"/>
    <w:rsid w:val="00DC4953"/>
    <w:rsid w:val="00DD4BA9"/>
    <w:rsid w:val="00DE445F"/>
    <w:rsid w:val="00DF7D9D"/>
    <w:rsid w:val="00E0352D"/>
    <w:rsid w:val="00E34424"/>
    <w:rsid w:val="00E53A55"/>
    <w:rsid w:val="00E550B6"/>
    <w:rsid w:val="00E62A2E"/>
    <w:rsid w:val="00E648A5"/>
    <w:rsid w:val="00E738F5"/>
    <w:rsid w:val="00E74030"/>
    <w:rsid w:val="00E7679C"/>
    <w:rsid w:val="00E86483"/>
    <w:rsid w:val="00EC30C4"/>
    <w:rsid w:val="00ED6FBE"/>
    <w:rsid w:val="00EE45B7"/>
    <w:rsid w:val="00EF6399"/>
    <w:rsid w:val="00F05F4D"/>
    <w:rsid w:val="00F109C1"/>
    <w:rsid w:val="00F117B6"/>
    <w:rsid w:val="00F1550B"/>
    <w:rsid w:val="00F2541F"/>
    <w:rsid w:val="00F31424"/>
    <w:rsid w:val="00F456E2"/>
    <w:rsid w:val="00F9174F"/>
    <w:rsid w:val="00F97A91"/>
    <w:rsid w:val="00F97D17"/>
    <w:rsid w:val="00FA1933"/>
    <w:rsid w:val="00FA26C5"/>
    <w:rsid w:val="00FA7EE0"/>
    <w:rsid w:val="00FB1E79"/>
    <w:rsid w:val="00FC47BC"/>
    <w:rsid w:val="00FC63BA"/>
    <w:rsid w:val="00FF07FE"/>
    <w:rsid w:val="50862A05"/>
    <w:rsid w:val="53E501BF"/>
    <w:rsid w:val="578F7EF8"/>
    <w:rsid w:val="7CDA392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1"/>
    <w:semiHidden/>
    <w:unhideWhenUsed/>
    <w:uiPriority w:val="99"/>
    <w:pPr>
      <w:snapToGrid w:val="0"/>
      <w:jc w:val="left"/>
    </w:pPr>
    <w:rPr>
      <w:sz w:val="18"/>
      <w:szCs w:val="18"/>
    </w:rPr>
  </w:style>
  <w:style w:type="character" w:styleId="6">
    <w:name w:val="footnote reference"/>
    <w:basedOn w:val="5"/>
    <w:semiHidden/>
    <w:unhideWhenUsed/>
    <w:qFormat/>
    <w:uiPriority w:val="99"/>
    <w:rPr>
      <w:vertAlign w:val="superscript"/>
    </w:rPr>
  </w:style>
  <w:style w:type="table" w:styleId="8">
    <w:name w:val="Table Grid"/>
    <w:basedOn w:val="7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3"/>
    <w:uiPriority w:val="99"/>
    <w:rPr>
      <w:sz w:val="18"/>
      <w:szCs w:val="18"/>
    </w:rPr>
  </w:style>
  <w:style w:type="character" w:customStyle="1" w:styleId="10">
    <w:name w:val="页脚 Char"/>
    <w:basedOn w:val="5"/>
    <w:link w:val="2"/>
    <w:qFormat/>
    <w:uiPriority w:val="99"/>
    <w:rPr>
      <w:sz w:val="18"/>
      <w:szCs w:val="18"/>
    </w:rPr>
  </w:style>
  <w:style w:type="character" w:customStyle="1" w:styleId="11">
    <w:name w:val="脚注文本 Char"/>
    <w:basedOn w:val="5"/>
    <w:link w:val="4"/>
    <w:semiHidden/>
    <w:uiPriority w:val="99"/>
    <w:rPr>
      <w:sz w:val="18"/>
      <w:szCs w:val="18"/>
    </w:rPr>
  </w:style>
  <w:style w:type="paragraph" w:customStyle="1" w:styleId="12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 w:cs="Times New Roman"/>
      <w:kern w:val="0"/>
      <w:sz w:val="24"/>
      <w:szCs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EB5B579-2AB5-49E0-9960-0E48510136C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5324</Words>
  <Characters>5348</Characters>
  <Lines>68</Lines>
  <Paragraphs>19</Paragraphs>
  <ScaleCrop>false</ScaleCrop>
  <LinksUpToDate>false</LinksUpToDate>
  <CharactersWithSpaces>5757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2018-01-09T01:11:00Z</dcterms:created>
  <dc:creator>dszx</dc:creator>
  <cp:lastModifiedBy>蝴蝶酥</cp:lastModifiedBy>
  <cp:lastPrinted>2018-01-08T06:41:00Z</cp:lastPrinted>
  <dcterms:modified xsi:type="dcterms:W3CDTF">2018-01-12T06:43:49Z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