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黑体" w:hAnsi="黑体" w:eastAsia="黑体"/>
          <w:sz w:val="32"/>
          <w:szCs w:val="32"/>
        </w:rPr>
      </w:pPr>
      <w:r>
        <w:rPr>
          <w:rFonts w:hint="eastAsia" w:ascii="黑体" w:hAnsi="黑体" w:eastAsia="黑体"/>
          <w:sz w:val="32"/>
          <w:szCs w:val="32"/>
        </w:rPr>
        <w:t>附件2</w:t>
      </w:r>
    </w:p>
    <w:p>
      <w:pPr>
        <w:spacing w:line="560" w:lineRule="exact"/>
        <w:jc w:val="center"/>
        <w:rPr>
          <w:rFonts w:ascii="方正小标宋简体" w:eastAsia="方正小标宋简体"/>
          <w:b/>
          <w:sz w:val="36"/>
          <w:szCs w:val="36"/>
        </w:rPr>
      </w:pPr>
      <w:r>
        <w:rPr>
          <w:rFonts w:hint="eastAsia" w:ascii="方正小标宋简体" w:eastAsia="方正小标宋简体"/>
          <w:b/>
          <w:sz w:val="36"/>
          <w:szCs w:val="36"/>
        </w:rPr>
        <w:t>安全监管部门执法检查表</w:t>
      </w:r>
    </w:p>
    <w:p>
      <w:pPr>
        <w:spacing w:line="560" w:lineRule="exact"/>
        <w:rPr>
          <w:rFonts w:ascii="仿宋_GB2312" w:eastAsia="仿宋_GB2312"/>
          <w:sz w:val="32"/>
          <w:szCs w:val="32"/>
        </w:rPr>
      </w:pPr>
    </w:p>
    <w:p>
      <w:pPr>
        <w:spacing w:line="560" w:lineRule="exact"/>
        <w:rPr>
          <w:rFonts w:ascii="仿宋_GB2312" w:eastAsia="仿宋_GB2312"/>
          <w:sz w:val="32"/>
          <w:szCs w:val="32"/>
          <w:u w:val="single"/>
        </w:rPr>
      </w:pPr>
      <w:r>
        <w:rPr>
          <w:rFonts w:hint="eastAsia" w:ascii="仿宋_GB2312" w:eastAsia="仿宋_GB2312"/>
          <w:sz w:val="32"/>
          <w:szCs w:val="32"/>
        </w:rPr>
        <w:t>检查单位：</w:t>
      </w:r>
      <w:r>
        <w:rPr>
          <w:rFonts w:hint="eastAsia" w:ascii="仿宋_GB2312" w:eastAsia="仿宋_GB2312"/>
          <w:sz w:val="32"/>
          <w:szCs w:val="32"/>
          <w:u w:val="single"/>
        </w:rPr>
        <w:t xml:space="preserve">                </w:t>
      </w:r>
      <w:r>
        <w:rPr>
          <w:rFonts w:hint="eastAsia" w:ascii="仿宋_GB2312" w:eastAsia="仿宋_GB2312"/>
          <w:sz w:val="32"/>
          <w:szCs w:val="32"/>
        </w:rPr>
        <w:t>（盖章）    检查人员：</w:t>
      </w:r>
      <w:r>
        <w:rPr>
          <w:rFonts w:hint="eastAsia" w:ascii="仿宋_GB2312" w:eastAsia="仿宋_GB2312"/>
          <w:sz w:val="32"/>
          <w:szCs w:val="32"/>
          <w:u w:val="single"/>
        </w:rPr>
        <w:t xml:space="preserve">               </w:t>
      </w:r>
      <w:r>
        <w:rPr>
          <w:rFonts w:hint="eastAsia" w:ascii="仿宋_GB2312" w:eastAsia="仿宋_GB2312"/>
          <w:sz w:val="32"/>
          <w:szCs w:val="32"/>
        </w:rPr>
        <w:t xml:space="preserve"> 检查日期：</w:t>
      </w:r>
      <w:r>
        <w:rPr>
          <w:rFonts w:hint="eastAsia" w:ascii="仿宋_GB2312" w:eastAsia="仿宋_GB2312"/>
          <w:sz w:val="32"/>
          <w:szCs w:val="32"/>
          <w:u w:val="single"/>
        </w:rPr>
        <w:t xml:space="preserve">          </w:t>
      </w:r>
    </w:p>
    <w:tbl>
      <w:tblPr>
        <w:tblStyle w:val="8"/>
        <w:tblW w:w="137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096"/>
        <w:gridCol w:w="3827"/>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3792" w:type="dxa"/>
            <w:gridSpan w:val="4"/>
          </w:tcPr>
          <w:p>
            <w:pPr>
              <w:spacing w:line="560" w:lineRule="exact"/>
              <w:jc w:val="left"/>
              <w:rPr>
                <w:rFonts w:ascii="仿宋_GB2312" w:eastAsia="仿宋_GB2312"/>
                <w:b/>
                <w:sz w:val="32"/>
                <w:szCs w:val="32"/>
              </w:rPr>
            </w:pPr>
            <w:r>
              <w:rPr>
                <w:rFonts w:hint="eastAsia" w:ascii="仿宋_GB2312" w:eastAsia="仿宋_GB2312"/>
                <w:b/>
                <w:sz w:val="32"/>
                <w:szCs w:val="32"/>
              </w:rPr>
              <w:t>企业名称（地址）：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tcPr>
          <w:p>
            <w:pPr>
              <w:spacing w:line="560" w:lineRule="exact"/>
              <w:jc w:val="center"/>
              <w:rPr>
                <w:rFonts w:ascii="仿宋_GB2312" w:eastAsia="仿宋_GB2312"/>
                <w:b/>
                <w:sz w:val="32"/>
                <w:szCs w:val="32"/>
              </w:rPr>
            </w:pPr>
            <w:r>
              <w:rPr>
                <w:rFonts w:hint="eastAsia" w:ascii="仿宋_GB2312" w:eastAsia="仿宋_GB2312"/>
                <w:b/>
                <w:sz w:val="32"/>
                <w:szCs w:val="32"/>
              </w:rPr>
              <w:t>检查类别</w:t>
            </w:r>
          </w:p>
        </w:tc>
        <w:tc>
          <w:tcPr>
            <w:tcW w:w="6096" w:type="dxa"/>
          </w:tcPr>
          <w:p>
            <w:pPr>
              <w:spacing w:line="560" w:lineRule="exact"/>
              <w:jc w:val="center"/>
              <w:rPr>
                <w:rFonts w:ascii="仿宋_GB2312" w:eastAsia="仿宋_GB2312"/>
                <w:b/>
                <w:sz w:val="32"/>
                <w:szCs w:val="32"/>
              </w:rPr>
            </w:pPr>
            <w:r>
              <w:rPr>
                <w:rFonts w:hint="eastAsia" w:ascii="仿宋_GB2312" w:eastAsia="仿宋_GB2312"/>
                <w:b/>
                <w:sz w:val="32"/>
                <w:szCs w:val="32"/>
              </w:rPr>
              <w:t>检查项目</w:t>
            </w:r>
          </w:p>
        </w:tc>
        <w:tc>
          <w:tcPr>
            <w:tcW w:w="3827" w:type="dxa"/>
          </w:tcPr>
          <w:p>
            <w:pPr>
              <w:spacing w:line="560" w:lineRule="exact"/>
              <w:jc w:val="center"/>
              <w:rPr>
                <w:rFonts w:ascii="仿宋_GB2312" w:eastAsia="仿宋_GB2312"/>
                <w:b/>
                <w:sz w:val="32"/>
                <w:szCs w:val="32"/>
              </w:rPr>
            </w:pPr>
            <w:r>
              <w:rPr>
                <w:rFonts w:hint="eastAsia" w:ascii="仿宋_GB2312" w:eastAsia="仿宋_GB2312"/>
                <w:b/>
                <w:sz w:val="32"/>
                <w:szCs w:val="32"/>
              </w:rPr>
              <w:t>执法依据</w:t>
            </w:r>
          </w:p>
        </w:tc>
        <w:tc>
          <w:tcPr>
            <w:tcW w:w="2060" w:type="dxa"/>
          </w:tcPr>
          <w:p>
            <w:pPr>
              <w:spacing w:line="560" w:lineRule="exact"/>
              <w:jc w:val="center"/>
              <w:rPr>
                <w:rFonts w:ascii="仿宋_GB2312" w:eastAsia="仿宋_GB2312"/>
                <w:b/>
                <w:sz w:val="32"/>
                <w:szCs w:val="32"/>
              </w:rPr>
            </w:pPr>
            <w:r>
              <w:rPr>
                <w:rFonts w:hint="eastAsia" w:ascii="仿宋_GB2312" w:eastAsia="仿宋_GB2312"/>
                <w:b/>
                <w:sz w:val="32"/>
                <w:szCs w:val="32"/>
              </w:rPr>
              <w:t>执法结果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restart"/>
          </w:tcPr>
          <w:p>
            <w:pPr>
              <w:spacing w:line="560" w:lineRule="exact"/>
              <w:jc w:val="left"/>
              <w:rPr>
                <w:rFonts w:ascii="仿宋_GB2312" w:eastAsia="仿宋_GB2312"/>
                <w:sz w:val="32"/>
                <w:szCs w:val="32"/>
              </w:rPr>
            </w:pPr>
          </w:p>
          <w:p>
            <w:pPr>
              <w:spacing w:line="560" w:lineRule="exact"/>
              <w:jc w:val="left"/>
              <w:rPr>
                <w:rFonts w:ascii="仿宋_GB2312" w:eastAsia="仿宋_GB2312"/>
                <w:sz w:val="32"/>
                <w:szCs w:val="32"/>
              </w:rPr>
            </w:pPr>
          </w:p>
          <w:p>
            <w:pPr>
              <w:spacing w:line="560" w:lineRule="exact"/>
              <w:jc w:val="left"/>
              <w:rPr>
                <w:rFonts w:ascii="仿宋_GB2312" w:eastAsia="仿宋_GB2312"/>
                <w:sz w:val="32"/>
                <w:szCs w:val="32"/>
              </w:rPr>
            </w:pPr>
          </w:p>
          <w:p>
            <w:pPr>
              <w:spacing w:line="560" w:lineRule="exact"/>
              <w:jc w:val="left"/>
              <w:rPr>
                <w:rFonts w:ascii="仿宋_GB2312" w:eastAsia="仿宋_GB2312"/>
                <w:sz w:val="32"/>
                <w:szCs w:val="32"/>
              </w:rPr>
            </w:pPr>
          </w:p>
          <w:p>
            <w:pPr>
              <w:spacing w:line="560" w:lineRule="exact"/>
              <w:jc w:val="left"/>
              <w:rPr>
                <w:rFonts w:ascii="仿宋_GB2312" w:eastAsia="仿宋_GB2312"/>
                <w:sz w:val="32"/>
                <w:szCs w:val="32"/>
              </w:rPr>
            </w:pPr>
            <w:r>
              <w:rPr>
                <w:rFonts w:hint="eastAsia" w:ascii="仿宋_GB2312" w:eastAsia="仿宋_GB2312"/>
                <w:sz w:val="32"/>
                <w:szCs w:val="32"/>
              </w:rPr>
              <w:t>安全管理</w:t>
            </w:r>
          </w:p>
          <w:p>
            <w:pPr>
              <w:spacing w:line="560" w:lineRule="exact"/>
              <w:jc w:val="left"/>
              <w:rPr>
                <w:rFonts w:ascii="仿宋_GB2312" w:eastAsia="仿宋_GB2312"/>
                <w:sz w:val="32"/>
                <w:szCs w:val="32"/>
              </w:rPr>
            </w:pPr>
          </w:p>
          <w:p>
            <w:pPr>
              <w:spacing w:line="560" w:lineRule="exact"/>
              <w:jc w:val="left"/>
              <w:rPr>
                <w:rFonts w:ascii="仿宋_GB2312" w:eastAsia="仿宋_GB2312"/>
                <w:sz w:val="32"/>
                <w:szCs w:val="32"/>
              </w:rPr>
            </w:pPr>
          </w:p>
          <w:p>
            <w:pPr>
              <w:spacing w:line="560" w:lineRule="exact"/>
              <w:jc w:val="left"/>
              <w:rPr>
                <w:rFonts w:ascii="仿宋_GB2312" w:eastAsia="仿宋_GB2312"/>
                <w:sz w:val="32"/>
                <w:szCs w:val="32"/>
              </w:rPr>
            </w:pPr>
          </w:p>
          <w:p>
            <w:pPr>
              <w:spacing w:line="560" w:lineRule="exact"/>
              <w:jc w:val="left"/>
              <w:rPr>
                <w:rFonts w:ascii="仿宋_GB2312" w:eastAsia="仿宋_GB2312"/>
                <w:sz w:val="32"/>
                <w:szCs w:val="32"/>
              </w:rPr>
            </w:pPr>
          </w:p>
          <w:p>
            <w:pPr>
              <w:spacing w:line="560" w:lineRule="exact"/>
              <w:jc w:val="left"/>
              <w:rPr>
                <w:rFonts w:ascii="仿宋_GB2312" w:eastAsia="仿宋_GB2312"/>
                <w:sz w:val="32"/>
                <w:szCs w:val="32"/>
              </w:rPr>
            </w:pPr>
          </w:p>
          <w:p>
            <w:pPr>
              <w:spacing w:line="560" w:lineRule="exact"/>
              <w:jc w:val="left"/>
              <w:rPr>
                <w:rFonts w:ascii="仿宋_GB2312" w:eastAsia="仿宋_GB2312"/>
                <w:sz w:val="32"/>
                <w:szCs w:val="32"/>
              </w:rPr>
            </w:pPr>
            <w:r>
              <w:rPr>
                <w:rFonts w:hint="eastAsia" w:ascii="仿宋_GB2312" w:eastAsia="仿宋_GB2312"/>
                <w:sz w:val="32"/>
                <w:szCs w:val="32"/>
              </w:rPr>
              <w:t>安全管理</w:t>
            </w: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金属冶炼企业主要负责人和安全生产管理人员未依法经考核合格。</w:t>
            </w:r>
          </w:p>
        </w:tc>
        <w:tc>
          <w:tcPr>
            <w:tcW w:w="3827" w:type="dxa"/>
            <w:vAlign w:val="center"/>
          </w:tcPr>
          <w:p>
            <w:pPr>
              <w:widowControl/>
              <w:adjustRightInd w:val="0"/>
              <w:snapToGrid w:val="0"/>
              <w:spacing w:line="240" w:lineRule="exact"/>
              <w:jc w:val="left"/>
              <w:rPr>
                <w:rFonts w:ascii="仿宋_GB2312" w:eastAsia="仿宋_GB2312"/>
                <w:sz w:val="24"/>
                <w:szCs w:val="24"/>
              </w:rPr>
            </w:pPr>
            <w:r>
              <w:rPr>
                <w:rFonts w:hint="eastAsia" w:ascii="仿宋_GB2312" w:hAnsi="宋体" w:eastAsia="仿宋_GB2312" w:cs="宋体"/>
                <w:kern w:val="0"/>
                <w:sz w:val="24"/>
                <w:szCs w:val="24"/>
              </w:rPr>
              <w:t>《安全生产法》第九十四条“生产经营单位有下列行为之一的，责令限期改正，可以处五万元以下的罚款；逾期未改正的，责令停产停业整顿，并处五万元以上十万元以下的罚款，对其直接负责的主管人员和其他直接责任人员处一万元以上二万元以下的罚款：（二）危险物品的生产、经营、储存单位以及矿山、金属冶炼、建筑施工、道路运输单位的主要负责人和安全生产管理人员未按照规定经考核合格的；”</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从事煤气生产、储存、输送、使用、维护、检修人员未依法持证上岗。</w:t>
            </w:r>
          </w:p>
        </w:tc>
        <w:tc>
          <w:tcPr>
            <w:tcW w:w="3827" w:type="dxa"/>
            <w:vAlign w:val="center"/>
          </w:tcPr>
          <w:p>
            <w:pPr>
              <w:widowControl/>
              <w:adjustRightInd w:val="0"/>
              <w:snapToGrid w:val="0"/>
              <w:spacing w:line="240" w:lineRule="exact"/>
              <w:jc w:val="left"/>
              <w:rPr>
                <w:rFonts w:ascii="仿宋_GB2312" w:eastAsia="仿宋_GB2312"/>
                <w:sz w:val="24"/>
                <w:szCs w:val="24"/>
              </w:rPr>
            </w:pPr>
            <w:r>
              <w:rPr>
                <w:rFonts w:hint="eastAsia" w:ascii="仿宋_GB2312" w:eastAsia="仿宋_GB2312"/>
                <w:sz w:val="24"/>
                <w:szCs w:val="24"/>
              </w:rPr>
              <w:t>《特种作业人员安全技术培训考核管理规定》</w:t>
            </w:r>
            <w:r>
              <w:rPr>
                <w:rFonts w:ascii="仿宋_GB2312" w:eastAsia="仿宋_GB2312"/>
                <w:sz w:val="24"/>
                <w:szCs w:val="24"/>
              </w:rPr>
              <w:t>第三十九条</w:t>
            </w:r>
            <w:r>
              <w:rPr>
                <w:rFonts w:hint="eastAsia" w:ascii="仿宋_GB2312" w:eastAsia="仿宋_GB2312"/>
                <w:sz w:val="24"/>
                <w:szCs w:val="24"/>
              </w:rPr>
              <w:t>“生产经营单位使用未取得特种作业操作证的特种作业人员上岗作业的，责令限期改正；可以处5万元以下的罚款；逾期未改正的，责令停产停业整顿，并处5万元以上10万元以下的罚款，对直接负责的主管人员和其他直接责任人员处1万元以上2万元以下的罚款。”</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未严格执行高危作业审批制度，未制定严谨的检维修工作方案，未落实交叉作业的现场安全管理职责。</w:t>
            </w:r>
          </w:p>
        </w:tc>
        <w:tc>
          <w:tcPr>
            <w:tcW w:w="3827" w:type="dxa"/>
            <w:vAlign w:val="center"/>
          </w:tcPr>
          <w:p>
            <w:pPr>
              <w:spacing w:line="240" w:lineRule="exact"/>
              <w:jc w:val="left"/>
              <w:rPr>
                <w:rFonts w:ascii="仿宋_GB2312" w:eastAsia="仿宋_GB2312"/>
                <w:sz w:val="32"/>
                <w:szCs w:val="32"/>
              </w:rPr>
            </w:pPr>
            <w:r>
              <w:rPr>
                <w:rFonts w:hint="eastAsia" w:ascii="仿宋_GB2312" w:hAnsi="宋体" w:eastAsia="仿宋_GB2312" w:cs="宋体"/>
                <w:kern w:val="0"/>
                <w:sz w:val="24"/>
                <w:szCs w:val="24"/>
              </w:rPr>
              <w:t>《安全生产法》第一百零一条“两个以上生产经营单位在同一作业区域内进行可能危及对方安全生产的生产经营活动，未签订安全生产管理协议或者未指定专职安全生产管理人员进行安全检查与协调的，责令限期改正，可以处五万元以下的罚款，对其直接负责的主管人员和其他直接责任人员可以处一万元以下的罚款；逾期未改正的，责令停产停业。”</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5" w:hRule="atLeast"/>
        </w:trPr>
        <w:tc>
          <w:tcPr>
            <w:tcW w:w="1809" w:type="dxa"/>
            <w:vMerge w:val="restart"/>
          </w:tcPr>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r>
              <w:rPr>
                <w:rFonts w:hint="eastAsia" w:ascii="仿宋_GB2312" w:eastAsia="仿宋_GB2312"/>
                <w:sz w:val="32"/>
                <w:szCs w:val="32"/>
              </w:rPr>
              <w:t>高温熔融金属</w:t>
            </w: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r>
              <w:rPr>
                <w:rFonts w:hint="eastAsia" w:ascii="仿宋_GB2312" w:eastAsia="仿宋_GB2312"/>
                <w:sz w:val="32"/>
                <w:szCs w:val="32"/>
              </w:rPr>
              <w:t>高温熔融金属</w:t>
            </w: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会议室、活动室、休息室、更衣室等场所设置在铁水、钢水与液渣吊运影响的范围内。</w:t>
            </w:r>
          </w:p>
        </w:tc>
        <w:tc>
          <w:tcPr>
            <w:tcW w:w="3827" w:type="dxa"/>
            <w:vAlign w:val="center"/>
          </w:tcPr>
          <w:p>
            <w:pPr>
              <w:spacing w:line="2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安全生产法》第九十九条“生产经营单位未采取措施消除事故隐患的，责令立即消除或者限期消除；生产经营单位拒不执行的，责令停产停业整顿，并处十万元以上五十万元以下的罚款，对其直接负责的主管人员和其他直接责任人员处二万元以上五万元以下的罚款。”</w:t>
            </w:r>
          </w:p>
          <w:p>
            <w:pPr>
              <w:spacing w:line="240" w:lineRule="exact"/>
              <w:jc w:val="left"/>
              <w:rPr>
                <w:rFonts w:ascii="仿宋_GB2312" w:eastAsia="仿宋_GB2312"/>
                <w:sz w:val="32"/>
                <w:szCs w:val="32"/>
              </w:rPr>
            </w:pPr>
            <w:r>
              <w:rPr>
                <w:rFonts w:hint="eastAsia" w:ascii="仿宋_GB2312" w:hAnsi="宋体" w:eastAsia="仿宋_GB2312" w:cs="宋体"/>
                <w:kern w:val="0"/>
                <w:sz w:val="24"/>
                <w:szCs w:val="24"/>
              </w:rPr>
              <w:t>《安全生产事故隐患排查治理暂行规定》（国家安全监管总局令第16号）第二十六条“生产经营单位违反本规定，有下列行为之一的，由安全监管监察部门给予警告，并处三万元以下的罚款：（四）重大事故隐患不报或者未及时报告的；（五）未对事故隐患进行排查治理擅自生产经营的”</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吊运铁水、钢水与液渣起重机不符合冶金起重机的相关要求；炼钢厂在吊运重罐铁水、钢水或液渣时，未使用固定式龙门钩的铸造起重机，龙门钩横梁、耳轴销和吊钩、钢丝绳及其端头固定零件，未进行定期检查，发现问题未及时整改。</w:t>
            </w:r>
          </w:p>
        </w:tc>
        <w:tc>
          <w:tcPr>
            <w:tcW w:w="3827" w:type="dxa"/>
            <w:vAlign w:val="center"/>
          </w:tcPr>
          <w:p>
            <w:pPr>
              <w:spacing w:line="560" w:lineRule="exact"/>
              <w:jc w:val="center"/>
              <w:rPr>
                <w:rFonts w:ascii="仿宋_GB2312" w:eastAsia="仿宋_GB2312"/>
                <w:sz w:val="32"/>
                <w:szCs w:val="32"/>
              </w:rPr>
            </w:pPr>
            <w:r>
              <w:rPr>
                <w:rFonts w:hint="eastAsia" w:ascii="仿宋_GB2312" w:hAnsi="宋体" w:eastAsia="仿宋_GB2312" w:cs="宋体"/>
                <w:kern w:val="0"/>
                <w:sz w:val="24"/>
                <w:szCs w:val="24"/>
              </w:rPr>
              <w:t>同上</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盛装铁水、钢水与液渣的罐（包、盆）等容器耳轴未按国家标准规定要求定期进行探伤检测。</w:t>
            </w:r>
          </w:p>
        </w:tc>
        <w:tc>
          <w:tcPr>
            <w:tcW w:w="3827" w:type="dxa"/>
            <w:vAlign w:val="center"/>
          </w:tcPr>
          <w:p>
            <w:pPr>
              <w:spacing w:line="560" w:lineRule="exact"/>
              <w:jc w:val="center"/>
              <w:rPr>
                <w:rFonts w:ascii="仿宋_GB2312" w:eastAsia="仿宋_GB2312"/>
                <w:sz w:val="32"/>
                <w:szCs w:val="32"/>
              </w:rPr>
            </w:pPr>
            <w:r>
              <w:rPr>
                <w:rFonts w:hint="eastAsia" w:ascii="仿宋_GB2312" w:hAnsi="宋体" w:eastAsia="仿宋_GB2312" w:cs="宋体"/>
                <w:kern w:val="0"/>
                <w:sz w:val="24"/>
                <w:szCs w:val="24"/>
              </w:rPr>
              <w:t>同上</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冶炼、熔炼、精炼生产区域的安全坑内及熔体泄漏、喷溅影响范围内存在积水，放置有易燃易爆物品。金属铸造、连铸、浇铸流程未设置铁水罐、钢水罐、溢流槽、中间溢流罐等高温熔融金属紧急排放和应急储存设施。</w:t>
            </w:r>
          </w:p>
        </w:tc>
        <w:tc>
          <w:tcPr>
            <w:tcW w:w="3827" w:type="dxa"/>
            <w:vAlign w:val="center"/>
          </w:tcPr>
          <w:p>
            <w:pPr>
              <w:spacing w:line="560" w:lineRule="exact"/>
              <w:jc w:val="center"/>
              <w:rPr>
                <w:rFonts w:ascii="仿宋_GB2312" w:eastAsia="仿宋_GB2312"/>
                <w:sz w:val="32"/>
                <w:szCs w:val="32"/>
              </w:rPr>
            </w:pPr>
            <w:r>
              <w:rPr>
                <w:rFonts w:hint="eastAsia" w:ascii="仿宋_GB2312" w:hAnsi="宋体" w:eastAsia="仿宋_GB2312" w:cs="宋体"/>
                <w:kern w:val="0"/>
                <w:sz w:val="24"/>
                <w:szCs w:val="24"/>
              </w:rPr>
              <w:t>同上</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炉、窑、槽、罐类设备本体及附属设施未定期检查，出现严重焊缝开裂、腐蚀、破损、衬砖损坏、壳体发红及明显弯曲变形等未报修或报废，仍继续使用。</w:t>
            </w:r>
          </w:p>
        </w:tc>
        <w:tc>
          <w:tcPr>
            <w:tcW w:w="3827" w:type="dxa"/>
            <w:vAlign w:val="center"/>
          </w:tcPr>
          <w:p>
            <w:pPr>
              <w:spacing w:line="560" w:lineRule="exact"/>
              <w:jc w:val="center"/>
              <w:rPr>
                <w:rFonts w:ascii="仿宋_GB2312" w:eastAsia="仿宋_GB2312"/>
                <w:sz w:val="32"/>
                <w:szCs w:val="32"/>
              </w:rPr>
            </w:pPr>
            <w:r>
              <w:rPr>
                <w:rFonts w:hint="eastAsia" w:ascii="仿宋_GB2312" w:hAnsi="宋体" w:eastAsia="仿宋_GB2312" w:cs="宋体"/>
                <w:kern w:val="0"/>
                <w:sz w:val="24"/>
                <w:szCs w:val="24"/>
              </w:rPr>
              <w:t>同上</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氧枪等水冷元件未配置出水温度与进出水流量差检测、报警装置及温度监测，未与炉体倾动、氧气开闭等联锁。</w:t>
            </w:r>
          </w:p>
        </w:tc>
        <w:tc>
          <w:tcPr>
            <w:tcW w:w="3827" w:type="dxa"/>
            <w:vAlign w:val="center"/>
          </w:tcPr>
          <w:p>
            <w:pPr>
              <w:spacing w:line="560" w:lineRule="exact"/>
              <w:jc w:val="center"/>
              <w:rPr>
                <w:rFonts w:ascii="仿宋_GB2312" w:eastAsia="仿宋_GB2312"/>
                <w:sz w:val="32"/>
                <w:szCs w:val="32"/>
              </w:rPr>
            </w:pPr>
            <w:r>
              <w:rPr>
                <w:rFonts w:hint="eastAsia" w:ascii="仿宋_GB2312" w:hAnsi="宋体" w:eastAsia="仿宋_GB2312" w:cs="宋体"/>
                <w:kern w:val="0"/>
                <w:sz w:val="24"/>
                <w:szCs w:val="24"/>
              </w:rPr>
              <w:t>同上</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废钢配料，废钢不干燥，含有爆炸物、有毒物或密闭容器；废钢料高度超过料槽上口。</w:t>
            </w:r>
          </w:p>
        </w:tc>
        <w:tc>
          <w:tcPr>
            <w:tcW w:w="3827" w:type="dxa"/>
            <w:vAlign w:val="center"/>
          </w:tcPr>
          <w:p>
            <w:pPr>
              <w:spacing w:line="560" w:lineRule="exact"/>
              <w:jc w:val="center"/>
              <w:rPr>
                <w:rFonts w:ascii="仿宋_GB2312" w:eastAsia="仿宋_GB2312"/>
                <w:sz w:val="32"/>
                <w:szCs w:val="32"/>
              </w:rPr>
            </w:pPr>
            <w:r>
              <w:rPr>
                <w:rFonts w:hint="eastAsia" w:ascii="仿宋_GB2312" w:hAnsi="宋体" w:eastAsia="仿宋_GB2312" w:cs="宋体"/>
                <w:kern w:val="0"/>
                <w:sz w:val="24"/>
                <w:szCs w:val="24"/>
              </w:rPr>
              <w:t>同上</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trPr>
        <w:tc>
          <w:tcPr>
            <w:tcW w:w="1809" w:type="dxa"/>
            <w:vMerge w:val="restart"/>
            <w:vAlign w:val="center"/>
          </w:tcPr>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r>
              <w:rPr>
                <w:rFonts w:hint="eastAsia" w:ascii="仿宋_GB2312" w:eastAsia="仿宋_GB2312"/>
                <w:sz w:val="32"/>
                <w:szCs w:val="32"/>
              </w:rPr>
              <w:t>煤气</w:t>
            </w: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煤气柜建设在居民稠密区，未远离大型建筑、仓库、通信和交通枢纽等重要设施；附属设备设施未按防火防爆要求配置防爆型设备；柜顶未设置防雷装置。</w:t>
            </w:r>
          </w:p>
        </w:tc>
        <w:tc>
          <w:tcPr>
            <w:tcW w:w="3827" w:type="dxa"/>
          </w:tcPr>
          <w:p>
            <w:pPr>
              <w:spacing w:line="560" w:lineRule="exact"/>
              <w:jc w:val="center"/>
              <w:rPr>
                <w:rFonts w:ascii="仿宋_GB2312" w:eastAsia="仿宋_GB2312"/>
                <w:sz w:val="32"/>
                <w:szCs w:val="32"/>
              </w:rPr>
            </w:pPr>
            <w:r>
              <w:rPr>
                <w:rFonts w:hint="eastAsia" w:ascii="仿宋_GB2312" w:hAnsi="宋体" w:eastAsia="仿宋_GB2312" w:cs="宋体"/>
                <w:kern w:val="0"/>
                <w:sz w:val="24"/>
                <w:szCs w:val="24"/>
              </w:rPr>
              <w:t>同上</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煤气区域的值班室、操作室等人员较集中的地方，未设置固定式一氧化碳监测报警装置。</w:t>
            </w:r>
          </w:p>
        </w:tc>
        <w:tc>
          <w:tcPr>
            <w:tcW w:w="3827" w:type="dxa"/>
          </w:tcPr>
          <w:p>
            <w:pPr>
              <w:spacing w:line="560" w:lineRule="exact"/>
              <w:jc w:val="center"/>
              <w:rPr>
                <w:rFonts w:ascii="仿宋_GB2312" w:eastAsia="仿宋_GB2312"/>
                <w:sz w:val="32"/>
                <w:szCs w:val="32"/>
              </w:rPr>
            </w:pPr>
            <w:r>
              <w:rPr>
                <w:rFonts w:hint="eastAsia" w:ascii="仿宋_GB2312" w:hAnsi="宋体" w:eastAsia="仿宋_GB2312" w:cs="宋体"/>
                <w:kern w:val="0"/>
                <w:sz w:val="24"/>
                <w:szCs w:val="24"/>
              </w:rPr>
              <w:t>同上</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高炉、转炉、加热炉、煤气柜、除尘器等设施的煤气管道未设置可靠隔离装置和吹扫设施。</w:t>
            </w:r>
          </w:p>
        </w:tc>
        <w:tc>
          <w:tcPr>
            <w:tcW w:w="3827" w:type="dxa"/>
          </w:tcPr>
          <w:p>
            <w:pPr>
              <w:spacing w:line="560" w:lineRule="exact"/>
              <w:jc w:val="center"/>
              <w:rPr>
                <w:rFonts w:ascii="仿宋_GB2312" w:eastAsia="仿宋_GB2312"/>
                <w:sz w:val="32"/>
                <w:szCs w:val="32"/>
              </w:rPr>
            </w:pPr>
            <w:r>
              <w:rPr>
                <w:rFonts w:hint="eastAsia" w:ascii="仿宋_GB2312" w:hAnsi="宋体" w:eastAsia="仿宋_GB2312" w:cs="宋体"/>
                <w:kern w:val="0"/>
                <w:sz w:val="24"/>
                <w:szCs w:val="24"/>
              </w:rPr>
              <w:t>同上</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煤气分配主管上支管引接处，未设置可靠的切断装置；车间内各类燃气管线，在车间入口未设置总管切断阀。</w:t>
            </w:r>
          </w:p>
        </w:tc>
        <w:tc>
          <w:tcPr>
            <w:tcW w:w="3827" w:type="dxa"/>
          </w:tcPr>
          <w:p>
            <w:pPr>
              <w:spacing w:line="560" w:lineRule="exact"/>
              <w:jc w:val="center"/>
              <w:rPr>
                <w:rFonts w:ascii="仿宋_GB2312" w:eastAsia="仿宋_GB2312"/>
                <w:sz w:val="32"/>
                <w:szCs w:val="32"/>
              </w:rPr>
            </w:pPr>
            <w:r>
              <w:rPr>
                <w:rFonts w:hint="eastAsia" w:ascii="仿宋_GB2312" w:hAnsi="宋体" w:eastAsia="仿宋_GB2312" w:cs="宋体"/>
                <w:kern w:val="0"/>
                <w:sz w:val="24"/>
                <w:szCs w:val="24"/>
              </w:rPr>
              <w:t>同上</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7905" w:type="dxa"/>
            <w:gridSpan w:val="2"/>
            <w:vAlign w:val="center"/>
          </w:tcPr>
          <w:p>
            <w:pPr>
              <w:spacing w:line="240" w:lineRule="exact"/>
              <w:rPr>
                <w:rFonts w:ascii="仿宋_GB2312" w:eastAsia="仿宋_GB2312"/>
                <w:sz w:val="24"/>
                <w:szCs w:val="24"/>
              </w:rPr>
            </w:pPr>
            <w:r>
              <w:rPr>
                <w:rFonts w:hint="eastAsia" w:ascii="仿宋_GB2312" w:eastAsia="仿宋_GB2312"/>
                <w:sz w:val="24"/>
                <w:szCs w:val="24"/>
              </w:rPr>
              <w:t>未按照要求淘汰《金属冶炼企业禁止使用的设备及工艺目录（第一批）》中涉及的设备及工艺。</w:t>
            </w:r>
          </w:p>
        </w:tc>
        <w:tc>
          <w:tcPr>
            <w:tcW w:w="3827" w:type="dxa"/>
          </w:tcPr>
          <w:p>
            <w:pPr>
              <w:spacing w:line="240" w:lineRule="exact"/>
              <w:jc w:val="center"/>
              <w:rPr>
                <w:rFonts w:ascii="仿宋_GB2312" w:eastAsia="仿宋_GB2312"/>
                <w:sz w:val="32"/>
                <w:szCs w:val="32"/>
              </w:rPr>
            </w:pPr>
            <w:r>
              <w:rPr>
                <w:rFonts w:hint="eastAsia" w:ascii="仿宋_GB2312" w:hAnsi="宋体" w:eastAsia="仿宋_GB2312" w:cs="宋体"/>
                <w:kern w:val="0"/>
                <w:sz w:val="24"/>
                <w:szCs w:val="24"/>
              </w:rPr>
              <w:t>《安全生产法》第九十六条“生产经营单位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六）使用应当淘汰的危及生产安全的工艺、设备的。”</w:t>
            </w:r>
            <w:r>
              <w:rPr>
                <w:rFonts w:ascii="仿宋_GB2312" w:eastAsia="仿宋_GB2312"/>
                <w:sz w:val="32"/>
                <w:szCs w:val="32"/>
              </w:rPr>
              <w:t xml:space="preserve"> </w:t>
            </w:r>
          </w:p>
        </w:tc>
        <w:tc>
          <w:tcPr>
            <w:tcW w:w="2060"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3792" w:type="dxa"/>
            <w:gridSpan w:val="4"/>
            <w:vAlign w:val="center"/>
          </w:tcPr>
          <w:p>
            <w:pPr>
              <w:spacing w:line="560" w:lineRule="exact"/>
              <w:jc w:val="left"/>
              <w:rPr>
                <w:rFonts w:ascii="仿宋_GB2312" w:eastAsia="仿宋_GB2312"/>
                <w:sz w:val="32"/>
                <w:szCs w:val="32"/>
              </w:rPr>
            </w:pPr>
            <w:r>
              <w:rPr>
                <w:rFonts w:hint="eastAsia" w:ascii="仿宋_GB2312" w:eastAsia="仿宋_GB2312"/>
                <w:sz w:val="32"/>
                <w:szCs w:val="32"/>
              </w:rPr>
              <w:t>其他严重安全问题（可另附页）：</w:t>
            </w:r>
          </w:p>
        </w:tc>
      </w:tr>
    </w:tbl>
    <w:p>
      <w:pPr>
        <w:spacing w:line="560" w:lineRule="exact"/>
        <w:jc w:val="left"/>
        <w:rPr>
          <w:rFonts w:ascii="仿宋_GB2312" w:eastAsia="仿宋_GB2312"/>
          <w:b/>
          <w:sz w:val="28"/>
          <w:szCs w:val="28"/>
        </w:rPr>
      </w:pPr>
      <w:r>
        <w:rPr>
          <w:rFonts w:hint="eastAsia" w:ascii="仿宋_GB2312" w:eastAsia="仿宋_GB2312"/>
          <w:b/>
          <w:sz w:val="28"/>
          <w:szCs w:val="28"/>
        </w:rPr>
        <w:t>注：检查单位发现企业存在重大生产安全事故隐患，请依照有关法律法规规定，严格执法，填写执法情况。</w:t>
      </w: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仿宋_GB2312" w:eastAsia="仿宋_GB2312"/>
          <w:b/>
          <w:sz w:val="32"/>
          <w:szCs w:val="32"/>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E197D"/>
    <w:rsid w:val="00026BAE"/>
    <w:rsid w:val="00044D43"/>
    <w:rsid w:val="000471FD"/>
    <w:rsid w:val="000533F6"/>
    <w:rsid w:val="000564B1"/>
    <w:rsid w:val="000668A6"/>
    <w:rsid w:val="000729BF"/>
    <w:rsid w:val="000903F1"/>
    <w:rsid w:val="000A67CD"/>
    <w:rsid w:val="000C0693"/>
    <w:rsid w:val="000C1E85"/>
    <w:rsid w:val="000C3D2E"/>
    <w:rsid w:val="000F4271"/>
    <w:rsid w:val="001041BB"/>
    <w:rsid w:val="001111F1"/>
    <w:rsid w:val="001304FD"/>
    <w:rsid w:val="001417F2"/>
    <w:rsid w:val="00161563"/>
    <w:rsid w:val="001B7C66"/>
    <w:rsid w:val="001C5056"/>
    <w:rsid w:val="001D2FD5"/>
    <w:rsid w:val="001D57EE"/>
    <w:rsid w:val="001F50FA"/>
    <w:rsid w:val="001F5361"/>
    <w:rsid w:val="001F7007"/>
    <w:rsid w:val="0020111B"/>
    <w:rsid w:val="0021194F"/>
    <w:rsid w:val="00222A52"/>
    <w:rsid w:val="00234E88"/>
    <w:rsid w:val="00250C18"/>
    <w:rsid w:val="002512AB"/>
    <w:rsid w:val="00255191"/>
    <w:rsid w:val="0025524C"/>
    <w:rsid w:val="00284D57"/>
    <w:rsid w:val="0029524E"/>
    <w:rsid w:val="002B7218"/>
    <w:rsid w:val="002C2351"/>
    <w:rsid w:val="002D14A7"/>
    <w:rsid w:val="002F1EA9"/>
    <w:rsid w:val="003046AE"/>
    <w:rsid w:val="00316983"/>
    <w:rsid w:val="00324AA1"/>
    <w:rsid w:val="00335210"/>
    <w:rsid w:val="00336F61"/>
    <w:rsid w:val="00340403"/>
    <w:rsid w:val="00345AB8"/>
    <w:rsid w:val="00356702"/>
    <w:rsid w:val="00362E57"/>
    <w:rsid w:val="003713C1"/>
    <w:rsid w:val="003850DA"/>
    <w:rsid w:val="00390FCF"/>
    <w:rsid w:val="003922DD"/>
    <w:rsid w:val="003A2C13"/>
    <w:rsid w:val="003B129E"/>
    <w:rsid w:val="003B5C98"/>
    <w:rsid w:val="003F555D"/>
    <w:rsid w:val="00402B16"/>
    <w:rsid w:val="00410200"/>
    <w:rsid w:val="00410873"/>
    <w:rsid w:val="00411985"/>
    <w:rsid w:val="00425F97"/>
    <w:rsid w:val="00447210"/>
    <w:rsid w:val="004639D7"/>
    <w:rsid w:val="0046458A"/>
    <w:rsid w:val="0047727C"/>
    <w:rsid w:val="00486525"/>
    <w:rsid w:val="00497D12"/>
    <w:rsid w:val="004A7A5A"/>
    <w:rsid w:val="004C1950"/>
    <w:rsid w:val="004C6774"/>
    <w:rsid w:val="004E12A6"/>
    <w:rsid w:val="004E14A5"/>
    <w:rsid w:val="004F7E7C"/>
    <w:rsid w:val="005062E1"/>
    <w:rsid w:val="00536C05"/>
    <w:rsid w:val="00552300"/>
    <w:rsid w:val="005777BE"/>
    <w:rsid w:val="00585970"/>
    <w:rsid w:val="005E2344"/>
    <w:rsid w:val="005E3556"/>
    <w:rsid w:val="005E798E"/>
    <w:rsid w:val="00600394"/>
    <w:rsid w:val="006106B5"/>
    <w:rsid w:val="00612381"/>
    <w:rsid w:val="00612E10"/>
    <w:rsid w:val="00613E08"/>
    <w:rsid w:val="00635292"/>
    <w:rsid w:val="0064478D"/>
    <w:rsid w:val="006561AC"/>
    <w:rsid w:val="006719E5"/>
    <w:rsid w:val="00673B9A"/>
    <w:rsid w:val="006833FA"/>
    <w:rsid w:val="0069792C"/>
    <w:rsid w:val="006A3465"/>
    <w:rsid w:val="006B6409"/>
    <w:rsid w:val="006C5C7B"/>
    <w:rsid w:val="006D0B50"/>
    <w:rsid w:val="006D25C3"/>
    <w:rsid w:val="006E1C57"/>
    <w:rsid w:val="006F1098"/>
    <w:rsid w:val="006F6BAC"/>
    <w:rsid w:val="0070071D"/>
    <w:rsid w:val="007326F9"/>
    <w:rsid w:val="007541D9"/>
    <w:rsid w:val="007806DD"/>
    <w:rsid w:val="00784105"/>
    <w:rsid w:val="007A77A2"/>
    <w:rsid w:val="007B0FA8"/>
    <w:rsid w:val="007C6194"/>
    <w:rsid w:val="007C6248"/>
    <w:rsid w:val="007E26BE"/>
    <w:rsid w:val="007E6226"/>
    <w:rsid w:val="008028C8"/>
    <w:rsid w:val="008038E2"/>
    <w:rsid w:val="00807D2F"/>
    <w:rsid w:val="00815811"/>
    <w:rsid w:val="0082409D"/>
    <w:rsid w:val="00825709"/>
    <w:rsid w:val="00860680"/>
    <w:rsid w:val="0087392C"/>
    <w:rsid w:val="00894E0F"/>
    <w:rsid w:val="008A7E32"/>
    <w:rsid w:val="008C233B"/>
    <w:rsid w:val="008C5878"/>
    <w:rsid w:val="008E0631"/>
    <w:rsid w:val="008E2814"/>
    <w:rsid w:val="008E6649"/>
    <w:rsid w:val="008F1223"/>
    <w:rsid w:val="009019AD"/>
    <w:rsid w:val="00906C51"/>
    <w:rsid w:val="00907E6C"/>
    <w:rsid w:val="00910073"/>
    <w:rsid w:val="00916BF3"/>
    <w:rsid w:val="0091789E"/>
    <w:rsid w:val="00934664"/>
    <w:rsid w:val="0094463F"/>
    <w:rsid w:val="00951EAE"/>
    <w:rsid w:val="00963006"/>
    <w:rsid w:val="0097085B"/>
    <w:rsid w:val="00974CB3"/>
    <w:rsid w:val="00991442"/>
    <w:rsid w:val="009A5851"/>
    <w:rsid w:val="009C0CA7"/>
    <w:rsid w:val="009E197D"/>
    <w:rsid w:val="009E429A"/>
    <w:rsid w:val="009F7B0F"/>
    <w:rsid w:val="00A004D7"/>
    <w:rsid w:val="00A24D01"/>
    <w:rsid w:val="00A47143"/>
    <w:rsid w:val="00A5339E"/>
    <w:rsid w:val="00A873CE"/>
    <w:rsid w:val="00AA07CE"/>
    <w:rsid w:val="00AA5825"/>
    <w:rsid w:val="00AB2D94"/>
    <w:rsid w:val="00AB4103"/>
    <w:rsid w:val="00AC4C5B"/>
    <w:rsid w:val="00AC62C9"/>
    <w:rsid w:val="00AD21CA"/>
    <w:rsid w:val="00AE5438"/>
    <w:rsid w:val="00AF3537"/>
    <w:rsid w:val="00B051FD"/>
    <w:rsid w:val="00B14A47"/>
    <w:rsid w:val="00B20CCE"/>
    <w:rsid w:val="00B25837"/>
    <w:rsid w:val="00B26F74"/>
    <w:rsid w:val="00B523BF"/>
    <w:rsid w:val="00B531DE"/>
    <w:rsid w:val="00B6124F"/>
    <w:rsid w:val="00B839D1"/>
    <w:rsid w:val="00B93C76"/>
    <w:rsid w:val="00BB67F3"/>
    <w:rsid w:val="00BD2784"/>
    <w:rsid w:val="00BF2930"/>
    <w:rsid w:val="00C017D1"/>
    <w:rsid w:val="00C01CBE"/>
    <w:rsid w:val="00C056CB"/>
    <w:rsid w:val="00C13D35"/>
    <w:rsid w:val="00C17C92"/>
    <w:rsid w:val="00C23A6D"/>
    <w:rsid w:val="00C26B35"/>
    <w:rsid w:val="00C36398"/>
    <w:rsid w:val="00C466DB"/>
    <w:rsid w:val="00C940EF"/>
    <w:rsid w:val="00CD2474"/>
    <w:rsid w:val="00CE2A28"/>
    <w:rsid w:val="00CE4AF9"/>
    <w:rsid w:val="00D003C6"/>
    <w:rsid w:val="00D017C3"/>
    <w:rsid w:val="00D05F6D"/>
    <w:rsid w:val="00D163CC"/>
    <w:rsid w:val="00D21433"/>
    <w:rsid w:val="00D228EE"/>
    <w:rsid w:val="00D26B2F"/>
    <w:rsid w:val="00D401FD"/>
    <w:rsid w:val="00D84A5B"/>
    <w:rsid w:val="00D851E1"/>
    <w:rsid w:val="00D8651B"/>
    <w:rsid w:val="00D86609"/>
    <w:rsid w:val="00D86718"/>
    <w:rsid w:val="00D918A7"/>
    <w:rsid w:val="00DA6949"/>
    <w:rsid w:val="00DC2B68"/>
    <w:rsid w:val="00DC4953"/>
    <w:rsid w:val="00DD4BA9"/>
    <w:rsid w:val="00DE445F"/>
    <w:rsid w:val="00DF7D9D"/>
    <w:rsid w:val="00E0352D"/>
    <w:rsid w:val="00E34424"/>
    <w:rsid w:val="00E53A55"/>
    <w:rsid w:val="00E550B6"/>
    <w:rsid w:val="00E62A2E"/>
    <w:rsid w:val="00E648A5"/>
    <w:rsid w:val="00E738F5"/>
    <w:rsid w:val="00E74030"/>
    <w:rsid w:val="00E7679C"/>
    <w:rsid w:val="00E86483"/>
    <w:rsid w:val="00EC30C4"/>
    <w:rsid w:val="00ED6FBE"/>
    <w:rsid w:val="00EE45B7"/>
    <w:rsid w:val="00EF6399"/>
    <w:rsid w:val="00F05F4D"/>
    <w:rsid w:val="00F109C1"/>
    <w:rsid w:val="00F117B6"/>
    <w:rsid w:val="00F1550B"/>
    <w:rsid w:val="00F2541F"/>
    <w:rsid w:val="00F31424"/>
    <w:rsid w:val="00F456E2"/>
    <w:rsid w:val="00F9174F"/>
    <w:rsid w:val="00F97A91"/>
    <w:rsid w:val="00F97D17"/>
    <w:rsid w:val="00FA1933"/>
    <w:rsid w:val="00FA26C5"/>
    <w:rsid w:val="00FA7EE0"/>
    <w:rsid w:val="00FB1E79"/>
    <w:rsid w:val="00FC47BC"/>
    <w:rsid w:val="00FC63BA"/>
    <w:rsid w:val="00FF07FE"/>
    <w:rsid w:val="26B54A1F"/>
    <w:rsid w:val="50862A05"/>
    <w:rsid w:val="53E501BF"/>
    <w:rsid w:val="578F7E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link w:val="11"/>
    <w:semiHidden/>
    <w:unhideWhenUsed/>
    <w:uiPriority w:val="99"/>
    <w:pPr>
      <w:snapToGrid w:val="0"/>
      <w:jc w:val="left"/>
    </w:pPr>
    <w:rPr>
      <w:sz w:val="18"/>
      <w:szCs w:val="18"/>
    </w:rPr>
  </w:style>
  <w:style w:type="character" w:styleId="6">
    <w:name w:val="footnote reference"/>
    <w:basedOn w:val="5"/>
    <w:semiHidden/>
    <w:unhideWhenUsed/>
    <w:qFormat/>
    <w:uiPriority w:val="99"/>
    <w:rPr>
      <w:vertAlign w:val="superscript"/>
    </w:rPr>
  </w:style>
  <w:style w:type="table" w:styleId="8">
    <w:name w:val="Table Grid"/>
    <w:basedOn w:val="7"/>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5"/>
    <w:link w:val="3"/>
    <w:uiPriority w:val="99"/>
    <w:rPr>
      <w:sz w:val="18"/>
      <w:szCs w:val="18"/>
    </w:rPr>
  </w:style>
  <w:style w:type="character" w:customStyle="1" w:styleId="10">
    <w:name w:val="页脚 Char"/>
    <w:basedOn w:val="5"/>
    <w:link w:val="2"/>
    <w:qFormat/>
    <w:uiPriority w:val="99"/>
    <w:rPr>
      <w:sz w:val="18"/>
      <w:szCs w:val="18"/>
    </w:rPr>
  </w:style>
  <w:style w:type="character" w:customStyle="1" w:styleId="11">
    <w:name w:val="脚注文本 Char"/>
    <w:basedOn w:val="5"/>
    <w:link w:val="4"/>
    <w:semiHidden/>
    <w:uiPriority w:val="99"/>
    <w:rPr>
      <w:sz w:val="18"/>
      <w:szCs w:val="18"/>
    </w:rPr>
  </w:style>
  <w:style w:type="paragraph" w:customStyle="1" w:styleId="12">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B5B579-2AB5-49E0-9960-0E48510136C1}">
  <ds:schemaRefs/>
</ds:datastoreItem>
</file>

<file path=docProps/app.xml><?xml version="1.0" encoding="utf-8"?>
<Properties xmlns="http://schemas.openxmlformats.org/officeDocument/2006/extended-properties" xmlns:vt="http://schemas.openxmlformats.org/officeDocument/2006/docPropsVTypes">
  <Template>Normal</Template>
  <Pages>14</Pages>
  <Words>5324</Words>
  <Characters>5348</Characters>
  <Lines>68</Lines>
  <Paragraphs>19</Paragraphs>
  <ScaleCrop>false</ScaleCrop>
  <LinksUpToDate>false</LinksUpToDate>
  <CharactersWithSpaces>5757</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2018-01-09T01:11:00Z</dcterms:created>
  <dc:creator>dszx</dc:creator>
  <cp:lastModifiedBy>蝴蝶酥</cp:lastModifiedBy>
  <cp:lastPrinted>2018-01-08T06:41:00Z</cp:lastPrinted>
  <dcterms:modified xsi:type="dcterms:W3CDTF">2018-01-12T06:44:34Z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