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left"/>
        <w:textAlignment w:val="auto"/>
        <w:rPr>
          <w:rFonts w:hint="eastAsia" w:ascii="黑体" w:hAnsi="黑体" w:eastAsia="黑体" w:cs="黑体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color w:val="000000"/>
          <w:sz w:val="32"/>
          <w:szCs w:val="32"/>
          <w:lang w:val="en-US" w:eastAsia="zh-CN"/>
        </w:rPr>
        <w:t>1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left"/>
        <w:textAlignment w:val="auto"/>
        <w:rPr>
          <w:rFonts w:ascii="仿宋" w:hAnsi="仿宋" w:eastAsia="仿宋" w:cs="黑体"/>
          <w:bCs/>
          <w:color w:val="000000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center"/>
        <w:textAlignment w:val="auto"/>
        <w:rPr>
          <w:rFonts w:ascii="方正小标宋简体" w:hAnsi="仿宋" w:eastAsia="方正小标宋简体" w:cstheme="minorEastAsia"/>
          <w:bCs/>
          <w:color w:val="000000"/>
          <w:sz w:val="44"/>
          <w:szCs w:val="44"/>
        </w:rPr>
      </w:pPr>
      <w:r>
        <w:rPr>
          <w:rFonts w:hint="eastAsia" w:ascii="方正小标宋简体" w:hAnsi="仿宋" w:eastAsia="方正小标宋简体" w:cstheme="minorEastAsia"/>
          <w:bCs/>
          <w:color w:val="000000"/>
          <w:sz w:val="44"/>
          <w:szCs w:val="44"/>
        </w:rPr>
        <w:t>水利</w:t>
      </w:r>
      <w:r>
        <w:rPr>
          <w:rFonts w:ascii="方正小标宋简体" w:hAnsi="仿宋" w:eastAsia="方正小标宋简体" w:cstheme="minorEastAsia"/>
          <w:bCs/>
          <w:color w:val="000000"/>
          <w:sz w:val="44"/>
          <w:szCs w:val="44"/>
        </w:rPr>
        <w:t>行业</w:t>
      </w:r>
      <w:r>
        <w:rPr>
          <w:rFonts w:hint="eastAsia" w:ascii="方正小标宋简体" w:hAnsi="仿宋" w:eastAsia="方正小标宋简体" w:cstheme="minorEastAsia"/>
          <w:bCs/>
          <w:color w:val="000000"/>
          <w:sz w:val="44"/>
          <w:szCs w:val="44"/>
        </w:rPr>
        <w:t>互联网应用专项</w:t>
      </w:r>
      <w:r>
        <w:rPr>
          <w:rFonts w:ascii="方正小标宋简体" w:hAnsi="仿宋" w:eastAsia="方正小标宋简体" w:cstheme="minorEastAsia"/>
          <w:bCs/>
          <w:color w:val="000000"/>
          <w:sz w:val="44"/>
          <w:szCs w:val="44"/>
        </w:rPr>
        <w:t>整治行动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center"/>
        <w:textAlignment w:val="auto"/>
        <w:rPr>
          <w:rFonts w:hint="eastAsia" w:ascii="方正小标宋简体" w:hAnsi="仿宋" w:eastAsia="方正小标宋简体" w:cstheme="minorEastAsia"/>
          <w:bCs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仿宋" w:eastAsia="方正小标宋简体" w:cstheme="minorEastAsia"/>
          <w:bCs/>
          <w:color w:val="000000"/>
          <w:sz w:val="44"/>
          <w:szCs w:val="44"/>
        </w:rPr>
        <w:t>自查</w:t>
      </w:r>
      <w:r>
        <w:rPr>
          <w:rFonts w:hint="eastAsia" w:ascii="方正小标宋简体" w:hAnsi="仿宋" w:eastAsia="方正小标宋简体" w:cstheme="minorEastAsia"/>
          <w:bCs/>
          <w:color w:val="000000"/>
          <w:sz w:val="44"/>
          <w:szCs w:val="44"/>
          <w:lang w:eastAsia="zh-CN"/>
        </w:rPr>
        <w:t>要点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center"/>
        <w:textAlignment w:val="auto"/>
        <w:rPr>
          <w:rFonts w:ascii="仿宋" w:hAnsi="仿宋" w:eastAsia="仿宋" w:cstheme="minorEastAsia"/>
          <w:b/>
          <w:color w:val="000000"/>
          <w:sz w:val="32"/>
          <w:szCs w:val="32"/>
        </w:rPr>
      </w:pP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leftChars="0" w:right="0" w:rightChars="0" w:firstLine="640" w:firstLineChars="200"/>
        <w:textAlignment w:val="auto"/>
        <w:rPr>
          <w:rFonts w:ascii="黑体" w:hAnsi="黑体"/>
          <w:b w:val="0"/>
          <w:bCs/>
          <w:szCs w:val="32"/>
        </w:rPr>
      </w:pPr>
      <w:r>
        <w:rPr>
          <w:rFonts w:hint="eastAsia" w:ascii="黑体" w:hAnsi="黑体"/>
          <w:b w:val="0"/>
          <w:bCs/>
          <w:szCs w:val="32"/>
        </w:rPr>
        <w:t>一、网络与信息系统基本情况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leftChars="0" w:right="0" w:rightChars="0" w:firstLine="640" w:firstLineChars="200"/>
        <w:textAlignment w:val="auto"/>
        <w:rPr>
          <w:rFonts w:ascii="楷体" w:hAnsi="楷体" w:eastAsia="楷体" w:cs="楷体"/>
          <w:b w:val="0"/>
          <w:bCs/>
          <w:szCs w:val="32"/>
        </w:rPr>
      </w:pPr>
      <w:r>
        <w:rPr>
          <w:rFonts w:hint="eastAsia" w:ascii="楷体" w:hAnsi="楷体" w:eastAsia="楷体" w:cs="楷体"/>
          <w:b w:val="0"/>
          <w:bCs/>
          <w:szCs w:val="32"/>
        </w:rPr>
        <w:t>（一）系统软硬件情况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left"/>
        <w:textAlignment w:val="auto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应梳理单位暴露在互联网上的全部信息资产，包括应用系统、平台、操作系统、数据库、中间件、网络设备、安全设备等，形成本单位资产清单。资产属性如下：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1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硬件：物理位置、设备类型、版本类型及版本号、管理 IP 等；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软件：应用系统 IP、URL、开放端口/服务、中间件类型及版本、网站开发语言、数据库及版本等。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left"/>
        <w:textAlignment w:val="auto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重点梳理集权类资产信息，包括：运维堡垒机、4A、域控、网管、安管、监控等系统管理端，以及人员信息集中的系统，如 OA 系统、邮件服务器等资产，形成本单位独立的集权类资产清单。 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leftChars="0" w:right="0" w:rightChars="0" w:firstLine="640" w:firstLineChars="200"/>
        <w:textAlignment w:val="auto"/>
        <w:rPr>
          <w:rFonts w:ascii="楷体" w:hAnsi="楷体" w:eastAsia="楷体" w:cs="楷体"/>
          <w:b w:val="0"/>
          <w:bCs/>
          <w:szCs w:val="32"/>
        </w:rPr>
      </w:pPr>
      <w:r>
        <w:rPr>
          <w:rFonts w:hint="eastAsia" w:ascii="楷体" w:hAnsi="楷体" w:eastAsia="楷体" w:cs="楷体"/>
          <w:b w:val="0"/>
          <w:bCs/>
          <w:szCs w:val="32"/>
        </w:rPr>
        <w:t>（二）老旧资产情况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left"/>
        <w:textAlignment w:val="auto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应梳理单位全部的老旧资产，形成本单位老旧资产清单。对于废弃系统及无主系统应及时关停并下线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无法进行整改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的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老旧系统，建议关闭互联网服务。 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leftChars="0" w:right="0" w:rightChars="0" w:firstLine="640" w:firstLineChars="200"/>
        <w:textAlignment w:val="auto"/>
        <w:rPr>
          <w:rFonts w:ascii="楷体" w:hAnsi="楷体" w:eastAsia="楷体" w:cs="楷体"/>
          <w:b w:val="0"/>
          <w:bCs/>
          <w:szCs w:val="32"/>
        </w:rPr>
      </w:pPr>
      <w:r>
        <w:rPr>
          <w:rFonts w:hint="eastAsia" w:ascii="楷体" w:hAnsi="楷体" w:eastAsia="楷体" w:cs="楷体"/>
          <w:b w:val="0"/>
          <w:bCs/>
          <w:szCs w:val="32"/>
        </w:rPr>
        <w:t>（三）管理员账户情况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left"/>
        <w:textAlignment w:val="auto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梳理本单位负责系统配置维护、账户管理、基础业务数据维护、日志审计等管理员账户和为完成后台任务而设置的非人员账号，掌握特权账户分布与归属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权限责任到人，避免权限扩大、岗位不相容等安全问题，及时清理无主账户，形成本单位无主账号清理名单。 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leftChars="0" w:right="0" w:rightChars="0" w:firstLine="640" w:firstLineChars="200"/>
        <w:textAlignment w:val="auto"/>
        <w:rPr>
          <w:rFonts w:ascii="楷体" w:hAnsi="楷体" w:eastAsia="楷体" w:cs="楷体"/>
          <w:b w:val="0"/>
          <w:bCs/>
          <w:szCs w:val="32"/>
        </w:rPr>
      </w:pPr>
      <w:r>
        <w:rPr>
          <w:rFonts w:hint="eastAsia" w:ascii="楷体" w:hAnsi="楷体" w:eastAsia="楷体" w:cs="楷体"/>
          <w:b w:val="0"/>
          <w:bCs/>
          <w:szCs w:val="32"/>
        </w:rPr>
        <w:t>（四）敏感信息排查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left"/>
        <w:textAlignment w:val="auto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各单位需在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暴露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源（如搜索引擎，网盘，代码托管、文库类）中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对敏感信息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进行搜索发现并清理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敏感信息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包括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网络架构图、网络拓扑图、邮箱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地址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、密码、系统设计文件、通讯录、内部资料、安装说明、源代码、备份文件等。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left"/>
        <w:textAlignment w:val="auto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1.互联网暴露敏感信息收集。在互联网敏感信息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暴露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源中搜索域名、IP、开放端口、证书信息、企业名称、备案信息、whois 信息等敏感特征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再配合关键词如网络架构图、网络拓扑图、邮箱、密码、文件名、通讯录、内部资料、安装说明等。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420"/>
        <w:jc w:val="left"/>
        <w:textAlignment w:val="auto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（1）互联网敏感信息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暴露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源。搜索引擎类，如百度、360、搜狗、谷歌、必应、搜搜、雅虎、有道、阿里云搜等；学术网站类，如知网Cnki、Google 学术、百度学术；网盘类，如微盘 Vdisk、百度网盘、360 云盘等；代码托管平台类，如 Github、Bitbucket、Gitlib、Gitee 等；招投标网站类，如自建招投标网站、第三方招投标网站等；文库类，如百度文库、豆丁网、doc88 等；社交平台类，如微信群、QQ 群、论坛、贴吧等。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420"/>
        <w:jc w:val="left"/>
        <w:textAlignment w:val="auto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（2）互联网敏感信息发现方法。一是搜索引擎，通过 Google、百度、360 等搜索引擎，根据域名等敏感特征结合如密码、通讯录等关键词在搜索框内进行搜索。二是代码托管平台，主要有github（https://www.github.com）、bitbucket（https://bitbucket.org/）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通过域名+password、smtp、以及配置信息等进行敏感信息搜索。三是网盘，国内主流网盘主要包括百度云盘、新浪微盘、360 云盘等。目前网络中存在针对各类网盘平台的公开在线网络爬虫系统，利用该系统可搜索相关数据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四是社交平台，国内主流社交平台主要包括微信、微博、QQ、论坛、贴吧等，可借助各社交平台的搜索功能来发现暴露的信息。如利用 QQ 的搜索功能，搜索单位相关关键词发现相关内容，通过群共享等搜索暴露的信息。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left"/>
        <w:textAlignment w:val="auto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2.互联网暴露敏感信息的清理。清理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暴露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的敏感信息主要通过以下四种途径。一是可自主控制类，如自建的招投标网站，使用账号发布的信息等，可督促本单位员工自行清理发布在论坛、网盘、社交网站等网站和系统中的敏感信息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二是商业类网站，如百度、知网等，可联系网站管理机构请求协助删除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三是开放式网站，如 Github、论坛等可联系发布原作者进行删除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四是无法协调清理的内容，视情况严重性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可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向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当地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公安机关等执法单位申请清理。 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leftChars="0" w:right="0" w:rightChars="0" w:firstLine="640" w:firstLineChars="200"/>
        <w:textAlignment w:val="auto"/>
        <w:rPr>
          <w:rFonts w:ascii="楷体" w:hAnsi="楷体" w:eastAsia="楷体" w:cs="楷体"/>
          <w:b w:val="0"/>
          <w:bCs/>
          <w:szCs w:val="32"/>
        </w:rPr>
      </w:pPr>
      <w:bookmarkStart w:id="0" w:name="_Toc21020"/>
      <w:bookmarkStart w:id="1" w:name="_Toc566544551"/>
      <w:r>
        <w:rPr>
          <w:rFonts w:hint="eastAsia" w:ascii="楷体" w:hAnsi="楷体" w:eastAsia="楷体" w:cs="楷体"/>
          <w:b w:val="0"/>
          <w:bCs/>
          <w:szCs w:val="32"/>
        </w:rPr>
        <w:t>（五）互联网出口</w:t>
      </w:r>
      <w:bookmarkEnd w:id="0"/>
      <w:bookmarkEnd w:id="1"/>
      <w:r>
        <w:rPr>
          <w:rFonts w:hint="eastAsia" w:ascii="楷体" w:hAnsi="楷体" w:eastAsia="楷体" w:cs="楷体"/>
          <w:b w:val="0"/>
          <w:bCs/>
          <w:szCs w:val="32"/>
        </w:rPr>
        <w:t>情况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left"/>
        <w:textAlignment w:val="auto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梳理各单位互联网出口，应尽可能减少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网络安全防护能力薄弱单位、基层单位的互联网应用系统尽量托管。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left"/>
        <w:textAlignment w:val="auto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严格控制互联网资产暴露面，关闭互联网侧非必要的应用系统（包含应用系统管理后台和中间件管理后台）、服务器及对外开放的端口和服务，减少网站和对外提供服务的系统数量以及对外开放的端口和服务，同时加强对网站域名的安全监测与防护。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leftChars="0" w:right="0" w:rightChars="0" w:firstLine="640" w:firstLineChars="200"/>
        <w:textAlignment w:val="auto"/>
        <w:rPr>
          <w:rFonts w:ascii="楷体" w:hAnsi="楷体" w:eastAsia="楷体" w:cs="楷体"/>
          <w:b w:val="0"/>
          <w:bCs/>
          <w:szCs w:val="32"/>
        </w:rPr>
      </w:pPr>
      <w:r>
        <w:rPr>
          <w:rFonts w:hint="eastAsia" w:ascii="楷体" w:hAnsi="楷体" w:eastAsia="楷体" w:cs="楷体"/>
          <w:b w:val="0"/>
          <w:bCs/>
          <w:szCs w:val="32"/>
        </w:rPr>
        <w:t>（六）安全风险情况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left"/>
        <w:textAlignment w:val="auto"/>
        <w:rPr>
          <w:rFonts w:ascii="仿宋" w:hAnsi="仿宋" w:eastAsia="仿宋" w:cs="仿宋_GB2312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1.应用系统代码安全检测。针对重要应用系统进行代码安全检测。委托专业机构，发现应用系统安全漏洞，形成检测报告，并及时进行整改。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left"/>
        <w:textAlignment w:val="auto"/>
        <w:rPr>
          <w:rFonts w:ascii="仿宋" w:hAnsi="仿宋" w:eastAsia="仿宋" w:cs="仿宋_GB2312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2.应用系统 WEB 扫描。针对未进行代码安全检测的应用系统，利用 WEB 扫描工具进行漏洞扫描，发现应用系统安全漏洞，形成本单位WEB 扫描报告，并及时进行整改。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left"/>
        <w:textAlignment w:val="auto"/>
        <w:rPr>
          <w:rFonts w:ascii="仿宋" w:hAnsi="仿宋" w:eastAsia="仿宋" w:cs="仿宋_GB2312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3.主机/设备安全漏洞扫描。针对系统涉及的网络设备、安全设备、主机、数据库、中间件等进行安全漏洞扫描，重点关注操作系统或中间件存在高风险漏洞，如weblogic 反序列化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  <w:lang w:eastAsia="zh-CN"/>
        </w:rPr>
        <w:t>漏洞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、struts2 漏洞、永恒之蓝漏洞等，并及时进行整改。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left"/>
        <w:textAlignment w:val="auto"/>
        <w:rPr>
          <w:rFonts w:ascii="仿宋" w:hAnsi="仿宋" w:eastAsia="仿宋" w:cs="仿宋_GB2312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3.Webshell 木马检测。针对系统利用 Webshell 木马检测工具开展木马后门排查，形成本单位Webshell 木马后门清单，并及时进行清除。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left"/>
        <w:textAlignment w:val="auto"/>
        <w:rPr>
          <w:rFonts w:ascii="仿宋" w:hAnsi="仿宋" w:eastAsia="仿宋" w:cs="仿宋_GB2312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4.安全基线检查。针对系统涉及的网络设备、安全设备、主机、数据库、中间件、web 应用等通过基线检查工具或者人工进行安全基线配置核查，形成本单位安全基线配置核查报告，并及时进行整改。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left"/>
        <w:textAlignment w:val="auto"/>
        <w:rPr>
          <w:rFonts w:ascii="仿宋" w:hAnsi="仿宋" w:eastAsia="仿宋" w:cs="仿宋_GB2312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5.安全风险漏洞整理。应在完成各类检查工作后，依据本单位资产台账，整理出资产的高、中、低危风险漏洞，形成本单位漏洞清单，并及时进行整改</w:t>
      </w:r>
      <w:r>
        <w:rPr>
          <w:rFonts w:ascii="仿宋" w:hAnsi="仿宋" w:eastAsia="仿宋" w:cs="仿宋_GB2312"/>
          <w:color w:val="000000"/>
          <w:kern w:val="0"/>
          <w:sz w:val="32"/>
          <w:szCs w:val="32"/>
        </w:rPr>
        <w:t>处置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。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textAlignment w:val="auto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6.系统隐患口令检查。依据本单位资产台账，完成应用账户、管理员账户、系统账户隐患口令检查。</w:t>
      </w:r>
      <w:r>
        <w:rPr>
          <w:rFonts w:hint="eastAsia" w:ascii="仿宋" w:hAnsi="仿宋" w:eastAsia="仿宋" w:cs="仿宋_GB2312"/>
          <w:sz w:val="32"/>
          <w:szCs w:val="32"/>
        </w:rPr>
        <w:t xml:space="preserve">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420"/>
        <w:jc w:val="left"/>
        <w:textAlignment w:val="auto"/>
        <w:rPr>
          <w:rFonts w:ascii="仿宋" w:hAnsi="仿宋" w:eastAsia="仿宋" w:cs="仿宋_GB2312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（1）弱口令检查。对应用账户、管理员账户、系统账户的默认口令和弱口令进行检查，对发现的弱口令依据口令相关策略进行整改。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left"/>
        <w:textAlignment w:val="auto"/>
        <w:rPr>
          <w:rFonts w:ascii="仿宋" w:hAnsi="仿宋" w:eastAsia="仿宋" w:cs="仿宋_GB2312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强口令应遵从以下原则：至少包含8个字符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不包含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  <w:lang w:eastAsia="zh-CN"/>
        </w:rPr>
        <w:t>账户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名、实际姓名或公司名称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不包含字典中的完整单词、任何语言中的俚语或行话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  <w:lang w:eastAsia="zh-CN"/>
        </w:rPr>
        <w:t>，要明显不同于之前设置的口令，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不得包含递增口令（Password1、Password2、Password3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…</w:t>
      </w:r>
      <w:bookmarkStart w:id="10" w:name="_GoBack"/>
      <w:bookmarkEnd w:id="10"/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）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  <w:lang w:eastAsia="zh-CN"/>
        </w:rPr>
        <w:t>，包含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大小写字母、数字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  <w:lang w:eastAsia="zh-CN"/>
        </w:rPr>
        <w:t>、特殊字符中的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  <w:lang w:val="en-US" w:eastAsia="zh-CN"/>
        </w:rPr>
        <w:t>3种以上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。 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420"/>
        <w:jc w:val="left"/>
        <w:textAlignment w:val="auto"/>
        <w:rPr>
          <w:rFonts w:ascii="仿宋" w:hAnsi="仿宋" w:eastAsia="仿宋" w:cs="仿宋_GB2312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（2）口令唯一性检查。对应用账户、管理员账户、系统账户口令唯一性进行检查，严禁多台设备使用同一口令或可能被猜测到的有规律的口令。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420"/>
        <w:jc w:val="left"/>
        <w:textAlignment w:val="auto"/>
        <w:rPr>
          <w:rFonts w:ascii="仿宋" w:hAnsi="仿宋" w:eastAsia="仿宋" w:cs="仿宋_GB2312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（3）口令存储方式检查。对应用账户、管理员账户、系统账户等各类账户口令存储方式进行检查，严禁以任何方式存放未加密的账号口令清单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及时删除含账号口令等敏感信息的邮件等。 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leftChars="0" w:right="0" w:rightChars="0" w:firstLine="640" w:firstLineChars="200"/>
        <w:textAlignment w:val="auto"/>
        <w:rPr>
          <w:rFonts w:ascii="黑体" w:hAnsi="黑体"/>
          <w:b w:val="0"/>
          <w:bCs/>
          <w:szCs w:val="32"/>
        </w:rPr>
      </w:pPr>
      <w:r>
        <w:rPr>
          <w:rFonts w:hint="eastAsia" w:ascii="黑体" w:hAnsi="黑体"/>
          <w:b w:val="0"/>
          <w:bCs/>
          <w:szCs w:val="32"/>
        </w:rPr>
        <w:t>二、安全管理情况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leftChars="0" w:right="0" w:rightChars="0" w:firstLine="640" w:firstLineChars="200"/>
        <w:textAlignment w:val="auto"/>
        <w:rPr>
          <w:rFonts w:ascii="楷体" w:hAnsi="楷体" w:eastAsia="楷体" w:cs="楷体"/>
          <w:b w:val="0"/>
          <w:bCs/>
          <w:szCs w:val="32"/>
        </w:rPr>
      </w:pPr>
      <w:r>
        <w:rPr>
          <w:rFonts w:hint="eastAsia" w:ascii="楷体" w:hAnsi="楷体" w:eastAsia="楷体" w:cs="楷体"/>
          <w:b w:val="0"/>
          <w:bCs/>
          <w:szCs w:val="32"/>
        </w:rPr>
        <w:t>（一）网络安全制度建立情况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检查单位网络安全管理相关文件和制度，确保管理制度体系的完善性，包括人员管理、资产管理、采购管理、外包管理、应急管理、经费投入、教育培训等方面。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leftChars="0" w:right="0" w:rightChars="0" w:firstLine="640" w:firstLineChars="200"/>
        <w:textAlignment w:val="auto"/>
        <w:rPr>
          <w:rFonts w:ascii="楷体" w:hAnsi="楷体" w:eastAsia="楷体" w:cs="楷体"/>
          <w:b w:val="0"/>
          <w:bCs/>
          <w:szCs w:val="32"/>
        </w:rPr>
      </w:pPr>
      <w:r>
        <w:rPr>
          <w:rFonts w:hint="eastAsia" w:ascii="楷体" w:hAnsi="楷体" w:eastAsia="楷体" w:cs="楷体"/>
          <w:b w:val="0"/>
          <w:bCs/>
          <w:szCs w:val="32"/>
        </w:rPr>
        <w:t>（二）等级保护工作情况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梳理单位互联网应用系统定级备案、测评整改情况，确保符合网络安全</w:t>
      </w:r>
      <w:r>
        <w:rPr>
          <w:rFonts w:ascii="仿宋" w:hAnsi="仿宋" w:eastAsia="仿宋" w:cs="仿宋"/>
          <w:sz w:val="32"/>
          <w:szCs w:val="32"/>
        </w:rPr>
        <w:t>等级保护要求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leftChars="0" w:right="0" w:rightChars="0" w:firstLine="640" w:firstLineChars="200"/>
        <w:textAlignment w:val="auto"/>
        <w:rPr>
          <w:rFonts w:ascii="楷体" w:hAnsi="楷体" w:eastAsia="楷体" w:cs="楷体"/>
          <w:b w:val="0"/>
          <w:bCs/>
          <w:szCs w:val="32"/>
        </w:rPr>
      </w:pPr>
      <w:r>
        <w:rPr>
          <w:rFonts w:hint="eastAsia" w:ascii="楷体" w:hAnsi="楷体" w:eastAsia="楷体" w:cs="楷体"/>
          <w:b w:val="0"/>
          <w:bCs/>
          <w:szCs w:val="32"/>
        </w:rPr>
        <w:t>（三）网络安全日常管理情况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通过查阅制度执行文档、实地察看、上机查验等方式，检查网络安全制度落实情况。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leftChars="0" w:right="0" w:rightChars="0" w:firstLine="640" w:firstLineChars="200"/>
        <w:textAlignment w:val="auto"/>
        <w:rPr>
          <w:rFonts w:ascii="楷体" w:hAnsi="楷体" w:eastAsia="楷体" w:cs="楷体"/>
          <w:b w:val="0"/>
          <w:bCs/>
          <w:szCs w:val="32"/>
        </w:rPr>
      </w:pPr>
      <w:bookmarkStart w:id="2" w:name="_Toc2119261506"/>
      <w:bookmarkStart w:id="3" w:name="_Toc6816"/>
      <w:r>
        <w:rPr>
          <w:rFonts w:hint="eastAsia" w:ascii="楷体" w:hAnsi="楷体" w:eastAsia="楷体" w:cs="楷体"/>
          <w:b w:val="0"/>
          <w:bCs/>
          <w:szCs w:val="32"/>
        </w:rPr>
        <w:t>（四）供应链安全情况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left"/>
        <w:textAlignment w:val="auto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1.供应商情况。梳理软件开发商、硬件供应商、系统集成商、设备维护商和服务提供商，形成本单位供应商清单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明确并落实供应商安全责任，应明确要求供应商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对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因工作接触、了解、持有、留存的相关敏感信息承担保密责任。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left"/>
        <w:textAlignment w:val="auto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2.供应商建设及维护的信息系统情况。排查供应商建设、维护的信息系统，形成本单位供应商建设/维护信息系统清单。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left"/>
        <w:textAlignment w:val="auto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3.供应商接触的敏感信息情况。排查供应商使用的各类管理账户、密码，形成本单位供应商使用账户列表。如非必要，应注销供应商使用的账户密码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确实因工作需要的，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需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严格限制管理账户权限，并增加密码强度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涉及远程维护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的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账户，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需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严格</w:t>
      </w:r>
      <w:r>
        <w:rPr>
          <w:rFonts w:ascii="仿宋" w:hAnsi="仿宋" w:eastAsia="仿宋" w:cs="仿宋"/>
          <w:color w:val="000000"/>
          <w:kern w:val="0"/>
          <w:sz w:val="32"/>
          <w:szCs w:val="32"/>
        </w:rPr>
        <w:t>限制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账户</w:t>
      </w:r>
      <w:r>
        <w:rPr>
          <w:rFonts w:ascii="仿宋" w:hAnsi="仿宋" w:eastAsia="仿宋" w:cs="仿宋"/>
          <w:color w:val="000000"/>
          <w:kern w:val="0"/>
          <w:sz w:val="32"/>
          <w:szCs w:val="32"/>
        </w:rPr>
        <w:t>使用时间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及远程维护IP</w:t>
      </w:r>
      <w:r>
        <w:rPr>
          <w:rFonts w:ascii="仿宋" w:hAnsi="仿宋" w:eastAsia="仿宋" w:cs="仿宋"/>
          <w:color w:val="000000"/>
          <w:kern w:val="0"/>
          <w:sz w:val="32"/>
          <w:szCs w:val="32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并通过跳板机进行维护操作，重要</w:t>
      </w:r>
      <w:r>
        <w:rPr>
          <w:rFonts w:ascii="仿宋" w:hAnsi="仿宋" w:eastAsia="仿宋" w:cs="仿宋"/>
          <w:color w:val="000000"/>
          <w:kern w:val="0"/>
          <w:sz w:val="32"/>
          <w:szCs w:val="32"/>
        </w:rPr>
        <w:t>时期需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禁止远程维护工作，并关闭远程维护端口（3389、22）。对于供应商持有的项目设计方案、源代码、配置备份文件等敏感信息，应要求供应商遵守保密义务，服务结束</w:t>
      </w:r>
      <w:r>
        <w:rPr>
          <w:rFonts w:ascii="仿宋" w:hAnsi="仿宋" w:eastAsia="仿宋" w:cs="仿宋"/>
          <w:color w:val="000000"/>
          <w:kern w:val="0"/>
          <w:sz w:val="32"/>
          <w:szCs w:val="32"/>
        </w:rPr>
        <w:t>后及时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收回并要求供应商销毁相关信息。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left"/>
        <w:textAlignment w:val="auto"/>
        <w:rPr>
          <w:rFonts w:ascii="仿宋" w:hAnsi="仿宋" w:eastAsia="仿宋" w:cs="仿宋"/>
          <w:color w:val="000000"/>
          <w:kern w:val="0"/>
          <w:sz w:val="32"/>
          <w:szCs w:val="32"/>
        </w:rPr>
      </w:pPr>
      <w:bookmarkStart w:id="4" w:name="_Toc2703"/>
      <w:bookmarkStart w:id="5" w:name="_Toc1593163831"/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4.外包人员监督管理</w:t>
      </w:r>
      <w:bookmarkEnd w:id="4"/>
      <w:bookmarkEnd w:id="5"/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。应对参与软件外包、项目外包的人员进行监督管理，对处于关键岗位的外包人员要进行背景审核，并签订保密协议，明确违约责任，防止敏感信息外泄。</w:t>
      </w:r>
      <w:bookmarkEnd w:id="2"/>
      <w:bookmarkEnd w:id="3"/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leftChars="0" w:right="0" w:rightChars="0" w:firstLine="640" w:firstLineChars="200"/>
        <w:textAlignment w:val="auto"/>
        <w:rPr>
          <w:rFonts w:ascii="黑体" w:hAnsi="黑体"/>
          <w:b w:val="0"/>
          <w:bCs/>
          <w:szCs w:val="32"/>
        </w:rPr>
      </w:pPr>
      <w:r>
        <w:rPr>
          <w:rFonts w:hint="eastAsia" w:ascii="黑体" w:hAnsi="黑体"/>
          <w:b w:val="0"/>
          <w:bCs/>
          <w:szCs w:val="32"/>
        </w:rPr>
        <w:t>三、技术防护情况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leftChars="0" w:right="0" w:rightChars="0" w:firstLine="640" w:firstLineChars="200"/>
        <w:textAlignment w:val="auto"/>
        <w:rPr>
          <w:rFonts w:ascii="楷体" w:hAnsi="楷体" w:eastAsia="楷体" w:cs="楷体"/>
          <w:b w:val="0"/>
          <w:bCs/>
          <w:szCs w:val="32"/>
        </w:rPr>
      </w:pPr>
      <w:r>
        <w:rPr>
          <w:rFonts w:hint="eastAsia" w:ascii="楷体" w:hAnsi="楷体" w:eastAsia="楷体" w:cs="楷体"/>
          <w:b w:val="0"/>
          <w:bCs/>
          <w:szCs w:val="32"/>
        </w:rPr>
        <w:t>（一）技术防护体系建设情况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left"/>
        <w:textAlignment w:val="auto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查验单位网络拓扑图，从物理环境、通信网络、区域边界、计算环境等方面检查单位网络安全防护措施，检查访问控制（如防火墙）、入侵检测、安全审计、病毒防护、上网行为管理、流量监测等安全设备部署情况。检查重要数据传输和存储的安全防护措施、密码技术使用情况。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leftChars="0" w:right="0" w:rightChars="0" w:firstLine="640" w:firstLineChars="200"/>
        <w:textAlignment w:val="auto"/>
        <w:rPr>
          <w:rFonts w:ascii="楷体" w:hAnsi="楷体" w:eastAsia="楷体" w:cs="楷体"/>
          <w:b w:val="0"/>
          <w:bCs/>
          <w:szCs w:val="32"/>
        </w:rPr>
      </w:pPr>
      <w:r>
        <w:rPr>
          <w:rFonts w:hint="eastAsia" w:ascii="楷体" w:hAnsi="楷体" w:eastAsia="楷体" w:cs="楷体"/>
          <w:b w:val="0"/>
          <w:bCs/>
          <w:szCs w:val="32"/>
        </w:rPr>
        <w:t>（二）网络安全策略管理情况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left"/>
        <w:textAlignment w:val="auto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梳理本单位应用资源信息，明确访问 IP 地址、服务，严格按照最小权限原则配置防火墙安全策略，实现企业网络边界及数据中心的访问控制策略白名单。防止攻击者网内随意漫游，重点要加强不同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区域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间的访问控制策略。 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leftChars="0" w:right="0" w:rightChars="0" w:firstLine="640" w:firstLineChars="200"/>
        <w:textAlignment w:val="auto"/>
        <w:rPr>
          <w:rFonts w:ascii="楷体" w:hAnsi="楷体" w:eastAsia="楷体" w:cs="楷体"/>
          <w:b w:val="0"/>
          <w:bCs/>
          <w:szCs w:val="32"/>
        </w:rPr>
      </w:pPr>
      <w:r>
        <w:rPr>
          <w:rFonts w:hint="eastAsia" w:ascii="楷体" w:hAnsi="楷体" w:eastAsia="楷体" w:cs="楷体"/>
          <w:b w:val="0"/>
          <w:bCs/>
          <w:szCs w:val="32"/>
        </w:rPr>
        <w:t>（三）系统外联情况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left"/>
        <w:textAlignment w:val="auto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排查本单位 DMZ 和应用、数据库服务器等访问互联网情况，形成外联系统清单，禁止不必要的外联。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leftChars="0" w:right="0" w:rightChars="0" w:firstLine="640" w:firstLineChars="200"/>
        <w:textAlignment w:val="auto"/>
        <w:rPr>
          <w:rFonts w:ascii="楷体" w:hAnsi="楷体" w:eastAsia="楷体" w:cs="楷体"/>
          <w:b w:val="0"/>
          <w:bCs/>
          <w:szCs w:val="32"/>
        </w:rPr>
      </w:pPr>
      <w:r>
        <w:rPr>
          <w:rFonts w:hint="eastAsia" w:ascii="楷体" w:hAnsi="楷体" w:eastAsia="楷体" w:cs="楷体"/>
          <w:b w:val="0"/>
          <w:bCs/>
          <w:szCs w:val="32"/>
        </w:rPr>
        <w:t>（四）互联网管理设备排查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left"/>
        <w:textAlignment w:val="auto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排查本单位可以从互联网侧进行管理的网络、安全设备，原则上禁止设备从互联网侧进行管理，</w:t>
      </w:r>
      <w:r>
        <w:rPr>
          <w:rFonts w:ascii="仿宋" w:hAnsi="仿宋" w:eastAsia="仿宋" w:cs="仿宋"/>
          <w:color w:val="000000"/>
          <w:kern w:val="0"/>
          <w:sz w:val="32"/>
          <w:szCs w:val="32"/>
        </w:rPr>
        <w:t>如有特殊需要，应采取最小化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管理</w:t>
      </w:r>
      <w:r>
        <w:rPr>
          <w:rFonts w:ascii="仿宋" w:hAnsi="仿宋" w:eastAsia="仿宋" w:cs="仿宋"/>
          <w:color w:val="000000"/>
          <w:kern w:val="0"/>
          <w:sz w:val="32"/>
          <w:szCs w:val="32"/>
        </w:rPr>
        <w:t>原则，严格控制访问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IP。 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leftChars="0" w:right="0" w:rightChars="0" w:firstLine="640" w:firstLineChars="200"/>
        <w:textAlignment w:val="auto"/>
        <w:rPr>
          <w:rFonts w:ascii="楷体" w:hAnsi="楷体" w:eastAsia="楷体" w:cs="楷体"/>
          <w:b w:val="0"/>
          <w:bCs/>
          <w:szCs w:val="32"/>
        </w:rPr>
      </w:pPr>
      <w:r>
        <w:rPr>
          <w:rFonts w:hint="eastAsia" w:ascii="楷体" w:hAnsi="楷体" w:eastAsia="楷体" w:cs="楷体"/>
          <w:b w:val="0"/>
          <w:bCs/>
          <w:szCs w:val="32"/>
        </w:rPr>
        <w:t>（五）管理主机使用情况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left"/>
        <w:textAlignment w:val="auto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严格限制网络设备、安全设备、服务器等管理主机IP 地址访问范围（堡垒机或管理网段），远程运维管理应采用双因素认证或堡垒机，并使用加密协议（ssh、https），禁止 Telnet，Http等明文链接传输。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leftChars="0" w:right="0" w:rightChars="0" w:firstLine="640" w:firstLineChars="200"/>
        <w:textAlignment w:val="auto"/>
        <w:rPr>
          <w:rFonts w:ascii="楷体" w:hAnsi="楷体" w:eastAsia="楷体" w:cs="楷体"/>
          <w:b w:val="0"/>
          <w:bCs/>
          <w:szCs w:val="32"/>
        </w:rPr>
      </w:pPr>
      <w:bookmarkStart w:id="6" w:name="_Toc1944703821"/>
      <w:bookmarkStart w:id="7" w:name="_Toc8227"/>
      <w:r>
        <w:rPr>
          <w:rFonts w:hint="eastAsia" w:ascii="楷体" w:hAnsi="楷体" w:eastAsia="楷体" w:cs="楷体"/>
          <w:b w:val="0"/>
          <w:bCs/>
          <w:szCs w:val="32"/>
        </w:rPr>
        <w:t>（六）网络安全监测</w:t>
      </w:r>
      <w:bookmarkEnd w:id="6"/>
      <w:bookmarkEnd w:id="7"/>
      <w:r>
        <w:rPr>
          <w:rFonts w:hint="eastAsia" w:ascii="楷体" w:hAnsi="楷体" w:eastAsia="楷体" w:cs="楷体"/>
          <w:b w:val="0"/>
          <w:bCs/>
          <w:szCs w:val="32"/>
        </w:rPr>
        <w:t>情况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left"/>
        <w:textAlignment w:val="auto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梳理当前用于网络安全监测的设备，可通过全流量分析、Web 防火墙、IDS、IPS、数据库审计等设备，开展攻击安全事件实时监测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需要实现恶意邮件监测、钓鱼邮件监测、WEB攻击监测、安全扫描工具监测、登录爆破监测、数据库敏感操作监测、常见木马行为监测、HTTP Tunnel 监测、WebShell 网站后门监测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。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leftChars="0" w:right="0" w:rightChars="0" w:firstLine="640" w:firstLineChars="200"/>
        <w:textAlignment w:val="auto"/>
        <w:rPr>
          <w:rFonts w:ascii="楷体" w:hAnsi="楷体" w:eastAsia="楷体" w:cs="楷体"/>
          <w:b w:val="0"/>
          <w:bCs/>
          <w:szCs w:val="32"/>
        </w:rPr>
      </w:pPr>
      <w:bookmarkStart w:id="8" w:name="_Toc1982589779"/>
      <w:bookmarkStart w:id="9" w:name="_Toc8967"/>
      <w:r>
        <w:rPr>
          <w:rFonts w:hint="eastAsia" w:ascii="楷体" w:hAnsi="楷体" w:eastAsia="楷体" w:cs="楷体"/>
          <w:b w:val="0"/>
          <w:bCs/>
          <w:szCs w:val="32"/>
        </w:rPr>
        <w:t>(七)入网安全检测情况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left"/>
        <w:textAlignment w:val="auto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加强入网安全检测。新入网的软、硬件设施，在接入前应进行漏洞扫描、风险评估、基线检查等安全检测，确保软、硬件补丁、版本更新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至最新版本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。 </w:t>
      </w:r>
      <w:bookmarkEnd w:id="8"/>
      <w:bookmarkEnd w:id="9"/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4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1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9D3392B"/>
    <w:rsid w:val="0004552F"/>
    <w:rsid w:val="00055F77"/>
    <w:rsid w:val="000A614B"/>
    <w:rsid w:val="000D17F6"/>
    <w:rsid w:val="000D49A3"/>
    <w:rsid w:val="001262AE"/>
    <w:rsid w:val="0016239F"/>
    <w:rsid w:val="0019640F"/>
    <w:rsid w:val="001C7A32"/>
    <w:rsid w:val="00201B73"/>
    <w:rsid w:val="00235098"/>
    <w:rsid w:val="002C455F"/>
    <w:rsid w:val="00306B57"/>
    <w:rsid w:val="0040446D"/>
    <w:rsid w:val="00412546"/>
    <w:rsid w:val="00435248"/>
    <w:rsid w:val="004D48BC"/>
    <w:rsid w:val="00586DA2"/>
    <w:rsid w:val="0062250E"/>
    <w:rsid w:val="00693D95"/>
    <w:rsid w:val="006F7A61"/>
    <w:rsid w:val="00702761"/>
    <w:rsid w:val="00705BE4"/>
    <w:rsid w:val="007250BF"/>
    <w:rsid w:val="007F70FC"/>
    <w:rsid w:val="00827B29"/>
    <w:rsid w:val="008524BB"/>
    <w:rsid w:val="008C0CA0"/>
    <w:rsid w:val="008F0E3D"/>
    <w:rsid w:val="00923A4D"/>
    <w:rsid w:val="009431C4"/>
    <w:rsid w:val="00981F72"/>
    <w:rsid w:val="009C4BC7"/>
    <w:rsid w:val="009E7739"/>
    <w:rsid w:val="009F3005"/>
    <w:rsid w:val="00A307CF"/>
    <w:rsid w:val="00A33B0D"/>
    <w:rsid w:val="00A53C82"/>
    <w:rsid w:val="00A615DC"/>
    <w:rsid w:val="00A86309"/>
    <w:rsid w:val="00AC3DDB"/>
    <w:rsid w:val="00AF2561"/>
    <w:rsid w:val="00AF384D"/>
    <w:rsid w:val="00B262E4"/>
    <w:rsid w:val="00B94198"/>
    <w:rsid w:val="00BA5392"/>
    <w:rsid w:val="00C229C5"/>
    <w:rsid w:val="00C265CE"/>
    <w:rsid w:val="00C57A7B"/>
    <w:rsid w:val="00C636E3"/>
    <w:rsid w:val="00C66272"/>
    <w:rsid w:val="00C801D2"/>
    <w:rsid w:val="00C9706B"/>
    <w:rsid w:val="00CD42ED"/>
    <w:rsid w:val="00D86BD6"/>
    <w:rsid w:val="00DA2742"/>
    <w:rsid w:val="00E443CD"/>
    <w:rsid w:val="00E54BB8"/>
    <w:rsid w:val="00E70EAF"/>
    <w:rsid w:val="00EC4CA2"/>
    <w:rsid w:val="00F268E3"/>
    <w:rsid w:val="00F52FE7"/>
    <w:rsid w:val="00F7688C"/>
    <w:rsid w:val="00FB4DD5"/>
    <w:rsid w:val="00FB589E"/>
    <w:rsid w:val="00FF1089"/>
    <w:rsid w:val="016B1C9B"/>
    <w:rsid w:val="02035CF6"/>
    <w:rsid w:val="020B54A1"/>
    <w:rsid w:val="025106C3"/>
    <w:rsid w:val="02AE2893"/>
    <w:rsid w:val="032D7645"/>
    <w:rsid w:val="03835A67"/>
    <w:rsid w:val="038A0CE0"/>
    <w:rsid w:val="039010D4"/>
    <w:rsid w:val="04447BB9"/>
    <w:rsid w:val="050D1819"/>
    <w:rsid w:val="055E44DB"/>
    <w:rsid w:val="061606D4"/>
    <w:rsid w:val="06F9483C"/>
    <w:rsid w:val="075146CC"/>
    <w:rsid w:val="07D25DC0"/>
    <w:rsid w:val="08303F50"/>
    <w:rsid w:val="08345033"/>
    <w:rsid w:val="086D0910"/>
    <w:rsid w:val="08D77CDB"/>
    <w:rsid w:val="08E40462"/>
    <w:rsid w:val="09D10258"/>
    <w:rsid w:val="09E51769"/>
    <w:rsid w:val="0A8F75A1"/>
    <w:rsid w:val="0ABE7155"/>
    <w:rsid w:val="0ACD2B7F"/>
    <w:rsid w:val="0B5339CD"/>
    <w:rsid w:val="0B8625B9"/>
    <w:rsid w:val="0C71399B"/>
    <w:rsid w:val="0C9D297E"/>
    <w:rsid w:val="0E216709"/>
    <w:rsid w:val="0E2D0141"/>
    <w:rsid w:val="0ED548CC"/>
    <w:rsid w:val="0ED64CB4"/>
    <w:rsid w:val="0EE35DE7"/>
    <w:rsid w:val="0F9724F4"/>
    <w:rsid w:val="10036BEE"/>
    <w:rsid w:val="113E3637"/>
    <w:rsid w:val="11436661"/>
    <w:rsid w:val="11721E48"/>
    <w:rsid w:val="11906CE4"/>
    <w:rsid w:val="119D57F6"/>
    <w:rsid w:val="12803ECE"/>
    <w:rsid w:val="132F00BB"/>
    <w:rsid w:val="135A4A27"/>
    <w:rsid w:val="14014EEB"/>
    <w:rsid w:val="1499435B"/>
    <w:rsid w:val="152913B5"/>
    <w:rsid w:val="15463AA0"/>
    <w:rsid w:val="1597234F"/>
    <w:rsid w:val="15F7681E"/>
    <w:rsid w:val="16B10297"/>
    <w:rsid w:val="16E469E8"/>
    <w:rsid w:val="16EC0C75"/>
    <w:rsid w:val="174F49EE"/>
    <w:rsid w:val="176D0085"/>
    <w:rsid w:val="176F2577"/>
    <w:rsid w:val="17BE2669"/>
    <w:rsid w:val="19043A6A"/>
    <w:rsid w:val="19594068"/>
    <w:rsid w:val="19D3392B"/>
    <w:rsid w:val="1A9B5DB9"/>
    <w:rsid w:val="1BAE79AE"/>
    <w:rsid w:val="1C2B2EF6"/>
    <w:rsid w:val="1C5D1CFF"/>
    <w:rsid w:val="1C776BBB"/>
    <w:rsid w:val="1C8F1B5A"/>
    <w:rsid w:val="1D2238A5"/>
    <w:rsid w:val="1D31544F"/>
    <w:rsid w:val="1D404E4F"/>
    <w:rsid w:val="1D860EA8"/>
    <w:rsid w:val="1D9B7986"/>
    <w:rsid w:val="1DA566E3"/>
    <w:rsid w:val="1DAA6211"/>
    <w:rsid w:val="1DE668E0"/>
    <w:rsid w:val="1F500ED8"/>
    <w:rsid w:val="1FC600C4"/>
    <w:rsid w:val="20035ED3"/>
    <w:rsid w:val="20A01EA4"/>
    <w:rsid w:val="21264578"/>
    <w:rsid w:val="227B3565"/>
    <w:rsid w:val="22C0754D"/>
    <w:rsid w:val="23887D3E"/>
    <w:rsid w:val="24046C49"/>
    <w:rsid w:val="24395844"/>
    <w:rsid w:val="249A799B"/>
    <w:rsid w:val="25554D41"/>
    <w:rsid w:val="25566FB9"/>
    <w:rsid w:val="261D0559"/>
    <w:rsid w:val="274D7A76"/>
    <w:rsid w:val="27BB1F02"/>
    <w:rsid w:val="27F1572C"/>
    <w:rsid w:val="28141184"/>
    <w:rsid w:val="2859393B"/>
    <w:rsid w:val="285A7DB7"/>
    <w:rsid w:val="285D6009"/>
    <w:rsid w:val="28AE7984"/>
    <w:rsid w:val="298C6A9B"/>
    <w:rsid w:val="29EE173E"/>
    <w:rsid w:val="2A4F0AC4"/>
    <w:rsid w:val="2A7D0E58"/>
    <w:rsid w:val="2B116A54"/>
    <w:rsid w:val="2B211F47"/>
    <w:rsid w:val="2B5264B7"/>
    <w:rsid w:val="2C3E727C"/>
    <w:rsid w:val="2C69578A"/>
    <w:rsid w:val="2D1C3C51"/>
    <w:rsid w:val="2D2842B4"/>
    <w:rsid w:val="2E0E6856"/>
    <w:rsid w:val="2E5E3FD7"/>
    <w:rsid w:val="2F223F49"/>
    <w:rsid w:val="2F6670BE"/>
    <w:rsid w:val="2F744120"/>
    <w:rsid w:val="2FAA29AB"/>
    <w:rsid w:val="2FF66EB3"/>
    <w:rsid w:val="305910E0"/>
    <w:rsid w:val="30C312DE"/>
    <w:rsid w:val="30CB3832"/>
    <w:rsid w:val="31130B26"/>
    <w:rsid w:val="31FD3E23"/>
    <w:rsid w:val="323512CE"/>
    <w:rsid w:val="33AE2D1E"/>
    <w:rsid w:val="3426722D"/>
    <w:rsid w:val="348D01DE"/>
    <w:rsid w:val="34D91DC3"/>
    <w:rsid w:val="35F97A60"/>
    <w:rsid w:val="36064C31"/>
    <w:rsid w:val="36F258A9"/>
    <w:rsid w:val="36F41A1F"/>
    <w:rsid w:val="36F5009B"/>
    <w:rsid w:val="371B7343"/>
    <w:rsid w:val="3734634A"/>
    <w:rsid w:val="37AB7EA6"/>
    <w:rsid w:val="37E42DAB"/>
    <w:rsid w:val="38503E63"/>
    <w:rsid w:val="38D73402"/>
    <w:rsid w:val="38F8638E"/>
    <w:rsid w:val="39337682"/>
    <w:rsid w:val="396731F0"/>
    <w:rsid w:val="399117B0"/>
    <w:rsid w:val="39F31F79"/>
    <w:rsid w:val="3A8F19CA"/>
    <w:rsid w:val="3BAF7259"/>
    <w:rsid w:val="3BEC772B"/>
    <w:rsid w:val="3C7A0CC7"/>
    <w:rsid w:val="3D727583"/>
    <w:rsid w:val="3E2452DB"/>
    <w:rsid w:val="3E31305E"/>
    <w:rsid w:val="3E545384"/>
    <w:rsid w:val="3EFD7212"/>
    <w:rsid w:val="3F4117EA"/>
    <w:rsid w:val="3F4A0819"/>
    <w:rsid w:val="3FBD43DF"/>
    <w:rsid w:val="40334104"/>
    <w:rsid w:val="404265B6"/>
    <w:rsid w:val="40427646"/>
    <w:rsid w:val="40807920"/>
    <w:rsid w:val="40E42DF8"/>
    <w:rsid w:val="40FB3AC3"/>
    <w:rsid w:val="40FB47BA"/>
    <w:rsid w:val="42A65AA2"/>
    <w:rsid w:val="43455703"/>
    <w:rsid w:val="43CF2725"/>
    <w:rsid w:val="43F65181"/>
    <w:rsid w:val="4519291A"/>
    <w:rsid w:val="451C7687"/>
    <w:rsid w:val="46076721"/>
    <w:rsid w:val="461336B6"/>
    <w:rsid w:val="46147427"/>
    <w:rsid w:val="46885981"/>
    <w:rsid w:val="475154A3"/>
    <w:rsid w:val="47867644"/>
    <w:rsid w:val="47B93901"/>
    <w:rsid w:val="48007304"/>
    <w:rsid w:val="49136C54"/>
    <w:rsid w:val="492722FA"/>
    <w:rsid w:val="4944413C"/>
    <w:rsid w:val="495C183F"/>
    <w:rsid w:val="49B401D0"/>
    <w:rsid w:val="4A0D6C09"/>
    <w:rsid w:val="4A530C37"/>
    <w:rsid w:val="4ACA594A"/>
    <w:rsid w:val="4AF73BBE"/>
    <w:rsid w:val="4B98400B"/>
    <w:rsid w:val="4BBE6B7C"/>
    <w:rsid w:val="4BF56367"/>
    <w:rsid w:val="4CD72444"/>
    <w:rsid w:val="4CDC6765"/>
    <w:rsid w:val="4DCD7355"/>
    <w:rsid w:val="4E4F3EA3"/>
    <w:rsid w:val="4EDD114B"/>
    <w:rsid w:val="502E26E0"/>
    <w:rsid w:val="50B900CA"/>
    <w:rsid w:val="51864CD8"/>
    <w:rsid w:val="51A31F19"/>
    <w:rsid w:val="52197219"/>
    <w:rsid w:val="527A07C2"/>
    <w:rsid w:val="533831A2"/>
    <w:rsid w:val="538A03CF"/>
    <w:rsid w:val="53E45706"/>
    <w:rsid w:val="545D3265"/>
    <w:rsid w:val="546069A2"/>
    <w:rsid w:val="559B1708"/>
    <w:rsid w:val="55C90F52"/>
    <w:rsid w:val="55FF0DEB"/>
    <w:rsid w:val="567217AC"/>
    <w:rsid w:val="571C40C4"/>
    <w:rsid w:val="57666F2B"/>
    <w:rsid w:val="57680A96"/>
    <w:rsid w:val="57924C9F"/>
    <w:rsid w:val="58021FB7"/>
    <w:rsid w:val="58315674"/>
    <w:rsid w:val="58496778"/>
    <w:rsid w:val="58FC2B47"/>
    <w:rsid w:val="596D6B4C"/>
    <w:rsid w:val="597D3E32"/>
    <w:rsid w:val="59A767BE"/>
    <w:rsid w:val="59F82F10"/>
    <w:rsid w:val="5A6A0286"/>
    <w:rsid w:val="5A827352"/>
    <w:rsid w:val="5BDF3D8C"/>
    <w:rsid w:val="5BEC5129"/>
    <w:rsid w:val="5C0539D8"/>
    <w:rsid w:val="5C2F1A06"/>
    <w:rsid w:val="5C5C10AF"/>
    <w:rsid w:val="5CA57A48"/>
    <w:rsid w:val="5D1C7B64"/>
    <w:rsid w:val="5DC8566E"/>
    <w:rsid w:val="5DFF67B7"/>
    <w:rsid w:val="5E6B0494"/>
    <w:rsid w:val="5EA1755F"/>
    <w:rsid w:val="6060605C"/>
    <w:rsid w:val="620D10AA"/>
    <w:rsid w:val="62334E0F"/>
    <w:rsid w:val="62695567"/>
    <w:rsid w:val="629F2648"/>
    <w:rsid w:val="62F33178"/>
    <w:rsid w:val="62FF3440"/>
    <w:rsid w:val="636566D9"/>
    <w:rsid w:val="636A7F50"/>
    <w:rsid w:val="63B96E24"/>
    <w:rsid w:val="64551F4A"/>
    <w:rsid w:val="649068E5"/>
    <w:rsid w:val="64B70931"/>
    <w:rsid w:val="66946D79"/>
    <w:rsid w:val="681411EE"/>
    <w:rsid w:val="68B60A5C"/>
    <w:rsid w:val="690E4030"/>
    <w:rsid w:val="6998593E"/>
    <w:rsid w:val="6A515247"/>
    <w:rsid w:val="6A5B315A"/>
    <w:rsid w:val="6AA86D24"/>
    <w:rsid w:val="6B0938E1"/>
    <w:rsid w:val="6BC208AD"/>
    <w:rsid w:val="6C2D5CDA"/>
    <w:rsid w:val="6C3C6A3A"/>
    <w:rsid w:val="6C435812"/>
    <w:rsid w:val="6CC26574"/>
    <w:rsid w:val="6CD54BC5"/>
    <w:rsid w:val="6D670250"/>
    <w:rsid w:val="6DA23496"/>
    <w:rsid w:val="6DEC7B50"/>
    <w:rsid w:val="6E2C0BB6"/>
    <w:rsid w:val="6E517F14"/>
    <w:rsid w:val="6F762E4B"/>
    <w:rsid w:val="701702AD"/>
    <w:rsid w:val="70D21D77"/>
    <w:rsid w:val="71716E26"/>
    <w:rsid w:val="724B02EE"/>
    <w:rsid w:val="72EE7083"/>
    <w:rsid w:val="72F85AEB"/>
    <w:rsid w:val="732E2ECB"/>
    <w:rsid w:val="736954FC"/>
    <w:rsid w:val="73A05D1B"/>
    <w:rsid w:val="740865D4"/>
    <w:rsid w:val="740E4EA8"/>
    <w:rsid w:val="745C2DC5"/>
    <w:rsid w:val="74D3703B"/>
    <w:rsid w:val="75CC75D0"/>
    <w:rsid w:val="75E0685E"/>
    <w:rsid w:val="75F52770"/>
    <w:rsid w:val="764060EA"/>
    <w:rsid w:val="768746F2"/>
    <w:rsid w:val="76D24F77"/>
    <w:rsid w:val="773E0479"/>
    <w:rsid w:val="77630DB6"/>
    <w:rsid w:val="779255E1"/>
    <w:rsid w:val="77F918C5"/>
    <w:rsid w:val="782205D2"/>
    <w:rsid w:val="788A74C9"/>
    <w:rsid w:val="788F6B48"/>
    <w:rsid w:val="793160BE"/>
    <w:rsid w:val="79862EE5"/>
    <w:rsid w:val="798700EC"/>
    <w:rsid w:val="7AA23835"/>
    <w:rsid w:val="7AD605AA"/>
    <w:rsid w:val="7ADF0A8C"/>
    <w:rsid w:val="7AFD091C"/>
    <w:rsid w:val="7B385EAE"/>
    <w:rsid w:val="7B3E5E8C"/>
    <w:rsid w:val="7B7C0D81"/>
    <w:rsid w:val="7BA43262"/>
    <w:rsid w:val="7D402C8B"/>
    <w:rsid w:val="7DC527A9"/>
    <w:rsid w:val="7E1318FF"/>
    <w:rsid w:val="7F1B177C"/>
    <w:rsid w:val="7FB9693E"/>
    <w:rsid w:val="7FEF1CF1"/>
    <w:rsid w:val="7FFDEA4C"/>
    <w:rsid w:val="A77D823D"/>
    <w:rsid w:val="F7FD9675"/>
    <w:rsid w:val="FC5B30B2"/>
    <w:rsid w:val="FE6E00F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17">
    <w:name w:val="Default Paragraph Font"/>
    <w:unhideWhenUsed/>
    <w:qFormat/>
    <w:uiPriority w:val="1"/>
  </w:style>
  <w:style w:type="table" w:default="1" w:styleId="1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Document Map"/>
    <w:basedOn w:val="1"/>
    <w:link w:val="26"/>
    <w:qFormat/>
    <w:uiPriority w:val="0"/>
    <w:rPr>
      <w:rFonts w:ascii="宋体" w:eastAsia="宋体"/>
      <w:sz w:val="18"/>
      <w:szCs w:val="18"/>
    </w:rPr>
  </w:style>
  <w:style w:type="paragraph" w:styleId="8">
    <w:name w:val="annotation text"/>
    <w:basedOn w:val="1"/>
    <w:link w:val="27"/>
    <w:qFormat/>
    <w:uiPriority w:val="0"/>
    <w:pPr>
      <w:jc w:val="left"/>
    </w:pPr>
  </w:style>
  <w:style w:type="paragraph" w:styleId="9">
    <w:name w:val="toc 3"/>
    <w:basedOn w:val="1"/>
    <w:next w:val="1"/>
    <w:qFormat/>
    <w:uiPriority w:val="0"/>
    <w:pPr>
      <w:ind w:left="840" w:leftChars="400"/>
    </w:pPr>
  </w:style>
  <w:style w:type="paragraph" w:styleId="10">
    <w:name w:val="Balloon Text"/>
    <w:basedOn w:val="1"/>
    <w:link w:val="25"/>
    <w:qFormat/>
    <w:uiPriority w:val="0"/>
    <w:rPr>
      <w:sz w:val="18"/>
      <w:szCs w:val="18"/>
    </w:rPr>
  </w:style>
  <w:style w:type="paragraph" w:styleId="11">
    <w:name w:val="footer"/>
    <w:basedOn w:val="1"/>
    <w:link w:val="2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1"/>
    <w:basedOn w:val="1"/>
    <w:next w:val="1"/>
    <w:qFormat/>
    <w:uiPriority w:val="0"/>
  </w:style>
  <w:style w:type="paragraph" w:styleId="14">
    <w:name w:val="toc 2"/>
    <w:basedOn w:val="1"/>
    <w:next w:val="1"/>
    <w:qFormat/>
    <w:uiPriority w:val="0"/>
    <w:pPr>
      <w:ind w:left="420" w:leftChars="200"/>
    </w:pPr>
  </w:style>
  <w:style w:type="paragraph" w:styleId="15">
    <w:name w:val="annotation subject"/>
    <w:basedOn w:val="8"/>
    <w:next w:val="8"/>
    <w:link w:val="28"/>
    <w:qFormat/>
    <w:uiPriority w:val="0"/>
    <w:rPr>
      <w:b/>
      <w:bCs/>
    </w:rPr>
  </w:style>
  <w:style w:type="character" w:styleId="18">
    <w:name w:val="Hyperlink"/>
    <w:basedOn w:val="17"/>
    <w:qFormat/>
    <w:uiPriority w:val="0"/>
    <w:rPr>
      <w:color w:val="0000FF"/>
      <w:u w:val="single"/>
    </w:rPr>
  </w:style>
  <w:style w:type="character" w:styleId="19">
    <w:name w:val="annotation reference"/>
    <w:basedOn w:val="17"/>
    <w:qFormat/>
    <w:uiPriority w:val="0"/>
    <w:rPr>
      <w:sz w:val="21"/>
      <w:szCs w:val="21"/>
    </w:rPr>
  </w:style>
  <w:style w:type="paragraph" w:customStyle="1" w:styleId="20">
    <w:name w:val="WPSOffice手动目录 1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21">
    <w:name w:val="WPSOffice手动目录 2"/>
    <w:qFormat/>
    <w:uiPriority w:val="0"/>
    <w:pPr>
      <w:ind w:left="200" w:leftChars="200"/>
    </w:pPr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22">
    <w:name w:val="WPSOffice手动目录 3"/>
    <w:qFormat/>
    <w:uiPriority w:val="0"/>
    <w:pPr>
      <w:ind w:left="400" w:leftChars="400"/>
    </w:pPr>
    <w:rPr>
      <w:rFonts w:asciiTheme="minorHAnsi" w:hAnsiTheme="minorHAnsi" w:eastAsiaTheme="minorEastAsia" w:cstheme="minorBidi"/>
      <w:lang w:val="en-US" w:eastAsia="zh-CN" w:bidi="ar-SA"/>
    </w:rPr>
  </w:style>
  <w:style w:type="character" w:customStyle="1" w:styleId="23">
    <w:name w:val="页眉 字符"/>
    <w:basedOn w:val="17"/>
    <w:link w:val="12"/>
    <w:qFormat/>
    <w:uiPriority w:val="0"/>
    <w:rPr>
      <w:kern w:val="2"/>
      <w:sz w:val="18"/>
      <w:szCs w:val="18"/>
    </w:rPr>
  </w:style>
  <w:style w:type="character" w:customStyle="1" w:styleId="24">
    <w:name w:val="页脚 字符"/>
    <w:basedOn w:val="17"/>
    <w:link w:val="11"/>
    <w:qFormat/>
    <w:uiPriority w:val="0"/>
    <w:rPr>
      <w:kern w:val="2"/>
      <w:sz w:val="18"/>
      <w:szCs w:val="18"/>
    </w:rPr>
  </w:style>
  <w:style w:type="character" w:customStyle="1" w:styleId="25">
    <w:name w:val="批注框文本 字符"/>
    <w:basedOn w:val="17"/>
    <w:link w:val="10"/>
    <w:qFormat/>
    <w:uiPriority w:val="0"/>
    <w:rPr>
      <w:kern w:val="2"/>
      <w:sz w:val="18"/>
      <w:szCs w:val="18"/>
    </w:rPr>
  </w:style>
  <w:style w:type="character" w:customStyle="1" w:styleId="26">
    <w:name w:val="文档结构图 字符"/>
    <w:basedOn w:val="17"/>
    <w:link w:val="7"/>
    <w:qFormat/>
    <w:uiPriority w:val="0"/>
    <w:rPr>
      <w:rFonts w:ascii="宋体" w:eastAsia="宋体"/>
      <w:kern w:val="2"/>
      <w:sz w:val="18"/>
      <w:szCs w:val="18"/>
    </w:rPr>
  </w:style>
  <w:style w:type="character" w:customStyle="1" w:styleId="27">
    <w:name w:val="批注文字 字符"/>
    <w:basedOn w:val="17"/>
    <w:link w:val="8"/>
    <w:qFormat/>
    <w:uiPriority w:val="0"/>
    <w:rPr>
      <w:kern w:val="2"/>
      <w:sz w:val="21"/>
      <w:szCs w:val="24"/>
    </w:rPr>
  </w:style>
  <w:style w:type="character" w:customStyle="1" w:styleId="28">
    <w:name w:val="批注主题 字符"/>
    <w:basedOn w:val="27"/>
    <w:link w:val="15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360-ESG</Company>
  <Pages>9</Pages>
  <Words>637</Words>
  <Characters>3637</Characters>
  <Lines>30</Lines>
  <Paragraphs>8</Paragraphs>
  <TotalTime>7</TotalTime>
  <ScaleCrop>false</ScaleCrop>
  <LinksUpToDate>false</LinksUpToDate>
  <CharactersWithSpaces>4266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2020-06-16T09:12:00Z</dcterms:created>
  <dc:creator>鹏</dc:creator>
  <cp:lastModifiedBy>宁静宽广</cp:lastModifiedBy>
  <cp:lastPrinted>2020-06-18T02:10:00Z</cp:lastPrinted>
  <dcterms:modified xsi:type="dcterms:W3CDTF">2020-06-24T00:27:37Z</dcterms:modified>
  <dc:title>附件1</dc:title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