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0"/>
        <w:framePr w:wrap="around"/>
      </w:pPr>
      <w:r>
        <w:rPr>
          <w:rFonts w:ascii="Times New Roman"/>
        </w:rPr>
        <w:t>ICS</w:t>
      </w:r>
      <w:r>
        <w:rPr>
          <w:rFonts w:hAnsi="黑体"/>
        </w:rPr>
        <w:t> </w:t>
      </w:r>
      <w:r>
        <w:t>13.260</w:t>
      </w:r>
    </w:p>
    <w:p>
      <w:pPr>
        <w:pStyle w:val="120"/>
        <w:framePr w:wrap="around"/>
      </w:pPr>
      <w:r>
        <w:rPr>
          <w:rFonts w:hint="eastAsia"/>
        </w:rPr>
        <w:t>C</w:t>
      </w:r>
      <w:r>
        <w:t xml:space="preserve"> 66</w:t>
      </w:r>
    </w:p>
    <w:p>
      <w:pPr>
        <w:pStyle w:val="63"/>
        <w:framePr w:wrap="around"/>
      </w:pPr>
      <w:r>
        <w:rPr>
          <w:rFonts w:hint="eastAsia"/>
        </w:rPr>
        <w:drawing>
          <wp:inline distT="0" distB="0" distL="0" distR="0">
            <wp:extent cx="1439545" cy="719455"/>
            <wp:effectExtent l="0" t="0" r="8255" b="444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0000" cy="720000"/>
                    </a:xfrm>
                    <a:prstGeom prst="rect">
                      <a:avLst/>
                    </a:prstGeom>
                  </pic:spPr>
                </pic:pic>
              </a:graphicData>
            </a:graphic>
          </wp:inline>
        </w:drawing>
      </w:r>
    </w:p>
    <w:p>
      <w:pPr>
        <w:pStyle w:val="64"/>
        <w:framePr w:wrap="around"/>
      </w:pPr>
      <w:r>
        <w:rPr>
          <w:rFonts w:hint="eastAsia"/>
        </w:rPr>
        <w:t>中华人民共和国国家标准</w:t>
      </w:r>
    </w:p>
    <w:p>
      <w:pPr>
        <w:pStyle w:val="44"/>
        <w:framePr w:wrap="around"/>
        <w:rPr>
          <w:rFonts w:hAnsi="黑体"/>
        </w:rPr>
      </w:pPr>
      <w:r>
        <w:rPr>
          <w:rFonts w:ascii="Times New Roman"/>
        </w:rPr>
        <w:t xml:space="preserve">GB </w:t>
      </w:r>
      <w:r>
        <w:rPr>
          <w:rFonts w:hint="eastAsia"/>
        </w:rPr>
        <w:t>XXXX</w:t>
      </w:r>
      <w:r>
        <w:rPr>
          <w:rFonts w:hAnsi="黑体"/>
        </w:rPr>
        <w:t>—</w:t>
      </w:r>
      <w:r>
        <w:rPr>
          <w:rFonts w:hAnsi="黑体"/>
        </w:rPr>
        <w:fldChar w:fldCharType="begin">
          <w:ffData>
            <w:name w:val="StdNo2"/>
            <w:enabled/>
            <w:calcOnExit w:val="0"/>
            <w:textInput>
              <w:default w:val="××××"/>
            </w:textInput>
          </w:ffData>
        </w:fldChar>
      </w:r>
      <w:bookmarkStart w:id="0" w:name="StdNo2"/>
      <w:r>
        <w:rPr>
          <w:rFonts w:hAnsi="黑体"/>
        </w:rPr>
        <w:instrText xml:space="preserve"> FORMTEXT </w:instrText>
      </w:r>
      <w:r>
        <w:rPr>
          <w:rFonts w:hAnsi="黑体"/>
        </w:rPr>
        <w:fldChar w:fldCharType="separate"/>
      </w:r>
      <w:r>
        <w:rPr>
          <w:rFonts w:hAnsi="黑体"/>
        </w:rPr>
        <w:t>     </w:t>
      </w:r>
      <w:r>
        <w:rPr>
          <w:rFonts w:hAnsi="黑体"/>
        </w:rPr>
        <w:fldChar w:fldCharType="end"/>
      </w:r>
      <w:bookmarkEnd w:id="0"/>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30" w:type="dxa"/>
            <w:tcBorders>
              <w:top w:val="nil"/>
              <w:left w:val="nil"/>
              <w:bottom w:val="nil"/>
              <w:right w:val="nil"/>
            </w:tcBorders>
            <w:shd w:val="clear" w:color="auto" w:fill="auto"/>
          </w:tcPr>
          <w:p>
            <w:pPr>
              <w:pStyle w:val="73"/>
              <w:framePr w:wrap="around"/>
              <w:wordWrap w:val="0"/>
            </w:pPr>
            <w:r>
              <w:rPr>
                <w:rFonts w:hint="eastAsia"/>
              </w:rPr>
              <w:t>代替 GB</w:t>
            </w:r>
            <w:r>
              <w:t xml:space="preserve"> 12156</w:t>
            </w:r>
            <w:r>
              <w:rPr>
                <w:rFonts w:hint="eastAsia"/>
              </w:rPr>
              <w:t>-</w:t>
            </w:r>
            <w:r>
              <w:t>2006</w:t>
            </w:r>
            <w:r>
              <w:rPr>
                <w:rFonts w:hint="eastAsia"/>
              </w:rPr>
              <w:t>，GB</w:t>
            </w:r>
            <w:r>
              <w:t>13348</w:t>
            </w:r>
            <w:r>
              <w:rPr>
                <w:rFonts w:hint="eastAsia"/>
              </w:rPr>
              <w:t>-</w:t>
            </w:r>
            <w:r>
              <w:t>2009</w:t>
            </w:r>
          </w:p>
        </w:tc>
      </w:tr>
    </w:tbl>
    <w:p>
      <w:pPr>
        <w:pStyle w:val="44"/>
        <w:framePr w:wrap="around"/>
        <w:rPr>
          <w:rFonts w:hAnsi="黑体"/>
        </w:rPr>
      </w:pPr>
    </w:p>
    <w:p>
      <w:pPr>
        <w:pStyle w:val="44"/>
        <w:framePr w:wrap="around"/>
        <w:rPr>
          <w:rFonts w:hAnsi="黑体"/>
        </w:rPr>
      </w:pPr>
    </w:p>
    <w:p>
      <w:pPr>
        <w:pStyle w:val="75"/>
        <w:framePr w:wrap="around"/>
      </w:pPr>
      <w:r>
        <w:fldChar w:fldCharType="begin">
          <w:ffData>
            <w:name w:val="StdName"/>
            <w:enabled/>
            <w:calcOnExit w:val="0"/>
            <w:textInput>
              <w:default w:val="点击此处添加标准名称"/>
            </w:textInput>
          </w:ffData>
        </w:fldChar>
      </w:r>
      <w:bookmarkStart w:id="1" w:name="StdName"/>
      <w:r>
        <w:instrText xml:space="preserve"> FORMTEXT </w:instrText>
      </w:r>
      <w:r>
        <w:fldChar w:fldCharType="separate"/>
      </w:r>
      <w:r>
        <w:rPr>
          <w:rFonts w:hint="eastAsia"/>
        </w:rPr>
        <w:t>防止静电事故通用要求</w:t>
      </w:r>
      <w:r>
        <w:fldChar w:fldCharType="end"/>
      </w:r>
      <w:bookmarkEnd w:id="1"/>
    </w:p>
    <w:p>
      <w:pPr>
        <w:pStyle w:val="76"/>
        <w:framePr w:wrap="around"/>
      </w:pPr>
      <w:r>
        <w:fldChar w:fldCharType="begin">
          <w:ffData>
            <w:name w:val="StdEnglishName"/>
            <w:enabled/>
            <w:calcOnExit w:val="0"/>
            <w:textInput>
              <w:default w:val="点击此处添加标准英文译名"/>
            </w:textInput>
          </w:ffData>
        </w:fldChar>
      </w:r>
      <w:bookmarkStart w:id="2" w:name="StdEnglishName"/>
      <w:r>
        <w:instrText xml:space="preserve"> FORMTEXT </w:instrText>
      </w:r>
      <w:r>
        <w:fldChar w:fldCharType="separate"/>
      </w:r>
      <w:r>
        <w:rPr>
          <w:rFonts w:hint="eastAsia"/>
        </w:rPr>
        <w:t>General</w:t>
      </w:r>
      <w:r>
        <w:t xml:space="preserve"> </w:t>
      </w:r>
      <w:r>
        <w:rPr>
          <w:rFonts w:hint="eastAsia"/>
        </w:rPr>
        <w:t>Requirements</w:t>
      </w:r>
      <w:r>
        <w:t xml:space="preserve"> for preventing electrostatic accidents</w:t>
      </w:r>
      <w:r>
        <w:fldChar w:fldCharType="end"/>
      </w:r>
      <w:bookmarkEnd w:id="2"/>
    </w:p>
    <w:p>
      <w:pPr>
        <w:pStyle w:val="77"/>
        <w:framePr w:wrap="around"/>
      </w:pPr>
      <w:bookmarkStart w:id="61" w:name="_GoBack"/>
      <w:bookmarkEnd w:id="61"/>
      <w:r>
        <w:fldChar w:fldCharType="begin">
          <w:ffData>
            <w:name w:val="YZBS"/>
            <w:enabled/>
            <w:calcOnExit w:val="0"/>
            <w:textInput>
              <w:default w:val="点击此处添加与国际标准一致性程度的标识"/>
            </w:textInput>
          </w:ffData>
        </w:fldChar>
      </w:r>
      <w:bookmarkStart w:id="3" w:name="YZBS"/>
      <w:r>
        <w:instrText xml:space="preserve"> FORMTEXT </w:instrText>
      </w:r>
      <w:r>
        <w:fldChar w:fldCharType="separate"/>
      </w:r>
      <w:r>
        <w:rPr>
          <w:rFonts w:hint="eastAsia"/>
        </w:rPr>
        <w:t>点击此处添加与国际标准一致性程度的标识</w:t>
      </w:r>
      <w:r>
        <w:fldChar w:fldCharType="end"/>
      </w:r>
      <w:bookmarkEnd w:id="3"/>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6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629" w:type="dxa"/>
            <w:tcBorders>
              <w:top w:val="nil"/>
              <w:left w:val="nil"/>
              <w:bottom w:val="nil"/>
              <w:right w:val="nil"/>
            </w:tcBorders>
            <w:shd w:val="clear" w:color="auto" w:fill="auto"/>
          </w:tcPr>
          <w:p>
            <w:pPr>
              <w:pStyle w:val="78"/>
              <w:framePr w:wrap="around"/>
            </w:pPr>
            <w:r>
              <w:fldChar w:fldCharType="begin">
                <w:ffData>
                  <w:name w:val="LB"/>
                  <w:enabled/>
                  <w:calcOnExit w:val="0"/>
                  <w:ddList>
                    <w:result w:val="2"/>
                    <w:listEntry w:val="文稿版次选择"/>
                    <w:listEntry w:val="（工作组讨论稿）"/>
                    <w:listEntry w:val="（征求意见稿）"/>
                    <w:listEntry w:val="（送审讨论稿）"/>
                    <w:listEntry w:val="（送审稿）"/>
                    <w:listEntry w:val="（报批稿）"/>
                  </w:ddList>
                </w:ffData>
              </w:fldChar>
            </w:r>
            <w:bookmarkStart w:id="4" w:name="LB"/>
            <w:r>
              <w:instrText xml:space="preserve"> </w:instrText>
            </w:r>
            <w:r>
              <w:rPr>
                <w:rFonts w:hint="eastAsia"/>
              </w:rPr>
              <w:instrText xml:space="preserve">FORMDROPDOWN</w:instrText>
            </w:r>
            <w:r>
              <w:instrText xml:space="preserve"> </w:instrText>
            </w:r>
            <w:r>
              <w:fldChar w:fldCharType="separate"/>
            </w:r>
            <w:r>
              <w:fldChar w:fldCharType="end"/>
            </w:r>
            <w:bookmarkEnd w:id="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9" w:type="dxa"/>
            <w:tcBorders>
              <w:top w:val="nil"/>
              <w:left w:val="nil"/>
              <w:bottom w:val="nil"/>
              <w:right w:val="nil"/>
            </w:tcBorders>
            <w:shd w:val="clear" w:color="auto" w:fill="auto"/>
          </w:tcPr>
          <w:p>
            <w:pPr>
              <w:pStyle w:val="79"/>
              <w:framePr w:wrap="around"/>
            </w:pPr>
            <w:r>
              <w:fldChar w:fldCharType="begin">
                <w:ffData>
                  <w:name w:val="WCRQ"/>
                  <w:enabled/>
                  <w:calcOnExit w:val="0"/>
                  <w:textInput/>
                </w:ffData>
              </w:fldChar>
            </w:r>
            <w:bookmarkStart w:id="5" w:name="WCRQ"/>
            <w:r>
              <w:instrText xml:space="preserve"> FORMTEXT </w:instrText>
            </w:r>
            <w:r>
              <w:fldChar w:fldCharType="separate"/>
            </w:r>
            <w:r>
              <w:t>2022</w:t>
            </w:r>
            <w:r>
              <w:rPr>
                <w:rFonts w:hint="eastAsia"/>
              </w:rPr>
              <w:t>年0</w:t>
            </w:r>
            <w:r>
              <w:t>6</w:t>
            </w:r>
            <w:r>
              <w:rPr>
                <w:rFonts w:hint="eastAsia"/>
              </w:rPr>
              <w:t>月</w:t>
            </w:r>
            <w:r>
              <w:fldChar w:fldCharType="end"/>
            </w:r>
            <w:bookmarkEnd w:id="5"/>
          </w:p>
        </w:tc>
      </w:tr>
    </w:tbl>
    <w:p>
      <w:pPr>
        <w:pStyle w:val="127"/>
        <w:framePr w:wrap="around"/>
      </w:pPr>
      <w:r>
        <w:rPr>
          <w:rFonts w:ascii="黑体"/>
        </w:rPr>
        <w:fldChar w:fldCharType="begin">
          <w:ffData>
            <w:name w:val="FY"/>
            <w:enabled/>
            <w:calcOnExit w:val="0"/>
            <w:entryMacro w:val="ShowHelp8"/>
            <w:textInput>
              <w:default w:val="××××"/>
              <w:maxLength w:val="4"/>
            </w:textInput>
          </w:ffData>
        </w:fldChar>
      </w:r>
      <w:bookmarkStart w:id="6" w:name="FY"/>
      <w:r>
        <w:rPr>
          <w:rFonts w:ascii="黑体"/>
        </w:rPr>
        <w:instrText xml:space="preserve"> FORMTEXT </w:instrText>
      </w:r>
      <w:r>
        <w:rPr>
          <w:rFonts w:ascii="黑体"/>
        </w:rPr>
        <w:fldChar w:fldCharType="separate"/>
      </w:r>
      <w:r>
        <w:rPr>
          <w:rFonts w:ascii="黑体"/>
        </w:rPr>
        <w:t>××××</w:t>
      </w:r>
      <w:r>
        <w:rPr>
          <w:rFonts w:ascii="黑体"/>
        </w:rPr>
        <w:fldChar w:fldCharType="end"/>
      </w:r>
      <w:bookmarkEnd w:id="6"/>
      <w:r>
        <w:t xml:space="preserve"> </w:t>
      </w:r>
      <w:r>
        <w:rPr>
          <w:rFonts w:ascii="黑体"/>
        </w:rPr>
        <w:t>-</w:t>
      </w:r>
      <w:r>
        <w:t xml:space="preserve"> </w:t>
      </w:r>
      <w:r>
        <w:rPr>
          <w:rFonts w:ascii="黑体"/>
        </w:rPr>
        <w:fldChar w:fldCharType="begin">
          <w:ffData>
            <w:name w:val="FM"/>
            <w:enabled/>
            <w:calcOnExit w:val="0"/>
            <w:entryMacro w:val="ShowHelp8"/>
            <w:textInput>
              <w:default w:val="××"/>
              <w:maxLength w:val="2"/>
            </w:textInput>
          </w:ffData>
        </w:fldChar>
      </w:r>
      <w:bookmarkStart w:id="7" w:name="FM"/>
      <w:r>
        <w:rPr>
          <w:rFonts w:ascii="黑体"/>
        </w:rPr>
        <w:instrText xml:space="preserve"> FORMTEXT </w:instrText>
      </w:r>
      <w:r>
        <w:rPr>
          <w:rFonts w:ascii="黑体"/>
        </w:rPr>
        <w:fldChar w:fldCharType="separate"/>
      </w:r>
      <w:r>
        <w:rPr>
          <w:rFonts w:ascii="黑体"/>
        </w:rPr>
        <w:t>××</w:t>
      </w:r>
      <w:r>
        <w:rPr>
          <w:rFonts w:ascii="黑体"/>
        </w:rPr>
        <w:fldChar w:fldCharType="end"/>
      </w:r>
      <w:bookmarkEnd w:id="7"/>
      <w:r>
        <w:t xml:space="preserve"> </w:t>
      </w:r>
      <w:r>
        <w:rPr>
          <w:rFonts w:ascii="黑体"/>
        </w:rPr>
        <w:t>-</w:t>
      </w:r>
      <w:r>
        <w:t xml:space="preserve"> </w:t>
      </w:r>
      <w:r>
        <w:rPr>
          <w:rFonts w:ascii="黑体"/>
        </w:rPr>
        <w:fldChar w:fldCharType="begin">
          <w:ffData>
            <w:name w:val="FD"/>
            <w:enabled/>
            <w:calcOnExit w:val="0"/>
            <w:entryMacro w:val="ShowHelp8"/>
            <w:textInput>
              <w:default w:val="××"/>
              <w:maxLength w:val="2"/>
            </w:textInput>
          </w:ffData>
        </w:fldChar>
      </w:r>
      <w:bookmarkStart w:id="8" w:name="FD"/>
      <w:r>
        <w:rPr>
          <w:rFonts w:ascii="黑体"/>
        </w:rPr>
        <w:instrText xml:space="preserve"> FORMTEXT </w:instrText>
      </w:r>
      <w:r>
        <w:rPr>
          <w:rFonts w:ascii="黑体"/>
        </w:rPr>
        <w:fldChar w:fldCharType="separate"/>
      </w:r>
      <w:r>
        <w:rPr>
          <w:rFonts w:ascii="黑体"/>
        </w:rPr>
        <w:t>××</w:t>
      </w:r>
      <w:r>
        <w:rPr>
          <w:rFonts w:ascii="黑体"/>
        </w:rPr>
        <w:fldChar w:fldCharType="end"/>
      </w:r>
      <w:bookmarkEnd w:id="8"/>
      <w:r>
        <w:rPr>
          <w:rFonts w:hint="eastAsia"/>
        </w:rPr>
        <w:t>发布</w:t>
      </w:r>
      <w:r>
        <w:rPr>
          <w:rFonts w:hint="eastAsia"/>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2339340</wp:posOffset>
                </wp:positionV>
                <wp:extent cx="612013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184.2pt;height:0pt;width:481.9pt;z-index:251660288;mso-width-relative:page;mso-height-relative:page;" filled="f" stroked="t" coordsize="21600,21600" o:gfxdata="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jd8ps9UAAAAIAQAADwAAAAAAAAABACAA&#10;AAAiAAAAZHJzL2Rvd25yZXYueG1sUEsBAhQAFAAAAAgAh07iQAjYxOvXAQAAmgMAAA4AAAAAAAAA&#10;AQAgAAAAJAEAAGRycy9lMm9Eb2MueG1sUEsFBgAAAAAGAAYAWQEAAG0FAAAAAA==&#10;">
                <v:fill on="f" focussize="0,0"/>
                <v:stroke color="#000000 [3204]" joinstyle="round"/>
                <v:imagedata o:title=""/>
                <o:lock v:ext="edit" aspectratio="f"/>
              </v:line>
            </w:pict>
          </mc:Fallback>
        </mc:AlternateContent>
      </w:r>
      <w:r>
        <w:rPr>
          <w:rFonts w:hint="eastAsia"/>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8891905</wp:posOffset>
                </wp:positionV>
                <wp:extent cx="612013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700.15pt;height:0pt;width:481.9pt;z-index:251659264;mso-width-relative:page;mso-height-relative:page;" filled="f" stroked="t" coordsize="21600,21600" o:gfxdata="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w6/RqNUAAAAKAQAADwAAAAAAAAABACAA&#10;AAAiAAAAZHJzL2Rvd25yZXYueG1sUEsBAhQAFAAAAAgAh07iQHElybrXAQAAmgMAAA4AAAAAAAAA&#10;AQAgAAAAJAEAAGRycy9lMm9Eb2MueG1sUEsFBgAAAAAGAAYAWQEAAG0FAAAAAA==&#10;">
                <v:fill on="f" focussize="0,0"/>
                <v:stroke color="#000000 [3204]" joinstyle="round"/>
                <v:imagedata o:title=""/>
                <o:lock v:ext="edit" aspectratio="f"/>
              </v:line>
            </w:pict>
          </mc:Fallback>
        </mc:AlternateContent>
      </w:r>
    </w:p>
    <w:p>
      <w:pPr>
        <w:pStyle w:val="128"/>
        <w:framePr w:wrap="around"/>
      </w:pPr>
      <w:r>
        <w:rPr>
          <w:rFonts w:ascii="黑体"/>
        </w:rPr>
        <w:fldChar w:fldCharType="begin">
          <w:ffData>
            <w:name w:val="SY"/>
            <w:enabled/>
            <w:calcOnExit w:val="0"/>
            <w:entryMacro w:val="ShowHelp9"/>
            <w:textInput>
              <w:default w:val="××××"/>
              <w:maxLength w:val="4"/>
            </w:textInput>
          </w:ffData>
        </w:fldChar>
      </w:r>
      <w:bookmarkStart w:id="9" w:name="SY"/>
      <w:r>
        <w:rPr>
          <w:rFonts w:ascii="黑体"/>
        </w:rPr>
        <w:instrText xml:space="preserve"> FORMTEXT </w:instrText>
      </w:r>
      <w:r>
        <w:rPr>
          <w:rFonts w:ascii="黑体"/>
        </w:rPr>
        <w:fldChar w:fldCharType="separate"/>
      </w:r>
      <w:r>
        <w:rPr>
          <w:rFonts w:ascii="黑体"/>
        </w:rPr>
        <w:t>××××</w:t>
      </w:r>
      <w:r>
        <w:rPr>
          <w:rFonts w:ascii="黑体"/>
        </w:rPr>
        <w:fldChar w:fldCharType="end"/>
      </w:r>
      <w:bookmarkEnd w:id="9"/>
      <w:r>
        <w:t xml:space="preserve"> </w:t>
      </w:r>
      <w:r>
        <w:rPr>
          <w:rFonts w:ascii="黑体"/>
        </w:rPr>
        <w:t>-</w:t>
      </w:r>
      <w:r>
        <w:t xml:space="preserve"> </w:t>
      </w:r>
      <w:r>
        <w:rPr>
          <w:rFonts w:ascii="黑体"/>
        </w:rPr>
        <w:fldChar w:fldCharType="begin">
          <w:ffData>
            <w:name w:val="SM"/>
            <w:enabled/>
            <w:calcOnExit w:val="0"/>
            <w:entryMacro w:val="ShowHelp9"/>
            <w:textInput>
              <w:default w:val="××"/>
              <w:maxLength w:val="2"/>
            </w:textInput>
          </w:ffData>
        </w:fldChar>
      </w:r>
      <w:bookmarkStart w:id="10" w:name="SM"/>
      <w:r>
        <w:rPr>
          <w:rFonts w:ascii="黑体"/>
        </w:rPr>
        <w:instrText xml:space="preserve"> FORMTEXT </w:instrText>
      </w:r>
      <w:r>
        <w:rPr>
          <w:rFonts w:ascii="黑体"/>
        </w:rPr>
        <w:fldChar w:fldCharType="separate"/>
      </w:r>
      <w:r>
        <w:rPr>
          <w:rFonts w:ascii="黑体"/>
        </w:rPr>
        <w:t>××</w:t>
      </w:r>
      <w:r>
        <w:rPr>
          <w:rFonts w:ascii="黑体"/>
        </w:rPr>
        <w:fldChar w:fldCharType="end"/>
      </w:r>
      <w:bookmarkEnd w:id="10"/>
      <w:r>
        <w:t xml:space="preserve"> </w:t>
      </w:r>
      <w:r>
        <w:rPr>
          <w:rFonts w:ascii="黑体"/>
        </w:rPr>
        <w:t>-</w:t>
      </w:r>
      <w:r>
        <w:t xml:space="preserve"> </w:t>
      </w:r>
      <w:r>
        <w:rPr>
          <w:rFonts w:ascii="黑体"/>
        </w:rPr>
        <w:fldChar w:fldCharType="begin">
          <w:ffData>
            <w:name w:val="SD"/>
            <w:enabled/>
            <w:calcOnExit w:val="0"/>
            <w:entryMacro w:val="ShowHelp9"/>
            <w:textInput>
              <w:default w:val="××"/>
              <w:maxLength w:val="2"/>
            </w:textInput>
          </w:ffData>
        </w:fldChar>
      </w:r>
      <w:bookmarkStart w:id="11" w:name="SD"/>
      <w:r>
        <w:rPr>
          <w:rFonts w:ascii="黑体"/>
        </w:rPr>
        <w:instrText xml:space="preserve"> FORMTEXT </w:instrText>
      </w:r>
      <w:r>
        <w:rPr>
          <w:rFonts w:ascii="黑体"/>
        </w:rPr>
        <w:fldChar w:fldCharType="separate"/>
      </w:r>
      <w:r>
        <w:rPr>
          <w:rFonts w:ascii="黑体"/>
        </w:rPr>
        <w:t>××</w:t>
      </w:r>
      <w:r>
        <w:rPr>
          <w:rFonts w:ascii="黑体"/>
        </w:rPr>
        <w:fldChar w:fldCharType="end"/>
      </w:r>
      <w:bookmarkEnd w:id="11"/>
      <w:r>
        <w:rPr>
          <w:rFonts w:hint="eastAsia"/>
        </w:rPr>
        <w:t>实施</w:t>
      </w:r>
    </w:p>
    <w:p>
      <w:pPr>
        <w:pStyle w:val="71"/>
        <w:framePr w:wrap="around"/>
      </w:pPr>
      <w:r>
        <w:drawing>
          <wp:inline distT="0" distB="0" distL="0" distR="0">
            <wp:extent cx="4389120" cy="624205"/>
            <wp:effectExtent l="0" t="0" r="0" b="444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93304" cy="624800"/>
                    </a:xfrm>
                    <a:prstGeom prst="rect">
                      <a:avLst/>
                    </a:prstGeom>
                    <a:noFill/>
                    <a:ln>
                      <a:noFill/>
                    </a:ln>
                  </pic:spPr>
                </pic:pic>
              </a:graphicData>
            </a:graphic>
          </wp:inline>
        </w:drawing>
      </w:r>
      <w:r>
        <w:rPr>
          <w:rFonts w:hint="eastAsia"/>
          <w:w w:val="100"/>
        </w:rPr>
        <mc:AlternateContent>
          <mc:Choice Requires="wps">
            <w:drawing>
              <wp:anchor distT="0" distB="0" distL="114300" distR="114300" simplePos="0" relativeHeight="251665408" behindDoc="1" locked="1" layoutInCell="1" allowOverlap="1">
                <wp:simplePos x="0" y="0"/>
                <wp:positionH relativeFrom="column">
                  <wp:posOffset>2921000</wp:posOffset>
                </wp:positionH>
                <wp:positionV relativeFrom="paragraph">
                  <wp:posOffset>6096000</wp:posOffset>
                </wp:positionV>
                <wp:extent cx="1905000" cy="254000"/>
                <wp:effectExtent l="0" t="0" r="0" b="0"/>
                <wp:wrapNone/>
                <wp:docPr id="9" name="RQ"/>
                <wp:cNvGraphicFramePr/>
                <a:graphic xmlns:a="http://schemas.openxmlformats.org/drawingml/2006/main">
                  <a:graphicData uri="http://schemas.microsoft.com/office/word/2010/wordprocessingShape">
                    <wps:wsp>
                      <wps:cNvSpPr/>
                      <wps:spPr>
                        <a:xfrm>
                          <a:off x="0" y="0"/>
                          <a:ext cx="1905000" cy="25400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Q" o:spid="_x0000_s1026" o:spt="1" style="position:absolute;left:0pt;margin-left:230pt;margin-top:480pt;height:20pt;width:150pt;z-index:-251651072;v-text-anchor:middle;mso-width-relative:page;mso-height-relative:page;" fillcolor="#FFFFFF" filled="t" stroked="f" coordsize="21600,21600" o:gfxdata="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kaxDVtMAAAAMAQAADwAAAAAAAAAB&#10;ACAAAAAiAAAAZHJzL2Rvd25yZXYueG1sUEsBAhQAFAAAAAgAh07iQKSuKlFOAgAAvAQAAA4AAAAA&#10;AAAAAQAgAAAAIgEAAGRycy9lMm9Eb2MueG1sUEsFBgAAAAAGAAYAWQEAAOIFAAAAAA==&#10;">
                <v:fill on="t" focussize="0,0"/>
                <v:stroke on="f" weight="2pt"/>
                <v:imagedata o:title=""/>
                <o:lock v:ext="edit" aspectratio="f"/>
                <w10:anchorlock/>
              </v:rect>
            </w:pict>
          </mc:Fallback>
        </mc:AlternateContent>
      </w:r>
      <w:r>
        <w:rPr>
          <w:rFonts w:hint="eastAsia"/>
          <w:w w:val="100"/>
        </w:rPr>
        <mc:AlternateContent>
          <mc:Choice Requires="wps">
            <w:drawing>
              <wp:anchor distT="0" distB="0" distL="114300" distR="114300" simplePos="0" relativeHeight="251664384" behindDoc="1" locked="0" layoutInCell="1" allowOverlap="1">
                <wp:simplePos x="0" y="0"/>
                <wp:positionH relativeFrom="column">
                  <wp:posOffset>3175000</wp:posOffset>
                </wp:positionH>
                <wp:positionV relativeFrom="paragraph">
                  <wp:posOffset>5778500</wp:posOffset>
                </wp:positionV>
                <wp:extent cx="1270000" cy="304800"/>
                <wp:effectExtent l="0" t="0" r="6350" b="0"/>
                <wp:wrapNone/>
                <wp:docPr id="8" name="LB"/>
                <wp:cNvGraphicFramePr/>
                <a:graphic xmlns:a="http://schemas.openxmlformats.org/drawingml/2006/main">
                  <a:graphicData uri="http://schemas.microsoft.com/office/word/2010/wordprocessingShape">
                    <wps:wsp>
                      <wps:cNvSpPr/>
                      <wps:spPr>
                        <a:xfrm>
                          <a:off x="0" y="0"/>
                          <a:ext cx="1270000" cy="30480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LB" o:spid="_x0000_s1026" o:spt="1" style="position:absolute;left:0pt;margin-left:250pt;margin-top:455pt;height:24pt;width:100pt;z-index:-251652096;v-text-anchor:middle;mso-width-relative:page;mso-height-relative:page;" fillcolor="#FFFFFF" filled="t" stroked="f" coordsize="21600,21600" o:gfxdata="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IALFgjUAAAACwEAAA8AAAAA&#10;AAAAAQAgAAAAIgAAAGRycy9kb3ducmV2LnhtbFBLAQIUABQAAAAIAIdO4kA70EwBUQIAALwEAAAO&#10;AAAAAAAAAAEAIAAAACMBAABkcnMvZTJvRG9jLnhtbFBLBQYAAAAABgAGAFkBAADmBQAAAAA=&#10;">
                <v:fill on="t" focussize="0,0"/>
                <v:stroke on="f" weight="2pt"/>
                <v:imagedata o:title=""/>
                <o:lock v:ext="edit" aspectratio="f"/>
              </v:rect>
            </w:pict>
          </mc:Fallback>
        </mc:AlternateContent>
      </w:r>
      <w:r>
        <w:rPr>
          <w:rFonts w:hint="eastAsia"/>
          <w:w w:val="100"/>
        </w:rPr>
        <mc:AlternateContent>
          <mc:Choice Requires="wps">
            <w:drawing>
              <wp:anchor distT="0" distB="0" distL="114300" distR="114300" simplePos="0" relativeHeight="251663360" behindDoc="1" locked="0" layoutInCell="1" allowOverlap="1">
                <wp:simplePos x="0" y="0"/>
                <wp:positionH relativeFrom="column">
                  <wp:posOffset>5778500</wp:posOffset>
                </wp:positionH>
                <wp:positionV relativeFrom="paragraph">
                  <wp:posOffset>2286000</wp:posOffset>
                </wp:positionV>
                <wp:extent cx="1143000" cy="228600"/>
                <wp:effectExtent l="0" t="0" r="0" b="0"/>
                <wp:wrapNone/>
                <wp:docPr id="7" name="DT"/>
                <wp:cNvGraphicFramePr/>
                <a:graphic xmlns:a="http://schemas.openxmlformats.org/drawingml/2006/main">
                  <a:graphicData uri="http://schemas.microsoft.com/office/word/2010/wordprocessingShape">
                    <wps:wsp>
                      <wps:cNvSpPr/>
                      <wps:spPr>
                        <a:xfrm>
                          <a:off x="0" y="0"/>
                          <a:ext cx="1143000" cy="22860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DT" o:spid="_x0000_s1026" o:spt="1" style="position:absolute;left:0pt;margin-left:455pt;margin-top:180pt;height:18pt;width:90pt;z-index:-251653120;v-text-anchor:middle;mso-width-relative:page;mso-height-relative:page;" fillcolor="#FFFFFF" filled="t" stroked="f" coordsize="21600,21600" o:gfxdata="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GXOJ+9QAAAAMAQAADwAAAAAA&#10;AAABACAAAAAiAAAAZHJzL2Rvd25yZXYueG1sUEsBAhQAFAAAAAgAh07iQFAlmL9QAgAAvAQAAA4A&#10;AAAAAAAAAQAgAAAAIwEAAGRycy9lMm9Eb2MueG1sUEsFBgAAAAAGAAYAWQEAAOUFAAAAAA==&#10;">
                <v:fill on="t" focussize="0,0"/>
                <v:stroke on="f" weight="2pt"/>
                <v:imagedata o:title=""/>
                <o:lock v:ext="edit" aspectratio="f"/>
              </v:rect>
            </w:pict>
          </mc:Fallback>
        </mc:AlternateContent>
      </w:r>
      <w:r>
        <w:rPr>
          <w:rFonts w:hint="eastAsia"/>
          <w:w w:val="100"/>
        </w:rPr>
        <mc:AlternateContent>
          <mc:Choice Requires="wps">
            <w:drawing>
              <wp:anchor distT="0" distB="0" distL="114300" distR="114300" simplePos="0" relativeHeight="251662336" behindDoc="0" locked="0" layoutInCell="1" allowOverlap="1">
                <wp:simplePos x="0" y="0"/>
                <wp:positionH relativeFrom="column">
                  <wp:posOffset>899795</wp:posOffset>
                </wp:positionH>
                <wp:positionV relativeFrom="paragraph">
                  <wp:posOffset>2699385</wp:posOffset>
                </wp:positionV>
                <wp:extent cx="612013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70.85pt;margin-top:212.55pt;height:0pt;width:481.9pt;z-index:251662336;mso-width-relative:page;mso-height-relative:page;" filled="f" stroked="t" coordsize="21600,21600" o:gfxdata="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KQedxjXAAAADAEAAA8AAAAAAAAAAQAg&#10;AAAAIgAAAGRycy9kb3ducmV2LnhtbFBLAQIUABQAAAAIAIdO4kDU1o8l1gEAAJoDAAAOAAAAAAAA&#10;AAEAIAAAACYBAABkcnMvZTJvRG9jLnhtbFBLBQYAAAAABgAGAFkBAABuBQAAAAA=&#10;">
                <v:fill on="f" focussize="0,0"/>
                <v:stroke color="#000000 [3204]" joinstyle="round"/>
                <v:imagedata o:title=""/>
                <o:lock v:ext="edit" aspectratio="f"/>
              </v:line>
            </w:pict>
          </mc:Fallback>
        </mc:AlternateContent>
      </w:r>
      <w:r>
        <w:rPr>
          <w:rFonts w:hint="eastAsia"/>
          <w:w w:val="100"/>
        </w:rPr>
        <mc:AlternateContent>
          <mc:Choice Requires="wps">
            <w:drawing>
              <wp:anchor distT="0" distB="0" distL="114300" distR="114300" simplePos="0" relativeHeight="251661312" behindDoc="0" locked="0" layoutInCell="1" allowOverlap="1">
                <wp:simplePos x="0" y="0"/>
                <wp:positionH relativeFrom="column">
                  <wp:posOffset>899795</wp:posOffset>
                </wp:positionH>
                <wp:positionV relativeFrom="paragraph">
                  <wp:posOffset>9251950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70.85pt;margin-top:728.5pt;height:0pt;width:481.9pt;z-index:251661312;mso-width-relative:page;mso-height-relative:page;" filled="f" stroked="t" coordsize="21600,21600" o:gfxdata="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AgiuhLXAAAADgEAAA8AAAAAAAAAAQAg&#10;AAAAIgAAAGRycy9kb3ducmV2LnhtbFBLAQIUABQAAAAIAIdO4kBf0ZnW1gEAAJoDAAAOAAAAAAAA&#10;AAEAIAAAACYBAABkcnMvZTJvRG9jLnhtbFBLBQYAAAAABgAGAFkBAABuBQAAAAA=&#10;">
                <v:fill on="f" focussize="0,0"/>
                <v:stroke color="#000000 [3204]" joinstyle="round"/>
                <v:imagedata o:title=""/>
                <o:lock v:ext="edit" aspectratio="f"/>
              </v:line>
            </w:pict>
          </mc:Fallback>
        </mc:AlternateContent>
      </w:r>
    </w:p>
    <w:p>
      <w:pPr>
        <w:pStyle w:val="22"/>
        <w:sectPr>
          <w:pgSz w:w="11906" w:h="16838"/>
          <w:pgMar w:top="567" w:right="850" w:bottom="1134" w:left="1418" w:header="0" w:footer="0" w:gutter="0"/>
          <w:pgNumType w:start="1"/>
          <w:cols w:space="425" w:num="1"/>
          <w:docGrid w:type="lines" w:linePitch="312" w:charSpace="0"/>
        </w:sectPr>
      </w:pPr>
      <w:r>
        <mc:AlternateContent>
          <mc:Choice Requires="wps">
            <w:drawing>
              <wp:anchor distT="0" distB="0" distL="114300" distR="114300" simplePos="0" relativeHeight="251667456" behindDoc="0" locked="0" layoutInCell="1" allowOverlap="1">
                <wp:simplePos x="0" y="0"/>
                <wp:positionH relativeFrom="column">
                  <wp:posOffset>-30480</wp:posOffset>
                </wp:positionH>
                <wp:positionV relativeFrom="paragraph">
                  <wp:posOffset>2171065</wp:posOffset>
                </wp:positionV>
                <wp:extent cx="6121400" cy="0"/>
                <wp:effectExtent l="0" t="0" r="0" b="0"/>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6121400" cy="0"/>
                        </a:xfrm>
                        <a:prstGeom prst="line">
                          <a:avLst/>
                        </a:prstGeom>
                        <a:noFill/>
                        <a:ln w="12700">
                          <a:solidFill>
                            <a:srgbClr val="080000"/>
                          </a:solidFill>
                          <a:round/>
                        </a:ln>
                      </wps:spPr>
                      <wps:bodyPr/>
                    </wps:wsp>
                  </a:graphicData>
                </a:graphic>
              </wp:anchor>
            </w:drawing>
          </mc:Choice>
          <mc:Fallback>
            <w:pict>
              <v:line id="_x0000_s1026" o:spid="_x0000_s1026" o:spt="20" style="position:absolute;left:0pt;margin-left:-2.4pt;margin-top:170.95pt;height:0pt;width:482pt;z-index:251667456;mso-width-relative:page;mso-height-relative:page;" filled="f" stroked="t" coordsize="21600,21600" o:gfxdata="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PF1/b2QAA&#10;AAoBAAAPAAAAAAAAAAEAIAAAACIAAABkcnMvZG93bnJldi54bWxQSwECFAAUAAAACACHTuJALdRo&#10;0eQBAACtAwAADgAAAAAAAAABACAAAAAoAQAAZHJzL2Uyb0RvYy54bWxQSwUGAAAAAAYABgBZAQAA&#10;fgUAAAAA&#10;">
                <v:fill on="f" focussize="0,0"/>
                <v:stroke weight="1pt" color="#080000" joinstyle="round"/>
                <v:imagedata o:title=""/>
                <o:lock v:ext="edit" aspectratio="f"/>
              </v:lin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635</wp:posOffset>
                </wp:positionH>
                <wp:positionV relativeFrom="paragraph">
                  <wp:posOffset>8921115</wp:posOffset>
                </wp:positionV>
                <wp:extent cx="6121400" cy="0"/>
                <wp:effectExtent l="0" t="0" r="0" b="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6121400" cy="0"/>
                        </a:xfrm>
                        <a:prstGeom prst="line">
                          <a:avLst/>
                        </a:prstGeom>
                        <a:noFill/>
                        <a:ln w="12700">
                          <a:solidFill>
                            <a:srgbClr val="080000"/>
                          </a:solidFill>
                          <a:round/>
                        </a:ln>
                      </wps:spPr>
                      <wps:bodyPr/>
                    </wps:wsp>
                  </a:graphicData>
                </a:graphic>
              </wp:anchor>
            </w:drawing>
          </mc:Choice>
          <mc:Fallback>
            <w:pict>
              <v:line id="_x0000_s1026" o:spid="_x0000_s1026" o:spt="20" style="position:absolute;left:0pt;margin-left:0.05pt;margin-top:702.45pt;height:0pt;width:482pt;z-index:251666432;mso-width-relative:page;mso-height-relative:page;" filled="f" stroked="t" coordsize="21600,21600" o:gfxdata="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eYLVrXAAAACgEA&#10;AA8AAAAAAAAAAQAgAAAAIgAAAGRycy9kb3ducmV2LnhtbFBLAQIUABQAAAAIAIdO4kDKbZdE4gEA&#10;AKsDAAAOAAAAAAAAAAEAIAAAACYBAABkcnMvZTJvRG9jLnhtbFBLBQYAAAAABgAGAFkBAAB6BQAA&#10;AAA=&#10;">
                <v:fill on="f" focussize="0,0"/>
                <v:stroke weight="1pt" color="#080000" joinstyle="round"/>
                <v:imagedata o:title=""/>
                <o:lock v:ext="edit" aspectratio="f"/>
              </v:line>
            </w:pict>
          </mc:Fallback>
        </mc:AlternateContent>
      </w:r>
    </w:p>
    <w:p>
      <w:pPr>
        <w:pStyle w:val="47"/>
      </w:pPr>
      <w:bookmarkStart w:id="12" w:name="_Toc53175703"/>
      <w:r>
        <w:rPr>
          <w:rFonts w:hint="eastAsia"/>
        </w:rPr>
        <w:t>目</w:t>
      </w:r>
      <w:bookmarkStart w:id="13" w:name="BKML"/>
      <w:r>
        <w:rPr>
          <w:rFonts w:hAnsi="黑体"/>
        </w:rPr>
        <w:t>  </w:t>
      </w:r>
      <w:r>
        <w:rPr>
          <w:rFonts w:hint="eastAsia"/>
        </w:rPr>
        <w:t>次</w:t>
      </w:r>
      <w:bookmarkEnd w:id="13"/>
    </w:p>
    <w:p>
      <w:pPr>
        <w:pStyle w:val="18"/>
        <w:spacing w:before="78" w:after="78"/>
        <w:rPr>
          <w:rFonts w:asciiTheme="minorHAnsi" w:hAnsiTheme="minorHAnsi" w:eastAsiaTheme="minorEastAsia" w:cstheme="minorBidi"/>
          <w:szCs w:val="22"/>
        </w:rPr>
      </w:pPr>
      <w:r>
        <w:fldChar w:fldCharType="begin" w:fldLock="1"/>
      </w:r>
      <w:r>
        <w:instrText xml:space="preserve"> </w:instrText>
      </w:r>
      <w:r>
        <w:rPr>
          <w:rFonts w:hint="eastAsia"/>
        </w:rPr>
        <w:instrText xml:space="preserve">TOC \h \z \t"前言、引言标题,1,参考文献、索引标题,1,章标题,1,参考文献,1,附录标识,1" \* MERGEFORMAT</w:instrText>
      </w:r>
      <w:r>
        <w:instrText xml:space="preserve"> </w:instrText>
      </w:r>
      <w:r>
        <w:fldChar w:fldCharType="separate"/>
      </w:r>
      <w:r>
        <w:fldChar w:fldCharType="begin"/>
      </w:r>
      <w:r>
        <w:instrText xml:space="preserve"> HYPERLINK \l "_Toc53176642" </w:instrText>
      </w:r>
      <w:r>
        <w:fldChar w:fldCharType="separate"/>
      </w:r>
      <w:r>
        <w:rPr>
          <w:rStyle w:val="36"/>
        </w:rPr>
        <w:t>前言</w:t>
      </w:r>
      <w:r>
        <w:tab/>
      </w:r>
      <w:r>
        <w:fldChar w:fldCharType="begin" w:fldLock="1"/>
      </w:r>
      <w:r>
        <w:instrText xml:space="preserve"> PAGEREF _Toc53176642 \h </w:instrText>
      </w:r>
      <w:r>
        <w:fldChar w:fldCharType="separate"/>
      </w:r>
      <w:r>
        <w:t>II</w:t>
      </w:r>
      <w:r>
        <w:fldChar w:fldCharType="end"/>
      </w:r>
      <w:r>
        <w:fldChar w:fldCharType="end"/>
      </w:r>
    </w:p>
    <w:p>
      <w:pPr>
        <w:pStyle w:val="18"/>
        <w:spacing w:before="78" w:after="78"/>
        <w:rPr>
          <w:rFonts w:asciiTheme="minorHAnsi" w:hAnsiTheme="minorHAnsi" w:eastAsiaTheme="minorEastAsia" w:cstheme="minorBidi"/>
          <w:szCs w:val="22"/>
        </w:rPr>
      </w:pPr>
      <w:r>
        <w:fldChar w:fldCharType="begin"/>
      </w:r>
      <w:r>
        <w:instrText xml:space="preserve"> HYPERLINK \l "_Toc53176643" </w:instrText>
      </w:r>
      <w:r>
        <w:fldChar w:fldCharType="separate"/>
      </w:r>
      <w:r>
        <w:rPr>
          <w:rStyle w:val="36"/>
        </w:rPr>
        <w:t>1 范围</w:t>
      </w:r>
      <w:r>
        <w:tab/>
      </w:r>
      <w:r>
        <w:fldChar w:fldCharType="begin" w:fldLock="1"/>
      </w:r>
      <w:r>
        <w:instrText xml:space="preserve"> PAGEREF _Toc53176643 \h </w:instrText>
      </w:r>
      <w:r>
        <w:fldChar w:fldCharType="separate"/>
      </w:r>
      <w:r>
        <w:t>1</w:t>
      </w:r>
      <w:r>
        <w:fldChar w:fldCharType="end"/>
      </w:r>
      <w:r>
        <w:fldChar w:fldCharType="end"/>
      </w:r>
    </w:p>
    <w:p>
      <w:pPr>
        <w:pStyle w:val="18"/>
        <w:spacing w:before="78" w:after="78"/>
        <w:rPr>
          <w:rFonts w:asciiTheme="minorHAnsi" w:hAnsiTheme="minorHAnsi" w:eastAsiaTheme="minorEastAsia" w:cstheme="minorBidi"/>
          <w:szCs w:val="22"/>
        </w:rPr>
      </w:pPr>
      <w:r>
        <w:fldChar w:fldCharType="begin"/>
      </w:r>
      <w:r>
        <w:instrText xml:space="preserve"> HYPERLINK \l "_Toc53176644" </w:instrText>
      </w:r>
      <w:r>
        <w:fldChar w:fldCharType="separate"/>
      </w:r>
      <w:r>
        <w:rPr>
          <w:rStyle w:val="36"/>
        </w:rPr>
        <w:t>2 规范性引用文件</w:t>
      </w:r>
      <w:r>
        <w:tab/>
      </w:r>
      <w:r>
        <w:fldChar w:fldCharType="begin" w:fldLock="1"/>
      </w:r>
      <w:r>
        <w:instrText xml:space="preserve"> PAGEREF _Toc53176644 \h </w:instrText>
      </w:r>
      <w:r>
        <w:fldChar w:fldCharType="separate"/>
      </w:r>
      <w:r>
        <w:t>1</w:t>
      </w:r>
      <w:r>
        <w:fldChar w:fldCharType="end"/>
      </w:r>
      <w:r>
        <w:fldChar w:fldCharType="end"/>
      </w:r>
    </w:p>
    <w:p>
      <w:pPr>
        <w:pStyle w:val="18"/>
        <w:spacing w:before="78" w:after="78"/>
        <w:rPr>
          <w:rFonts w:asciiTheme="minorHAnsi" w:hAnsiTheme="minorHAnsi" w:eastAsiaTheme="minorEastAsia" w:cstheme="minorBidi"/>
          <w:szCs w:val="22"/>
        </w:rPr>
      </w:pPr>
      <w:r>
        <w:fldChar w:fldCharType="begin"/>
      </w:r>
      <w:r>
        <w:instrText xml:space="preserve"> HYPERLINK \l "_Toc53176645" </w:instrText>
      </w:r>
      <w:r>
        <w:fldChar w:fldCharType="separate"/>
      </w:r>
      <w:r>
        <w:rPr>
          <w:rStyle w:val="36"/>
        </w:rPr>
        <w:t>3 术语和定义</w:t>
      </w:r>
      <w:r>
        <w:tab/>
      </w:r>
      <w:r>
        <w:fldChar w:fldCharType="begin" w:fldLock="1"/>
      </w:r>
      <w:r>
        <w:instrText xml:space="preserve"> PAGEREF _Toc53176645 \h </w:instrText>
      </w:r>
      <w:r>
        <w:fldChar w:fldCharType="separate"/>
      </w:r>
      <w:r>
        <w:t>1</w:t>
      </w:r>
      <w:r>
        <w:fldChar w:fldCharType="end"/>
      </w:r>
      <w:r>
        <w:fldChar w:fldCharType="end"/>
      </w:r>
    </w:p>
    <w:p>
      <w:pPr>
        <w:pStyle w:val="18"/>
        <w:spacing w:before="78" w:after="78"/>
      </w:pPr>
      <w:r>
        <w:fldChar w:fldCharType="begin"/>
      </w:r>
      <w:r>
        <w:instrText xml:space="preserve"> HYPERLINK \l "_Toc53176646" </w:instrText>
      </w:r>
      <w:r>
        <w:fldChar w:fldCharType="separate"/>
      </w:r>
      <w:r>
        <w:rPr>
          <w:rStyle w:val="36"/>
        </w:rPr>
        <w:t>4 通则</w:t>
      </w:r>
      <w:r>
        <w:tab/>
      </w:r>
      <w:r>
        <w:t>3</w:t>
      </w:r>
      <w:r>
        <w:fldChar w:fldCharType="end"/>
      </w:r>
    </w:p>
    <w:p>
      <w:pPr>
        <w:pStyle w:val="18"/>
        <w:spacing w:before="78" w:after="78"/>
        <w:rPr>
          <w:rFonts w:asciiTheme="minorHAnsi" w:hAnsiTheme="minorHAnsi" w:eastAsiaTheme="minorEastAsia" w:cstheme="minorBidi"/>
          <w:szCs w:val="22"/>
        </w:rPr>
      </w:pPr>
      <w:r>
        <w:fldChar w:fldCharType="begin"/>
      </w:r>
      <w:r>
        <w:instrText xml:space="preserve"> HYPERLINK \l "_Toc53176647" </w:instrText>
      </w:r>
      <w:r>
        <w:fldChar w:fldCharType="separate"/>
      </w:r>
      <w:r>
        <w:rPr>
          <w:rStyle w:val="36"/>
        </w:rPr>
        <w:t xml:space="preserve">5 </w:t>
      </w:r>
      <w:r>
        <w:rPr>
          <w:rStyle w:val="36"/>
          <w:rFonts w:hint="eastAsia"/>
        </w:rPr>
        <w:t>静电防护管理措施</w:t>
      </w:r>
      <w:r>
        <w:tab/>
      </w:r>
      <w:r>
        <w:fldChar w:fldCharType="begin" w:fldLock="1"/>
      </w:r>
      <w:r>
        <w:instrText xml:space="preserve"> PAGEREF _Toc53176647 \h </w:instrText>
      </w:r>
      <w:r>
        <w:fldChar w:fldCharType="separate"/>
      </w:r>
      <w:r>
        <w:t>4</w:t>
      </w:r>
      <w:r>
        <w:fldChar w:fldCharType="end"/>
      </w:r>
      <w:r>
        <w:fldChar w:fldCharType="end"/>
      </w:r>
    </w:p>
    <w:p>
      <w:pPr>
        <w:pStyle w:val="18"/>
        <w:spacing w:before="78" w:after="78"/>
        <w:rPr>
          <w:rFonts w:asciiTheme="minorHAnsi" w:hAnsiTheme="minorHAnsi" w:eastAsiaTheme="minorEastAsia" w:cstheme="minorBidi"/>
          <w:szCs w:val="22"/>
        </w:rPr>
      </w:pPr>
      <w:bookmarkStart w:id="14" w:name="_Hlk105361055"/>
      <w:r>
        <w:fldChar w:fldCharType="begin"/>
      </w:r>
      <w:r>
        <w:instrText xml:space="preserve"> HYPERLINK \l "_Toc53176647" </w:instrText>
      </w:r>
      <w:r>
        <w:fldChar w:fldCharType="separate"/>
      </w:r>
      <w:r>
        <w:rPr>
          <w:rStyle w:val="36"/>
        </w:rPr>
        <w:t>6 防静电工作区及分级</w:t>
      </w:r>
      <w:r>
        <w:tab/>
      </w:r>
      <w:r>
        <w:t>5</w:t>
      </w:r>
      <w:r>
        <w:fldChar w:fldCharType="end"/>
      </w:r>
    </w:p>
    <w:bookmarkEnd w:id="14"/>
    <w:p>
      <w:pPr>
        <w:pStyle w:val="18"/>
        <w:spacing w:before="78" w:after="78"/>
        <w:rPr>
          <w:rFonts w:asciiTheme="minorHAnsi" w:hAnsiTheme="minorHAnsi" w:eastAsiaTheme="minorEastAsia" w:cstheme="minorBidi"/>
          <w:szCs w:val="22"/>
        </w:rPr>
      </w:pPr>
      <w:r>
        <w:fldChar w:fldCharType="begin"/>
      </w:r>
      <w:r>
        <w:instrText xml:space="preserve"> HYPERLINK \l "_Toc53176648" </w:instrText>
      </w:r>
      <w:r>
        <w:fldChar w:fldCharType="separate"/>
      </w:r>
      <w:r>
        <w:rPr>
          <w:rStyle w:val="36"/>
        </w:rPr>
        <w:t>7 固态物料防护措施</w:t>
      </w:r>
      <w:r>
        <w:tab/>
      </w:r>
      <w:r>
        <w:t>7</w:t>
      </w:r>
      <w:r>
        <w:fldChar w:fldCharType="end"/>
      </w:r>
    </w:p>
    <w:p>
      <w:pPr>
        <w:pStyle w:val="18"/>
        <w:spacing w:before="78" w:after="78"/>
        <w:rPr>
          <w:rFonts w:asciiTheme="minorHAnsi" w:hAnsiTheme="minorHAnsi" w:eastAsiaTheme="minorEastAsia" w:cstheme="minorBidi"/>
          <w:szCs w:val="22"/>
        </w:rPr>
      </w:pPr>
      <w:r>
        <w:fldChar w:fldCharType="begin"/>
      </w:r>
      <w:r>
        <w:instrText xml:space="preserve"> HYPERLINK \l "_Toc53176649" </w:instrText>
      </w:r>
      <w:r>
        <w:fldChar w:fldCharType="separate"/>
      </w:r>
      <w:r>
        <w:rPr>
          <w:rStyle w:val="36"/>
        </w:rPr>
        <w:t>8 液态物料防护措施</w:t>
      </w:r>
      <w:r>
        <w:tab/>
      </w:r>
      <w:r>
        <w:t>9</w:t>
      </w:r>
      <w:r>
        <w:fldChar w:fldCharType="end"/>
      </w:r>
    </w:p>
    <w:p>
      <w:pPr>
        <w:pStyle w:val="18"/>
        <w:spacing w:before="78" w:after="78"/>
        <w:rPr>
          <w:rFonts w:asciiTheme="minorHAnsi" w:hAnsiTheme="minorHAnsi" w:eastAsiaTheme="minorEastAsia" w:cstheme="minorBidi"/>
          <w:szCs w:val="22"/>
        </w:rPr>
      </w:pPr>
      <w:r>
        <w:fldChar w:fldCharType="begin"/>
      </w:r>
      <w:r>
        <w:instrText xml:space="preserve"> HYPERLINK \l "_Toc53176650" </w:instrText>
      </w:r>
      <w:r>
        <w:fldChar w:fldCharType="separate"/>
      </w:r>
      <w:r>
        <w:rPr>
          <w:rStyle w:val="36"/>
        </w:rPr>
        <w:t>9 气态和粉体物料的静电防护</w:t>
      </w:r>
      <w:r>
        <w:tab/>
      </w:r>
      <w:r>
        <w:t>12</w:t>
      </w:r>
      <w:r>
        <w:fldChar w:fldCharType="end"/>
      </w:r>
    </w:p>
    <w:p>
      <w:pPr>
        <w:pStyle w:val="18"/>
        <w:spacing w:before="78" w:after="78"/>
        <w:rPr>
          <w:rFonts w:asciiTheme="minorHAnsi" w:hAnsiTheme="minorHAnsi" w:eastAsiaTheme="minorEastAsia" w:cstheme="minorBidi"/>
          <w:szCs w:val="22"/>
        </w:rPr>
      </w:pPr>
      <w:r>
        <w:fldChar w:fldCharType="begin"/>
      </w:r>
      <w:r>
        <w:instrText xml:space="preserve"> HYPERLINK \l "_Toc53176651" </w:instrText>
      </w:r>
      <w:r>
        <w:fldChar w:fldCharType="separate"/>
      </w:r>
      <w:r>
        <w:rPr>
          <w:rStyle w:val="36"/>
        </w:rPr>
        <w:t>10 人体静电防护措施</w:t>
      </w:r>
      <w:r>
        <w:tab/>
      </w:r>
      <w:r>
        <w:t>13</w:t>
      </w:r>
      <w:r>
        <w:fldChar w:fldCharType="end"/>
      </w:r>
    </w:p>
    <w:p>
      <w:pPr>
        <w:pStyle w:val="18"/>
        <w:spacing w:before="78" w:after="78"/>
        <w:rPr>
          <w:rFonts w:asciiTheme="minorHAnsi" w:hAnsiTheme="minorHAnsi" w:eastAsiaTheme="minorEastAsia" w:cstheme="minorBidi"/>
          <w:szCs w:val="22"/>
        </w:rPr>
      </w:pPr>
      <w:r>
        <w:fldChar w:fldCharType="begin"/>
      </w:r>
      <w:r>
        <w:instrText xml:space="preserve"> HYPERLINK \l "_Toc53176652" </w:instrText>
      </w:r>
      <w:r>
        <w:fldChar w:fldCharType="separate"/>
      </w:r>
      <w:r>
        <w:rPr>
          <w:rStyle w:val="36"/>
        </w:rPr>
        <w:t>11 静电事故的分析和确定</w:t>
      </w:r>
      <w:r>
        <w:tab/>
      </w:r>
      <w:r>
        <w:t>14</w:t>
      </w:r>
      <w:r>
        <w:fldChar w:fldCharType="end"/>
      </w:r>
    </w:p>
    <w:p>
      <w:pPr>
        <w:pStyle w:val="18"/>
        <w:spacing w:before="78" w:after="78"/>
        <w:rPr>
          <w:rFonts w:asciiTheme="minorHAnsi" w:hAnsiTheme="minorHAnsi" w:eastAsiaTheme="minorEastAsia" w:cstheme="minorBidi"/>
          <w:szCs w:val="22"/>
        </w:rPr>
      </w:pPr>
      <w:r>
        <w:fldChar w:fldCharType="begin"/>
      </w:r>
      <w:r>
        <w:instrText xml:space="preserve"> HYPERLINK \l "_Toc53176653" </w:instrText>
      </w:r>
      <w:r>
        <w:fldChar w:fldCharType="separate"/>
      </w:r>
      <w:r>
        <w:rPr>
          <w:rStyle w:val="36"/>
        </w:rPr>
        <w:t>附　录　A （规范性） 液体石油产品火灾危险性分类说明</w:t>
      </w:r>
      <w:r>
        <w:tab/>
      </w:r>
      <w:r>
        <w:fldChar w:fldCharType="begin" w:fldLock="1"/>
      </w:r>
      <w:r>
        <w:instrText xml:space="preserve"> PAGEREF _Toc53176653 \h </w:instrText>
      </w:r>
      <w:r>
        <w:fldChar w:fldCharType="separate"/>
      </w:r>
      <w:r>
        <w:t>15</w:t>
      </w:r>
      <w:r>
        <w:fldChar w:fldCharType="end"/>
      </w:r>
      <w:r>
        <w:fldChar w:fldCharType="end"/>
      </w:r>
    </w:p>
    <w:p>
      <w:pPr>
        <w:pStyle w:val="18"/>
        <w:spacing w:before="78" w:after="78"/>
        <w:rPr>
          <w:rFonts w:asciiTheme="minorHAnsi" w:hAnsiTheme="minorHAnsi" w:eastAsiaTheme="minorEastAsia" w:cstheme="minorBidi"/>
          <w:szCs w:val="22"/>
        </w:rPr>
      </w:pPr>
      <w:r>
        <w:fldChar w:fldCharType="begin"/>
      </w:r>
      <w:r>
        <w:instrText xml:space="preserve"> HYPERLINK \l "_Toc53176654" </w:instrText>
      </w:r>
      <w:r>
        <w:fldChar w:fldCharType="separate"/>
      </w:r>
      <w:r>
        <w:rPr>
          <w:rStyle w:val="36"/>
        </w:rPr>
        <w:t>附　录　B （资料性） 静电起电极性序列表</w:t>
      </w:r>
      <w:r>
        <w:tab/>
      </w:r>
      <w:r>
        <w:fldChar w:fldCharType="begin" w:fldLock="1"/>
      </w:r>
      <w:r>
        <w:instrText xml:space="preserve"> PAGEREF _Toc53176654 \h </w:instrText>
      </w:r>
      <w:r>
        <w:fldChar w:fldCharType="separate"/>
      </w:r>
      <w:r>
        <w:t>16</w:t>
      </w:r>
      <w:r>
        <w:fldChar w:fldCharType="end"/>
      </w:r>
      <w:r>
        <w:fldChar w:fldCharType="end"/>
      </w:r>
    </w:p>
    <w:p>
      <w:pPr>
        <w:pStyle w:val="18"/>
        <w:spacing w:before="78" w:after="78"/>
        <w:rPr>
          <w:rFonts w:asciiTheme="minorHAnsi" w:hAnsiTheme="minorHAnsi" w:eastAsiaTheme="minorEastAsia" w:cstheme="minorBidi"/>
          <w:szCs w:val="22"/>
        </w:rPr>
      </w:pPr>
      <w:r>
        <w:fldChar w:fldCharType="begin"/>
      </w:r>
      <w:r>
        <w:instrText xml:space="preserve"> HYPERLINK \l "_Toc53176655" </w:instrText>
      </w:r>
      <w:r>
        <w:fldChar w:fldCharType="separate"/>
      </w:r>
      <w:r>
        <w:rPr>
          <w:rStyle w:val="36"/>
        </w:rPr>
        <w:t>附　录　C （资料性） 人体带电电位与静电电击程度关系</w:t>
      </w:r>
      <w:r>
        <w:tab/>
      </w:r>
      <w:r>
        <w:fldChar w:fldCharType="begin" w:fldLock="1"/>
      </w:r>
      <w:r>
        <w:instrText xml:space="preserve"> PAGEREF _Toc53176655 \h </w:instrText>
      </w:r>
      <w:r>
        <w:fldChar w:fldCharType="separate"/>
      </w:r>
      <w:r>
        <w:t>17</w:t>
      </w:r>
      <w:r>
        <w:fldChar w:fldCharType="end"/>
      </w:r>
      <w:r>
        <w:fldChar w:fldCharType="end"/>
      </w:r>
    </w:p>
    <w:p>
      <w:pPr>
        <w:pStyle w:val="18"/>
        <w:spacing w:before="78" w:after="78"/>
        <w:rPr>
          <w:rFonts w:asciiTheme="minorHAnsi" w:hAnsiTheme="minorHAnsi" w:eastAsiaTheme="minorEastAsia" w:cstheme="minorBidi"/>
          <w:szCs w:val="22"/>
        </w:rPr>
      </w:pPr>
      <w:r>
        <w:fldChar w:fldCharType="begin"/>
      </w:r>
      <w:r>
        <w:instrText xml:space="preserve"> HYPERLINK \l "_Toc53176656" </w:instrText>
      </w:r>
      <w:r>
        <w:fldChar w:fldCharType="separate"/>
      </w:r>
      <w:r>
        <w:rPr>
          <w:rStyle w:val="36"/>
        </w:rPr>
        <w:t>参考文献</w:t>
      </w:r>
      <w:r>
        <w:tab/>
      </w:r>
      <w:r>
        <w:fldChar w:fldCharType="begin" w:fldLock="1"/>
      </w:r>
      <w:r>
        <w:instrText xml:space="preserve"> PAGEREF _Toc53176656 \h </w:instrText>
      </w:r>
      <w:r>
        <w:fldChar w:fldCharType="separate"/>
      </w:r>
      <w:r>
        <w:t>18</w:t>
      </w:r>
      <w:r>
        <w:fldChar w:fldCharType="end"/>
      </w:r>
      <w:r>
        <w:fldChar w:fldCharType="end"/>
      </w:r>
    </w:p>
    <w:p>
      <w:pPr>
        <w:pStyle w:val="22"/>
      </w:pPr>
      <w:r>
        <w:fldChar w:fldCharType="end"/>
      </w:r>
    </w:p>
    <w:p>
      <w:pPr>
        <w:pStyle w:val="109"/>
      </w:pPr>
      <w:bookmarkStart w:id="15" w:name="_Toc53176642"/>
      <w:r>
        <w:rPr>
          <w:rFonts w:hint="eastAsia"/>
        </w:rPr>
        <w:t>前</w:t>
      </w:r>
      <w:bookmarkStart w:id="16" w:name="BKQY"/>
      <w:r>
        <w:rPr>
          <w:rFonts w:hAnsi="黑体"/>
        </w:rPr>
        <w:t>  </w:t>
      </w:r>
      <w:r>
        <w:rPr>
          <w:rFonts w:hint="eastAsia"/>
        </w:rPr>
        <w:t>言</w:t>
      </w:r>
      <w:bookmarkEnd w:id="12"/>
      <w:bookmarkEnd w:id="15"/>
      <w:bookmarkEnd w:id="16"/>
    </w:p>
    <w:p>
      <w:pPr>
        <w:widowControl/>
        <w:tabs>
          <w:tab w:val="center" w:pos="4201"/>
          <w:tab w:val="right" w:leader="dot" w:pos="9298"/>
        </w:tabs>
        <w:autoSpaceDE w:val="0"/>
        <w:autoSpaceDN w:val="0"/>
        <w:ind w:firstLine="420" w:firstLineChars="200"/>
        <w:rPr>
          <w:rFonts w:ascii="宋体"/>
          <w:kern w:val="0"/>
          <w:szCs w:val="20"/>
        </w:rPr>
      </w:pPr>
      <w:r>
        <w:rPr>
          <w:rFonts w:hint="eastAsia" w:ascii="宋体"/>
          <w:kern w:val="0"/>
          <w:szCs w:val="20"/>
        </w:rPr>
        <w:t>本文件按照GB/T</w:t>
      </w:r>
      <w:r>
        <w:rPr>
          <w:rFonts w:ascii="宋体"/>
          <w:kern w:val="0"/>
          <w:szCs w:val="20"/>
        </w:rPr>
        <w:t xml:space="preserve"> </w:t>
      </w:r>
      <w:r>
        <w:rPr>
          <w:rFonts w:hint="eastAsia" w:ascii="宋体"/>
          <w:kern w:val="0"/>
          <w:szCs w:val="20"/>
        </w:rPr>
        <w:t>1.1-20</w:t>
      </w:r>
      <w:r>
        <w:rPr>
          <w:rFonts w:ascii="宋体"/>
          <w:kern w:val="0"/>
          <w:szCs w:val="20"/>
        </w:rPr>
        <w:t>20</w:t>
      </w:r>
      <w:r>
        <w:rPr>
          <w:rFonts w:hint="eastAsia" w:ascii="宋体"/>
          <w:kern w:val="0"/>
          <w:szCs w:val="20"/>
        </w:rPr>
        <w:t>《标准化工作导则 第1部分：标准化文件的结构和起草规则》的规定起草。</w:t>
      </w:r>
    </w:p>
    <w:p>
      <w:pPr>
        <w:widowControl/>
        <w:tabs>
          <w:tab w:val="center" w:pos="4201"/>
          <w:tab w:val="right" w:leader="dot" w:pos="9298"/>
        </w:tabs>
        <w:autoSpaceDE w:val="0"/>
        <w:autoSpaceDN w:val="0"/>
        <w:ind w:firstLine="420" w:firstLineChars="200"/>
        <w:rPr>
          <w:rFonts w:ascii="宋体"/>
          <w:kern w:val="0"/>
          <w:szCs w:val="20"/>
        </w:rPr>
      </w:pPr>
      <w:r>
        <w:rPr>
          <w:rFonts w:hint="eastAsia" w:ascii="宋体"/>
          <w:kern w:val="0"/>
          <w:szCs w:val="20"/>
        </w:rPr>
        <w:t>本文件代替GB 12158-2006《防止静电事故通用导则》和GB 13348-2009《液体石油产品静电安全规程》，与GB 12158-2006和GB 13348-2009相比，主要技术变化如下：</w:t>
      </w:r>
    </w:p>
    <w:p>
      <w:pPr>
        <w:pStyle w:val="45"/>
      </w:pPr>
      <w:bookmarkStart w:id="17" w:name="_Hlk104913800"/>
      <w:r>
        <w:rPr>
          <w:rFonts w:hint="eastAsia"/>
        </w:rPr>
        <w:t>增加了静电消除器、泄漏电阻、接地电阻定义</w:t>
      </w:r>
      <w:bookmarkEnd w:id="17"/>
      <w:r>
        <w:rPr>
          <w:rFonts w:hint="eastAsia"/>
        </w:rPr>
        <w:t>；</w:t>
      </w:r>
    </w:p>
    <w:p>
      <w:pPr>
        <w:pStyle w:val="45"/>
      </w:pPr>
      <w:bookmarkStart w:id="18" w:name="_Hlk104913837"/>
      <w:r>
        <w:rPr>
          <w:rFonts w:hint="eastAsia"/>
        </w:rPr>
        <w:t>将GB 12158-2006第4部分“放电与引燃”、和6</w:t>
      </w:r>
      <w:r>
        <w:t>.1</w:t>
      </w:r>
      <w:r>
        <w:rPr>
          <w:rFonts w:hint="eastAsia"/>
        </w:rPr>
        <w:t>“基本防护措施”合并为“通则”作为静电防护的知识背景和通用性要求；</w:t>
      </w:r>
    </w:p>
    <w:p>
      <w:pPr>
        <w:pStyle w:val="45"/>
      </w:pPr>
      <w:r>
        <w:rPr>
          <w:rFonts w:hint="eastAsia"/>
        </w:rPr>
        <w:t>增加气体爆炸场所、粉尘爆炸场的分级，并增加“静电放电点燃界限”和“物体带电安全管理界限”等技术要求，对防静电工作区的危险情况进行通用性介绍</w:t>
      </w:r>
      <w:bookmarkEnd w:id="18"/>
      <w:r>
        <w:rPr>
          <w:rFonts w:hint="eastAsia"/>
        </w:rPr>
        <w:t>；</w:t>
      </w:r>
    </w:p>
    <w:p>
      <w:pPr>
        <w:pStyle w:val="45"/>
      </w:pPr>
      <w:r>
        <w:rPr>
          <w:rFonts w:hint="eastAsia"/>
        </w:rPr>
        <w:t>静电防护管理措施部分，增加了“通则”、“组织管理”内容，并修订了人员和检查部分要求。</w:t>
      </w:r>
    </w:p>
    <w:p>
      <w:pPr>
        <w:pStyle w:val="45"/>
      </w:pPr>
      <w:bookmarkStart w:id="19" w:name="_Hlk104913852"/>
      <w:r>
        <w:rPr>
          <w:rFonts w:hint="eastAsia"/>
        </w:rPr>
        <w:t>将GB</w:t>
      </w:r>
      <w:r>
        <w:t xml:space="preserve"> 12158</w:t>
      </w:r>
      <w:r>
        <w:rPr>
          <w:rFonts w:hint="eastAsia"/>
        </w:rPr>
        <w:t>-</w:t>
      </w:r>
      <w:r>
        <w:t>2006</w:t>
      </w:r>
      <w:r>
        <w:rPr>
          <w:rFonts w:hint="eastAsia"/>
        </w:rPr>
        <w:t>“静电防护技术措施”部分分解为“固态物料防护措施”、“液态物料防护措施”、“气态和粉体物料的静电防护”三章，在“液态物料防护措施”中引入GB</w:t>
      </w:r>
      <w:r>
        <w:t xml:space="preserve"> 13348</w:t>
      </w:r>
      <w:r>
        <w:rPr>
          <w:rFonts w:hint="eastAsia"/>
        </w:rPr>
        <w:t>-</w:t>
      </w:r>
      <w:r>
        <w:t>2009</w:t>
      </w:r>
      <w:r>
        <w:rPr>
          <w:rFonts w:hint="eastAsia"/>
        </w:rPr>
        <w:t>内容，并对“气态和粉体物料的静电防护”部分进行补充；</w:t>
      </w:r>
    </w:p>
    <w:p>
      <w:pPr>
        <w:pStyle w:val="45"/>
      </w:pPr>
      <w:r>
        <w:rPr>
          <w:rFonts w:hint="eastAsia"/>
        </w:rPr>
        <w:t>将</w:t>
      </w:r>
      <w:bookmarkEnd w:id="19"/>
      <w:r>
        <w:rPr>
          <w:rFonts w:hint="eastAsia"/>
        </w:rPr>
        <w:t>原GB</w:t>
      </w:r>
      <w:r>
        <w:t xml:space="preserve"> 12158</w:t>
      </w:r>
      <w:r>
        <w:rPr>
          <w:rFonts w:hint="eastAsia"/>
        </w:rPr>
        <w:t>-</w:t>
      </w:r>
      <w:r>
        <w:t>2006</w:t>
      </w:r>
      <w:r>
        <w:rPr>
          <w:rFonts w:hint="eastAsia"/>
        </w:rPr>
        <w:t>标准第6.</w:t>
      </w:r>
      <w:r>
        <w:t>5</w:t>
      </w:r>
      <w:r>
        <w:rPr>
          <w:rFonts w:hint="eastAsia"/>
        </w:rPr>
        <w:t>部分独立为人体静电防护措施，并增加相关内容。</w:t>
      </w:r>
    </w:p>
    <w:p>
      <w:pPr>
        <w:pStyle w:val="45"/>
      </w:pPr>
      <w:bookmarkStart w:id="20" w:name="_Hlk104913888"/>
      <w:r>
        <w:rPr>
          <w:rFonts w:hint="eastAsia"/>
        </w:rPr>
        <w:t>删除GB</w:t>
      </w:r>
      <w:r>
        <w:t xml:space="preserve"> 12158</w:t>
      </w:r>
      <w:r>
        <w:rPr>
          <w:rFonts w:hint="eastAsia"/>
        </w:rPr>
        <w:t>-</w:t>
      </w:r>
      <w:r>
        <w:t>2006</w:t>
      </w:r>
      <w:r>
        <w:rPr>
          <w:rFonts w:hint="eastAsia"/>
        </w:rPr>
        <w:t>附录A和附录D</w:t>
      </w:r>
      <w:bookmarkEnd w:id="20"/>
      <w:r>
        <w:rPr>
          <w:rFonts w:hint="eastAsia"/>
        </w:rPr>
        <w:t>。</w:t>
      </w:r>
    </w:p>
    <w:p>
      <w:pPr>
        <w:widowControl/>
        <w:tabs>
          <w:tab w:val="center" w:pos="4201"/>
          <w:tab w:val="right" w:leader="dot" w:pos="9298"/>
        </w:tabs>
        <w:autoSpaceDE w:val="0"/>
        <w:autoSpaceDN w:val="0"/>
        <w:ind w:firstLine="420" w:firstLineChars="200"/>
        <w:rPr>
          <w:rFonts w:ascii="宋体"/>
          <w:kern w:val="0"/>
          <w:szCs w:val="20"/>
        </w:rPr>
      </w:pPr>
      <w:r>
        <w:rPr>
          <w:rFonts w:hint="eastAsia" w:ascii="宋体"/>
          <w:kern w:val="0"/>
          <w:szCs w:val="20"/>
        </w:rPr>
        <w:t>本文件由应急管理部提出并归口。</w:t>
      </w:r>
    </w:p>
    <w:p>
      <w:pPr>
        <w:widowControl/>
        <w:tabs>
          <w:tab w:val="center" w:pos="4201"/>
          <w:tab w:val="right" w:leader="dot" w:pos="9298"/>
        </w:tabs>
        <w:autoSpaceDE w:val="0"/>
        <w:autoSpaceDN w:val="0"/>
        <w:ind w:firstLine="420" w:firstLineChars="200"/>
        <w:rPr>
          <w:rFonts w:ascii="宋体"/>
          <w:kern w:val="0"/>
          <w:szCs w:val="20"/>
        </w:rPr>
      </w:pPr>
      <w:r>
        <w:rPr>
          <w:rFonts w:hint="eastAsia" w:ascii="宋体"/>
          <w:kern w:val="0"/>
          <w:szCs w:val="20"/>
        </w:rPr>
        <w:t>本文件及其所代替文件的历次版本发布情况为：</w:t>
      </w:r>
    </w:p>
    <w:p>
      <w:pPr>
        <w:widowControl/>
        <w:tabs>
          <w:tab w:val="center" w:pos="4201"/>
          <w:tab w:val="right" w:leader="dot" w:pos="9298"/>
        </w:tabs>
        <w:autoSpaceDE w:val="0"/>
        <w:autoSpaceDN w:val="0"/>
        <w:ind w:firstLine="420" w:firstLineChars="200"/>
        <w:rPr>
          <w:rFonts w:ascii="宋体"/>
          <w:kern w:val="0"/>
          <w:szCs w:val="20"/>
        </w:rPr>
      </w:pPr>
      <w:r>
        <w:rPr>
          <w:rFonts w:hint="eastAsia" w:ascii="宋体"/>
          <w:kern w:val="0"/>
          <w:szCs w:val="20"/>
        </w:rPr>
        <w:t>——</w:t>
      </w:r>
      <w:r>
        <w:rPr>
          <w:rFonts w:ascii="宋体"/>
          <w:kern w:val="0"/>
          <w:szCs w:val="20"/>
        </w:rPr>
        <w:t>GB 12158</w:t>
      </w:r>
      <w:r>
        <w:rPr>
          <w:rFonts w:hint="eastAsia" w:ascii="宋体"/>
          <w:kern w:val="0"/>
          <w:szCs w:val="20"/>
        </w:rPr>
        <w:t>，1</w:t>
      </w:r>
      <w:r>
        <w:rPr>
          <w:rFonts w:ascii="宋体"/>
          <w:kern w:val="0"/>
          <w:szCs w:val="20"/>
        </w:rPr>
        <w:t>990</w:t>
      </w:r>
      <w:r>
        <w:rPr>
          <w:rFonts w:hint="eastAsia" w:ascii="宋体"/>
          <w:kern w:val="0"/>
          <w:szCs w:val="20"/>
        </w:rPr>
        <w:t>年首次发布，2</w:t>
      </w:r>
      <w:r>
        <w:rPr>
          <w:rFonts w:ascii="宋体"/>
          <w:kern w:val="0"/>
          <w:szCs w:val="20"/>
        </w:rPr>
        <w:t>009</w:t>
      </w:r>
      <w:r>
        <w:rPr>
          <w:rFonts w:hint="eastAsia" w:ascii="宋体"/>
          <w:kern w:val="0"/>
          <w:szCs w:val="20"/>
        </w:rPr>
        <w:t>年第一次修订；</w:t>
      </w:r>
    </w:p>
    <w:p>
      <w:pPr>
        <w:widowControl/>
        <w:tabs>
          <w:tab w:val="center" w:pos="4201"/>
          <w:tab w:val="right" w:leader="dot" w:pos="9298"/>
        </w:tabs>
        <w:autoSpaceDE w:val="0"/>
        <w:autoSpaceDN w:val="0"/>
        <w:ind w:firstLine="420" w:firstLineChars="200"/>
        <w:rPr>
          <w:rFonts w:ascii="宋体"/>
          <w:kern w:val="0"/>
          <w:szCs w:val="20"/>
        </w:rPr>
      </w:pPr>
      <w:r>
        <w:rPr>
          <w:rFonts w:hint="eastAsia" w:ascii="宋体"/>
          <w:kern w:val="0"/>
          <w:szCs w:val="20"/>
        </w:rPr>
        <w:t>——GB</w:t>
      </w:r>
      <w:r>
        <w:rPr>
          <w:rFonts w:ascii="宋体"/>
          <w:kern w:val="0"/>
          <w:szCs w:val="20"/>
        </w:rPr>
        <w:t xml:space="preserve"> 13348</w:t>
      </w:r>
      <w:r>
        <w:rPr>
          <w:rFonts w:hint="eastAsia" w:ascii="宋体"/>
          <w:kern w:val="0"/>
          <w:szCs w:val="20"/>
        </w:rPr>
        <w:t>，1</w:t>
      </w:r>
      <w:r>
        <w:rPr>
          <w:rFonts w:ascii="宋体"/>
          <w:kern w:val="0"/>
          <w:szCs w:val="20"/>
        </w:rPr>
        <w:t>992</w:t>
      </w:r>
      <w:r>
        <w:rPr>
          <w:rFonts w:hint="eastAsia" w:ascii="宋体"/>
          <w:kern w:val="0"/>
          <w:szCs w:val="20"/>
        </w:rPr>
        <w:t>年首次发布，2</w:t>
      </w:r>
      <w:r>
        <w:rPr>
          <w:rFonts w:ascii="宋体"/>
          <w:kern w:val="0"/>
          <w:szCs w:val="20"/>
        </w:rPr>
        <w:t>009</w:t>
      </w:r>
      <w:r>
        <w:rPr>
          <w:rFonts w:hint="eastAsia" w:ascii="宋体"/>
          <w:kern w:val="0"/>
          <w:szCs w:val="20"/>
        </w:rPr>
        <w:t>年第一次修订；</w:t>
      </w:r>
    </w:p>
    <w:p>
      <w:pPr>
        <w:widowControl/>
        <w:tabs>
          <w:tab w:val="center" w:pos="4201"/>
          <w:tab w:val="right" w:leader="dot" w:pos="9298"/>
        </w:tabs>
        <w:autoSpaceDE w:val="0"/>
        <w:autoSpaceDN w:val="0"/>
        <w:ind w:firstLine="420" w:firstLineChars="200"/>
        <w:rPr>
          <w:rFonts w:ascii="宋体"/>
          <w:kern w:val="0"/>
          <w:szCs w:val="20"/>
        </w:rPr>
        <w:sectPr>
          <w:headerReference r:id="rId3" w:type="default"/>
          <w:footerReference r:id="rId4" w:type="default"/>
          <w:pgSz w:w="11906" w:h="16838"/>
          <w:pgMar w:top="567" w:right="1134" w:bottom="1134" w:left="1418" w:header="1418" w:footer="1134" w:gutter="0"/>
          <w:pgNumType w:fmt="upperRoman" w:start="1"/>
          <w:cols w:space="425" w:num="1"/>
          <w:formProt w:val="0"/>
          <w:docGrid w:type="lines" w:linePitch="312" w:charSpace="0"/>
        </w:sectPr>
      </w:pPr>
      <w:r>
        <w:rPr>
          <w:rFonts w:hint="eastAsia" w:ascii="宋体"/>
          <w:kern w:val="0"/>
          <w:szCs w:val="20"/>
        </w:rPr>
        <w:t>——本次为第二次修订。</w:t>
      </w:r>
    </w:p>
    <w:p>
      <w:pPr>
        <w:pStyle w:val="47"/>
      </w:pPr>
      <w:sdt>
        <w:sdtPr>
          <w:rPr>
            <w:rFonts w:hint="eastAsia"/>
          </w:rPr>
          <w:alias w:val="标准名称"/>
          <w:tag w:val="标准名称"/>
          <w:id w:val="1795105741"/>
          <w:lock w:val="sdtLocked"/>
          <w:placeholder>
            <w:docPart w:val="111"/>
          </w:placeholder>
          <w:text w:multiLine="1"/>
        </w:sdtPr>
        <w:sdtEndPr>
          <w:rPr>
            <w:rFonts w:hint="eastAsia"/>
          </w:rPr>
        </w:sdtEndPr>
        <w:sdtContent>
          <w:r>
            <w:rPr>
              <w:rFonts w:hint="eastAsia"/>
            </w:rPr>
            <w:t>防止静电事故通用要求</w:t>
          </w:r>
        </w:sdtContent>
      </w:sdt>
      <w:bookmarkStart w:id="21" w:name="StandardName"/>
      <w:bookmarkEnd w:id="21"/>
    </w:p>
    <w:p>
      <w:pPr>
        <w:pStyle w:val="42"/>
        <w:spacing w:before="312" w:after="312"/>
      </w:pPr>
      <w:bookmarkStart w:id="22" w:name="_Toc53176643"/>
      <w:bookmarkStart w:id="23" w:name="_Toc53175704"/>
      <w:r>
        <w:rPr>
          <w:rFonts w:hint="eastAsia"/>
        </w:rPr>
        <w:t>范围</w:t>
      </w:r>
      <w:bookmarkEnd w:id="22"/>
      <w:bookmarkEnd w:id="23"/>
    </w:p>
    <w:p>
      <w:pPr>
        <w:pStyle w:val="22"/>
      </w:pPr>
      <w:r>
        <w:rPr>
          <w:rFonts w:hint="eastAsia"/>
        </w:rPr>
        <w:t>本文件描述了静电放电与引燃，规定了静电防护措施，静电危害的安全界限及静电事故的分析和确定方法。</w:t>
      </w:r>
    </w:p>
    <w:p>
      <w:pPr>
        <w:pStyle w:val="22"/>
      </w:pPr>
      <w:r>
        <w:rPr>
          <w:rFonts w:hint="eastAsia"/>
        </w:rPr>
        <w:t>本文件适用于存在静电引燃、引爆等静电危害场所的设计和管理，其它静电危害（如静电电击）可以参考本文件的有关条款。</w:t>
      </w:r>
    </w:p>
    <w:p>
      <w:pPr>
        <w:pStyle w:val="22"/>
      </w:pPr>
      <w:r>
        <w:rPr>
          <w:rFonts w:hint="eastAsia"/>
        </w:rPr>
        <w:t>本文件不适用于火炸药、电火工品的静电危害防范。</w:t>
      </w:r>
    </w:p>
    <w:p>
      <w:pPr>
        <w:pStyle w:val="42"/>
        <w:spacing w:before="312" w:after="312"/>
      </w:pPr>
      <w:bookmarkStart w:id="24" w:name="_Toc53175705"/>
      <w:bookmarkStart w:id="25" w:name="_Toc53176644"/>
      <w:r>
        <w:rPr>
          <w:rFonts w:hint="eastAsia"/>
        </w:rPr>
        <w:t>规范性引用文件</w:t>
      </w:r>
      <w:bookmarkEnd w:id="24"/>
      <w:bookmarkEnd w:id="25"/>
    </w:p>
    <w:p>
      <w:pPr>
        <w:pStyle w:val="22"/>
      </w:pPr>
      <w:r>
        <w:rPr>
          <w:rFonts w:hint="eastAsia"/>
        </w:rPr>
        <w:t>下列文件对于本文件的应用是必不可少的。凡是注日期的引用文件，仅注日期的版本适用于本文件。凡是不注日期的引用文件，其最新版本（包括所有的修改单）适用于本文件。</w:t>
      </w:r>
    </w:p>
    <w:p>
      <w:pPr>
        <w:pStyle w:val="22"/>
      </w:pPr>
      <w:bookmarkStart w:id="26" w:name="_Toc53176645"/>
      <w:bookmarkStart w:id="27" w:name="_Toc53175706"/>
      <w:r>
        <w:rPr>
          <w:rFonts w:hint="eastAsia"/>
        </w:rPr>
        <w:t>GB/</w:t>
      </w:r>
      <w:r>
        <w:t xml:space="preserve">T 3684 </w:t>
      </w:r>
      <w:r>
        <w:rPr>
          <w:rFonts w:hint="eastAsia"/>
        </w:rPr>
        <w:t>输送带 导电性 规范和试验方法</w:t>
      </w:r>
    </w:p>
    <w:p>
      <w:pPr>
        <w:pStyle w:val="22"/>
      </w:pPr>
      <w:r>
        <w:rPr>
          <w:rFonts w:hint="eastAsia"/>
        </w:rPr>
        <w:t>GB/T 3836.1 爆炸性环境 第1部分：设备 通用要求</w:t>
      </w:r>
    </w:p>
    <w:p>
      <w:pPr>
        <w:pStyle w:val="22"/>
      </w:pPr>
      <w:r>
        <w:rPr>
          <w:rFonts w:hint="eastAsia"/>
        </w:rPr>
        <w:t>GB/T 3836.11 爆炸性环境 第11部分：气体和蒸气物质特性分类 试验方法和数据</w:t>
      </w:r>
    </w:p>
    <w:p>
      <w:pPr>
        <w:pStyle w:val="22"/>
      </w:pPr>
      <w:r>
        <w:rPr>
          <w:rFonts w:hint="eastAsia"/>
        </w:rPr>
        <w:t>GB/T 3836.26-2019 爆炸性环境 第26部分：静电危害 指南</w:t>
      </w:r>
    </w:p>
    <w:p>
      <w:pPr>
        <w:pStyle w:val="22"/>
      </w:pPr>
      <w:r>
        <w:rPr>
          <w:rFonts w:hint="eastAsia"/>
        </w:rPr>
        <w:t>GB</w:t>
      </w:r>
      <w:r>
        <w:t> </w:t>
      </w:r>
      <w:r>
        <w:rPr>
          <w:rFonts w:hint="eastAsia"/>
        </w:rPr>
        <w:t>6950 轻质油品安全静止电导率</w:t>
      </w:r>
    </w:p>
    <w:p>
      <w:pPr>
        <w:pStyle w:val="22"/>
      </w:pPr>
      <w:r>
        <w:rPr>
          <w:rFonts w:hint="eastAsia"/>
        </w:rPr>
        <w:t>GB</w:t>
      </w:r>
      <w:r>
        <w:t> </w:t>
      </w:r>
      <w:r>
        <w:rPr>
          <w:rFonts w:hint="eastAsia"/>
        </w:rPr>
        <w:t>6951 轻质油品装油安全油面电位值</w:t>
      </w:r>
    </w:p>
    <w:p>
      <w:pPr>
        <w:pStyle w:val="22"/>
      </w:pPr>
      <w:r>
        <w:rPr>
          <w:rFonts w:hint="eastAsia"/>
        </w:rPr>
        <w:t>GB/T 9572 橡胶和塑料软管及软管组合件 电阻和导电性的测定</w:t>
      </w:r>
    </w:p>
    <w:p>
      <w:pPr>
        <w:pStyle w:val="22"/>
      </w:pPr>
      <w:r>
        <w:rPr>
          <w:rFonts w:hint="eastAsia"/>
        </w:rPr>
        <w:t>GB</w:t>
      </w:r>
      <w:r>
        <w:t> </w:t>
      </w:r>
      <w:r>
        <w:rPr>
          <w:rFonts w:hint="eastAsia"/>
        </w:rPr>
        <w:t>12014 防护服装 防静电服</w:t>
      </w:r>
    </w:p>
    <w:p>
      <w:pPr>
        <w:pStyle w:val="22"/>
      </w:pPr>
      <w:r>
        <w:rPr>
          <w:rFonts w:hint="eastAsia"/>
        </w:rPr>
        <w:t>GB/T 15463 静电安全术语</w:t>
      </w:r>
    </w:p>
    <w:p>
      <w:pPr>
        <w:pStyle w:val="22"/>
      </w:pPr>
      <w:r>
        <w:rPr>
          <w:rFonts w:hint="eastAsia"/>
        </w:rPr>
        <w:t>GB 21148 足部防护 安全鞋</w:t>
      </w:r>
    </w:p>
    <w:p>
      <w:pPr>
        <w:pStyle w:val="22"/>
      </w:pPr>
      <w:r>
        <w:rPr>
          <w:rFonts w:hint="eastAsia"/>
        </w:rPr>
        <w:t>G</w:t>
      </w:r>
      <w:r>
        <w:t>B</w:t>
      </w:r>
      <w:r>
        <w:rPr>
          <w:rFonts w:hint="eastAsia"/>
        </w:rPr>
        <w:t>/</w:t>
      </w:r>
      <w:r>
        <w:t xml:space="preserve">T 22845 </w:t>
      </w:r>
      <w:r>
        <w:rPr>
          <w:rFonts w:hint="eastAsia"/>
        </w:rPr>
        <w:t>防静电手套</w:t>
      </w:r>
    </w:p>
    <w:p>
      <w:pPr>
        <w:pStyle w:val="22"/>
      </w:pPr>
      <w:r>
        <w:rPr>
          <w:rFonts w:hint="eastAsia"/>
        </w:rPr>
        <w:t>GB/T 32304 航天电子产品静电防护要求</w:t>
      </w:r>
    </w:p>
    <w:p>
      <w:pPr>
        <w:pStyle w:val="22"/>
      </w:pPr>
      <w:bookmarkStart w:id="28" w:name="_Hlk104823742"/>
      <w:r>
        <w:rPr>
          <w:rFonts w:hint="eastAsia"/>
        </w:rPr>
        <w:t>GB/T 39587 静电防护管理通用要求</w:t>
      </w:r>
    </w:p>
    <w:p>
      <w:pPr>
        <w:pStyle w:val="22"/>
      </w:pPr>
      <w:r>
        <w:rPr>
          <w:rFonts w:hint="eastAsia"/>
        </w:rPr>
        <w:t>GB</w:t>
      </w:r>
      <w:r>
        <w:t xml:space="preserve"> 50058 </w:t>
      </w:r>
      <w:r>
        <w:rPr>
          <w:rFonts w:hint="eastAsia"/>
        </w:rPr>
        <w:t>爆炸危险环境电力装置设计规范</w:t>
      </w:r>
    </w:p>
    <w:bookmarkEnd w:id="28"/>
    <w:p>
      <w:pPr>
        <w:pStyle w:val="42"/>
        <w:spacing w:before="312" w:after="312"/>
      </w:pPr>
      <w:r>
        <w:rPr>
          <w:rFonts w:hint="eastAsia"/>
        </w:rPr>
        <w:t>术语和定义</w:t>
      </w:r>
      <w:bookmarkEnd w:id="26"/>
      <w:bookmarkEnd w:id="27"/>
    </w:p>
    <w:p>
      <w:pPr>
        <w:pStyle w:val="22"/>
      </w:pPr>
      <w:r>
        <w:rPr>
          <w:rFonts w:hint="eastAsia"/>
        </w:rPr>
        <w:t>GB</w:t>
      </w:r>
      <w:r>
        <w:t>/T 15463</w:t>
      </w:r>
      <w:r>
        <w:rPr>
          <w:rFonts w:hint="eastAsia"/>
        </w:rPr>
        <w:t>界定的以及下列术语和定义适用于本文件。</w:t>
      </w:r>
    </w:p>
    <w:p>
      <w:pPr>
        <w:pStyle w:val="39"/>
        <w:spacing w:before="156" w:after="156"/>
      </w:pPr>
    </w:p>
    <w:p>
      <w:pPr>
        <w:pStyle w:val="22"/>
        <w:rPr>
          <w:rFonts w:ascii="黑体" w:hAnsi="黑体" w:eastAsia="黑体"/>
        </w:rPr>
      </w:pPr>
      <w:r>
        <w:rPr>
          <w:rFonts w:hint="eastAsia" w:ascii="黑体" w:hAnsi="黑体" w:eastAsia="黑体"/>
        </w:rPr>
        <w:t xml:space="preserve">静电导体 </w:t>
      </w:r>
      <w:r>
        <w:rPr>
          <w:rFonts w:ascii="黑体" w:hAnsi="黑体" w:eastAsia="黑体"/>
        </w:rPr>
        <w:t>static conductor</w:t>
      </w:r>
    </w:p>
    <w:p>
      <w:pPr>
        <w:pStyle w:val="22"/>
      </w:pPr>
      <w:r>
        <w:rPr>
          <w:rFonts w:hint="eastAsia"/>
        </w:rPr>
        <w:t>在任何条件下，体电阻率小于等于1×</w:t>
      </w:r>
      <w:r>
        <w:t>10</w:t>
      </w:r>
      <w:r>
        <w:rPr>
          <w:vertAlign w:val="superscript"/>
        </w:rPr>
        <w:t>6</w:t>
      </w:r>
      <w:bookmarkStart w:id="29" w:name="_Hlk53044979"/>
      <w:r>
        <w:t> Ω·m</w:t>
      </w:r>
      <w:bookmarkEnd w:id="29"/>
      <w:r>
        <w:rPr>
          <w:rFonts w:hint="eastAsia"/>
        </w:rPr>
        <w:t>（即电导率大于等于1×1</w:t>
      </w:r>
      <w:r>
        <w:t>0</w:t>
      </w:r>
      <w:r>
        <w:rPr>
          <w:rFonts w:hint="eastAsia"/>
          <w:vertAlign w:val="superscript"/>
        </w:rPr>
        <w:t>-</w:t>
      </w:r>
      <w:r>
        <w:rPr>
          <w:vertAlign w:val="superscript"/>
        </w:rPr>
        <w:t>6 </w:t>
      </w:r>
      <w:r>
        <w:rPr>
          <w:rFonts w:hint="eastAsia"/>
        </w:rPr>
        <w:t>S</w:t>
      </w:r>
      <w:r>
        <w:t>/m</w:t>
      </w:r>
      <w:r>
        <w:rPr>
          <w:rFonts w:hint="eastAsia"/>
        </w:rPr>
        <w:t>）的物料及表面电阻率小于等于1×1</w:t>
      </w:r>
      <w:r>
        <w:t>0</w:t>
      </w:r>
      <w:r>
        <w:rPr>
          <w:vertAlign w:val="superscript"/>
        </w:rPr>
        <w:t>7</w:t>
      </w:r>
      <w:r>
        <w:t> </w:t>
      </w:r>
      <w:r>
        <w:rPr>
          <w:rFonts w:hint="eastAsia"/>
        </w:rPr>
        <w:t>Ω的固体表面。</w:t>
      </w:r>
    </w:p>
    <w:p>
      <w:pPr>
        <w:pStyle w:val="39"/>
        <w:spacing w:before="156" w:after="156"/>
      </w:pPr>
    </w:p>
    <w:p>
      <w:pPr>
        <w:pStyle w:val="22"/>
        <w:rPr>
          <w:rFonts w:ascii="黑体" w:hAnsi="黑体" w:eastAsia="黑体"/>
        </w:rPr>
      </w:pPr>
      <w:r>
        <w:rPr>
          <w:rFonts w:hint="eastAsia" w:ascii="黑体" w:hAnsi="黑体" w:eastAsia="黑体"/>
        </w:rPr>
        <w:t xml:space="preserve">静电亚导体 </w:t>
      </w:r>
      <w:r>
        <w:rPr>
          <w:rFonts w:ascii="黑体" w:hAnsi="黑体" w:eastAsia="黑体"/>
        </w:rPr>
        <w:t>static sub-conductor</w:t>
      </w:r>
    </w:p>
    <w:p>
      <w:pPr>
        <w:pStyle w:val="22"/>
      </w:pPr>
      <w:r>
        <w:rPr>
          <w:rFonts w:hint="eastAsia"/>
        </w:rPr>
        <w:t>在任何条件下，体电阻率</w:t>
      </w:r>
      <w:bookmarkStart w:id="30" w:name="_Hlk53044855"/>
      <w:r>
        <w:rPr>
          <w:rFonts w:hint="eastAsia"/>
        </w:rPr>
        <w:t>大于等于1×</w:t>
      </w:r>
      <w:r>
        <w:t>10</w:t>
      </w:r>
      <w:bookmarkEnd w:id="30"/>
      <w:r>
        <w:rPr>
          <w:vertAlign w:val="superscript"/>
        </w:rPr>
        <w:t>6</w:t>
      </w:r>
      <w:r>
        <w:t> Ω·m</w:t>
      </w:r>
      <w:r>
        <w:rPr>
          <w:rFonts w:hint="eastAsia"/>
        </w:rPr>
        <w:t>，小于1×1</w:t>
      </w:r>
      <w:r>
        <w:t>0</w:t>
      </w:r>
      <w:r>
        <w:rPr>
          <w:vertAlign w:val="superscript"/>
        </w:rPr>
        <w:t>10</w:t>
      </w:r>
      <w:r>
        <w:t> Ω·m</w:t>
      </w:r>
      <w:r>
        <w:rPr>
          <w:rFonts w:hint="eastAsia"/>
        </w:rPr>
        <w:t>的物料及表面电阻率大于1×1</w:t>
      </w:r>
      <w:r>
        <w:t>0</w:t>
      </w:r>
      <w:r>
        <w:rPr>
          <w:vertAlign w:val="superscript"/>
        </w:rPr>
        <w:t>7</w:t>
      </w:r>
      <w:r>
        <w:t> </w:t>
      </w:r>
      <w:r>
        <w:rPr>
          <w:rFonts w:hint="eastAsia"/>
        </w:rPr>
        <w:t>Ω，小于1×1</w:t>
      </w:r>
      <w:r>
        <w:t>0</w:t>
      </w:r>
      <w:r>
        <w:rPr>
          <w:vertAlign w:val="superscript"/>
        </w:rPr>
        <w:t>11</w:t>
      </w:r>
      <w:r>
        <w:t> </w:t>
      </w:r>
      <w:r>
        <w:rPr>
          <w:rFonts w:hint="eastAsia"/>
        </w:rPr>
        <w:t>Ω的固体表面。</w:t>
      </w:r>
    </w:p>
    <w:p>
      <w:pPr>
        <w:pStyle w:val="39"/>
        <w:spacing w:before="156" w:after="156"/>
      </w:pPr>
    </w:p>
    <w:p>
      <w:pPr>
        <w:pStyle w:val="22"/>
        <w:rPr>
          <w:rFonts w:ascii="黑体" w:hAnsi="黑体" w:eastAsia="黑体"/>
        </w:rPr>
      </w:pPr>
      <w:r>
        <w:rPr>
          <w:rFonts w:hint="eastAsia" w:ascii="黑体" w:hAnsi="黑体" w:eastAsia="黑体"/>
        </w:rPr>
        <w:t>静电非导体</w:t>
      </w:r>
      <w:r>
        <w:rPr>
          <w:rFonts w:ascii="黑体" w:hAnsi="黑体" w:eastAsia="黑体"/>
        </w:rPr>
        <w:t xml:space="preserve"> static non-conductor</w:t>
      </w:r>
    </w:p>
    <w:p>
      <w:pPr>
        <w:pStyle w:val="22"/>
      </w:pPr>
      <w:r>
        <w:rPr>
          <w:rFonts w:hint="eastAsia"/>
        </w:rPr>
        <w:t>在任何条件下，体电阻率大于或等于1×10</w:t>
      </w:r>
      <w:r>
        <w:rPr>
          <w:rFonts w:hint="eastAsia"/>
          <w:vertAlign w:val="superscript"/>
        </w:rPr>
        <w:t>1</w:t>
      </w:r>
      <w:r>
        <w:rPr>
          <w:vertAlign w:val="superscript"/>
        </w:rPr>
        <w:t>0</w:t>
      </w:r>
      <w:r>
        <w:t> </w:t>
      </w:r>
      <w:r>
        <w:rPr>
          <w:rFonts w:hint="eastAsia"/>
        </w:rPr>
        <w:t>Ω·m（即电导率小于或等于1×10</w:t>
      </w:r>
      <w:r>
        <w:rPr>
          <w:rFonts w:hint="eastAsia"/>
          <w:vertAlign w:val="superscript"/>
        </w:rPr>
        <w:t>-</w:t>
      </w:r>
      <w:r>
        <w:rPr>
          <w:vertAlign w:val="superscript"/>
        </w:rPr>
        <w:t>10</w:t>
      </w:r>
      <w:r>
        <w:rPr>
          <w:rFonts w:hint="eastAsia"/>
        </w:rPr>
        <w:t>S/m)的物料及表面电阻率等于或大于1×10</w:t>
      </w:r>
      <w:r>
        <w:rPr>
          <w:vertAlign w:val="superscript"/>
        </w:rPr>
        <w:t>11</w:t>
      </w:r>
      <w:r>
        <w:t> </w:t>
      </w:r>
      <w:r>
        <w:rPr>
          <w:rFonts w:hint="eastAsia"/>
        </w:rPr>
        <w:t>Ω固体表面。</w:t>
      </w:r>
    </w:p>
    <w:p>
      <w:pPr>
        <w:pStyle w:val="39"/>
        <w:spacing w:before="156" w:after="156"/>
      </w:pPr>
    </w:p>
    <w:p>
      <w:pPr>
        <w:pStyle w:val="22"/>
        <w:rPr>
          <w:rFonts w:ascii="黑体" w:hAnsi="黑体" w:eastAsia="黑体"/>
        </w:rPr>
      </w:pPr>
      <w:r>
        <w:rPr>
          <w:rFonts w:hint="eastAsia" w:ascii="黑体" w:hAnsi="黑体" w:eastAsia="黑体"/>
        </w:rPr>
        <w:t xml:space="preserve">最小点燃能量 </w:t>
      </w:r>
      <w:r>
        <w:rPr>
          <w:rFonts w:ascii="黑体" w:hAnsi="黑体" w:eastAsia="黑体"/>
        </w:rPr>
        <w:t>minimum ignition energy (MIE)</w:t>
      </w:r>
    </w:p>
    <w:p>
      <w:pPr>
        <w:pStyle w:val="22"/>
      </w:pPr>
      <w:r>
        <w:rPr>
          <w:rFonts w:hint="eastAsia"/>
        </w:rPr>
        <w:t>在常温常压条件下，影响物质点燃的各种因素均处于最敏感的条件，点燃该物质所需的最小电气能量。</w:t>
      </w:r>
    </w:p>
    <w:p>
      <w:pPr>
        <w:pStyle w:val="39"/>
        <w:spacing w:before="156" w:after="156"/>
      </w:pPr>
    </w:p>
    <w:p>
      <w:pPr>
        <w:pStyle w:val="22"/>
        <w:rPr>
          <w:rFonts w:ascii="黑体" w:hAnsi="黑体" w:eastAsia="黑体"/>
        </w:rPr>
      </w:pPr>
      <w:r>
        <w:rPr>
          <w:rFonts w:hint="eastAsia" w:ascii="黑体" w:hAnsi="黑体" w:eastAsia="黑体"/>
        </w:rPr>
        <w:t xml:space="preserve">间接接地 </w:t>
      </w:r>
      <w:r>
        <w:rPr>
          <w:rFonts w:ascii="黑体" w:hAnsi="黑体" w:eastAsia="黑体"/>
        </w:rPr>
        <w:t>indirect static earthing</w:t>
      </w:r>
    </w:p>
    <w:p>
      <w:pPr>
        <w:pStyle w:val="22"/>
      </w:pPr>
      <w:r>
        <w:rPr>
          <w:rFonts w:hint="eastAsia"/>
        </w:rPr>
        <w:t xml:space="preserve">通过具有一定电阻的材料或防静电材料以及防静电制品使物体接地的一种接地方式。 </w:t>
      </w:r>
    </w:p>
    <w:p>
      <w:pPr>
        <w:pStyle w:val="39"/>
        <w:spacing w:before="156" w:after="156"/>
      </w:pPr>
    </w:p>
    <w:p>
      <w:pPr>
        <w:widowControl/>
        <w:tabs>
          <w:tab w:val="center" w:pos="4201"/>
          <w:tab w:val="right" w:leader="dot" w:pos="9298"/>
        </w:tabs>
        <w:autoSpaceDE w:val="0"/>
        <w:autoSpaceDN w:val="0"/>
        <w:ind w:firstLine="420" w:firstLineChars="200"/>
        <w:rPr>
          <w:rFonts w:ascii="黑体" w:hAnsi="黑体" w:eastAsia="黑体"/>
          <w:kern w:val="0"/>
          <w:szCs w:val="20"/>
        </w:rPr>
      </w:pPr>
      <w:r>
        <w:rPr>
          <w:rFonts w:hint="eastAsia" w:ascii="黑体" w:hAnsi="黑体" w:eastAsia="黑体"/>
          <w:kern w:val="0"/>
          <w:szCs w:val="20"/>
        </w:rPr>
        <w:t>接地</w:t>
      </w:r>
      <w:r>
        <w:rPr>
          <w:rFonts w:ascii="黑体" w:hAnsi="黑体" w:eastAsia="黑体"/>
          <w:kern w:val="0"/>
          <w:szCs w:val="20"/>
        </w:rPr>
        <w:t>电阻</w:t>
      </w:r>
      <w:r>
        <w:rPr>
          <w:rFonts w:hint="eastAsia" w:ascii="黑体" w:hAnsi="黑体" w:eastAsia="黑体"/>
          <w:kern w:val="0"/>
          <w:szCs w:val="20"/>
        </w:rPr>
        <w:t xml:space="preserve"> </w:t>
      </w:r>
      <w:r>
        <w:rPr>
          <w:rFonts w:ascii="黑体" w:hAnsi="黑体" w:eastAsia="黑体"/>
          <w:kern w:val="0"/>
          <w:szCs w:val="20"/>
        </w:rPr>
        <w:t>earthing resistance</w:t>
      </w:r>
    </w:p>
    <w:p>
      <w:pPr>
        <w:pStyle w:val="22"/>
      </w:pPr>
      <w:r>
        <w:rPr>
          <w:rFonts w:hint="eastAsia"/>
        </w:rPr>
        <w:t>静电接地系统的对地电阻，用受控表面与接地连接点之间的电阻表示。</w:t>
      </w:r>
    </w:p>
    <w:p>
      <w:pPr>
        <w:pStyle w:val="39"/>
        <w:spacing w:before="156" w:after="156"/>
      </w:pPr>
    </w:p>
    <w:p>
      <w:pPr>
        <w:pStyle w:val="22"/>
        <w:rPr>
          <w:rFonts w:ascii="黑体" w:hAnsi="黑体" w:eastAsia="黑体"/>
        </w:rPr>
      </w:pPr>
      <w:bookmarkStart w:id="31" w:name="_Hlk101258359"/>
      <w:r>
        <w:rPr>
          <w:rFonts w:hint="eastAsia" w:ascii="黑体" w:hAnsi="黑体" w:eastAsia="黑体"/>
        </w:rPr>
        <w:t>泄漏电阻 leakage</w:t>
      </w:r>
      <w:r>
        <w:rPr>
          <w:rFonts w:ascii="黑体" w:hAnsi="黑体" w:eastAsia="黑体"/>
        </w:rPr>
        <w:t xml:space="preserve"> resistance</w:t>
      </w:r>
    </w:p>
    <w:bookmarkEnd w:id="31"/>
    <w:p>
      <w:pPr>
        <w:pStyle w:val="22"/>
      </w:pPr>
      <w:r>
        <w:rPr>
          <w:rFonts w:hint="eastAsia"/>
        </w:rPr>
        <w:t>在一定电压下，防静电物体表面对接地点的电阻。</w:t>
      </w:r>
    </w:p>
    <w:p>
      <w:pPr>
        <w:pStyle w:val="39"/>
        <w:spacing w:before="156" w:after="156"/>
      </w:pPr>
    </w:p>
    <w:p>
      <w:pPr>
        <w:pStyle w:val="22"/>
        <w:rPr>
          <w:rFonts w:ascii="黑体" w:hAnsi="黑体" w:eastAsia="黑体"/>
        </w:rPr>
      </w:pPr>
      <w:r>
        <w:rPr>
          <w:rFonts w:hint="eastAsia" w:ascii="黑体" w:hAnsi="黑体" w:eastAsia="黑体"/>
        </w:rPr>
        <w:t>静电消除器</w:t>
      </w:r>
    </w:p>
    <w:p>
      <w:pPr>
        <w:pStyle w:val="22"/>
      </w:pPr>
      <w:r>
        <w:rPr>
          <w:rFonts w:hint="eastAsia"/>
        </w:rPr>
        <w:t>采用电荷中和或接地泄放的方式，将人员、装置所携带的静电进行中和或转移至地的装置。</w:t>
      </w:r>
    </w:p>
    <w:p>
      <w:pPr>
        <w:pStyle w:val="39"/>
        <w:spacing w:before="156" w:after="156"/>
      </w:pPr>
    </w:p>
    <w:p>
      <w:pPr>
        <w:pStyle w:val="22"/>
        <w:rPr>
          <w:rFonts w:ascii="黑体" w:hAnsi="黑体" w:eastAsia="黑体"/>
        </w:rPr>
      </w:pPr>
      <w:r>
        <w:rPr>
          <w:rFonts w:hint="eastAsia" w:ascii="黑体" w:hAnsi="黑体" w:eastAsia="黑体"/>
        </w:rPr>
        <w:t xml:space="preserve">爆炸危险场所 </w:t>
      </w:r>
      <w:r>
        <w:rPr>
          <w:rFonts w:ascii="黑体" w:hAnsi="黑体" w:eastAsia="黑体"/>
        </w:rPr>
        <w:t>explosive dangerous place</w:t>
      </w:r>
    </w:p>
    <w:p>
      <w:pPr>
        <w:pStyle w:val="22"/>
      </w:pPr>
      <w:r>
        <w:rPr>
          <w:rFonts w:hint="eastAsia"/>
        </w:rPr>
        <w:t>爆炸性混合物(气体及粉尘)出现的或预期可能出现的数量达到足以要求对电气设备的结构、安装和使用采取预防措施的场所。</w:t>
      </w:r>
    </w:p>
    <w:p>
      <w:pPr>
        <w:pStyle w:val="39"/>
        <w:spacing w:before="156" w:after="156"/>
      </w:pPr>
    </w:p>
    <w:p>
      <w:pPr>
        <w:pStyle w:val="22"/>
        <w:rPr>
          <w:rFonts w:ascii="黑体" w:hAnsi="黑体" w:eastAsia="黑体"/>
        </w:rPr>
      </w:pPr>
      <w:r>
        <w:rPr>
          <w:rFonts w:hint="eastAsia" w:ascii="黑体" w:hAnsi="黑体" w:eastAsia="黑体"/>
        </w:rPr>
        <w:t>静电危险场所 area</w:t>
      </w:r>
      <w:r>
        <w:rPr>
          <w:rFonts w:ascii="黑体" w:hAnsi="黑体" w:eastAsia="黑体"/>
        </w:rPr>
        <w:t xml:space="preserve"> of electrostatic hazards</w:t>
      </w:r>
    </w:p>
    <w:p>
      <w:pPr>
        <w:pStyle w:val="22"/>
        <w:rPr>
          <w:rFonts w:hAnsi="宋体"/>
        </w:rPr>
      </w:pPr>
      <w:r>
        <w:rPr>
          <w:rFonts w:hint="eastAsia" w:hAnsi="宋体"/>
        </w:rPr>
        <w:t>空间存在可由静电引爆的爆炸性混合物，或对其进行直接加工、处理和操作等工艺场所的统称。</w:t>
      </w:r>
    </w:p>
    <w:p>
      <w:pPr>
        <w:pStyle w:val="22"/>
        <w:rPr>
          <w:rFonts w:hAnsi="宋体"/>
        </w:rPr>
      </w:pPr>
      <w:r>
        <w:rPr>
          <w:rFonts w:hint="eastAsia" w:hAnsi="宋体"/>
        </w:rPr>
        <w:t xml:space="preserve">[GB/T </w:t>
      </w:r>
      <w:r>
        <w:rPr>
          <w:rFonts w:hAnsi="宋体"/>
        </w:rPr>
        <w:t>15463</w:t>
      </w:r>
      <w:r>
        <w:rPr>
          <w:rFonts w:hint="eastAsia" w:hAnsi="宋体"/>
        </w:rPr>
        <w:t>-</w:t>
      </w:r>
      <w:r>
        <w:rPr>
          <w:rFonts w:hAnsi="宋体"/>
        </w:rPr>
        <w:t>2018</w:t>
      </w:r>
      <w:r>
        <w:rPr>
          <w:rFonts w:hint="eastAsia" w:hAnsi="宋体"/>
        </w:rPr>
        <w:t>，定义</w:t>
      </w:r>
      <w:r>
        <w:rPr>
          <w:rFonts w:hAnsi="宋体"/>
        </w:rPr>
        <w:t>5</w:t>
      </w:r>
      <w:r>
        <w:rPr>
          <w:rFonts w:hint="eastAsia" w:hAnsi="宋体"/>
        </w:rPr>
        <w:t>.</w:t>
      </w:r>
      <w:r>
        <w:rPr>
          <w:rFonts w:hAnsi="宋体"/>
        </w:rPr>
        <w:t>39</w:t>
      </w:r>
      <w:r>
        <w:rPr>
          <w:rFonts w:hint="eastAsia" w:hAnsi="宋体"/>
        </w:rPr>
        <w:t>]</w:t>
      </w:r>
    </w:p>
    <w:p>
      <w:pPr>
        <w:pStyle w:val="39"/>
        <w:spacing w:before="156" w:after="156"/>
      </w:pPr>
    </w:p>
    <w:p>
      <w:pPr>
        <w:pStyle w:val="22"/>
        <w:rPr>
          <w:rFonts w:ascii="黑体" w:hAnsi="黑体" w:eastAsia="黑体"/>
        </w:rPr>
      </w:pPr>
      <w:r>
        <w:rPr>
          <w:rFonts w:hint="eastAsia" w:ascii="黑体" w:hAnsi="黑体" w:eastAsia="黑体"/>
        </w:rPr>
        <w:t xml:space="preserve">油面电位 </w:t>
      </w:r>
    </w:p>
    <w:p>
      <w:pPr>
        <w:pStyle w:val="22"/>
        <w:rPr>
          <w:rFonts w:asciiTheme="minorEastAsia" w:hAnsiTheme="minorEastAsia" w:eastAsiaTheme="minorEastAsia"/>
        </w:rPr>
      </w:pPr>
      <w:r>
        <w:rPr>
          <w:rFonts w:hint="eastAsia" w:asciiTheme="minorEastAsia" w:hAnsiTheme="minorEastAsia" w:eastAsiaTheme="minorEastAsia"/>
        </w:rPr>
        <w:t>轻质油品在输送过程中，由于与管壁及过滤器等摩擦而产生的静电荷，随油品流入容器内，使油品对地产生电位差，油面对地的电位差称之为油面电位。[</w:t>
      </w:r>
      <w:r>
        <w:rPr>
          <w:rFonts w:asciiTheme="minorEastAsia" w:hAnsiTheme="minorEastAsia" w:eastAsiaTheme="minorEastAsia"/>
        </w:rPr>
        <w:t>GB 6951-1986]</w:t>
      </w:r>
    </w:p>
    <w:p>
      <w:pPr>
        <w:pStyle w:val="39"/>
        <w:spacing w:before="156" w:after="156"/>
      </w:pPr>
    </w:p>
    <w:p>
      <w:pPr>
        <w:pStyle w:val="22"/>
        <w:rPr>
          <w:rFonts w:ascii="黑体" w:hAnsi="黑体" w:eastAsia="黑体"/>
        </w:rPr>
      </w:pPr>
      <w:r>
        <w:rPr>
          <w:rFonts w:hint="eastAsia" w:ascii="黑体" w:hAnsi="黑体" w:eastAsia="黑体"/>
        </w:rPr>
        <w:t xml:space="preserve">缓和时间 </w:t>
      </w:r>
      <w:r>
        <w:rPr>
          <w:rFonts w:ascii="黑体" w:hAnsi="黑体" w:eastAsia="黑体"/>
        </w:rPr>
        <w:t>relaxation time of charge</w:t>
      </w:r>
    </w:p>
    <w:p>
      <w:pPr>
        <w:pStyle w:val="22"/>
      </w:pPr>
      <w:r>
        <w:rPr>
          <w:rFonts w:hint="eastAsia"/>
        </w:rPr>
        <w:t>带电体上的电荷（或电位）消散至其初始值的1/e(约37%)时所需的时间。</w:t>
      </w:r>
    </w:p>
    <w:p>
      <w:pPr>
        <w:pStyle w:val="39"/>
        <w:spacing w:before="156" w:after="156"/>
      </w:pPr>
    </w:p>
    <w:p>
      <w:pPr>
        <w:pStyle w:val="22"/>
        <w:rPr>
          <w:rFonts w:ascii="黑体" w:hAnsi="黑体" w:eastAsia="黑体"/>
        </w:rPr>
      </w:pPr>
      <w:r>
        <w:rPr>
          <w:rFonts w:hint="eastAsia" w:ascii="黑体" w:hAnsi="黑体" w:eastAsia="黑体"/>
        </w:rPr>
        <w:t xml:space="preserve">静置时间 </w:t>
      </w:r>
      <w:r>
        <w:rPr>
          <w:rFonts w:ascii="黑体" w:hAnsi="黑体" w:eastAsia="黑体"/>
        </w:rPr>
        <w:t>timie of response, timie of rest</w:t>
      </w:r>
    </w:p>
    <w:p>
      <w:pPr>
        <w:pStyle w:val="22"/>
      </w:pPr>
      <w:r>
        <w:rPr>
          <w:rFonts w:hint="eastAsia"/>
        </w:rPr>
        <w:t>在有静电危险的场所进行生产时，由设备停止操作到物料（通常为液体）所带静电消散至安全值以下，允许进行下一步操作所需要的间隔时间。</w:t>
      </w:r>
    </w:p>
    <w:p>
      <w:pPr>
        <w:pStyle w:val="122"/>
      </w:pPr>
    </w:p>
    <w:p>
      <w:pPr>
        <w:pStyle w:val="122"/>
        <w:numPr>
          <w:ilvl w:val="0"/>
          <w:numId w:val="0"/>
        </w:numPr>
        <w:rPr>
          <w:rFonts w:ascii="黑体" w:hAnsi="黑体" w:eastAsia="黑体"/>
        </w:rPr>
      </w:pPr>
      <w:r>
        <w:rPr>
          <w:rFonts w:hint="eastAsia"/>
        </w:rPr>
        <w:t xml:space="preserve"> </w:t>
      </w:r>
      <w:r>
        <w:t xml:space="preserve">   </w:t>
      </w:r>
      <w:r>
        <w:rPr>
          <w:rFonts w:hint="eastAsia" w:ascii="黑体" w:hAnsi="黑体" w:eastAsia="黑体"/>
        </w:rPr>
        <w:t xml:space="preserve">静电放电 </w:t>
      </w:r>
      <w:r>
        <w:rPr>
          <w:rFonts w:ascii="黑体" w:hAnsi="黑体" w:eastAsia="黑体"/>
        </w:rPr>
        <w:t>Electrostatic Discharge</w:t>
      </w:r>
    </w:p>
    <w:p>
      <w:pPr>
        <w:pStyle w:val="22"/>
        <w:ind w:left="420" w:leftChars="200" w:firstLine="0" w:firstLineChars="0"/>
      </w:pPr>
      <w:r>
        <w:rPr>
          <w:rFonts w:hint="eastAsia"/>
        </w:rPr>
        <w:t>两个具有不同静电电位的物体，由于直接接触或静电场感应引起的两物体间的静电荷的快速转移。[</w:t>
      </w:r>
      <w:r>
        <w:t>GB</w:t>
      </w:r>
      <w:r>
        <w:rPr>
          <w:rFonts w:hint="eastAsia"/>
        </w:rPr>
        <w:t>/</w:t>
      </w:r>
      <w:r>
        <w:t>T 32304-2015</w:t>
      </w:r>
      <w:r>
        <w:rPr>
          <w:rFonts w:hint="eastAsia"/>
        </w:rPr>
        <w:t>，定义3</w:t>
      </w:r>
      <w:r>
        <w:t>.1.1]</w:t>
      </w:r>
    </w:p>
    <w:p>
      <w:pPr>
        <w:pStyle w:val="42"/>
        <w:spacing w:before="312" w:after="312"/>
      </w:pPr>
      <w:bookmarkStart w:id="32" w:name="_Toc53176646"/>
      <w:bookmarkStart w:id="33" w:name="_Toc53175707"/>
      <w:r>
        <w:rPr>
          <w:rFonts w:hint="eastAsia"/>
        </w:rPr>
        <w:t>通则</w:t>
      </w:r>
      <w:bookmarkEnd w:id="32"/>
      <w:bookmarkEnd w:id="33"/>
    </w:p>
    <w:p>
      <w:pPr>
        <w:pStyle w:val="39"/>
        <w:spacing w:before="156" w:after="156"/>
      </w:pPr>
      <w:r>
        <w:rPr>
          <w:rFonts w:hint="eastAsia"/>
        </w:rPr>
        <w:t>放电与引燃</w:t>
      </w:r>
    </w:p>
    <w:p>
      <w:pPr>
        <w:pStyle w:val="60"/>
      </w:pPr>
      <w:r>
        <w:rPr>
          <w:rFonts w:hint="eastAsia"/>
        </w:rPr>
        <w:t>不同放电形式具有不同的引燃能力，典型静电放电的特点及其引燃能力见表1，作业场所应避免高引燃能力静电放电类型的产生。</w:t>
      </w:r>
    </w:p>
    <w:p>
      <w:pPr>
        <w:pStyle w:val="123"/>
        <w:spacing w:before="156" w:after="156"/>
      </w:pPr>
      <w:bookmarkStart w:id="34" w:name="_Hlk53045615"/>
      <w:r>
        <w:rPr>
          <w:rFonts w:hint="eastAsia"/>
        </w:rPr>
        <w:t>静电放电类型及其引燃能力</w:t>
      </w:r>
    </w:p>
    <w:bookmarkEnd w:id="34"/>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8"/>
        <w:gridCol w:w="3402"/>
        <w:gridCol w:w="49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88" w:type="dxa"/>
          </w:tcPr>
          <w:p>
            <w:pPr>
              <w:pStyle w:val="22"/>
              <w:ind w:firstLine="0" w:firstLineChars="0"/>
              <w:jc w:val="center"/>
              <w:rPr>
                <w:sz w:val="18"/>
                <w:szCs w:val="18"/>
              </w:rPr>
            </w:pPr>
            <w:r>
              <w:rPr>
                <w:rFonts w:hint="eastAsia"/>
                <w:sz w:val="18"/>
                <w:szCs w:val="18"/>
              </w:rPr>
              <w:t>放电种类</w:t>
            </w:r>
          </w:p>
        </w:tc>
        <w:tc>
          <w:tcPr>
            <w:tcW w:w="3402" w:type="dxa"/>
          </w:tcPr>
          <w:p>
            <w:pPr>
              <w:pStyle w:val="22"/>
              <w:ind w:firstLine="0" w:firstLineChars="0"/>
              <w:jc w:val="center"/>
              <w:rPr>
                <w:sz w:val="18"/>
                <w:szCs w:val="18"/>
              </w:rPr>
            </w:pPr>
            <w:r>
              <w:rPr>
                <w:rFonts w:hint="eastAsia"/>
                <w:sz w:val="18"/>
                <w:szCs w:val="18"/>
              </w:rPr>
              <w:t>发生条件</w:t>
            </w:r>
          </w:p>
        </w:tc>
        <w:tc>
          <w:tcPr>
            <w:tcW w:w="4954" w:type="dxa"/>
          </w:tcPr>
          <w:p>
            <w:pPr>
              <w:pStyle w:val="22"/>
              <w:ind w:firstLine="0" w:firstLineChars="0"/>
              <w:jc w:val="center"/>
              <w:rPr>
                <w:sz w:val="18"/>
                <w:szCs w:val="18"/>
              </w:rPr>
            </w:pPr>
            <w:r>
              <w:rPr>
                <w:rFonts w:hint="eastAsia"/>
                <w:sz w:val="18"/>
                <w:szCs w:val="18"/>
              </w:rPr>
              <w:t>特点及引燃性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1" w:hRule="atLeast"/>
        </w:trPr>
        <w:tc>
          <w:tcPr>
            <w:tcW w:w="988" w:type="dxa"/>
          </w:tcPr>
          <w:p>
            <w:pPr>
              <w:pStyle w:val="22"/>
              <w:ind w:firstLine="0" w:firstLineChars="0"/>
              <w:rPr>
                <w:sz w:val="18"/>
                <w:szCs w:val="18"/>
              </w:rPr>
            </w:pPr>
            <w:r>
              <w:rPr>
                <w:rFonts w:hint="eastAsia"/>
                <w:sz w:val="18"/>
                <w:szCs w:val="18"/>
              </w:rPr>
              <w:t>电晕放电</w:t>
            </w:r>
          </w:p>
        </w:tc>
        <w:tc>
          <w:tcPr>
            <w:tcW w:w="3402" w:type="dxa"/>
          </w:tcPr>
          <w:p>
            <w:pPr>
              <w:pStyle w:val="22"/>
              <w:ind w:firstLine="0" w:firstLineChars="0"/>
              <w:rPr>
                <w:sz w:val="18"/>
                <w:szCs w:val="18"/>
              </w:rPr>
            </w:pPr>
            <w:r>
              <w:rPr>
                <w:rFonts w:hint="eastAsia"/>
                <w:sz w:val="18"/>
                <w:szCs w:val="18"/>
              </w:rPr>
              <w:t>当电极相距较远，在物体表面的尖端或突出部位电场较强处较易发生</w:t>
            </w:r>
          </w:p>
        </w:tc>
        <w:tc>
          <w:tcPr>
            <w:tcW w:w="4954" w:type="dxa"/>
          </w:tcPr>
          <w:p>
            <w:pPr>
              <w:pStyle w:val="22"/>
              <w:ind w:firstLine="0" w:firstLineChars="0"/>
              <w:rPr>
                <w:sz w:val="18"/>
                <w:szCs w:val="18"/>
              </w:rPr>
            </w:pPr>
            <w:r>
              <w:rPr>
                <w:rFonts w:hint="eastAsia"/>
                <w:sz w:val="18"/>
                <w:szCs w:val="18"/>
              </w:rPr>
              <w:t>有时有声光，气体介质在物体尖端附近局部电离，不形成放电通道。感应电晕单次脉冲放电能量小于20</w:t>
            </w:r>
            <w:r>
              <w:rPr>
                <w:sz w:val="18"/>
                <w:szCs w:val="18"/>
              </w:rPr>
              <w:t> </w:t>
            </w:r>
            <w:r>
              <w:rPr>
                <w:rFonts w:hint="eastAsia"/>
                <w:sz w:val="18"/>
                <w:szCs w:val="18"/>
              </w:rPr>
              <w:t>µJ，有源电晕单次脉冲放电能显则较此大若干倍，引燃、引爆能力小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8" w:type="dxa"/>
          </w:tcPr>
          <w:p>
            <w:pPr>
              <w:pStyle w:val="22"/>
              <w:ind w:firstLine="0" w:firstLineChars="0"/>
              <w:rPr>
                <w:sz w:val="18"/>
                <w:szCs w:val="18"/>
              </w:rPr>
            </w:pPr>
            <w:r>
              <w:rPr>
                <w:rFonts w:hint="eastAsia"/>
                <w:sz w:val="18"/>
                <w:szCs w:val="18"/>
              </w:rPr>
              <w:t>刷形放电</w:t>
            </w:r>
          </w:p>
        </w:tc>
        <w:tc>
          <w:tcPr>
            <w:tcW w:w="3402" w:type="dxa"/>
          </w:tcPr>
          <w:p>
            <w:pPr>
              <w:pStyle w:val="22"/>
              <w:ind w:firstLine="0" w:firstLineChars="0"/>
              <w:rPr>
                <w:sz w:val="18"/>
                <w:szCs w:val="18"/>
              </w:rPr>
            </w:pPr>
            <w:r>
              <w:rPr>
                <w:rFonts w:hint="eastAsia"/>
                <w:sz w:val="18"/>
                <w:szCs w:val="18"/>
              </w:rPr>
              <w:t>在带电电位较高的静电非导体与导体间较易发生</w:t>
            </w:r>
          </w:p>
        </w:tc>
        <w:tc>
          <w:tcPr>
            <w:tcW w:w="4954" w:type="dxa"/>
          </w:tcPr>
          <w:p>
            <w:pPr>
              <w:pStyle w:val="22"/>
              <w:ind w:firstLine="0" w:firstLineChars="0"/>
              <w:rPr>
                <w:sz w:val="18"/>
                <w:szCs w:val="18"/>
              </w:rPr>
            </w:pPr>
            <w:r>
              <w:rPr>
                <w:rFonts w:hint="eastAsia"/>
                <w:sz w:val="18"/>
                <w:szCs w:val="18"/>
              </w:rPr>
              <w:t>有声光，放电通道在静电非导体表面附近形成许多分叉，在单位空间内释放的能量较小，一般每次放电能量不超过4</w:t>
            </w:r>
            <w:r>
              <w:rPr>
                <w:sz w:val="18"/>
                <w:szCs w:val="18"/>
              </w:rPr>
              <w:t> </w:t>
            </w:r>
            <w:r>
              <w:rPr>
                <w:rFonts w:hint="eastAsia"/>
                <w:sz w:val="18"/>
                <w:szCs w:val="18"/>
              </w:rPr>
              <w:t>mJ，引燃、引爆能力中等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8" w:type="dxa"/>
          </w:tcPr>
          <w:p>
            <w:pPr>
              <w:pStyle w:val="22"/>
              <w:ind w:firstLine="0" w:firstLineChars="0"/>
              <w:rPr>
                <w:sz w:val="18"/>
                <w:szCs w:val="18"/>
              </w:rPr>
            </w:pPr>
            <w:r>
              <w:rPr>
                <w:rFonts w:hint="eastAsia"/>
                <w:sz w:val="18"/>
                <w:szCs w:val="18"/>
              </w:rPr>
              <w:t>火花放电</w:t>
            </w:r>
          </w:p>
        </w:tc>
        <w:tc>
          <w:tcPr>
            <w:tcW w:w="3402" w:type="dxa"/>
          </w:tcPr>
          <w:p>
            <w:pPr>
              <w:pStyle w:val="22"/>
              <w:ind w:firstLine="0" w:firstLineChars="0"/>
              <w:rPr>
                <w:sz w:val="18"/>
                <w:szCs w:val="18"/>
              </w:rPr>
            </w:pPr>
            <w:r>
              <w:rPr>
                <w:rFonts w:hint="eastAsia"/>
                <w:sz w:val="18"/>
                <w:szCs w:val="18"/>
              </w:rPr>
              <w:t>主要发生在相距较近的带电金属导体间或静电导体间</w:t>
            </w:r>
          </w:p>
        </w:tc>
        <w:tc>
          <w:tcPr>
            <w:tcW w:w="4954" w:type="dxa"/>
          </w:tcPr>
          <w:p>
            <w:pPr>
              <w:pStyle w:val="22"/>
              <w:ind w:firstLine="0" w:firstLineChars="0"/>
              <w:rPr>
                <w:sz w:val="18"/>
                <w:szCs w:val="18"/>
              </w:rPr>
            </w:pPr>
            <w:r>
              <w:rPr>
                <w:rFonts w:hint="eastAsia"/>
                <w:sz w:val="18"/>
                <w:szCs w:val="18"/>
              </w:rPr>
              <w:t>有声光，放电通道一般不形成分叉，电极上有明显放电集中点，释放能量比较集中，放电能量可达1</w:t>
            </w:r>
            <w:r>
              <w:rPr>
                <w:sz w:val="18"/>
                <w:szCs w:val="18"/>
              </w:rPr>
              <w:t> </w:t>
            </w:r>
            <w:r>
              <w:rPr>
                <w:rFonts w:hint="eastAsia"/>
                <w:sz w:val="18"/>
                <w:szCs w:val="18"/>
              </w:rPr>
              <w:t>J，引燃、引爆能力很强。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8" w:type="dxa"/>
          </w:tcPr>
          <w:p>
            <w:pPr>
              <w:pStyle w:val="22"/>
              <w:ind w:firstLine="0" w:firstLineChars="0"/>
              <w:rPr>
                <w:sz w:val="18"/>
                <w:szCs w:val="18"/>
              </w:rPr>
            </w:pPr>
            <w:r>
              <w:rPr>
                <w:rFonts w:hint="eastAsia"/>
                <w:sz w:val="18"/>
                <w:szCs w:val="18"/>
              </w:rPr>
              <w:t>传播型刷形放电</w:t>
            </w:r>
          </w:p>
        </w:tc>
        <w:tc>
          <w:tcPr>
            <w:tcW w:w="3402" w:type="dxa"/>
          </w:tcPr>
          <w:p>
            <w:pPr>
              <w:pStyle w:val="22"/>
              <w:ind w:firstLine="0" w:firstLineChars="0"/>
              <w:rPr>
                <w:sz w:val="18"/>
                <w:szCs w:val="18"/>
              </w:rPr>
            </w:pPr>
            <w:r>
              <w:rPr>
                <w:rFonts w:hint="eastAsia"/>
                <w:sz w:val="18"/>
                <w:szCs w:val="18"/>
              </w:rPr>
              <w:t>仅发生在具有高速起电的场合，当静电非导体的厚度小于8</w:t>
            </w:r>
            <w:r>
              <w:rPr>
                <w:sz w:val="18"/>
                <w:szCs w:val="18"/>
              </w:rPr>
              <w:t> </w:t>
            </w:r>
            <w:r>
              <w:rPr>
                <w:rFonts w:hint="eastAsia"/>
                <w:sz w:val="18"/>
                <w:szCs w:val="18"/>
              </w:rPr>
              <w:t>mm，其表面电荷密度大于或等于</w:t>
            </w:r>
            <w:r>
              <w:rPr>
                <w:sz w:val="18"/>
                <w:szCs w:val="18"/>
              </w:rPr>
              <w:t>0.27 </w:t>
            </w:r>
            <w:r>
              <w:rPr>
                <w:rFonts w:hint="eastAsia"/>
                <w:sz w:val="18"/>
                <w:szCs w:val="18"/>
              </w:rPr>
              <w:t>mC/m</w:t>
            </w:r>
            <w:r>
              <w:rPr>
                <w:sz w:val="18"/>
                <w:szCs w:val="18"/>
                <w:vertAlign w:val="superscript"/>
              </w:rPr>
              <w:t>2</w:t>
            </w:r>
            <w:r>
              <w:rPr>
                <w:rFonts w:hint="eastAsia"/>
                <w:sz w:val="18"/>
                <w:szCs w:val="18"/>
              </w:rPr>
              <w:t>时较易发生</w:t>
            </w:r>
          </w:p>
        </w:tc>
        <w:tc>
          <w:tcPr>
            <w:tcW w:w="4954" w:type="dxa"/>
          </w:tcPr>
          <w:p>
            <w:pPr>
              <w:pStyle w:val="22"/>
              <w:ind w:firstLine="0" w:firstLineChars="0"/>
              <w:rPr>
                <w:sz w:val="18"/>
                <w:szCs w:val="18"/>
              </w:rPr>
            </w:pPr>
            <w:r>
              <w:rPr>
                <w:rFonts w:hint="eastAsia"/>
                <w:sz w:val="18"/>
                <w:szCs w:val="18"/>
              </w:rPr>
              <w:t>放电时有声光，将静电非导体上一定范围内所带的大量电荷释放，引燃、引爆能力强。</w:t>
            </w:r>
          </w:p>
        </w:tc>
      </w:tr>
    </w:tbl>
    <w:p>
      <w:pPr>
        <w:pStyle w:val="60"/>
      </w:pPr>
      <w:r>
        <w:rPr>
          <w:rFonts w:hint="eastAsia"/>
        </w:rPr>
        <w:t>应注意在相同带电电位条件下，液体或固体表面带负电荷时发生的放电比带正电荷时发生的放电，对可燃气体的引燃能力可大一个数量级。</w:t>
      </w:r>
    </w:p>
    <w:p>
      <w:pPr>
        <w:pStyle w:val="60"/>
      </w:pPr>
      <w:r>
        <w:t>在下列环境下，更易发生引燃、引爆等静电危害</w:t>
      </w:r>
      <w:r>
        <w:rPr>
          <w:rFonts w:hint="eastAsia"/>
        </w:rPr>
        <w:t>：</w:t>
      </w:r>
    </w:p>
    <w:p>
      <w:pPr>
        <w:pStyle w:val="45"/>
      </w:pPr>
      <w:r>
        <w:rPr>
          <w:rFonts w:hint="eastAsia"/>
        </w:rPr>
        <w:t>可燃物的温度比常温高；</w:t>
      </w:r>
    </w:p>
    <w:p>
      <w:pPr>
        <w:pStyle w:val="45"/>
      </w:pPr>
      <w:r>
        <w:rPr>
          <w:rFonts w:hint="eastAsia"/>
        </w:rPr>
        <w:t>局部环境氧含量（或其他助燃气含量）比正常空气中高；</w:t>
      </w:r>
    </w:p>
    <w:p>
      <w:pPr>
        <w:pStyle w:val="45"/>
      </w:pPr>
      <w:r>
        <w:rPr>
          <w:rFonts w:hint="eastAsia"/>
        </w:rPr>
        <w:t>爆炸性气体的压力比常压高；</w:t>
      </w:r>
    </w:p>
    <w:p>
      <w:pPr>
        <w:pStyle w:val="45"/>
      </w:pPr>
      <w:r>
        <w:rPr>
          <w:rFonts w:hint="eastAsia"/>
        </w:rPr>
        <w:t>相对湿度较低。</w:t>
      </w:r>
    </w:p>
    <w:p>
      <w:pPr>
        <w:widowControl/>
        <w:numPr>
          <w:ilvl w:val="1"/>
          <w:numId w:val="2"/>
        </w:numPr>
        <w:tabs>
          <w:tab w:val="left" w:pos="360"/>
        </w:tabs>
        <w:spacing w:before="156" w:beforeLines="50" w:after="156" w:afterLines="50"/>
        <w:jc w:val="left"/>
        <w:outlineLvl w:val="2"/>
        <w:rPr>
          <w:rFonts w:ascii="黑体" w:eastAsia="黑体"/>
          <w:kern w:val="0"/>
          <w:szCs w:val="21"/>
        </w:rPr>
      </w:pPr>
      <w:r>
        <w:rPr>
          <w:rFonts w:hint="eastAsia" w:ascii="黑体" w:eastAsia="黑体"/>
          <w:kern w:val="0"/>
          <w:szCs w:val="21"/>
        </w:rPr>
        <w:t>基本防护措施</w:t>
      </w:r>
    </w:p>
    <w:p>
      <w:pPr>
        <w:pStyle w:val="43"/>
        <w:spacing w:before="156" w:after="156"/>
      </w:pPr>
      <w:r>
        <w:rPr>
          <w:rFonts w:hint="eastAsia"/>
        </w:rPr>
        <w:t>减少静电荷产生</w:t>
      </w:r>
    </w:p>
    <w:p>
      <w:pPr>
        <w:widowControl/>
        <w:tabs>
          <w:tab w:val="center" w:pos="4201"/>
          <w:tab w:val="right" w:leader="dot" w:pos="9298"/>
        </w:tabs>
        <w:autoSpaceDE w:val="0"/>
        <w:autoSpaceDN w:val="0"/>
        <w:ind w:firstLine="420" w:firstLineChars="200"/>
        <w:rPr>
          <w:rFonts w:ascii="宋体"/>
          <w:kern w:val="0"/>
          <w:szCs w:val="20"/>
        </w:rPr>
      </w:pPr>
      <w:r>
        <w:rPr>
          <w:rFonts w:ascii="宋体"/>
          <w:kern w:val="0"/>
          <w:szCs w:val="20"/>
        </w:rPr>
        <w:t>对接触起电的物料，应尽量选用在带电序列中位置较邻近的，或对产生正负电荷的物料加以适当组合，使最终达到起电最小。静电起电极性序列表见附录</w:t>
      </w:r>
      <w:r>
        <w:rPr>
          <w:rFonts w:hint="eastAsia" w:ascii="宋体"/>
          <w:kern w:val="0"/>
          <w:szCs w:val="20"/>
        </w:rPr>
        <w:t>B</w:t>
      </w:r>
      <w:r>
        <w:rPr>
          <w:rFonts w:ascii="宋体"/>
          <w:kern w:val="0"/>
          <w:szCs w:val="20"/>
        </w:rPr>
        <w:t>。</w:t>
      </w:r>
    </w:p>
    <w:p>
      <w:pPr>
        <w:widowControl/>
        <w:tabs>
          <w:tab w:val="center" w:pos="4201"/>
          <w:tab w:val="right" w:leader="dot" w:pos="9298"/>
        </w:tabs>
        <w:autoSpaceDE w:val="0"/>
        <w:autoSpaceDN w:val="0"/>
        <w:ind w:firstLine="420" w:firstLineChars="200"/>
        <w:rPr>
          <w:rFonts w:ascii="宋体"/>
          <w:kern w:val="0"/>
          <w:szCs w:val="20"/>
        </w:rPr>
      </w:pPr>
      <w:r>
        <w:rPr>
          <w:rFonts w:ascii="宋体"/>
          <w:kern w:val="0"/>
          <w:szCs w:val="20"/>
        </w:rPr>
        <w:t>在生产工艺的设计上，</w:t>
      </w:r>
      <w:r>
        <w:rPr>
          <w:rFonts w:hint="eastAsia" w:ascii="宋体"/>
          <w:kern w:val="0"/>
          <w:szCs w:val="20"/>
        </w:rPr>
        <w:t>应尽量避免冲击、摩擦与分离过程，</w:t>
      </w:r>
      <w:r>
        <w:rPr>
          <w:rFonts w:ascii="宋体"/>
          <w:kern w:val="0"/>
          <w:szCs w:val="20"/>
        </w:rPr>
        <w:t>对有关物料应尽量做到接触面积和压力较小，接触次数较少，运动和分离速度较慢。</w:t>
      </w:r>
    </w:p>
    <w:p>
      <w:pPr>
        <w:pStyle w:val="43"/>
        <w:spacing w:before="156" w:after="156"/>
      </w:pPr>
      <w:r>
        <w:rPr>
          <w:rFonts w:hint="eastAsia"/>
        </w:rPr>
        <w:t>加快静电耗散</w:t>
      </w:r>
    </w:p>
    <w:p>
      <w:pPr>
        <w:pStyle w:val="110"/>
        <w:rPr>
          <w:rFonts w:hAnsi="宋体"/>
        </w:rPr>
      </w:pPr>
      <w:r>
        <w:rPr>
          <w:rFonts w:hAnsi="宋体"/>
        </w:rPr>
        <w:t>在静电危险场所，所有</w:t>
      </w:r>
      <w:r>
        <w:rPr>
          <w:rFonts w:hint="eastAsia" w:hAnsi="宋体"/>
        </w:rPr>
        <w:t>孤立的</w:t>
      </w:r>
      <w:r>
        <w:rPr>
          <w:rFonts w:hAnsi="宋体"/>
        </w:rPr>
        <w:t>静电导体的物体</w:t>
      </w:r>
      <w:r>
        <w:rPr>
          <w:rFonts w:hint="eastAsia" w:hAnsi="宋体"/>
        </w:rPr>
        <w:t>应</w:t>
      </w:r>
      <w:r>
        <w:rPr>
          <w:rFonts w:hAnsi="宋体"/>
        </w:rPr>
        <w:t>接地。对金属物体应采用金属导体与大地做导通性连接，</w:t>
      </w:r>
      <w:r>
        <w:rPr>
          <w:rFonts w:hint="eastAsia" w:hAnsi="宋体"/>
        </w:rPr>
        <w:t>必要时应设多点接地。</w:t>
      </w:r>
      <w:r>
        <w:rPr>
          <w:rFonts w:hAnsi="宋体"/>
        </w:rPr>
        <w:t>对金属以外的静电导体及亚导体则应作间接接地。</w:t>
      </w:r>
    </w:p>
    <w:p>
      <w:pPr>
        <w:pStyle w:val="110"/>
        <w:rPr>
          <w:rFonts w:hAnsi="宋体"/>
        </w:rPr>
      </w:pPr>
      <w:r>
        <w:rPr>
          <w:rFonts w:hint="eastAsia" w:hAnsi="宋体"/>
        </w:rPr>
        <w:t>静电导体与大地间的总泄漏电阻值不应大于1</w:t>
      </w:r>
      <w:r>
        <w:rPr>
          <w:rFonts w:hAnsi="宋体"/>
        </w:rPr>
        <w:t>.0</w:t>
      </w:r>
      <w:r>
        <w:rPr>
          <w:rFonts w:hint="eastAsia" w:hAnsi="宋体"/>
        </w:rPr>
        <w:t>×1</w:t>
      </w:r>
      <w:r>
        <w:rPr>
          <w:rFonts w:hAnsi="宋体"/>
        </w:rPr>
        <w:t>0</w:t>
      </w:r>
      <w:r>
        <w:rPr>
          <w:rFonts w:hAnsi="宋体"/>
          <w:vertAlign w:val="superscript"/>
        </w:rPr>
        <w:t>6</w:t>
      </w:r>
      <w:r>
        <w:rPr>
          <w:rFonts w:hint="eastAsia" w:ascii="MS Mincho" w:hAnsi="MS Mincho" w:eastAsia="MS Mincho" w:cs="MS Mincho"/>
          <w:vertAlign w:val="superscript"/>
        </w:rPr>
        <w:t> </w:t>
      </w:r>
      <w:r>
        <w:rPr>
          <w:rFonts w:hAnsi="宋体"/>
        </w:rPr>
        <w:t>Ω</w:t>
      </w:r>
      <w:r>
        <w:rPr>
          <w:rFonts w:hint="eastAsia" w:hAnsi="宋体"/>
        </w:rPr>
        <w:t>，专设的静电接地体的接地电阻值不应大于1</w:t>
      </w:r>
      <w:r>
        <w:rPr>
          <w:rFonts w:hAnsi="宋体"/>
        </w:rPr>
        <w:t>00</w:t>
      </w:r>
      <w:r>
        <w:rPr>
          <w:rFonts w:hint="eastAsia" w:ascii="MS Mincho" w:hAnsi="MS Mincho" w:eastAsia="MS Mincho" w:cs="MS Mincho"/>
        </w:rPr>
        <w:t> </w:t>
      </w:r>
      <w:r>
        <w:rPr>
          <w:rFonts w:hAnsi="宋体"/>
        </w:rPr>
        <w:t>Ω，</w:t>
      </w:r>
      <w:r>
        <w:rPr>
          <w:rFonts w:hint="eastAsia" w:hAnsi="宋体"/>
        </w:rPr>
        <w:t>在山区等土壤电阻率较高的地区，专设静电接地体的接地电阻值不应大于1</w:t>
      </w:r>
      <w:r>
        <w:rPr>
          <w:rFonts w:hAnsi="宋体"/>
        </w:rPr>
        <w:t>000</w:t>
      </w:r>
      <w:r>
        <w:rPr>
          <w:rFonts w:hint="eastAsia" w:ascii="MS Mincho" w:hAnsi="MS Mincho" w:eastAsia="MS Mincho" w:cs="MS Mincho"/>
        </w:rPr>
        <w:t> </w:t>
      </w:r>
      <w:r>
        <w:rPr>
          <w:rFonts w:hAnsi="宋体"/>
        </w:rPr>
        <w:t>Ω。</w:t>
      </w:r>
    </w:p>
    <w:p>
      <w:pPr>
        <w:pStyle w:val="110"/>
        <w:rPr>
          <w:rFonts w:hAnsi="宋体"/>
        </w:rPr>
      </w:pPr>
      <w:r>
        <w:rPr>
          <w:rFonts w:hint="eastAsia" w:hAnsi="宋体"/>
        </w:rPr>
        <w:t>须使用泄漏电阻限制静电导体对地的放电电流的情况，泄漏电阻值</w:t>
      </w:r>
      <w:r>
        <w:rPr>
          <w:rFonts w:hAnsi="宋体"/>
        </w:rPr>
        <w:t>最大不</w:t>
      </w:r>
      <w:r>
        <w:rPr>
          <w:rFonts w:hint="eastAsia" w:hAnsi="宋体"/>
        </w:rPr>
        <w:t>应</w:t>
      </w:r>
      <w:r>
        <w:rPr>
          <w:rFonts w:hAnsi="宋体"/>
        </w:rPr>
        <w:t>超过</w:t>
      </w:r>
      <w:r>
        <w:rPr>
          <w:rFonts w:hint="eastAsia" w:hAnsi="宋体"/>
        </w:rPr>
        <w:t>1</w:t>
      </w:r>
      <w:r>
        <w:rPr>
          <w:rFonts w:hAnsi="宋体"/>
        </w:rPr>
        <w:t>.0×10</w:t>
      </w:r>
      <w:r>
        <w:rPr>
          <w:rFonts w:hAnsi="宋体"/>
          <w:vertAlign w:val="superscript"/>
        </w:rPr>
        <w:t>9</w:t>
      </w:r>
      <w:r>
        <w:rPr>
          <w:rFonts w:hint="eastAsia" w:ascii="MS Mincho" w:hAnsi="MS Mincho" w:eastAsia="MS Mincho" w:cs="MS Mincho"/>
          <w:vertAlign w:val="superscript"/>
        </w:rPr>
        <w:t> </w:t>
      </w:r>
      <w:r>
        <w:rPr>
          <w:rFonts w:hAnsi="宋体"/>
        </w:rPr>
        <w:t>Ω</w:t>
      </w:r>
      <w:r>
        <w:rPr>
          <w:rFonts w:hint="eastAsia" w:hAnsi="宋体"/>
        </w:rPr>
        <w:t>，一般场所应控制在1</w:t>
      </w:r>
      <w:r>
        <w:rPr>
          <w:rFonts w:hAnsi="宋体"/>
        </w:rPr>
        <w:t>.0×10</w:t>
      </w:r>
      <w:r>
        <w:rPr>
          <w:rFonts w:hAnsi="宋体"/>
          <w:vertAlign w:val="superscript"/>
        </w:rPr>
        <w:t>4</w:t>
      </w:r>
      <w:r>
        <w:rPr>
          <w:rFonts w:hint="eastAsia" w:ascii="MS Mincho" w:hAnsi="MS Mincho" w:eastAsia="MS Mincho" w:cs="MS Mincho"/>
          <w:vertAlign w:val="superscript"/>
        </w:rPr>
        <w:t> </w:t>
      </w:r>
      <w:r>
        <w:rPr>
          <w:rFonts w:hAnsi="宋体"/>
        </w:rPr>
        <w:t>Ω</w:t>
      </w:r>
      <w:r>
        <w:rPr>
          <w:rFonts w:hint="eastAsia" w:hAnsi="宋体"/>
        </w:rPr>
        <w:t>~</w:t>
      </w:r>
      <w:r>
        <w:rPr>
          <w:rFonts w:hAnsi="宋体"/>
        </w:rPr>
        <w:t>1.0×10</w:t>
      </w:r>
      <w:r>
        <w:rPr>
          <w:rFonts w:hAnsi="宋体"/>
          <w:vertAlign w:val="superscript"/>
        </w:rPr>
        <w:t>6</w:t>
      </w:r>
      <w:r>
        <w:rPr>
          <w:rFonts w:hint="eastAsia" w:ascii="MS Mincho" w:hAnsi="MS Mincho" w:eastAsia="MS Mincho" w:cs="MS Mincho"/>
          <w:vertAlign w:val="superscript"/>
        </w:rPr>
        <w:t> </w:t>
      </w:r>
      <w:r>
        <w:rPr>
          <w:rFonts w:hAnsi="宋体"/>
        </w:rPr>
        <w:t>Ω，</w:t>
      </w:r>
    </w:p>
    <w:p>
      <w:pPr>
        <w:pStyle w:val="110"/>
      </w:pPr>
      <w:r>
        <w:rPr>
          <w:rFonts w:hint="eastAsia"/>
        </w:rPr>
        <w:t>工艺允许情况下，局部环境的相对湿度应增加至50</w:t>
      </w:r>
      <w:r>
        <w:t> </w:t>
      </w:r>
      <w:r>
        <w:rPr>
          <w:rFonts w:hint="eastAsia"/>
        </w:rPr>
        <w:t>％以上，但增湿不得用在气体爆炸危险场所0区。</w:t>
      </w:r>
    </w:p>
    <w:p>
      <w:pPr>
        <w:pStyle w:val="110"/>
      </w:pPr>
      <w:bookmarkStart w:id="35" w:name="_Hlk105343680"/>
      <w:r>
        <w:t>生产工艺设备应采用静电导体或静电亚导体</w:t>
      </w:r>
      <w:r>
        <w:rPr>
          <w:rFonts w:hint="eastAsia"/>
        </w:rPr>
        <w:t>，未经试验或规范性文件确认其安全性，</w:t>
      </w:r>
      <w:r>
        <w:t>避免采用静电非导体。</w:t>
      </w:r>
      <w:r>
        <w:rPr>
          <w:rFonts w:hint="eastAsia"/>
        </w:rPr>
        <w:t>试验记录或确认材料应成为</w:t>
      </w:r>
      <w:bookmarkStart w:id="36" w:name="_Hlk105343763"/>
      <w:r>
        <w:rPr>
          <w:rFonts w:hint="eastAsia"/>
        </w:rPr>
        <w:t>单位内部管理规范文件的一部分</w:t>
      </w:r>
      <w:bookmarkEnd w:id="36"/>
      <w:r>
        <w:rPr>
          <w:rFonts w:hint="eastAsia"/>
        </w:rPr>
        <w:t>。</w:t>
      </w:r>
      <w:bookmarkEnd w:id="35"/>
    </w:p>
    <w:p>
      <w:pPr>
        <w:pStyle w:val="110"/>
      </w:pPr>
      <w:r>
        <w:t>对于高带电的物料，</w:t>
      </w:r>
      <w:r>
        <w:rPr>
          <w:rFonts w:hint="eastAsia"/>
        </w:rPr>
        <w:t>应通过</w:t>
      </w:r>
      <w:r>
        <w:t>在接近排放口前的适当位置装设静电缓和器</w:t>
      </w:r>
      <w:r>
        <w:rPr>
          <w:rFonts w:hint="eastAsia"/>
        </w:rPr>
        <w:t>，或</w:t>
      </w:r>
      <w:r>
        <w:t>在某些物料中添加适量的防静电添加剂，以降低其电阻率</w:t>
      </w:r>
      <w:r>
        <w:rPr>
          <w:rFonts w:hint="eastAsia"/>
        </w:rPr>
        <w:t>的方式降低静电风险</w:t>
      </w:r>
      <w:r>
        <w:t>。</w:t>
      </w:r>
    </w:p>
    <w:p>
      <w:pPr>
        <w:pStyle w:val="110"/>
      </w:pPr>
      <w:r>
        <w:t>在生产现场使用静电导体制作的操作工具应接地。</w:t>
      </w:r>
    </w:p>
    <w:p>
      <w:pPr>
        <w:pStyle w:val="60"/>
      </w:pPr>
      <w:r>
        <w:rPr>
          <w:rFonts w:hint="eastAsia"/>
        </w:rPr>
        <w:t>带电体应进行局部或全部静电屏蔽，或利用各种形式的金属网以减少静电的积聚。同时屏蔽体或金属网应可靠接地。</w:t>
      </w:r>
    </w:p>
    <w:p>
      <w:pPr>
        <w:pStyle w:val="60"/>
      </w:pPr>
      <w:r>
        <w:rPr>
          <w:rFonts w:hint="eastAsia"/>
        </w:rPr>
        <w:t>在设计和制作工艺装置或装备时，应避免存在静电放电的条件，如在容器内避免出现细长的导电性突出物和避免物料的高速剥离等。</w:t>
      </w:r>
    </w:p>
    <w:p>
      <w:pPr>
        <w:pStyle w:val="60"/>
      </w:pPr>
      <w:r>
        <w:rPr>
          <w:rFonts w:hint="eastAsia"/>
        </w:rPr>
        <w:t>控制环境中可燃物的浓度，保持在爆炸下限以下。</w:t>
      </w:r>
    </w:p>
    <w:p>
      <w:pPr>
        <w:pStyle w:val="60"/>
      </w:pPr>
      <w:r>
        <w:rPr>
          <w:rFonts w:hint="eastAsia"/>
        </w:rPr>
        <w:t>限制静电非导体材料制品的暴露面积及暴露面的宽度。</w:t>
      </w:r>
    </w:p>
    <w:p>
      <w:pPr>
        <w:pStyle w:val="60"/>
      </w:pPr>
      <w:r>
        <w:rPr>
          <w:rFonts w:hint="eastAsia"/>
        </w:rPr>
        <w:t>在遇到分层或套叠的结构时应避免使用静电非导体材料。</w:t>
      </w:r>
    </w:p>
    <w:p>
      <w:pPr>
        <w:pStyle w:val="60"/>
        <w:rPr>
          <w:rFonts w:hAnsi="宋体"/>
        </w:rPr>
      </w:pPr>
      <w:r>
        <w:rPr>
          <w:rFonts w:hint="eastAsia" w:hAnsi="宋体"/>
        </w:rPr>
        <w:t>在静电危险场所使用的软管及绳索的单位长度电阻值应介于</w:t>
      </w:r>
      <w:r>
        <w:rPr>
          <w:rFonts w:hAnsi="宋体"/>
        </w:rPr>
        <w:t>1.0×10</w:t>
      </w:r>
      <w:r>
        <w:rPr>
          <w:rFonts w:hAnsi="宋体"/>
          <w:vertAlign w:val="superscript"/>
        </w:rPr>
        <w:t>3</w:t>
      </w:r>
      <w:r>
        <w:rPr>
          <w:rFonts w:hint="eastAsia" w:ascii="MS Mincho" w:hAnsi="MS Mincho" w:eastAsia="MS Mincho" w:cs="MS Mincho"/>
          <w:vertAlign w:val="superscript"/>
        </w:rPr>
        <w:t> </w:t>
      </w:r>
      <w:r>
        <w:rPr>
          <w:rFonts w:hAnsi="宋体"/>
        </w:rPr>
        <w:t>Ω/m~1.0×10</w:t>
      </w:r>
      <w:r>
        <w:rPr>
          <w:rFonts w:hAnsi="宋体"/>
          <w:vertAlign w:val="superscript"/>
        </w:rPr>
        <w:t>6</w:t>
      </w:r>
      <w:r>
        <w:rPr>
          <w:rFonts w:hint="eastAsia" w:ascii="MS Mincho" w:hAnsi="MS Mincho" w:eastAsia="MS Mincho" w:cs="MS Mincho"/>
        </w:rPr>
        <w:t> </w:t>
      </w:r>
      <w:r>
        <w:rPr>
          <w:rFonts w:hAnsi="宋体"/>
        </w:rPr>
        <w:t>Ω/m</w:t>
      </w:r>
      <w:r>
        <w:rPr>
          <w:rFonts w:hint="eastAsia" w:hAnsi="宋体"/>
        </w:rPr>
        <w:t>，阻值测试时应使软管、绳索的抻拉受力与工作状态尽可能一致</w:t>
      </w:r>
      <w:r>
        <w:rPr>
          <w:rFonts w:hAnsi="宋体"/>
        </w:rPr>
        <w:t>。</w:t>
      </w:r>
    </w:p>
    <w:p>
      <w:pPr>
        <w:pStyle w:val="60"/>
      </w:pPr>
      <w:r>
        <w:rPr>
          <w:rFonts w:hint="eastAsia"/>
        </w:rPr>
        <w:t>在气体爆炸危险场所禁止使用金属链。</w:t>
      </w:r>
    </w:p>
    <w:p>
      <w:pPr>
        <w:pStyle w:val="60"/>
      </w:pPr>
      <w:r>
        <w:rPr>
          <w:rFonts w:hint="eastAsia"/>
        </w:rPr>
        <w:t>使用静电消除器迅速中和静电：</w:t>
      </w:r>
    </w:p>
    <w:p>
      <w:pPr>
        <w:pStyle w:val="45"/>
      </w:pPr>
      <w:r>
        <w:rPr>
          <w:rFonts w:hint="eastAsia"/>
        </w:rPr>
        <w:t>静电危险场所要使用防爆型静电消除器。</w:t>
      </w:r>
    </w:p>
    <w:p>
      <w:pPr>
        <w:pStyle w:val="45"/>
      </w:pPr>
      <w:r>
        <w:rPr>
          <w:rFonts w:hint="eastAsia"/>
        </w:rPr>
        <w:t>消除属于静电非导体物料的静电，应根据现场情况采用不同类型的静电消除器。</w:t>
      </w:r>
    </w:p>
    <w:p>
      <w:pPr>
        <w:pStyle w:val="45"/>
      </w:pPr>
      <w:r>
        <w:rPr>
          <w:rFonts w:hint="eastAsia"/>
        </w:rPr>
        <w:t>静电消除器应安装在带电体接近最高电位的部位。</w:t>
      </w:r>
    </w:p>
    <w:p>
      <w:pPr>
        <w:pStyle w:val="42"/>
        <w:spacing w:before="312" w:after="312"/>
      </w:pPr>
      <w:r>
        <w:rPr>
          <w:rFonts w:hint="eastAsia"/>
        </w:rPr>
        <w:t>静电防护管理措施</w:t>
      </w:r>
    </w:p>
    <w:p>
      <w:pPr>
        <w:pStyle w:val="39"/>
        <w:spacing w:before="156" w:after="156"/>
      </w:pPr>
      <w:r>
        <w:rPr>
          <w:rFonts w:hint="eastAsia"/>
        </w:rPr>
        <w:t>通则</w:t>
      </w:r>
    </w:p>
    <w:p>
      <w:pPr>
        <w:pStyle w:val="22"/>
      </w:pPr>
      <w:r>
        <w:rPr>
          <w:rFonts w:hint="eastAsia"/>
        </w:rPr>
        <w:t xml:space="preserve"> 静电危险场所相关单位应采用必要的管理手段，对静电防护的各流程、环节及其中的静电防护技术方法、设备、器具、人员行为进行规范和约束，可参照GB</w:t>
      </w:r>
      <w:r>
        <w:t>/T 39587</w:t>
      </w:r>
      <w:r>
        <w:rPr>
          <w:rFonts w:hint="eastAsia"/>
        </w:rPr>
        <w:t>建立适合其条件的静电防护管理体系。</w:t>
      </w:r>
    </w:p>
    <w:p>
      <w:pPr>
        <w:pStyle w:val="39"/>
        <w:spacing w:before="156" w:after="156"/>
      </w:pPr>
      <w:r>
        <w:rPr>
          <w:rFonts w:hint="eastAsia"/>
        </w:rPr>
        <w:t>组织管理</w:t>
      </w:r>
    </w:p>
    <w:p>
      <w:pPr>
        <w:pStyle w:val="22"/>
      </w:pPr>
      <w:r>
        <w:rPr>
          <w:rFonts w:hint="eastAsia"/>
        </w:rPr>
        <w:t>静电危险场所相关单位应明确静电防护工作的最高管理者、静电防护管理实施部门。</w:t>
      </w:r>
    </w:p>
    <w:p>
      <w:pPr>
        <w:pStyle w:val="39"/>
        <w:spacing w:before="156" w:after="156"/>
      </w:pPr>
      <w:r>
        <w:rPr>
          <w:rFonts w:hint="eastAsia"/>
        </w:rPr>
        <w:t>文件</w:t>
      </w:r>
    </w:p>
    <w:p>
      <w:pPr>
        <w:pStyle w:val="22"/>
        <w:rPr>
          <w:rFonts w:ascii="黑体" w:eastAsia="黑体"/>
        </w:rPr>
      </w:pPr>
      <w:r>
        <w:rPr>
          <w:rFonts w:hint="eastAsia"/>
        </w:rPr>
        <w:t>在静电危险场所应制定静电危害控制方案，并成为单位内部管理规范文件的一部分。其内容应至少包括：</w:t>
      </w:r>
    </w:p>
    <w:p>
      <w:pPr>
        <w:pStyle w:val="22"/>
      </w:pPr>
      <w:r>
        <w:rPr>
          <w:rFonts w:hint="eastAsia"/>
        </w:rPr>
        <w:t>——可能产生的静电危害；</w:t>
      </w:r>
    </w:p>
    <w:p>
      <w:pPr>
        <w:pStyle w:val="22"/>
      </w:pPr>
      <w:r>
        <w:rPr>
          <w:rFonts w:hint="eastAsia"/>
        </w:rPr>
        <w:t>——静电危害的表现形式；</w:t>
      </w:r>
    </w:p>
    <w:p>
      <w:pPr>
        <w:pStyle w:val="22"/>
      </w:pPr>
      <w:r>
        <w:rPr>
          <w:rFonts w:hint="eastAsia"/>
        </w:rPr>
        <w:t>——静电危害的产生原因；</w:t>
      </w:r>
    </w:p>
    <w:p>
      <w:pPr>
        <w:pStyle w:val="22"/>
      </w:pPr>
      <w:r>
        <w:rPr>
          <w:rFonts w:hint="eastAsia"/>
        </w:rPr>
        <w:t>——静电危害的控制措施；</w:t>
      </w:r>
    </w:p>
    <w:p>
      <w:pPr>
        <w:pStyle w:val="22"/>
      </w:pPr>
      <w:r>
        <w:rPr>
          <w:rFonts w:hint="eastAsia"/>
        </w:rPr>
        <w:t>——人员的培训计划；</w:t>
      </w:r>
    </w:p>
    <w:p>
      <w:pPr>
        <w:pStyle w:val="22"/>
      </w:pPr>
      <w:r>
        <w:rPr>
          <w:rFonts w:hint="eastAsia"/>
        </w:rPr>
        <w:t>——防静电措施的验证；</w:t>
      </w:r>
    </w:p>
    <w:p>
      <w:pPr>
        <w:pStyle w:val="45"/>
      </w:pPr>
      <w:r>
        <w:rPr>
          <w:rFonts w:hint="eastAsia"/>
        </w:rPr>
        <w:t>静电防护行为相关记录。</w:t>
      </w:r>
    </w:p>
    <w:p>
      <w:pPr>
        <w:pStyle w:val="39"/>
        <w:spacing w:before="156" w:after="156"/>
      </w:pPr>
      <w:r>
        <w:rPr>
          <w:rFonts w:hint="eastAsia"/>
        </w:rPr>
        <w:t>人员</w:t>
      </w:r>
    </w:p>
    <w:p>
      <w:pPr>
        <w:widowControl/>
        <w:tabs>
          <w:tab w:val="center" w:pos="4201"/>
          <w:tab w:val="right" w:leader="dot" w:pos="9298"/>
        </w:tabs>
        <w:autoSpaceDE w:val="0"/>
        <w:autoSpaceDN w:val="0"/>
        <w:ind w:firstLine="420" w:firstLineChars="200"/>
        <w:rPr>
          <w:rFonts w:ascii="宋体"/>
          <w:kern w:val="0"/>
          <w:szCs w:val="20"/>
        </w:rPr>
      </w:pPr>
      <w:r>
        <w:rPr>
          <w:rFonts w:ascii="宋体"/>
          <w:kern w:val="0"/>
          <w:szCs w:val="20"/>
        </w:rPr>
        <w:t>在静电危险场所工作的人员，应定期的防静电危害培训。培训应同本单位的实际工作结合，培训的内容应包括法规的培训、防静电措施的执行方法、必要的演习及知识的补充。</w:t>
      </w:r>
    </w:p>
    <w:p>
      <w:pPr>
        <w:widowControl/>
        <w:tabs>
          <w:tab w:val="center" w:pos="4201"/>
          <w:tab w:val="right" w:leader="dot" w:pos="9298"/>
        </w:tabs>
        <w:autoSpaceDE w:val="0"/>
        <w:autoSpaceDN w:val="0"/>
        <w:ind w:firstLine="420" w:firstLineChars="200"/>
        <w:rPr>
          <w:rFonts w:ascii="宋体"/>
          <w:kern w:val="0"/>
          <w:szCs w:val="20"/>
        </w:rPr>
      </w:pPr>
      <w:r>
        <w:rPr>
          <w:rFonts w:ascii="宋体"/>
          <w:kern w:val="0"/>
          <w:szCs w:val="20"/>
        </w:rPr>
        <w:t>对</w:t>
      </w:r>
      <w:r>
        <w:rPr>
          <w:rFonts w:hint="eastAsia" w:ascii="宋体"/>
          <w:kern w:val="0"/>
          <w:szCs w:val="20"/>
        </w:rPr>
        <w:t>进入静电危险场所的非操作人员，包括但不限于</w:t>
      </w:r>
      <w:r>
        <w:rPr>
          <w:rFonts w:ascii="宋体"/>
          <w:kern w:val="0"/>
          <w:szCs w:val="20"/>
        </w:rPr>
        <w:t>短期来访的外来人员</w:t>
      </w:r>
      <w:r>
        <w:rPr>
          <w:rFonts w:hint="eastAsia" w:ascii="宋体"/>
          <w:kern w:val="0"/>
          <w:szCs w:val="20"/>
        </w:rPr>
        <w:t>、维修人员、保洁人员等</w:t>
      </w:r>
      <w:r>
        <w:rPr>
          <w:rFonts w:ascii="宋体"/>
          <w:kern w:val="0"/>
          <w:szCs w:val="20"/>
        </w:rPr>
        <w:t>，应配备公用的个体防静电装备。进</w:t>
      </w:r>
      <w:r>
        <w:rPr>
          <w:rFonts w:hint="eastAsia" w:ascii="宋体"/>
          <w:kern w:val="0"/>
          <w:szCs w:val="20"/>
        </w:rPr>
        <w:t>入静电危险场所</w:t>
      </w:r>
      <w:r>
        <w:rPr>
          <w:rFonts w:ascii="宋体"/>
          <w:kern w:val="0"/>
          <w:szCs w:val="20"/>
        </w:rPr>
        <w:t>前，应由有经验的工作人员以适合的方式告知有关规定。</w:t>
      </w:r>
    </w:p>
    <w:p>
      <w:pPr>
        <w:pStyle w:val="39"/>
        <w:spacing w:before="156" w:after="156"/>
      </w:pPr>
      <w:r>
        <w:rPr>
          <w:rFonts w:hint="eastAsia"/>
        </w:rPr>
        <w:t>识别</w:t>
      </w:r>
    </w:p>
    <w:p>
      <w:pPr>
        <w:pStyle w:val="22"/>
      </w:pPr>
      <w:r>
        <w:rPr>
          <w:rFonts w:hint="eastAsia"/>
        </w:rPr>
        <w:t>静电危险场所相关单位应识别作业范围内的静电敏感物具体信息，识别静电危险场所范围、静电危险环节、静电防护人员/用品/设备设施。</w:t>
      </w:r>
    </w:p>
    <w:p>
      <w:pPr>
        <w:pStyle w:val="39"/>
        <w:spacing w:before="156" w:after="156"/>
      </w:pPr>
      <w:r>
        <w:rPr>
          <w:rFonts w:hint="eastAsia"/>
        </w:rPr>
        <w:t>检查</w:t>
      </w:r>
    </w:p>
    <w:p>
      <w:pPr>
        <w:pStyle w:val="22"/>
      </w:pPr>
      <w:r>
        <w:rPr>
          <w:rFonts w:hint="eastAsia"/>
        </w:rPr>
        <w:t>在工作中应按照静电危害控制方案对关键数据进行实时监测并记录，并由</w:t>
      </w:r>
      <w:bookmarkStart w:id="37" w:name="_Hlk105354346"/>
      <w:r>
        <w:rPr>
          <w:rFonts w:hint="eastAsia"/>
        </w:rPr>
        <w:t>具有资质的第三方机构对监测装置进行定期的计量。</w:t>
      </w:r>
      <w:bookmarkEnd w:id="37"/>
      <w:r>
        <w:rPr>
          <w:rFonts w:hint="eastAsia"/>
        </w:rPr>
        <w:t>检查和检测与计量频率取决于控制对象的用途、耐久性及失效的风险</w:t>
      </w:r>
      <w:r>
        <w:t>。</w:t>
      </w:r>
    </w:p>
    <w:p>
      <w:pPr>
        <w:pStyle w:val="22"/>
      </w:pPr>
      <w:r>
        <w:rPr>
          <w:rFonts w:hint="eastAsia"/>
        </w:rPr>
        <w:t>应建立静电防护管理工作的检查机制，对检查发现的问题项、不符合项及时采取纠正措施。</w:t>
      </w:r>
    </w:p>
    <w:p>
      <w:pPr>
        <w:pStyle w:val="39"/>
        <w:spacing w:before="156" w:after="156"/>
      </w:pPr>
      <w:r>
        <w:rPr>
          <w:rFonts w:hint="eastAsia"/>
        </w:rPr>
        <w:t>标志与记录</w:t>
      </w:r>
    </w:p>
    <w:p>
      <w:pPr>
        <w:widowControl/>
        <w:tabs>
          <w:tab w:val="center" w:pos="4201"/>
          <w:tab w:val="right" w:leader="dot" w:pos="9298"/>
        </w:tabs>
        <w:autoSpaceDE w:val="0"/>
        <w:autoSpaceDN w:val="0"/>
        <w:ind w:firstLine="420" w:firstLineChars="200"/>
        <w:rPr>
          <w:rFonts w:ascii="宋体"/>
          <w:kern w:val="0"/>
          <w:szCs w:val="20"/>
        </w:rPr>
      </w:pPr>
      <w:r>
        <w:rPr>
          <w:rFonts w:hint="eastAsia" w:ascii="宋体"/>
          <w:kern w:val="0"/>
          <w:szCs w:val="20"/>
        </w:rPr>
        <w:t>所有静电危险场所应设立明显的危险标志。标志应标明防静电工作区等级，并标明静电危险场所的入口与边界。静电危险场所必须有接地点、应使用的防静电物品、必备的衣物、静电危险区及活动方面的限制等标志。</w:t>
      </w:r>
    </w:p>
    <w:p>
      <w:pPr>
        <w:widowControl/>
        <w:tabs>
          <w:tab w:val="center" w:pos="4201"/>
          <w:tab w:val="right" w:leader="dot" w:pos="9298"/>
        </w:tabs>
        <w:autoSpaceDE w:val="0"/>
        <w:autoSpaceDN w:val="0"/>
        <w:ind w:firstLine="420" w:firstLineChars="200"/>
        <w:rPr>
          <w:rFonts w:ascii="宋体"/>
          <w:kern w:val="0"/>
          <w:szCs w:val="20"/>
        </w:rPr>
      </w:pPr>
      <w:r>
        <w:rPr>
          <w:rFonts w:hint="eastAsia" w:ascii="宋体"/>
          <w:kern w:val="0"/>
          <w:szCs w:val="20"/>
        </w:rPr>
        <w:t>静电敏感物、盛装静电敏感物的防静电包装/器材设备应张贴清晰明确的风险等级标识。</w:t>
      </w:r>
    </w:p>
    <w:p>
      <w:pPr>
        <w:widowControl/>
        <w:tabs>
          <w:tab w:val="center" w:pos="4201"/>
          <w:tab w:val="right" w:leader="dot" w:pos="9298"/>
        </w:tabs>
        <w:autoSpaceDE w:val="0"/>
        <w:autoSpaceDN w:val="0"/>
        <w:ind w:firstLine="420" w:firstLineChars="200"/>
        <w:rPr>
          <w:rFonts w:ascii="宋体"/>
          <w:kern w:val="0"/>
          <w:szCs w:val="20"/>
        </w:rPr>
      </w:pPr>
      <w:r>
        <w:rPr>
          <w:rFonts w:hint="eastAsia" w:ascii="宋体"/>
          <w:kern w:val="0"/>
          <w:szCs w:val="20"/>
        </w:rPr>
        <w:t>所有的工作都应被记录在案并保存。</w:t>
      </w:r>
    </w:p>
    <w:p>
      <w:pPr>
        <w:pStyle w:val="42"/>
        <w:spacing w:before="312" w:after="312"/>
      </w:pPr>
      <w:bookmarkStart w:id="38" w:name="_Toc53176647"/>
      <w:bookmarkStart w:id="39" w:name="_Toc53175708"/>
      <w:r>
        <w:rPr>
          <w:rFonts w:hint="eastAsia"/>
        </w:rPr>
        <w:t>防静电工作区及分级</w:t>
      </w:r>
      <w:bookmarkEnd w:id="38"/>
      <w:bookmarkEnd w:id="39"/>
    </w:p>
    <w:p>
      <w:pPr>
        <w:pStyle w:val="39"/>
        <w:spacing w:before="156" w:after="156"/>
      </w:pPr>
      <w:r>
        <w:rPr>
          <w:rFonts w:hint="eastAsia"/>
        </w:rPr>
        <w:t>通则</w:t>
      </w:r>
    </w:p>
    <w:p>
      <w:pPr>
        <w:pStyle w:val="22"/>
      </w:pPr>
      <w:r>
        <w:rPr>
          <w:rFonts w:hint="eastAsia"/>
        </w:rPr>
        <w:t>按照作业场所静电引起爆炸事故的概率的高低，将防静电工作区分为0区，1区，2区（气体爆炸场所）和2</w:t>
      </w:r>
      <w:r>
        <w:t>0</w:t>
      </w:r>
      <w:r>
        <w:rPr>
          <w:rFonts w:hint="eastAsia"/>
        </w:rPr>
        <w:t>区，2</w:t>
      </w:r>
      <w:r>
        <w:t>1</w:t>
      </w:r>
      <w:r>
        <w:rPr>
          <w:rFonts w:hint="eastAsia"/>
        </w:rPr>
        <w:t>区，2</w:t>
      </w:r>
      <w:r>
        <w:t>2</w:t>
      </w:r>
      <w:r>
        <w:rPr>
          <w:rFonts w:hint="eastAsia"/>
        </w:rPr>
        <w:t>区（粉尘爆炸场所），数字越小，对应静电产生爆炸的危险性越高，对应静电防护需求越高。</w:t>
      </w:r>
    </w:p>
    <w:p>
      <w:pPr>
        <w:pStyle w:val="39"/>
        <w:spacing w:before="156" w:after="156"/>
      </w:pPr>
      <w:r>
        <w:rPr>
          <w:rFonts w:hint="eastAsia"/>
        </w:rPr>
        <w:t>气体爆炸场所分级</w:t>
      </w:r>
    </w:p>
    <w:p>
      <w:pPr>
        <w:pStyle w:val="22"/>
      </w:pPr>
      <w:r>
        <w:rPr>
          <w:rFonts w:hint="eastAsia"/>
        </w:rPr>
        <w:t>按气体爆炸危险可能发生的大小对气体爆炸危险场所的分级，包括：</w:t>
      </w:r>
    </w:p>
    <w:p>
      <w:pPr>
        <w:pStyle w:val="45"/>
      </w:pPr>
      <w:r>
        <w:rPr>
          <w:rFonts w:hint="eastAsia"/>
        </w:rPr>
        <w:t>0区：在正常情况下，爆炸性气体（含蒸气和薄雾)混合物连续地、短时间频繁地出现或长时间存在的场所。</w:t>
      </w:r>
    </w:p>
    <w:p>
      <w:pPr>
        <w:pStyle w:val="45"/>
      </w:pPr>
      <w:r>
        <w:t>1</w:t>
      </w:r>
      <w:r>
        <w:rPr>
          <w:rFonts w:hint="eastAsia"/>
        </w:rPr>
        <w:t>区：在正常情况下，爆炸性气体（含蒸气和薄雾)混合物有可能出现的场所。</w:t>
      </w:r>
    </w:p>
    <w:p>
      <w:pPr>
        <w:pStyle w:val="45"/>
      </w:pPr>
      <w:r>
        <w:rPr>
          <w:rFonts w:hint="eastAsia"/>
        </w:rPr>
        <w:t>2区：在正常情况下，爆炸性气体混合物不能出现，仅在不正常情况下，偶尔短时间出现的场所。</w:t>
      </w:r>
    </w:p>
    <w:p>
      <w:pPr>
        <w:pStyle w:val="61"/>
      </w:pPr>
      <w:r>
        <w:rPr>
          <w:rFonts w:hint="eastAsia"/>
        </w:rPr>
        <w:t>正常情况是指设备的正常启动、停止、正常运行和维修情况。爆炸性气体分类见</w:t>
      </w:r>
      <w:r>
        <w:t>GB/T 3836.11</w:t>
      </w:r>
      <w:r>
        <w:rPr>
          <w:rFonts w:hint="eastAsia"/>
        </w:rPr>
        <w:t>。</w:t>
      </w:r>
    </w:p>
    <w:p>
      <w:pPr>
        <w:pStyle w:val="39"/>
        <w:spacing w:before="156" w:after="156"/>
      </w:pPr>
      <w:r>
        <w:rPr>
          <w:rFonts w:hint="eastAsia"/>
        </w:rPr>
        <w:t>粉尘爆炸场所分级</w:t>
      </w:r>
    </w:p>
    <w:p>
      <w:pPr>
        <w:pStyle w:val="22"/>
      </w:pPr>
      <w:r>
        <w:rPr>
          <w:rFonts w:hint="eastAsia"/>
        </w:rPr>
        <w:t>按粉尘爆炸危险性可能发生的大小对粉尘爆炸危险场所进行分级，包括：</w:t>
      </w:r>
    </w:p>
    <w:p>
      <w:pPr>
        <w:pStyle w:val="45"/>
      </w:pPr>
      <w:r>
        <w:rPr>
          <w:rFonts w:hint="eastAsia"/>
        </w:rPr>
        <w:t>2</w:t>
      </w:r>
      <w:r>
        <w:t>0</w:t>
      </w:r>
      <w:r>
        <w:rPr>
          <w:rFonts w:hint="eastAsia"/>
        </w:rPr>
        <w:t>区：在正常运行过程中可燃性粉尘连续出现或经常出现，其数量足以形成可燃性粉尘与空气混合物和/或可能形成无法控制和极厚的粉尘层的场所及容器内部。</w:t>
      </w:r>
    </w:p>
    <w:p>
      <w:pPr>
        <w:pStyle w:val="45"/>
      </w:pPr>
      <w:r>
        <w:rPr>
          <w:rFonts w:hint="eastAsia"/>
        </w:rPr>
        <w:t>2</w:t>
      </w:r>
      <w:r>
        <w:t xml:space="preserve">1 </w:t>
      </w:r>
      <w:r>
        <w:rPr>
          <w:rFonts w:hint="eastAsia"/>
        </w:rPr>
        <w:t>区：在正常运行过程中，可能出现粉尘数量足以形成可燃性粉尘与空气混合物但未划入20区的场所，该区域包括与充入或排放粉尘点直接相邻的场所。</w:t>
      </w:r>
    </w:p>
    <w:p>
      <w:pPr>
        <w:pStyle w:val="45"/>
      </w:pPr>
      <w:r>
        <w:rPr>
          <w:rFonts w:hint="eastAsia"/>
        </w:rPr>
        <w:t>2</w:t>
      </w:r>
      <w:r>
        <w:t xml:space="preserve">2 </w:t>
      </w:r>
      <w:r>
        <w:rPr>
          <w:rFonts w:hint="eastAsia"/>
        </w:rPr>
        <w:t>区：在异常情况下，可燃性粉尘云偶尔出现并且只是短时间存在或可燃性粉尘偶尔出现堆积或可能存在粉尘层并且产生可燃性粉尘空气混合物的场所。</w:t>
      </w:r>
    </w:p>
    <w:p>
      <w:pPr>
        <w:pStyle w:val="61"/>
      </w:pPr>
      <w:r>
        <w:rPr>
          <w:rFonts w:hint="eastAsia"/>
        </w:rPr>
        <w:t>如果不能保证排除可燃性粉尘堆积或粉尘时，则应划分为21区，爆炸性及可燃性粉尘分类见</w:t>
      </w:r>
      <w:r>
        <w:t>GB 50058</w:t>
      </w:r>
      <w:r>
        <w:rPr>
          <w:rFonts w:hint="eastAsia"/>
        </w:rPr>
        <w:t>。</w:t>
      </w:r>
    </w:p>
    <w:p>
      <w:pPr>
        <w:pStyle w:val="39"/>
        <w:spacing w:before="156" w:after="156"/>
      </w:pPr>
      <w:r>
        <w:rPr>
          <w:rFonts w:hint="eastAsia"/>
        </w:rPr>
        <w:t>静电放电点燃界限</w:t>
      </w:r>
    </w:p>
    <w:p>
      <w:pPr>
        <w:pStyle w:val="60"/>
      </w:pPr>
      <w:r>
        <w:rPr>
          <w:rFonts w:hint="eastAsia"/>
        </w:rPr>
        <w:t>导体间的静电放电能量按式（</w:t>
      </w:r>
      <w:r>
        <w:t>1</w:t>
      </w:r>
      <w:r>
        <w:rPr>
          <w:rFonts w:hint="eastAsia"/>
        </w:rPr>
        <w:t>）计算：</w:t>
      </w:r>
    </w:p>
    <w:p>
      <w:pPr>
        <w:pStyle w:val="4"/>
        <w:rPr>
          <w:rFonts w:ascii="宋体" w:hAnsi="Times New Roman" w:eastAsia="宋体" w:cs="Times New Roman"/>
          <w:kern w:val="0"/>
          <w:sz w:val="21"/>
        </w:rPr>
      </w:pPr>
      <w:r>
        <w:rPr>
          <w:rFonts w:ascii="宋体" w:hAnsi="宋体" w:eastAsia="宋体"/>
          <w:sz w:val="21"/>
          <w:szCs w:val="21"/>
        </w:rPr>
        <w:tab/>
      </w:r>
      <w:r>
        <w:rPr>
          <w:rFonts w:ascii="宋体" w:hAnsi="宋体" w:eastAsia="宋体"/>
          <w:sz w:val="21"/>
          <w:szCs w:val="21"/>
        </w:rPr>
        <w:t xml:space="preserve">                                   </w:t>
      </w:r>
      <w:r>
        <w:rPr>
          <w:rFonts w:hint="eastAsia" w:ascii="宋体" w:hAnsi="宋体" w:eastAsia="宋体"/>
          <w:sz w:val="21"/>
          <w:szCs w:val="21"/>
        </w:rPr>
        <w:t>W=</w:t>
      </w:r>
      <w:r>
        <w:rPr>
          <w:rFonts w:ascii="宋体" w:hAnsi="宋体" w:eastAsia="宋体"/>
          <w:sz w:val="21"/>
          <w:szCs w:val="21"/>
        </w:rPr>
        <w:t>1</w:t>
      </w:r>
      <w:r>
        <w:rPr>
          <w:rFonts w:hint="eastAsia" w:ascii="宋体" w:hAnsi="宋体" w:eastAsia="宋体"/>
          <w:sz w:val="21"/>
          <w:szCs w:val="21"/>
        </w:rPr>
        <w:t>/</w:t>
      </w:r>
      <w:r>
        <w:rPr>
          <w:rFonts w:ascii="宋体" w:hAnsi="宋体" w:eastAsia="宋体"/>
          <w:sz w:val="21"/>
          <w:szCs w:val="21"/>
        </w:rPr>
        <w:t>2</w:t>
      </w:r>
      <w:r>
        <w:rPr>
          <w:rFonts w:hint="eastAsia" w:ascii="宋体" w:hAnsi="宋体" w:eastAsia="宋体"/>
          <w:sz w:val="21"/>
          <w:szCs w:val="21"/>
        </w:rPr>
        <w:t>（C×V</w:t>
      </w:r>
      <w:r>
        <w:rPr>
          <w:rFonts w:ascii="宋体" w:hAnsi="宋体" w:eastAsia="宋体"/>
          <w:sz w:val="21"/>
          <w:szCs w:val="21"/>
          <w:vertAlign w:val="superscript"/>
        </w:rPr>
        <w:t>2</w:t>
      </w:r>
      <w:r>
        <w:rPr>
          <w:rFonts w:hint="eastAsia" w:ascii="宋体" w:hAnsi="宋体" w:eastAsia="宋体"/>
          <w:sz w:val="21"/>
          <w:szCs w:val="21"/>
        </w:rPr>
        <w:t xml:space="preserve">） </w:t>
      </w:r>
      <w:r>
        <w:rPr>
          <w:rFonts w:ascii="宋体" w:hAnsi="宋体" w:eastAsia="宋体"/>
          <w:sz w:val="21"/>
          <w:szCs w:val="21"/>
        </w:rPr>
        <w:t xml:space="preserve">          </w:t>
      </w:r>
      <w:r>
        <w:t xml:space="preserve">                    </w:t>
      </w:r>
      <w:r>
        <w:rPr>
          <w:rFonts w:ascii="宋体" w:hAnsi="Times New Roman" w:eastAsia="宋体" w:cs="Times New Roman"/>
          <w:kern w:val="0"/>
          <w:sz w:val="21"/>
        </w:rPr>
        <w:t>(</w:t>
      </w:r>
      <w:r>
        <w:rPr>
          <w:rFonts w:ascii="宋体" w:hAnsi="Times New Roman" w:eastAsia="宋体" w:cs="Times New Roman"/>
          <w:kern w:val="0"/>
          <w:sz w:val="21"/>
        </w:rPr>
        <w:fldChar w:fldCharType="begin"/>
      </w:r>
      <w:r>
        <w:rPr>
          <w:rFonts w:ascii="宋体" w:hAnsi="Times New Roman" w:eastAsia="宋体" w:cs="Times New Roman"/>
          <w:kern w:val="0"/>
          <w:sz w:val="21"/>
        </w:rPr>
        <w:instrText xml:space="preserve"> SEQ 标准自动公式 \* ARABIC </w:instrText>
      </w:r>
      <w:r>
        <w:rPr>
          <w:rFonts w:ascii="宋体" w:hAnsi="Times New Roman" w:eastAsia="宋体" w:cs="Times New Roman"/>
          <w:kern w:val="0"/>
          <w:sz w:val="21"/>
        </w:rPr>
        <w:fldChar w:fldCharType="separate"/>
      </w:r>
      <w:r>
        <w:rPr>
          <w:rFonts w:ascii="宋体" w:hAnsi="Times New Roman" w:eastAsia="宋体" w:cs="Times New Roman"/>
          <w:kern w:val="0"/>
          <w:sz w:val="21"/>
        </w:rPr>
        <w:t>1</w:t>
      </w:r>
      <w:r>
        <w:rPr>
          <w:rFonts w:ascii="宋体" w:hAnsi="Times New Roman" w:eastAsia="宋体" w:cs="Times New Roman"/>
          <w:kern w:val="0"/>
          <w:sz w:val="21"/>
        </w:rPr>
        <w:fldChar w:fldCharType="end"/>
      </w:r>
      <w:r>
        <w:rPr>
          <w:rFonts w:ascii="宋体" w:hAnsi="Times New Roman" w:eastAsia="宋体" w:cs="Times New Roman"/>
          <w:kern w:val="0"/>
          <w:sz w:val="21"/>
        </w:rPr>
        <w:t>)</w:t>
      </w:r>
    </w:p>
    <w:p>
      <w:pPr>
        <w:pStyle w:val="22"/>
        <w:rPr>
          <w:rFonts w:hAnsi="宋体"/>
        </w:rPr>
      </w:pPr>
      <w:r>
        <w:rPr>
          <w:rFonts w:hint="eastAsia" w:hAnsi="宋体"/>
        </w:rPr>
        <w:t>式中</w:t>
      </w:r>
    </w:p>
    <w:p>
      <w:pPr>
        <w:pStyle w:val="22"/>
      </w:pPr>
      <w:r>
        <w:rPr>
          <w:rFonts w:hint="eastAsia"/>
        </w:rPr>
        <w:t>W——放电能量，单位为焦耳（J）；</w:t>
      </w:r>
    </w:p>
    <w:p>
      <w:pPr>
        <w:pStyle w:val="22"/>
      </w:pPr>
      <w:r>
        <w:rPr>
          <w:rFonts w:hint="eastAsia"/>
        </w:rPr>
        <w:t>C——导体间的等效电容，单位为法（F）；</w:t>
      </w:r>
    </w:p>
    <w:p>
      <w:pPr>
        <w:pStyle w:val="22"/>
      </w:pPr>
      <w:r>
        <w:rPr>
          <w:rFonts w:hint="eastAsia"/>
        </w:rPr>
        <w:t>V——导体间的电位差，单位为伏特（V）；</w:t>
      </w:r>
    </w:p>
    <w:p>
      <w:pPr>
        <w:pStyle w:val="22"/>
      </w:pPr>
      <w:r>
        <w:rPr>
          <w:rFonts w:hint="eastAsia"/>
        </w:rPr>
        <w:t>根据式（1）计算，当放电能量（W）大于可燃物的最小点燃能量（MIE）时，就有引燃危险。</w:t>
      </w:r>
    </w:p>
    <w:p>
      <w:pPr>
        <w:pStyle w:val="60"/>
      </w:pPr>
      <w:r>
        <w:rPr>
          <w:rFonts w:hint="eastAsia"/>
        </w:rPr>
        <w:t>当两导体电极间的电位低于</w:t>
      </w:r>
      <w:r>
        <w:t>1.5 </w:t>
      </w:r>
      <w:r>
        <w:rPr>
          <w:rFonts w:hint="eastAsia"/>
        </w:rPr>
        <w:t>kV时，不会因静电放电使最小点燃能量大于或等于</w:t>
      </w:r>
      <w:r>
        <w:rPr>
          <w:rFonts w:hint="eastAsia" w:hAnsi="宋体"/>
        </w:rPr>
        <w:t>0.25</w:t>
      </w:r>
      <w:r>
        <w:rPr>
          <w:rFonts w:hint="eastAsia" w:ascii="MS Mincho" w:hAnsi="MS Mincho" w:eastAsia="MS Mincho" w:cs="MS Mincho"/>
        </w:rPr>
        <w:t> </w:t>
      </w:r>
      <w:r>
        <w:rPr>
          <w:rFonts w:hint="eastAsia" w:hAnsi="宋体"/>
        </w:rPr>
        <w:t>mJ</w:t>
      </w:r>
      <w:r>
        <w:rPr>
          <w:rFonts w:hint="eastAsia"/>
        </w:rPr>
        <w:t>的烷烃类石油蒸气引燃。</w:t>
      </w:r>
    </w:p>
    <w:p>
      <w:pPr>
        <w:pStyle w:val="60"/>
      </w:pPr>
      <w:r>
        <w:rPr>
          <w:rFonts w:hint="eastAsia"/>
        </w:rPr>
        <w:t>在接地针尖等局部空间发生的感应电晕放电不会引燃最小点燃能量大于</w:t>
      </w:r>
      <w:r>
        <w:t>0.2</w:t>
      </w:r>
      <w:r>
        <w:rPr>
          <w:rFonts w:ascii="Times New Roman"/>
        </w:rPr>
        <w:t> </w:t>
      </w:r>
      <w:r>
        <w:rPr>
          <w:rFonts w:hint="eastAsia"/>
        </w:rPr>
        <w:t>mJ的可燃气。</w:t>
      </w:r>
    </w:p>
    <w:p>
      <w:pPr>
        <w:pStyle w:val="39"/>
        <w:spacing w:before="156" w:after="156"/>
      </w:pPr>
      <w:r>
        <w:rPr>
          <w:rFonts w:hint="eastAsia"/>
        </w:rPr>
        <w:t>物体带电安全管理界限</w:t>
      </w:r>
    </w:p>
    <w:p>
      <w:pPr>
        <w:pStyle w:val="60"/>
      </w:pPr>
      <w:r>
        <w:rPr>
          <w:rFonts w:hint="eastAsia"/>
        </w:rPr>
        <w:t xml:space="preserve"> 当固体器件的表面电阻率或体电阻率分别在</w:t>
      </w:r>
      <w:r>
        <w:t>1</w:t>
      </w:r>
      <w:r>
        <w:rPr>
          <w:rFonts w:hint="eastAsia"/>
        </w:rPr>
        <w:t>×</w:t>
      </w:r>
      <w:r>
        <w:t>10</w:t>
      </w:r>
      <w:r>
        <w:rPr>
          <w:vertAlign w:val="superscript"/>
        </w:rPr>
        <w:t>8</w:t>
      </w:r>
      <w:r>
        <w:rPr>
          <w:rFonts w:ascii="Times New Roman"/>
          <w:vertAlign w:val="superscript"/>
        </w:rPr>
        <w:t> </w:t>
      </w:r>
      <w:r>
        <w:rPr>
          <w:rFonts w:hint="eastAsia"/>
        </w:rPr>
        <w:t>Ω及1×</w:t>
      </w:r>
      <w:r>
        <w:t>10</w:t>
      </w:r>
      <w:r>
        <w:rPr>
          <w:vertAlign w:val="superscript"/>
        </w:rPr>
        <w:t>6</w:t>
      </w:r>
      <w:r>
        <w:rPr>
          <w:rFonts w:ascii="Times New Roman"/>
          <w:vertAlign w:val="superscript"/>
        </w:rPr>
        <w:t> </w:t>
      </w:r>
      <w:r>
        <w:rPr>
          <w:rFonts w:hint="eastAsia"/>
        </w:rPr>
        <w:t>Ω·m以下时，除了与火炸药有关情况外，一般在生产中不会因静电积累面引起危害。对某些爆炸危险程度较低的场所（如环境湿度较高、可燃物最小点燃能量较高等情况）在正常情况下，表面电阻率或体电阻率分别低于1×10</w:t>
      </w:r>
      <w:r>
        <w:rPr>
          <w:rFonts w:hint="eastAsia"/>
          <w:vertAlign w:val="superscript"/>
        </w:rPr>
        <w:t>11</w:t>
      </w:r>
      <w:r>
        <w:rPr>
          <w:rFonts w:ascii="Times New Roman"/>
          <w:vertAlign w:val="superscript"/>
        </w:rPr>
        <w:t> </w:t>
      </w:r>
      <w:r>
        <w:rPr>
          <w:rFonts w:hint="eastAsia"/>
        </w:rPr>
        <w:t>Ω       和1×10</w:t>
      </w:r>
      <w:r>
        <w:rPr>
          <w:rFonts w:hint="eastAsia"/>
          <w:vertAlign w:val="superscript"/>
        </w:rPr>
        <w:t>10</w:t>
      </w:r>
      <w:r>
        <w:rPr>
          <w:rFonts w:ascii="Times New Roman"/>
          <w:vertAlign w:val="superscript"/>
        </w:rPr>
        <w:t> </w:t>
      </w:r>
      <w:r>
        <w:rPr>
          <w:rFonts w:hint="eastAsia"/>
        </w:rPr>
        <w:t>Ω·</w:t>
      </w:r>
      <w:r>
        <w:t>m</w:t>
      </w:r>
      <w:r>
        <w:rPr>
          <w:rFonts w:hint="eastAsia"/>
        </w:rPr>
        <w:t>时，也不会因静电积累引起静电引燃危险。</w:t>
      </w:r>
    </w:p>
    <w:p>
      <w:pPr>
        <w:pStyle w:val="60"/>
      </w:pPr>
      <w:r>
        <w:rPr>
          <w:rFonts w:hint="eastAsia"/>
        </w:rPr>
        <w:t>非金属材料的液体贮存罐、输送管道用于爆炸危险场所时，表面电阻率和体电阻率应分别低于</w:t>
      </w:r>
      <w:r>
        <w:t>1</w:t>
      </w:r>
      <w:r>
        <w:rPr>
          <w:rFonts w:hint="eastAsia"/>
        </w:rPr>
        <w:t>×</w:t>
      </w:r>
      <w:r>
        <w:t>10</w:t>
      </w:r>
      <w:r>
        <w:rPr>
          <w:vertAlign w:val="superscript"/>
        </w:rPr>
        <w:t>10 </w:t>
      </w:r>
      <w:r>
        <w:rPr>
          <w:rFonts w:hint="eastAsia"/>
        </w:rPr>
        <w:t>Ω</w:t>
      </w:r>
      <w:r>
        <w:t>及1</w:t>
      </w:r>
      <w:r>
        <w:rPr>
          <w:rFonts w:hint="eastAsia"/>
        </w:rPr>
        <w:t>×</w:t>
      </w:r>
      <w:r>
        <w:t>10</w:t>
      </w:r>
      <w:r>
        <w:rPr>
          <w:vertAlign w:val="superscript"/>
        </w:rPr>
        <w:t>8 </w:t>
      </w:r>
      <w:r>
        <w:rPr>
          <w:rFonts w:hint="eastAsia"/>
        </w:rPr>
        <w:t>Ω·m，或采取其它静电防护措施。</w:t>
      </w:r>
    </w:p>
    <w:p>
      <w:pPr>
        <w:pStyle w:val="61"/>
      </w:pPr>
      <w:r>
        <w:rPr>
          <w:rFonts w:hint="eastAsia"/>
        </w:rPr>
        <w:t>其它静电防护措施包括使用静电消除器，使用惰性气体保护等。</w:t>
      </w:r>
    </w:p>
    <w:p>
      <w:pPr>
        <w:pStyle w:val="60"/>
      </w:pPr>
      <w:r>
        <w:rPr>
          <w:rFonts w:hint="eastAsia"/>
        </w:rPr>
        <w:t>在气体爆炸危险场所外露静电非导体部件的最大宽度及表面积，参见表</w:t>
      </w:r>
      <w:r>
        <w:t>2</w:t>
      </w:r>
      <w:r>
        <w:rPr>
          <w:rFonts w:hint="eastAsia"/>
        </w:rPr>
        <w:t>。</w:t>
      </w:r>
    </w:p>
    <w:p>
      <w:pPr>
        <w:pStyle w:val="123"/>
        <w:spacing w:before="156" w:after="156"/>
      </w:pPr>
      <w:r>
        <w:rPr>
          <w:rFonts w:hint="eastAsia"/>
        </w:rPr>
        <w:t>爆炸危险场所外露静电非导体最大宽度及表面积</w:t>
      </w:r>
    </w:p>
    <w:tbl>
      <w:tblPr>
        <w:tblStyle w:val="31"/>
        <w:tblW w:w="9354"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66"/>
        <w:gridCol w:w="2552"/>
        <w:gridCol w:w="1559"/>
        <w:gridCol w:w="397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818" w:type="dxa"/>
            <w:gridSpan w:val="2"/>
            <w:tcBorders>
              <w:top w:val="single" w:color="auto" w:sz="4" w:space="0"/>
              <w:bottom w:val="single" w:color="auto" w:sz="8" w:space="0"/>
            </w:tcBorders>
            <w:shd w:val="clear" w:color="auto" w:fill="auto"/>
          </w:tcPr>
          <w:p>
            <w:pPr>
              <w:rPr>
                <w:rFonts w:ascii="宋体"/>
                <w:sz w:val="18"/>
                <w:szCs w:val="18"/>
              </w:rPr>
            </w:pPr>
            <w:r>
              <w:rPr>
                <w:rFonts w:hint="eastAsia" w:ascii="宋体"/>
                <w:sz w:val="18"/>
                <w:szCs w:val="18"/>
              </w:rPr>
              <w:t>环境条件</w:t>
            </w:r>
          </w:p>
        </w:tc>
        <w:tc>
          <w:tcPr>
            <w:tcW w:w="1559" w:type="dxa"/>
            <w:tcBorders>
              <w:top w:val="single" w:color="auto" w:sz="4" w:space="0"/>
              <w:bottom w:val="single" w:color="auto" w:sz="8" w:space="0"/>
            </w:tcBorders>
            <w:shd w:val="clear" w:color="auto" w:fill="auto"/>
          </w:tcPr>
          <w:p>
            <w:pPr>
              <w:rPr>
                <w:rFonts w:ascii="宋体"/>
                <w:sz w:val="18"/>
                <w:szCs w:val="18"/>
              </w:rPr>
            </w:pPr>
            <w:r>
              <w:rPr>
                <w:rFonts w:hint="eastAsia" w:ascii="宋体"/>
                <w:sz w:val="18"/>
                <w:szCs w:val="18"/>
              </w:rPr>
              <w:t>最大宽度／cm</w:t>
            </w:r>
          </w:p>
        </w:tc>
        <w:tc>
          <w:tcPr>
            <w:tcW w:w="3977" w:type="dxa"/>
            <w:tcBorders>
              <w:top w:val="single" w:color="auto" w:sz="4" w:space="0"/>
              <w:bottom w:val="single" w:color="auto" w:sz="8" w:space="0"/>
            </w:tcBorders>
            <w:shd w:val="clear" w:color="auto" w:fill="auto"/>
          </w:tcPr>
          <w:p>
            <w:pPr>
              <w:rPr>
                <w:rFonts w:ascii="宋体"/>
                <w:sz w:val="18"/>
                <w:szCs w:val="18"/>
              </w:rPr>
            </w:pPr>
            <w:r>
              <w:rPr>
                <w:rFonts w:hint="eastAsia" w:ascii="宋体"/>
                <w:sz w:val="18"/>
                <w:szCs w:val="18"/>
              </w:rPr>
              <w:t>最大表面积／cm</w:t>
            </w:r>
            <w:r>
              <w:rPr>
                <w:rFonts w:hint="eastAsia" w:ascii="宋体"/>
                <w:sz w:val="18"/>
                <w:szCs w:val="18"/>
                <w:vertAlign w:val="superscript"/>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dxa"/>
            <w:vMerge w:val="restart"/>
            <w:tcBorders>
              <w:top w:val="single" w:color="auto" w:sz="4" w:space="0"/>
            </w:tcBorders>
            <w:shd w:val="clear" w:color="auto" w:fill="auto"/>
            <w:vAlign w:val="center"/>
          </w:tcPr>
          <w:p>
            <w:pPr>
              <w:rPr>
                <w:rFonts w:ascii="宋体"/>
                <w:sz w:val="18"/>
                <w:szCs w:val="18"/>
              </w:rPr>
            </w:pPr>
            <w:r>
              <w:rPr>
                <w:rFonts w:hint="eastAsia" w:ascii="宋体"/>
                <w:sz w:val="18"/>
                <w:szCs w:val="18"/>
              </w:rPr>
              <w:t>0 区</w:t>
            </w:r>
          </w:p>
        </w:tc>
        <w:tc>
          <w:tcPr>
            <w:tcW w:w="2552" w:type="dxa"/>
            <w:tcBorders>
              <w:top w:val="single" w:color="auto" w:sz="4" w:space="0"/>
              <w:bottom w:val="single" w:color="auto" w:sz="8" w:space="0"/>
            </w:tcBorders>
            <w:shd w:val="clear" w:color="auto" w:fill="auto"/>
            <w:vAlign w:val="center"/>
          </w:tcPr>
          <w:p>
            <w:pPr>
              <w:rPr>
                <w:rFonts w:ascii="宋体"/>
                <w:sz w:val="18"/>
                <w:szCs w:val="18"/>
              </w:rPr>
            </w:pPr>
            <w:r>
              <w:rPr>
                <w:rFonts w:hint="eastAsia" w:ascii="宋体"/>
                <w:sz w:val="18"/>
                <w:szCs w:val="18"/>
              </w:rPr>
              <w:t>I类</w:t>
            </w:r>
          </w:p>
        </w:tc>
        <w:tc>
          <w:tcPr>
            <w:tcW w:w="1559" w:type="dxa"/>
            <w:tcBorders>
              <w:top w:val="single" w:color="auto" w:sz="4" w:space="0"/>
              <w:bottom w:val="single" w:color="auto" w:sz="8" w:space="0"/>
            </w:tcBorders>
            <w:shd w:val="clear" w:color="auto" w:fill="auto"/>
            <w:vAlign w:val="center"/>
          </w:tcPr>
          <w:p>
            <w:pPr>
              <w:rPr>
                <w:rFonts w:ascii="宋体"/>
                <w:sz w:val="18"/>
                <w:szCs w:val="18"/>
              </w:rPr>
            </w:pPr>
            <w:r>
              <w:rPr>
                <w:rFonts w:hint="eastAsia" w:ascii="宋体"/>
                <w:sz w:val="18"/>
                <w:szCs w:val="18"/>
              </w:rPr>
              <w:t>3</w:t>
            </w:r>
            <w:r>
              <w:rPr>
                <w:rFonts w:ascii="宋体"/>
                <w:sz w:val="18"/>
                <w:szCs w:val="18"/>
              </w:rPr>
              <w:t>.0</w:t>
            </w:r>
          </w:p>
        </w:tc>
        <w:tc>
          <w:tcPr>
            <w:tcW w:w="3977" w:type="dxa"/>
            <w:tcBorders>
              <w:top w:val="single" w:color="auto" w:sz="4" w:space="0"/>
              <w:bottom w:val="single" w:color="auto" w:sz="8" w:space="0"/>
            </w:tcBorders>
            <w:shd w:val="clear" w:color="auto" w:fill="auto"/>
            <w:vAlign w:val="center"/>
          </w:tcPr>
          <w:p>
            <w:pPr>
              <w:rPr>
                <w:rFonts w:ascii="宋体"/>
                <w:sz w:val="18"/>
                <w:szCs w:val="18"/>
              </w:rPr>
            </w:pPr>
            <w:r>
              <w:rPr>
                <w:rFonts w:hint="eastAsia" w:ascii="宋体"/>
                <w:sz w:val="18"/>
                <w:szCs w:val="18"/>
              </w:rPr>
              <w:t>1</w:t>
            </w:r>
            <w:r>
              <w:rPr>
                <w:rFonts w:ascii="宋体"/>
                <w:sz w:val="18"/>
                <w:szCs w:val="18"/>
              </w:rPr>
              <w:t>00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dxa"/>
            <w:vMerge w:val="continue"/>
            <w:shd w:val="clear" w:color="auto" w:fill="auto"/>
            <w:vAlign w:val="center"/>
          </w:tcPr>
          <w:p>
            <w:pPr>
              <w:rPr>
                <w:rFonts w:ascii="宋体"/>
                <w:sz w:val="18"/>
                <w:szCs w:val="18"/>
              </w:rPr>
            </w:pPr>
          </w:p>
        </w:tc>
        <w:tc>
          <w:tcPr>
            <w:tcW w:w="2552" w:type="dxa"/>
            <w:tcBorders>
              <w:top w:val="single" w:color="auto" w:sz="8" w:space="0"/>
            </w:tcBorders>
            <w:shd w:val="clear" w:color="auto" w:fill="auto"/>
            <w:vAlign w:val="center"/>
          </w:tcPr>
          <w:p>
            <w:pPr>
              <w:spacing w:line="240" w:lineRule="exact"/>
              <w:rPr>
                <w:rFonts w:ascii="宋体"/>
                <w:sz w:val="18"/>
                <w:szCs w:val="18"/>
              </w:rPr>
            </w:pPr>
            <w:r>
              <w:rPr>
                <w:rFonts w:hint="eastAsia" w:ascii="宋体"/>
                <w:sz w:val="18"/>
                <w:szCs w:val="18"/>
              </w:rPr>
              <w:t>IIA 类</w:t>
            </w:r>
          </w:p>
        </w:tc>
        <w:tc>
          <w:tcPr>
            <w:tcW w:w="1559" w:type="dxa"/>
            <w:tcBorders>
              <w:top w:val="single" w:color="auto" w:sz="8" w:space="0"/>
            </w:tcBorders>
            <w:shd w:val="clear" w:color="auto" w:fill="auto"/>
            <w:vAlign w:val="center"/>
          </w:tcPr>
          <w:p>
            <w:pPr>
              <w:spacing w:line="240" w:lineRule="exact"/>
              <w:rPr>
                <w:rFonts w:ascii="宋体"/>
                <w:sz w:val="18"/>
                <w:szCs w:val="18"/>
              </w:rPr>
            </w:pPr>
            <w:r>
              <w:rPr>
                <w:rFonts w:ascii="宋体"/>
                <w:sz w:val="18"/>
                <w:szCs w:val="18"/>
              </w:rPr>
              <w:t>0.3</w:t>
            </w:r>
          </w:p>
        </w:tc>
        <w:tc>
          <w:tcPr>
            <w:tcW w:w="3977" w:type="dxa"/>
            <w:tcBorders>
              <w:top w:val="single" w:color="auto" w:sz="8" w:space="0"/>
            </w:tcBorders>
            <w:shd w:val="clear" w:color="auto" w:fill="auto"/>
            <w:vAlign w:val="center"/>
          </w:tcPr>
          <w:p>
            <w:pPr>
              <w:spacing w:line="240" w:lineRule="exact"/>
              <w:rPr>
                <w:rFonts w:ascii="宋体"/>
                <w:sz w:val="18"/>
                <w:szCs w:val="18"/>
              </w:rPr>
            </w:pPr>
            <w:r>
              <w:rPr>
                <w:rFonts w:ascii="宋体"/>
                <w:w w:val="110"/>
                <w:sz w:val="18"/>
                <w:szCs w:val="18"/>
              </w:rPr>
              <w:t>50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dxa"/>
            <w:vMerge w:val="continue"/>
            <w:shd w:val="clear" w:color="auto" w:fill="auto"/>
            <w:vAlign w:val="center"/>
          </w:tcPr>
          <w:p>
            <w:pPr>
              <w:rPr>
                <w:rFonts w:ascii="宋体"/>
                <w:sz w:val="18"/>
                <w:szCs w:val="18"/>
              </w:rPr>
            </w:pPr>
          </w:p>
        </w:tc>
        <w:tc>
          <w:tcPr>
            <w:tcW w:w="2552" w:type="dxa"/>
            <w:shd w:val="clear" w:color="auto" w:fill="auto"/>
            <w:vAlign w:val="center"/>
          </w:tcPr>
          <w:p>
            <w:pPr>
              <w:spacing w:line="240" w:lineRule="exact"/>
              <w:rPr>
                <w:rFonts w:ascii="宋体"/>
                <w:sz w:val="18"/>
                <w:szCs w:val="18"/>
              </w:rPr>
            </w:pPr>
            <w:r>
              <w:rPr>
                <w:rFonts w:hint="eastAsia" w:ascii="宋体"/>
                <w:sz w:val="18"/>
                <w:szCs w:val="18"/>
              </w:rPr>
              <w:t>IIB 类</w:t>
            </w:r>
          </w:p>
        </w:tc>
        <w:tc>
          <w:tcPr>
            <w:tcW w:w="1559" w:type="dxa"/>
            <w:shd w:val="clear" w:color="auto" w:fill="auto"/>
            <w:vAlign w:val="center"/>
          </w:tcPr>
          <w:p>
            <w:pPr>
              <w:spacing w:line="240" w:lineRule="exact"/>
              <w:rPr>
                <w:rFonts w:ascii="宋体"/>
                <w:sz w:val="18"/>
                <w:szCs w:val="18"/>
              </w:rPr>
            </w:pPr>
            <w:r>
              <w:rPr>
                <w:rFonts w:ascii="宋体"/>
                <w:sz w:val="18"/>
                <w:szCs w:val="18"/>
              </w:rPr>
              <w:t>0.3</w:t>
            </w:r>
          </w:p>
        </w:tc>
        <w:tc>
          <w:tcPr>
            <w:tcW w:w="3977" w:type="dxa"/>
            <w:shd w:val="clear" w:color="auto" w:fill="auto"/>
            <w:vAlign w:val="center"/>
          </w:tcPr>
          <w:p>
            <w:pPr>
              <w:spacing w:line="240" w:lineRule="exact"/>
              <w:rPr>
                <w:rFonts w:ascii="宋体"/>
                <w:sz w:val="18"/>
                <w:szCs w:val="18"/>
              </w:rPr>
            </w:pPr>
            <w:r>
              <w:rPr>
                <w:rFonts w:ascii="宋体"/>
                <w:w w:val="105"/>
                <w:sz w:val="18"/>
                <w:szCs w:val="18"/>
              </w:rPr>
              <w:t>25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dxa"/>
            <w:vMerge w:val="continue"/>
            <w:tcBorders>
              <w:bottom w:val="single" w:color="auto" w:sz="4" w:space="0"/>
            </w:tcBorders>
            <w:shd w:val="clear" w:color="auto" w:fill="auto"/>
            <w:vAlign w:val="center"/>
          </w:tcPr>
          <w:p>
            <w:pPr>
              <w:rPr>
                <w:rFonts w:ascii="宋体"/>
                <w:sz w:val="18"/>
                <w:szCs w:val="18"/>
              </w:rPr>
            </w:pPr>
          </w:p>
        </w:tc>
        <w:tc>
          <w:tcPr>
            <w:tcW w:w="2552" w:type="dxa"/>
            <w:tcBorders>
              <w:bottom w:val="single" w:color="auto" w:sz="4" w:space="0"/>
            </w:tcBorders>
            <w:shd w:val="clear" w:color="auto" w:fill="auto"/>
            <w:vAlign w:val="center"/>
          </w:tcPr>
          <w:p>
            <w:pPr>
              <w:spacing w:line="240" w:lineRule="exact"/>
              <w:rPr>
                <w:rFonts w:ascii="宋体"/>
                <w:sz w:val="18"/>
                <w:szCs w:val="18"/>
              </w:rPr>
            </w:pPr>
            <w:r>
              <w:rPr>
                <w:rFonts w:hint="eastAsia" w:ascii="宋体"/>
                <w:sz w:val="18"/>
                <w:szCs w:val="18"/>
              </w:rPr>
              <w:t>IIC 类</w:t>
            </w:r>
          </w:p>
        </w:tc>
        <w:tc>
          <w:tcPr>
            <w:tcW w:w="1559" w:type="dxa"/>
            <w:tcBorders>
              <w:bottom w:val="single" w:color="auto" w:sz="4" w:space="0"/>
            </w:tcBorders>
            <w:shd w:val="clear" w:color="auto" w:fill="auto"/>
            <w:vAlign w:val="center"/>
          </w:tcPr>
          <w:p>
            <w:pPr>
              <w:spacing w:line="240" w:lineRule="exact"/>
              <w:rPr>
                <w:rFonts w:ascii="宋体"/>
                <w:sz w:val="18"/>
                <w:szCs w:val="18"/>
              </w:rPr>
            </w:pPr>
            <w:r>
              <w:rPr>
                <w:rFonts w:ascii="宋体"/>
                <w:sz w:val="18"/>
                <w:szCs w:val="18"/>
              </w:rPr>
              <w:t>0.1</w:t>
            </w:r>
          </w:p>
        </w:tc>
        <w:tc>
          <w:tcPr>
            <w:tcW w:w="3977" w:type="dxa"/>
            <w:tcBorders>
              <w:bottom w:val="single" w:color="auto" w:sz="4" w:space="0"/>
            </w:tcBorders>
            <w:shd w:val="clear" w:color="auto" w:fill="auto"/>
            <w:vAlign w:val="center"/>
          </w:tcPr>
          <w:p>
            <w:pPr>
              <w:spacing w:line="240" w:lineRule="exact"/>
              <w:rPr>
                <w:rFonts w:ascii="宋体"/>
                <w:sz w:val="18"/>
                <w:szCs w:val="18"/>
              </w:rPr>
            </w:pPr>
            <w:r>
              <w:rPr>
                <w:rFonts w:ascii="宋体"/>
                <w:w w:val="107"/>
                <w:sz w:val="18"/>
                <w:szCs w:val="18"/>
              </w:rPr>
              <w:t>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dxa"/>
            <w:vMerge w:val="restart"/>
            <w:tcBorders>
              <w:top w:val="single" w:color="auto" w:sz="4" w:space="0"/>
            </w:tcBorders>
            <w:shd w:val="clear" w:color="auto" w:fill="auto"/>
            <w:vAlign w:val="center"/>
          </w:tcPr>
          <w:p>
            <w:pPr>
              <w:rPr>
                <w:rFonts w:ascii="宋体"/>
                <w:sz w:val="18"/>
                <w:szCs w:val="18"/>
              </w:rPr>
            </w:pPr>
            <w:r>
              <w:rPr>
                <w:rFonts w:hint="eastAsia" w:ascii="宋体"/>
                <w:sz w:val="18"/>
                <w:szCs w:val="18"/>
              </w:rPr>
              <w:t>1 区</w:t>
            </w:r>
          </w:p>
        </w:tc>
        <w:tc>
          <w:tcPr>
            <w:tcW w:w="2552" w:type="dxa"/>
            <w:tcBorders>
              <w:top w:val="single" w:color="auto" w:sz="4" w:space="0"/>
              <w:bottom w:val="single" w:color="auto" w:sz="4" w:space="0"/>
            </w:tcBorders>
            <w:shd w:val="clear" w:color="auto" w:fill="auto"/>
            <w:vAlign w:val="center"/>
          </w:tcPr>
          <w:p>
            <w:pPr>
              <w:spacing w:line="240" w:lineRule="exact"/>
              <w:rPr>
                <w:rFonts w:ascii="宋体"/>
                <w:sz w:val="18"/>
                <w:szCs w:val="18"/>
              </w:rPr>
            </w:pPr>
            <w:r>
              <w:rPr>
                <w:rFonts w:hint="eastAsia" w:ascii="宋体"/>
                <w:sz w:val="18"/>
                <w:szCs w:val="18"/>
              </w:rPr>
              <w:t>I类</w:t>
            </w:r>
          </w:p>
        </w:tc>
        <w:tc>
          <w:tcPr>
            <w:tcW w:w="1559" w:type="dxa"/>
            <w:tcBorders>
              <w:top w:val="single" w:color="auto" w:sz="4" w:space="0"/>
              <w:bottom w:val="single" w:color="auto" w:sz="4" w:space="0"/>
            </w:tcBorders>
            <w:shd w:val="clear" w:color="auto" w:fill="auto"/>
            <w:vAlign w:val="center"/>
          </w:tcPr>
          <w:p>
            <w:pPr>
              <w:spacing w:line="240" w:lineRule="exact"/>
              <w:rPr>
                <w:rFonts w:ascii="宋体"/>
                <w:sz w:val="18"/>
                <w:szCs w:val="18"/>
              </w:rPr>
            </w:pPr>
            <w:r>
              <w:rPr>
                <w:rFonts w:hint="eastAsia" w:ascii="宋体"/>
                <w:sz w:val="18"/>
                <w:szCs w:val="18"/>
              </w:rPr>
              <w:t>3</w:t>
            </w:r>
            <w:r>
              <w:rPr>
                <w:rFonts w:ascii="宋体"/>
                <w:sz w:val="18"/>
                <w:szCs w:val="18"/>
              </w:rPr>
              <w:t>.0</w:t>
            </w:r>
          </w:p>
        </w:tc>
        <w:tc>
          <w:tcPr>
            <w:tcW w:w="3977" w:type="dxa"/>
            <w:tcBorders>
              <w:top w:val="single" w:color="auto" w:sz="4" w:space="0"/>
              <w:bottom w:val="single" w:color="auto" w:sz="4" w:space="0"/>
            </w:tcBorders>
            <w:shd w:val="clear" w:color="auto" w:fill="auto"/>
            <w:vAlign w:val="center"/>
          </w:tcPr>
          <w:p>
            <w:pPr>
              <w:spacing w:line="240" w:lineRule="exact"/>
              <w:rPr>
                <w:rFonts w:ascii="宋体"/>
                <w:w w:val="110"/>
                <w:sz w:val="18"/>
                <w:szCs w:val="18"/>
              </w:rPr>
            </w:pPr>
            <w:r>
              <w:rPr>
                <w:rFonts w:hint="eastAsia" w:ascii="宋体"/>
                <w:w w:val="110"/>
                <w:sz w:val="18"/>
                <w:szCs w:val="18"/>
              </w:rPr>
              <w:t>1</w:t>
            </w:r>
            <w:r>
              <w:rPr>
                <w:rFonts w:ascii="宋体"/>
                <w:w w:val="110"/>
                <w:sz w:val="18"/>
                <w:szCs w:val="18"/>
              </w:rPr>
              <w:t>00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dxa"/>
            <w:vMerge w:val="continue"/>
            <w:shd w:val="clear" w:color="auto" w:fill="auto"/>
            <w:vAlign w:val="center"/>
          </w:tcPr>
          <w:p>
            <w:pPr>
              <w:rPr>
                <w:rFonts w:ascii="宋体"/>
                <w:sz w:val="18"/>
                <w:szCs w:val="18"/>
              </w:rPr>
            </w:pPr>
          </w:p>
        </w:tc>
        <w:tc>
          <w:tcPr>
            <w:tcW w:w="2552" w:type="dxa"/>
            <w:tcBorders>
              <w:top w:val="single" w:color="auto" w:sz="4" w:space="0"/>
              <w:bottom w:val="single" w:color="auto" w:sz="4" w:space="0"/>
            </w:tcBorders>
            <w:shd w:val="clear" w:color="auto" w:fill="auto"/>
            <w:vAlign w:val="center"/>
          </w:tcPr>
          <w:p>
            <w:pPr>
              <w:spacing w:line="240" w:lineRule="exact"/>
              <w:rPr>
                <w:rFonts w:ascii="宋体"/>
                <w:sz w:val="18"/>
                <w:szCs w:val="18"/>
              </w:rPr>
            </w:pPr>
            <w:r>
              <w:rPr>
                <w:rFonts w:hint="eastAsia" w:ascii="宋体"/>
                <w:sz w:val="18"/>
                <w:szCs w:val="18"/>
              </w:rPr>
              <w:t>IIA 类</w:t>
            </w:r>
          </w:p>
        </w:tc>
        <w:tc>
          <w:tcPr>
            <w:tcW w:w="1559" w:type="dxa"/>
            <w:tcBorders>
              <w:top w:val="single" w:color="auto" w:sz="4" w:space="0"/>
              <w:bottom w:val="single" w:color="auto" w:sz="4" w:space="0"/>
            </w:tcBorders>
            <w:shd w:val="clear" w:color="auto" w:fill="auto"/>
            <w:vAlign w:val="center"/>
          </w:tcPr>
          <w:p>
            <w:pPr>
              <w:spacing w:line="240" w:lineRule="exact"/>
              <w:rPr>
                <w:rFonts w:ascii="宋体"/>
                <w:sz w:val="18"/>
                <w:szCs w:val="18"/>
              </w:rPr>
            </w:pPr>
            <w:r>
              <w:rPr>
                <w:rFonts w:ascii="宋体"/>
                <w:sz w:val="18"/>
                <w:szCs w:val="18"/>
              </w:rPr>
              <w:t>3.0</w:t>
            </w:r>
          </w:p>
        </w:tc>
        <w:tc>
          <w:tcPr>
            <w:tcW w:w="3977" w:type="dxa"/>
            <w:tcBorders>
              <w:top w:val="single" w:color="auto" w:sz="4" w:space="0"/>
              <w:bottom w:val="single" w:color="auto" w:sz="4" w:space="0"/>
            </w:tcBorders>
            <w:shd w:val="clear" w:color="auto" w:fill="auto"/>
            <w:vAlign w:val="center"/>
          </w:tcPr>
          <w:p>
            <w:pPr>
              <w:spacing w:line="240" w:lineRule="exact"/>
              <w:rPr>
                <w:rFonts w:ascii="宋体"/>
                <w:sz w:val="18"/>
                <w:szCs w:val="18"/>
              </w:rPr>
            </w:pPr>
            <w:r>
              <w:rPr>
                <w:rFonts w:ascii="宋体"/>
                <w:w w:val="110"/>
                <w:sz w:val="18"/>
                <w:szCs w:val="18"/>
              </w:rPr>
              <w:t>100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dxa"/>
            <w:vMerge w:val="continue"/>
            <w:shd w:val="clear" w:color="auto" w:fill="auto"/>
          </w:tcPr>
          <w:p>
            <w:pPr>
              <w:rPr>
                <w:rFonts w:ascii="宋体"/>
                <w:sz w:val="18"/>
                <w:szCs w:val="18"/>
              </w:rPr>
            </w:pPr>
          </w:p>
        </w:tc>
        <w:tc>
          <w:tcPr>
            <w:tcW w:w="2552" w:type="dxa"/>
            <w:tcBorders>
              <w:top w:val="single" w:color="auto" w:sz="4" w:space="0"/>
            </w:tcBorders>
            <w:shd w:val="clear" w:color="auto" w:fill="auto"/>
            <w:vAlign w:val="center"/>
          </w:tcPr>
          <w:p>
            <w:pPr>
              <w:spacing w:line="240" w:lineRule="exact"/>
              <w:rPr>
                <w:rFonts w:ascii="宋体"/>
                <w:sz w:val="18"/>
                <w:szCs w:val="18"/>
              </w:rPr>
            </w:pPr>
            <w:r>
              <w:rPr>
                <w:rFonts w:hint="eastAsia" w:ascii="宋体"/>
                <w:sz w:val="18"/>
                <w:szCs w:val="18"/>
              </w:rPr>
              <w:t>IIB 类</w:t>
            </w:r>
          </w:p>
        </w:tc>
        <w:tc>
          <w:tcPr>
            <w:tcW w:w="1559" w:type="dxa"/>
            <w:tcBorders>
              <w:top w:val="single" w:color="auto" w:sz="4" w:space="0"/>
            </w:tcBorders>
            <w:shd w:val="clear" w:color="auto" w:fill="auto"/>
            <w:vAlign w:val="center"/>
          </w:tcPr>
          <w:p>
            <w:pPr>
              <w:spacing w:line="240" w:lineRule="exact"/>
              <w:rPr>
                <w:rFonts w:ascii="宋体"/>
                <w:sz w:val="18"/>
                <w:szCs w:val="18"/>
              </w:rPr>
            </w:pPr>
            <w:r>
              <w:rPr>
                <w:rFonts w:ascii="宋体"/>
                <w:sz w:val="18"/>
                <w:szCs w:val="18"/>
              </w:rPr>
              <w:t>3.0</w:t>
            </w:r>
          </w:p>
        </w:tc>
        <w:tc>
          <w:tcPr>
            <w:tcW w:w="3977" w:type="dxa"/>
            <w:tcBorders>
              <w:top w:val="single" w:color="auto" w:sz="4" w:space="0"/>
            </w:tcBorders>
            <w:shd w:val="clear" w:color="auto" w:fill="auto"/>
            <w:vAlign w:val="center"/>
          </w:tcPr>
          <w:p>
            <w:pPr>
              <w:spacing w:line="240" w:lineRule="exact"/>
              <w:rPr>
                <w:rFonts w:ascii="宋体"/>
                <w:sz w:val="18"/>
                <w:szCs w:val="18"/>
              </w:rPr>
            </w:pPr>
            <w:r>
              <w:rPr>
                <w:rFonts w:ascii="宋体"/>
                <w:w w:val="110"/>
                <w:sz w:val="18"/>
                <w:szCs w:val="18"/>
              </w:rPr>
              <w:t>100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dxa"/>
            <w:vMerge w:val="continue"/>
            <w:shd w:val="clear" w:color="auto" w:fill="auto"/>
          </w:tcPr>
          <w:p>
            <w:pPr>
              <w:rPr>
                <w:rFonts w:ascii="宋体"/>
                <w:sz w:val="18"/>
                <w:szCs w:val="18"/>
              </w:rPr>
            </w:pPr>
          </w:p>
        </w:tc>
        <w:tc>
          <w:tcPr>
            <w:tcW w:w="2552" w:type="dxa"/>
            <w:shd w:val="clear" w:color="auto" w:fill="auto"/>
            <w:vAlign w:val="center"/>
          </w:tcPr>
          <w:p>
            <w:pPr>
              <w:spacing w:line="240" w:lineRule="exact"/>
              <w:rPr>
                <w:rFonts w:ascii="宋体"/>
                <w:sz w:val="18"/>
                <w:szCs w:val="18"/>
              </w:rPr>
            </w:pPr>
            <w:r>
              <w:rPr>
                <w:rFonts w:hint="eastAsia" w:ascii="宋体"/>
                <w:sz w:val="18"/>
                <w:szCs w:val="18"/>
              </w:rPr>
              <w:t>IIC 类</w:t>
            </w:r>
          </w:p>
        </w:tc>
        <w:tc>
          <w:tcPr>
            <w:tcW w:w="1559" w:type="dxa"/>
            <w:shd w:val="clear" w:color="auto" w:fill="auto"/>
            <w:vAlign w:val="center"/>
          </w:tcPr>
          <w:p>
            <w:pPr>
              <w:spacing w:line="240" w:lineRule="exact"/>
              <w:rPr>
                <w:rFonts w:ascii="宋体"/>
                <w:sz w:val="18"/>
                <w:szCs w:val="18"/>
              </w:rPr>
            </w:pPr>
            <w:r>
              <w:rPr>
                <w:rFonts w:ascii="宋体"/>
                <w:sz w:val="18"/>
                <w:szCs w:val="18"/>
              </w:rPr>
              <w:t>2.0</w:t>
            </w:r>
          </w:p>
        </w:tc>
        <w:tc>
          <w:tcPr>
            <w:tcW w:w="3977" w:type="dxa"/>
            <w:shd w:val="clear" w:color="auto" w:fill="auto"/>
            <w:vAlign w:val="center"/>
          </w:tcPr>
          <w:p>
            <w:pPr>
              <w:spacing w:line="240" w:lineRule="exact"/>
              <w:rPr>
                <w:rFonts w:ascii="宋体"/>
                <w:sz w:val="18"/>
                <w:szCs w:val="18"/>
              </w:rPr>
            </w:pPr>
            <w:r>
              <w:rPr>
                <w:rFonts w:ascii="宋体"/>
                <w:w w:val="105"/>
                <w:sz w:val="18"/>
                <w:szCs w:val="18"/>
              </w:rPr>
              <w:t>20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66" w:type="dxa"/>
            <w:shd w:val="clear" w:color="auto" w:fill="auto"/>
          </w:tcPr>
          <w:p>
            <w:pPr>
              <w:rPr>
                <w:rFonts w:ascii="宋体"/>
                <w:sz w:val="18"/>
                <w:szCs w:val="18"/>
              </w:rPr>
            </w:pPr>
            <w:r>
              <w:rPr>
                <w:rFonts w:hint="eastAsia" w:ascii="宋体"/>
                <w:sz w:val="18"/>
                <w:szCs w:val="18"/>
              </w:rPr>
              <w:t>2区</w:t>
            </w:r>
          </w:p>
        </w:tc>
        <w:tc>
          <w:tcPr>
            <w:tcW w:w="2552" w:type="dxa"/>
            <w:shd w:val="clear" w:color="auto" w:fill="auto"/>
            <w:vAlign w:val="center"/>
          </w:tcPr>
          <w:p>
            <w:pPr>
              <w:spacing w:line="240" w:lineRule="exact"/>
              <w:rPr>
                <w:rFonts w:ascii="宋体"/>
                <w:sz w:val="18"/>
                <w:szCs w:val="18"/>
              </w:rPr>
            </w:pPr>
            <w:r>
              <w:rPr>
                <w:rFonts w:hint="eastAsia" w:ascii="宋体"/>
                <w:sz w:val="18"/>
                <w:szCs w:val="18"/>
              </w:rPr>
              <w:t>I类</w:t>
            </w:r>
          </w:p>
        </w:tc>
        <w:tc>
          <w:tcPr>
            <w:tcW w:w="1559" w:type="dxa"/>
            <w:shd w:val="clear" w:color="auto" w:fill="auto"/>
            <w:vAlign w:val="center"/>
          </w:tcPr>
          <w:p>
            <w:pPr>
              <w:spacing w:line="240" w:lineRule="exact"/>
              <w:rPr>
                <w:rFonts w:ascii="宋体"/>
                <w:sz w:val="18"/>
                <w:szCs w:val="18"/>
              </w:rPr>
            </w:pPr>
            <w:r>
              <w:rPr>
                <w:rFonts w:hint="eastAsia" w:ascii="宋体"/>
                <w:sz w:val="18"/>
                <w:szCs w:val="18"/>
              </w:rPr>
              <w:t>3</w:t>
            </w:r>
            <w:r>
              <w:rPr>
                <w:rFonts w:ascii="宋体"/>
                <w:sz w:val="18"/>
                <w:szCs w:val="18"/>
              </w:rPr>
              <w:t>.0</w:t>
            </w:r>
          </w:p>
        </w:tc>
        <w:tc>
          <w:tcPr>
            <w:tcW w:w="3977" w:type="dxa"/>
            <w:shd w:val="clear" w:color="auto" w:fill="auto"/>
            <w:vAlign w:val="center"/>
          </w:tcPr>
          <w:p>
            <w:pPr>
              <w:spacing w:line="240" w:lineRule="exact"/>
              <w:rPr>
                <w:rFonts w:ascii="宋体"/>
                <w:w w:val="105"/>
                <w:sz w:val="18"/>
                <w:szCs w:val="18"/>
              </w:rPr>
            </w:pPr>
            <w:r>
              <w:rPr>
                <w:rFonts w:hint="eastAsia" w:ascii="宋体"/>
                <w:sz w:val="18"/>
                <w:szCs w:val="18"/>
              </w:rPr>
              <w:t>1</w:t>
            </w:r>
            <w:r>
              <w:rPr>
                <w:rFonts w:ascii="宋体"/>
                <w:sz w:val="18"/>
                <w:szCs w:val="18"/>
              </w:rPr>
              <w:t>00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9354" w:type="dxa"/>
            <w:gridSpan w:val="4"/>
            <w:shd w:val="clear" w:color="auto" w:fill="auto"/>
          </w:tcPr>
          <w:p>
            <w:pPr>
              <w:pStyle w:val="54"/>
              <w:rPr>
                <w:w w:val="105"/>
              </w:rPr>
            </w:pPr>
            <w:r>
              <w:rPr>
                <w:rFonts w:hint="eastAsia"/>
                <w:w w:val="105"/>
              </w:rPr>
              <w:t>爆炸性气体类别见GB</w:t>
            </w:r>
            <w:r>
              <w:rPr>
                <w:w w:val="105"/>
              </w:rPr>
              <w:t>/T 3836.11</w:t>
            </w:r>
          </w:p>
        </w:tc>
      </w:tr>
    </w:tbl>
    <w:p>
      <w:pPr>
        <w:pStyle w:val="60"/>
      </w:pPr>
      <w:r>
        <w:rPr>
          <w:rFonts w:hint="eastAsia"/>
        </w:rPr>
        <w:t>固体静电非导体（背面15</w:t>
      </w:r>
      <w:r>
        <w:t> </w:t>
      </w:r>
      <w:r>
        <w:rPr>
          <w:rFonts w:hint="eastAsia"/>
        </w:rPr>
        <w:t>cm内无接地导体）的不引燃放电安全电位对于最小点燃能量大于0.2 mJ的可燃气是15</w:t>
      </w:r>
      <w:r>
        <w:t> </w:t>
      </w:r>
      <w:r>
        <w:rPr>
          <w:rFonts w:hint="eastAsia"/>
        </w:rPr>
        <w:t>kV。</w:t>
      </w:r>
    </w:p>
    <w:p>
      <w:pPr>
        <w:pStyle w:val="42"/>
        <w:spacing w:before="312" w:after="312"/>
      </w:pPr>
      <w:bookmarkStart w:id="40" w:name="_Toc53175709"/>
      <w:bookmarkStart w:id="41" w:name="_Toc53176648"/>
      <w:r>
        <w:rPr>
          <w:rFonts w:hint="eastAsia"/>
        </w:rPr>
        <w:t>固态物料防护措施</w:t>
      </w:r>
      <w:bookmarkEnd w:id="40"/>
      <w:bookmarkEnd w:id="41"/>
    </w:p>
    <w:p>
      <w:pPr>
        <w:pStyle w:val="122"/>
      </w:pPr>
      <w:r>
        <w:rPr>
          <w:rFonts w:hint="eastAsia"/>
        </w:rPr>
        <w:t>非金属静电导体或静电亚导体与金属导体相互联接时，其紧密接触的面积应大于</w:t>
      </w:r>
      <w:r>
        <w:t>20 cm</w:t>
      </w:r>
      <w:r>
        <w:rPr>
          <w:vertAlign w:val="superscript"/>
        </w:rPr>
        <w:t>2</w:t>
      </w:r>
      <w:r>
        <w:rPr>
          <w:rFonts w:hint="eastAsia"/>
        </w:rPr>
        <w:t>。</w:t>
      </w:r>
    </w:p>
    <w:p>
      <w:pPr>
        <w:pStyle w:val="122"/>
      </w:pPr>
      <w:r>
        <w:t>架空配管系统各组成部分，应保持可靠的电气连接。室外的系统同时要满足国家有关防雷规程 的要求。</w:t>
      </w:r>
    </w:p>
    <w:p>
      <w:pPr>
        <w:pStyle w:val="122"/>
      </w:pPr>
      <w:r>
        <w:t>防静电接地线不得利用电</w:t>
      </w:r>
      <w:r>
        <w:rPr>
          <w:rFonts w:hint="eastAsia"/>
        </w:rPr>
        <w:t>源</w:t>
      </w:r>
      <w:r>
        <w:t>零线</w:t>
      </w:r>
      <w:r>
        <w:rPr>
          <w:rFonts w:hint="eastAsia"/>
        </w:rPr>
        <w:t>，</w:t>
      </w:r>
      <w:r>
        <w:t>不得与防</w:t>
      </w:r>
      <w:r>
        <w:rPr>
          <w:rFonts w:hint="eastAsia"/>
        </w:rPr>
        <w:t>直击</w:t>
      </w:r>
      <w:r>
        <w:t>雷地线共用。</w:t>
      </w:r>
    </w:p>
    <w:p>
      <w:pPr>
        <w:pStyle w:val="122"/>
      </w:pPr>
      <w:r>
        <w:t>在进行间接接地时，</w:t>
      </w:r>
      <w:r>
        <w:rPr>
          <w:rFonts w:hint="eastAsia"/>
        </w:rPr>
        <w:t>应</w:t>
      </w:r>
      <w:r>
        <w:t>在金属导体与非金属静电导体或静电亚导体之间，加设金属</w:t>
      </w:r>
      <w:r>
        <w:rPr>
          <w:rFonts w:hint="eastAsia"/>
        </w:rPr>
        <w:t>箔</w:t>
      </w:r>
      <w:r>
        <w:t>，或涂导电性涂料或导电</w:t>
      </w:r>
      <w:r>
        <w:rPr>
          <w:rFonts w:hint="eastAsia"/>
        </w:rPr>
        <w:t>剂</w:t>
      </w:r>
      <w:r>
        <w:t>以减少接触电阻。</w:t>
      </w:r>
    </w:p>
    <w:p>
      <w:pPr>
        <w:pStyle w:val="122"/>
      </w:pPr>
      <w:r>
        <w:t>在振动和频繁移动的器件上用的接地导体禁止用单股线及金属链，应采用6 </w:t>
      </w:r>
      <w:r>
        <w:rPr>
          <w:rFonts w:hint="eastAsia"/>
        </w:rPr>
        <w:t>m</w:t>
      </w:r>
      <w:r>
        <w:t>而 以上的裸绞线或编织线。</w:t>
      </w:r>
    </w:p>
    <w:p>
      <w:pPr>
        <w:pStyle w:val="122"/>
      </w:pPr>
      <w:r>
        <w:rPr>
          <w:rFonts w:hint="eastAsia"/>
        </w:rPr>
        <w:t>使用耗散性涂覆材料对非防静电材料进行包覆处理时，应注意涂覆材料的性质</w:t>
      </w:r>
    </w:p>
    <w:p>
      <w:pPr>
        <w:pStyle w:val="56"/>
      </w:pPr>
      <w:r>
        <w:rPr>
          <w:rFonts w:hint="eastAsia"/>
        </w:rPr>
        <w:t>应保证耗散性涂覆不能被洗掉、擦掉也不能随时间推移而失效，否则，此类涂覆仅适用于作为减少静电电荷积累的临时措施。</w:t>
      </w:r>
    </w:p>
    <w:p>
      <w:pPr>
        <w:pStyle w:val="56"/>
      </w:pPr>
      <w:r>
        <w:rPr>
          <w:rFonts w:hint="eastAsia"/>
        </w:rPr>
        <w:t>通过添加材料使表面吸收湿气以提高表面导电性的，应注意如环境湿度过低（低于3</w:t>
      </w:r>
      <w:r>
        <w:t>0 </w:t>
      </w:r>
      <w:r>
        <w:rPr>
          <w:rFonts w:hint="eastAsia"/>
        </w:rPr>
        <w:t>%）时，材料可能成为绝缘性材料并积累静电电荷。</w:t>
      </w:r>
    </w:p>
    <w:p>
      <w:pPr>
        <w:pStyle w:val="56"/>
      </w:pPr>
      <w:r>
        <w:rPr>
          <w:rFonts w:hint="eastAsia"/>
        </w:rPr>
        <w:t>防静电包装材料用的耗散性添加剂应与所包装产品相匹配，如产品吸收其接触的耗散性添加剂，则可能导致产品污染和/或使包装耗散性能丧失。</w:t>
      </w:r>
    </w:p>
    <w:p>
      <w:pPr>
        <w:pStyle w:val="122"/>
      </w:pPr>
      <w:r>
        <w:rPr>
          <w:rFonts w:hint="eastAsia"/>
        </w:rPr>
        <w:t>用于传动或运输固体材料的输送带，通过输送带端部运至料头或斜槽的材料能够携带大量电荷，应注意静电引燃的风险，不同场所所用传送带及其转速要求见表3。应注意导电性或耗散性输送带不能移除绝缘传送物携带的电荷。</w:t>
      </w:r>
    </w:p>
    <w:p>
      <w:pPr>
        <w:pStyle w:val="123"/>
        <w:spacing w:before="156" w:after="156"/>
      </w:pPr>
      <w:r>
        <w:rPr>
          <w:rFonts w:hint="eastAsia"/>
        </w:rPr>
        <w:t>传送带要求</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72"/>
        <w:gridCol w:w="891"/>
        <w:gridCol w:w="709"/>
        <w:gridCol w:w="1390"/>
        <w:gridCol w:w="996"/>
        <w:gridCol w:w="1158"/>
        <w:gridCol w:w="1134"/>
        <w:gridCol w:w="697"/>
        <w:gridCol w:w="9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72" w:type="dxa"/>
            <w:vMerge w:val="restart"/>
          </w:tcPr>
          <w:p>
            <w:pPr>
              <w:pStyle w:val="22"/>
              <w:ind w:firstLine="0" w:firstLineChars="0"/>
              <w:jc w:val="center"/>
              <w:rPr>
                <w:sz w:val="18"/>
                <w:szCs w:val="18"/>
              </w:rPr>
            </w:pPr>
            <w:bookmarkStart w:id="42" w:name="_Hlk104381057"/>
            <w:r>
              <w:rPr>
                <w:rFonts w:hint="eastAsia"/>
                <w:sz w:val="18"/>
                <w:szCs w:val="18"/>
              </w:rPr>
              <w:t>带速度</w:t>
            </w:r>
          </w:p>
        </w:tc>
        <w:tc>
          <w:tcPr>
            <w:tcW w:w="891" w:type="dxa"/>
            <w:vMerge w:val="restart"/>
          </w:tcPr>
          <w:p>
            <w:pPr>
              <w:pStyle w:val="22"/>
              <w:ind w:firstLine="0" w:firstLineChars="0"/>
              <w:jc w:val="center"/>
              <w:rPr>
                <w:sz w:val="18"/>
                <w:szCs w:val="18"/>
              </w:rPr>
            </w:pPr>
            <w:r>
              <w:rPr>
                <w:rFonts w:hint="eastAsia"/>
                <w:sz w:val="18"/>
                <w:szCs w:val="18"/>
              </w:rPr>
              <w:t>0区</w:t>
            </w:r>
          </w:p>
        </w:tc>
        <w:tc>
          <w:tcPr>
            <w:tcW w:w="2099" w:type="dxa"/>
            <w:gridSpan w:val="2"/>
          </w:tcPr>
          <w:p>
            <w:pPr>
              <w:pStyle w:val="22"/>
              <w:ind w:firstLine="0" w:firstLineChars="0"/>
              <w:jc w:val="center"/>
              <w:rPr>
                <w:sz w:val="18"/>
                <w:szCs w:val="18"/>
              </w:rPr>
            </w:pPr>
            <w:r>
              <w:rPr>
                <w:rFonts w:hint="eastAsia"/>
                <w:sz w:val="18"/>
                <w:szCs w:val="18"/>
              </w:rPr>
              <w:t>I区</w:t>
            </w:r>
          </w:p>
        </w:tc>
        <w:tc>
          <w:tcPr>
            <w:tcW w:w="996" w:type="dxa"/>
            <w:vMerge w:val="restart"/>
          </w:tcPr>
          <w:p>
            <w:pPr>
              <w:pStyle w:val="22"/>
              <w:ind w:firstLine="0" w:firstLineChars="0"/>
              <w:jc w:val="center"/>
              <w:rPr>
                <w:sz w:val="18"/>
                <w:szCs w:val="18"/>
              </w:rPr>
            </w:pPr>
            <w:r>
              <w:rPr>
                <w:rFonts w:hint="eastAsia"/>
                <w:sz w:val="18"/>
                <w:szCs w:val="18"/>
              </w:rPr>
              <w:t>2区</w:t>
            </w:r>
          </w:p>
        </w:tc>
        <w:tc>
          <w:tcPr>
            <w:tcW w:w="2292" w:type="dxa"/>
            <w:gridSpan w:val="2"/>
          </w:tcPr>
          <w:p>
            <w:pPr>
              <w:pStyle w:val="22"/>
              <w:ind w:firstLine="0" w:firstLineChars="0"/>
              <w:jc w:val="center"/>
              <w:rPr>
                <w:sz w:val="18"/>
                <w:szCs w:val="18"/>
              </w:rPr>
            </w:pPr>
            <w:r>
              <w:rPr>
                <w:rFonts w:hint="eastAsia"/>
                <w:sz w:val="18"/>
                <w:szCs w:val="18"/>
              </w:rPr>
              <w:t>2</w:t>
            </w:r>
            <w:r>
              <w:rPr>
                <w:sz w:val="18"/>
                <w:szCs w:val="18"/>
              </w:rPr>
              <w:t>0</w:t>
            </w:r>
            <w:r>
              <w:rPr>
                <w:rFonts w:hint="eastAsia"/>
                <w:sz w:val="18"/>
                <w:szCs w:val="18"/>
              </w:rPr>
              <w:t>区</w:t>
            </w:r>
          </w:p>
        </w:tc>
        <w:tc>
          <w:tcPr>
            <w:tcW w:w="697" w:type="dxa"/>
            <w:vMerge w:val="restart"/>
          </w:tcPr>
          <w:p>
            <w:pPr>
              <w:pStyle w:val="22"/>
              <w:ind w:firstLine="0" w:firstLineChars="0"/>
              <w:jc w:val="center"/>
              <w:rPr>
                <w:sz w:val="18"/>
                <w:szCs w:val="18"/>
              </w:rPr>
            </w:pPr>
            <w:r>
              <w:rPr>
                <w:rFonts w:hint="eastAsia"/>
                <w:sz w:val="18"/>
                <w:szCs w:val="18"/>
              </w:rPr>
              <w:t>2</w:t>
            </w:r>
            <w:r>
              <w:rPr>
                <w:sz w:val="18"/>
                <w:szCs w:val="18"/>
              </w:rPr>
              <w:t>1</w:t>
            </w:r>
            <w:r>
              <w:rPr>
                <w:rFonts w:hint="eastAsia"/>
                <w:sz w:val="18"/>
                <w:szCs w:val="18"/>
              </w:rPr>
              <w:t>区</w:t>
            </w:r>
          </w:p>
        </w:tc>
        <w:tc>
          <w:tcPr>
            <w:tcW w:w="997" w:type="dxa"/>
            <w:vMerge w:val="restart"/>
          </w:tcPr>
          <w:p>
            <w:pPr>
              <w:pStyle w:val="22"/>
              <w:ind w:firstLine="0" w:firstLineChars="0"/>
              <w:jc w:val="center"/>
              <w:rPr>
                <w:sz w:val="18"/>
                <w:szCs w:val="18"/>
              </w:rPr>
            </w:pPr>
            <w:r>
              <w:rPr>
                <w:rFonts w:hint="eastAsia"/>
                <w:sz w:val="18"/>
                <w:szCs w:val="18"/>
              </w:rPr>
              <w:t>2</w:t>
            </w:r>
            <w:r>
              <w:rPr>
                <w:sz w:val="18"/>
                <w:szCs w:val="18"/>
              </w:rPr>
              <w:t>2</w:t>
            </w:r>
            <w:r>
              <w:rPr>
                <w:rFonts w:hint="eastAsia"/>
                <w:sz w:val="18"/>
                <w:szCs w:val="18"/>
              </w:rPr>
              <w:t>区</w:t>
            </w:r>
          </w:p>
        </w:tc>
      </w:tr>
      <w:bookmarkEnd w:id="4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72" w:type="dxa"/>
            <w:vMerge w:val="continue"/>
          </w:tcPr>
          <w:p>
            <w:pPr>
              <w:pStyle w:val="22"/>
              <w:ind w:firstLine="0" w:firstLineChars="0"/>
              <w:rPr>
                <w:sz w:val="18"/>
                <w:szCs w:val="18"/>
              </w:rPr>
            </w:pPr>
          </w:p>
        </w:tc>
        <w:tc>
          <w:tcPr>
            <w:tcW w:w="891" w:type="dxa"/>
            <w:vMerge w:val="continue"/>
          </w:tcPr>
          <w:p>
            <w:pPr>
              <w:pStyle w:val="22"/>
              <w:ind w:firstLine="0" w:firstLineChars="0"/>
              <w:rPr>
                <w:sz w:val="18"/>
                <w:szCs w:val="18"/>
              </w:rPr>
            </w:pPr>
          </w:p>
        </w:tc>
        <w:tc>
          <w:tcPr>
            <w:tcW w:w="709" w:type="dxa"/>
          </w:tcPr>
          <w:p>
            <w:pPr>
              <w:pStyle w:val="22"/>
              <w:ind w:firstLine="0" w:firstLineChars="0"/>
              <w:rPr>
                <w:sz w:val="18"/>
                <w:szCs w:val="18"/>
              </w:rPr>
            </w:pPr>
            <w:r>
              <w:rPr>
                <w:rFonts w:hint="eastAsia"/>
                <w:sz w:val="18"/>
                <w:szCs w:val="18"/>
              </w:rPr>
              <w:t>IIC</w:t>
            </w:r>
          </w:p>
        </w:tc>
        <w:tc>
          <w:tcPr>
            <w:tcW w:w="1390" w:type="dxa"/>
          </w:tcPr>
          <w:p>
            <w:pPr>
              <w:pStyle w:val="22"/>
              <w:ind w:firstLine="0" w:firstLineChars="0"/>
              <w:rPr>
                <w:sz w:val="18"/>
                <w:szCs w:val="18"/>
              </w:rPr>
            </w:pPr>
            <w:r>
              <w:rPr>
                <w:rFonts w:hint="eastAsia"/>
                <w:sz w:val="18"/>
                <w:szCs w:val="18"/>
              </w:rPr>
              <w:t>IIA和IIB</w:t>
            </w:r>
          </w:p>
        </w:tc>
        <w:tc>
          <w:tcPr>
            <w:tcW w:w="996" w:type="dxa"/>
            <w:vMerge w:val="continue"/>
          </w:tcPr>
          <w:p>
            <w:pPr>
              <w:pStyle w:val="22"/>
              <w:ind w:firstLine="0" w:firstLineChars="0"/>
              <w:rPr>
                <w:sz w:val="18"/>
                <w:szCs w:val="18"/>
              </w:rPr>
            </w:pPr>
          </w:p>
        </w:tc>
        <w:tc>
          <w:tcPr>
            <w:tcW w:w="1158" w:type="dxa"/>
          </w:tcPr>
          <w:p>
            <w:pPr>
              <w:pStyle w:val="22"/>
              <w:ind w:firstLine="0" w:firstLineChars="0"/>
              <w:rPr>
                <w:sz w:val="18"/>
                <w:szCs w:val="18"/>
              </w:rPr>
            </w:pPr>
            <w:r>
              <w:rPr>
                <w:rFonts w:hint="eastAsia"/>
                <w:sz w:val="18"/>
                <w:szCs w:val="18"/>
              </w:rPr>
              <w:t>MIE≤1</w:t>
            </w:r>
            <w:r>
              <w:rPr>
                <w:sz w:val="18"/>
                <w:szCs w:val="18"/>
              </w:rPr>
              <w:t>0 </w:t>
            </w:r>
            <w:r>
              <w:rPr>
                <w:rFonts w:hint="eastAsia"/>
                <w:sz w:val="18"/>
                <w:szCs w:val="18"/>
              </w:rPr>
              <w:t>mJ</w:t>
            </w:r>
          </w:p>
        </w:tc>
        <w:tc>
          <w:tcPr>
            <w:tcW w:w="1134" w:type="dxa"/>
          </w:tcPr>
          <w:p>
            <w:pPr>
              <w:pStyle w:val="22"/>
              <w:ind w:firstLine="0" w:firstLineChars="0"/>
              <w:rPr>
                <w:sz w:val="18"/>
                <w:szCs w:val="18"/>
              </w:rPr>
            </w:pPr>
            <w:r>
              <w:rPr>
                <w:rFonts w:hint="eastAsia"/>
                <w:sz w:val="18"/>
                <w:szCs w:val="18"/>
              </w:rPr>
              <w:t>MIE＞1</w:t>
            </w:r>
            <w:r>
              <w:rPr>
                <w:sz w:val="18"/>
                <w:szCs w:val="18"/>
              </w:rPr>
              <w:t>0 </w:t>
            </w:r>
            <w:r>
              <w:rPr>
                <w:rFonts w:hint="eastAsia"/>
                <w:sz w:val="18"/>
                <w:szCs w:val="18"/>
              </w:rPr>
              <w:t>mJ</w:t>
            </w:r>
          </w:p>
        </w:tc>
        <w:tc>
          <w:tcPr>
            <w:tcW w:w="697" w:type="dxa"/>
            <w:vMerge w:val="continue"/>
          </w:tcPr>
          <w:p>
            <w:pPr>
              <w:pStyle w:val="22"/>
              <w:ind w:firstLine="0" w:firstLineChars="0"/>
              <w:rPr>
                <w:sz w:val="18"/>
                <w:szCs w:val="18"/>
              </w:rPr>
            </w:pPr>
          </w:p>
        </w:tc>
        <w:tc>
          <w:tcPr>
            <w:tcW w:w="997" w:type="dxa"/>
            <w:vMerge w:val="continue"/>
          </w:tcPr>
          <w:p>
            <w:pPr>
              <w:pStyle w:val="22"/>
              <w:ind w:firstLine="0" w:firstLineChars="0"/>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72" w:type="dxa"/>
          </w:tcPr>
          <w:p>
            <w:pPr>
              <w:pStyle w:val="22"/>
              <w:ind w:firstLine="0" w:firstLineChars="0"/>
              <w:rPr>
                <w:sz w:val="18"/>
                <w:szCs w:val="18"/>
              </w:rPr>
            </w:pPr>
            <w:r>
              <w:rPr>
                <w:rFonts w:hint="eastAsia"/>
                <w:sz w:val="18"/>
                <w:szCs w:val="18"/>
              </w:rPr>
              <w:t>≤0</w:t>
            </w:r>
            <w:r>
              <w:rPr>
                <w:sz w:val="18"/>
                <w:szCs w:val="18"/>
              </w:rPr>
              <w:t>.5 </w:t>
            </w:r>
            <w:r>
              <w:rPr>
                <w:rFonts w:hint="eastAsia"/>
                <w:sz w:val="18"/>
                <w:szCs w:val="18"/>
              </w:rPr>
              <w:t>m</w:t>
            </w:r>
            <w:r>
              <w:rPr>
                <w:sz w:val="18"/>
                <w:szCs w:val="18"/>
              </w:rPr>
              <w:t>/s</w:t>
            </w:r>
          </w:p>
        </w:tc>
        <w:tc>
          <w:tcPr>
            <w:tcW w:w="1600" w:type="dxa"/>
            <w:gridSpan w:val="2"/>
          </w:tcPr>
          <w:p>
            <w:pPr>
              <w:pStyle w:val="22"/>
              <w:ind w:firstLine="0" w:firstLineChars="0"/>
              <w:rPr>
                <w:sz w:val="18"/>
                <w:szCs w:val="18"/>
              </w:rPr>
            </w:pPr>
            <w:r>
              <w:rPr>
                <w:rFonts w:hint="eastAsia"/>
                <w:sz w:val="18"/>
                <w:szCs w:val="18"/>
              </w:rPr>
              <w:t>可使用耗散性传送带及导电性滑轮，不得使用传送带连接装置</w:t>
            </w:r>
          </w:p>
        </w:tc>
        <w:tc>
          <w:tcPr>
            <w:tcW w:w="1390" w:type="dxa"/>
            <w:vMerge w:val="restart"/>
          </w:tcPr>
          <w:p>
            <w:pPr>
              <w:pStyle w:val="22"/>
              <w:ind w:firstLine="0" w:firstLineChars="0"/>
              <w:rPr>
                <w:sz w:val="18"/>
                <w:szCs w:val="18"/>
              </w:rPr>
            </w:pPr>
            <w:r>
              <w:rPr>
                <w:rFonts w:hint="eastAsia"/>
                <w:sz w:val="18"/>
                <w:szCs w:val="18"/>
              </w:rPr>
              <w:t>可使用耗散性传送带及导电性滑轮，可以使用传送带连接装置</w:t>
            </w:r>
          </w:p>
        </w:tc>
        <w:tc>
          <w:tcPr>
            <w:tcW w:w="996" w:type="dxa"/>
            <w:vMerge w:val="restart"/>
          </w:tcPr>
          <w:p>
            <w:pPr>
              <w:pStyle w:val="22"/>
              <w:ind w:firstLine="0" w:firstLineChars="0"/>
              <w:rPr>
                <w:sz w:val="18"/>
                <w:szCs w:val="18"/>
              </w:rPr>
            </w:pPr>
            <w:r>
              <w:rPr>
                <w:rFonts w:hint="eastAsia"/>
                <w:sz w:val="18"/>
                <w:szCs w:val="18"/>
              </w:rPr>
              <w:t>除经验表引燃放电情况频繁发生，无要求</w:t>
            </w:r>
          </w:p>
        </w:tc>
        <w:tc>
          <w:tcPr>
            <w:tcW w:w="2989" w:type="dxa"/>
            <w:gridSpan w:val="3"/>
            <w:vMerge w:val="restart"/>
          </w:tcPr>
          <w:p>
            <w:pPr>
              <w:pStyle w:val="22"/>
              <w:ind w:firstLine="0" w:firstLineChars="0"/>
              <w:rPr>
                <w:sz w:val="18"/>
                <w:szCs w:val="18"/>
              </w:rPr>
            </w:pPr>
            <w:r>
              <w:rPr>
                <w:rFonts w:hint="eastAsia"/>
                <w:sz w:val="18"/>
                <w:szCs w:val="18"/>
              </w:rPr>
              <w:t>可使用耗散性传送带及导电性滑轮，可以使用传送带连接装置</w:t>
            </w:r>
          </w:p>
        </w:tc>
        <w:tc>
          <w:tcPr>
            <w:tcW w:w="997" w:type="dxa"/>
            <w:vMerge w:val="restart"/>
          </w:tcPr>
          <w:p>
            <w:pPr>
              <w:pStyle w:val="22"/>
              <w:ind w:firstLine="0" w:firstLineChars="0"/>
              <w:rPr>
                <w:sz w:val="18"/>
                <w:szCs w:val="18"/>
              </w:rPr>
            </w:pPr>
            <w:r>
              <w:rPr>
                <w:rFonts w:hint="eastAsia"/>
                <w:sz w:val="18"/>
                <w:szCs w:val="18"/>
              </w:rPr>
              <w:t>除经验表明引燃放电情况频繁发生，无要求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 w:hRule="atLeast"/>
        </w:trPr>
        <w:tc>
          <w:tcPr>
            <w:tcW w:w="1372" w:type="dxa"/>
          </w:tcPr>
          <w:p>
            <w:pPr>
              <w:pStyle w:val="22"/>
              <w:ind w:firstLine="0" w:firstLineChars="0"/>
              <w:rPr>
                <w:sz w:val="18"/>
                <w:szCs w:val="18"/>
              </w:rPr>
            </w:pPr>
            <w:r>
              <w:rPr>
                <w:rFonts w:hint="eastAsia"/>
                <w:sz w:val="18"/>
                <w:szCs w:val="18"/>
              </w:rPr>
              <w:t>0</w:t>
            </w:r>
            <w:r>
              <w:rPr>
                <w:sz w:val="18"/>
                <w:szCs w:val="18"/>
              </w:rPr>
              <w:t>.5 </w:t>
            </w:r>
            <w:r>
              <w:rPr>
                <w:rFonts w:hint="eastAsia"/>
                <w:sz w:val="18"/>
                <w:szCs w:val="18"/>
              </w:rPr>
              <w:t>m</w:t>
            </w:r>
            <w:r>
              <w:rPr>
                <w:sz w:val="18"/>
                <w:szCs w:val="18"/>
              </w:rPr>
              <w:t>/s~5 m</w:t>
            </w:r>
            <w:r>
              <w:rPr>
                <w:rFonts w:hint="eastAsia"/>
                <w:sz w:val="18"/>
                <w:szCs w:val="18"/>
              </w:rPr>
              <w:t>/</w:t>
            </w:r>
            <w:r>
              <w:rPr>
                <w:sz w:val="18"/>
                <w:szCs w:val="18"/>
              </w:rPr>
              <w:t>s</w:t>
            </w:r>
          </w:p>
        </w:tc>
        <w:tc>
          <w:tcPr>
            <w:tcW w:w="1600" w:type="dxa"/>
            <w:gridSpan w:val="2"/>
            <w:vMerge w:val="restart"/>
          </w:tcPr>
          <w:p>
            <w:pPr>
              <w:pStyle w:val="22"/>
              <w:ind w:firstLine="360"/>
              <w:rPr>
                <w:sz w:val="18"/>
                <w:szCs w:val="18"/>
              </w:rPr>
            </w:pPr>
            <w:r>
              <w:rPr>
                <w:rFonts w:hint="eastAsia"/>
                <w:sz w:val="18"/>
                <w:szCs w:val="18"/>
              </w:rPr>
              <w:t>不允许</w:t>
            </w:r>
          </w:p>
        </w:tc>
        <w:tc>
          <w:tcPr>
            <w:tcW w:w="1390" w:type="dxa"/>
            <w:vMerge w:val="continue"/>
          </w:tcPr>
          <w:p>
            <w:pPr>
              <w:pStyle w:val="22"/>
              <w:ind w:firstLine="0" w:firstLineChars="0"/>
              <w:rPr>
                <w:sz w:val="18"/>
                <w:szCs w:val="18"/>
              </w:rPr>
            </w:pPr>
          </w:p>
        </w:tc>
        <w:tc>
          <w:tcPr>
            <w:tcW w:w="996" w:type="dxa"/>
            <w:vMerge w:val="continue"/>
          </w:tcPr>
          <w:p>
            <w:pPr>
              <w:pStyle w:val="22"/>
              <w:ind w:firstLine="0" w:firstLineChars="0"/>
              <w:rPr>
                <w:sz w:val="18"/>
                <w:szCs w:val="18"/>
              </w:rPr>
            </w:pPr>
          </w:p>
        </w:tc>
        <w:tc>
          <w:tcPr>
            <w:tcW w:w="2989" w:type="dxa"/>
            <w:gridSpan w:val="3"/>
            <w:vMerge w:val="continue"/>
          </w:tcPr>
          <w:p>
            <w:pPr>
              <w:pStyle w:val="22"/>
              <w:ind w:firstLine="0" w:firstLineChars="0"/>
              <w:rPr>
                <w:sz w:val="18"/>
                <w:szCs w:val="18"/>
              </w:rPr>
            </w:pPr>
          </w:p>
        </w:tc>
        <w:tc>
          <w:tcPr>
            <w:tcW w:w="997" w:type="dxa"/>
            <w:vMerge w:val="continue"/>
          </w:tcPr>
          <w:p>
            <w:pPr>
              <w:pStyle w:val="22"/>
              <w:ind w:firstLine="0" w:firstLineChars="0"/>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72" w:type="dxa"/>
          </w:tcPr>
          <w:p>
            <w:pPr>
              <w:pStyle w:val="22"/>
              <w:ind w:firstLine="0" w:firstLineChars="0"/>
              <w:rPr>
                <w:sz w:val="18"/>
                <w:szCs w:val="18"/>
              </w:rPr>
            </w:pPr>
            <w:r>
              <w:rPr>
                <w:rFonts w:hint="eastAsia"/>
                <w:sz w:val="18"/>
                <w:szCs w:val="18"/>
              </w:rPr>
              <w:t>5</w:t>
            </w:r>
            <w:r>
              <w:rPr>
                <w:sz w:val="18"/>
                <w:szCs w:val="18"/>
              </w:rPr>
              <w:t> m/s~30 m/s</w:t>
            </w:r>
          </w:p>
        </w:tc>
        <w:tc>
          <w:tcPr>
            <w:tcW w:w="1600" w:type="dxa"/>
            <w:gridSpan w:val="2"/>
            <w:vMerge w:val="continue"/>
          </w:tcPr>
          <w:p>
            <w:pPr>
              <w:pStyle w:val="22"/>
              <w:ind w:firstLine="0" w:firstLineChars="0"/>
              <w:rPr>
                <w:sz w:val="18"/>
                <w:szCs w:val="18"/>
              </w:rPr>
            </w:pPr>
          </w:p>
        </w:tc>
        <w:tc>
          <w:tcPr>
            <w:tcW w:w="1390" w:type="dxa"/>
          </w:tcPr>
          <w:p>
            <w:pPr>
              <w:pStyle w:val="22"/>
              <w:ind w:firstLine="0" w:firstLineChars="0"/>
              <w:rPr>
                <w:sz w:val="18"/>
                <w:szCs w:val="18"/>
              </w:rPr>
            </w:pPr>
            <w:r>
              <w:rPr>
                <w:rFonts w:hint="eastAsia"/>
                <w:sz w:val="18"/>
                <w:szCs w:val="18"/>
              </w:rPr>
              <w:t>耗散性传送带及导电性滑轮，不使用传送带连接装置</w:t>
            </w:r>
          </w:p>
        </w:tc>
        <w:tc>
          <w:tcPr>
            <w:tcW w:w="996" w:type="dxa"/>
            <w:vMerge w:val="continue"/>
          </w:tcPr>
          <w:p>
            <w:pPr>
              <w:pStyle w:val="22"/>
              <w:ind w:firstLine="0" w:firstLineChars="0"/>
              <w:rPr>
                <w:sz w:val="18"/>
                <w:szCs w:val="18"/>
              </w:rPr>
            </w:pPr>
          </w:p>
        </w:tc>
        <w:tc>
          <w:tcPr>
            <w:tcW w:w="1158" w:type="dxa"/>
          </w:tcPr>
          <w:p>
            <w:pPr>
              <w:pStyle w:val="22"/>
              <w:ind w:firstLine="0" w:firstLineChars="0"/>
              <w:rPr>
                <w:sz w:val="18"/>
                <w:szCs w:val="18"/>
              </w:rPr>
            </w:pPr>
            <w:r>
              <w:rPr>
                <w:rFonts w:hint="eastAsia"/>
                <w:sz w:val="18"/>
                <w:szCs w:val="18"/>
              </w:rPr>
              <w:t>不允许</w:t>
            </w:r>
          </w:p>
        </w:tc>
        <w:tc>
          <w:tcPr>
            <w:tcW w:w="1831" w:type="dxa"/>
            <w:gridSpan w:val="2"/>
          </w:tcPr>
          <w:p>
            <w:pPr>
              <w:pStyle w:val="22"/>
              <w:ind w:firstLine="0" w:firstLineChars="0"/>
              <w:rPr>
                <w:sz w:val="18"/>
                <w:szCs w:val="18"/>
              </w:rPr>
            </w:pPr>
            <w:r>
              <w:rPr>
                <w:rFonts w:hint="eastAsia"/>
                <w:sz w:val="18"/>
                <w:szCs w:val="18"/>
              </w:rPr>
              <w:t>可使用耗散性传送带及导电性滑轮，不使用传送带连接装置</w:t>
            </w:r>
          </w:p>
        </w:tc>
        <w:tc>
          <w:tcPr>
            <w:tcW w:w="997" w:type="dxa"/>
            <w:vMerge w:val="continue"/>
          </w:tcPr>
          <w:p>
            <w:pPr>
              <w:pStyle w:val="22"/>
              <w:ind w:firstLine="0" w:firstLineChars="0"/>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4" w:type="dxa"/>
            <w:gridSpan w:val="9"/>
          </w:tcPr>
          <w:p>
            <w:pPr>
              <w:pStyle w:val="55"/>
            </w:pPr>
            <w:r>
              <w:rPr>
                <w:rFonts w:hint="eastAsia"/>
              </w:rPr>
              <w:t>暂无速度＞3</w:t>
            </w:r>
            <w:r>
              <w:t>0</w:t>
            </w:r>
            <w:r>
              <w:rPr>
                <w:rFonts w:hint="eastAsia"/>
              </w:rPr>
              <w:t>m</w:t>
            </w:r>
            <w:r>
              <w:t>/s</w:t>
            </w:r>
            <w:r>
              <w:rPr>
                <w:rFonts w:hint="eastAsia"/>
              </w:rPr>
              <w:t>的传送带的相关信息。</w:t>
            </w:r>
          </w:p>
          <w:p>
            <w:pPr>
              <w:pStyle w:val="55"/>
            </w:pPr>
            <w:r>
              <w:rPr>
                <w:rFonts w:hint="eastAsia"/>
              </w:rPr>
              <w:t>1区的要求（IIA、IIB）同样适用于I类设备，然而，绝缘性煤尘传送带很难点燃的导电性煤尘，因此如果风险评估标明点燃风险很低则可采用类似的传送带。</w:t>
            </w:r>
          </w:p>
          <w:p>
            <w:pPr>
              <w:pStyle w:val="55"/>
            </w:pPr>
            <w:r>
              <w:rPr>
                <w:rFonts w:hint="eastAsia"/>
              </w:rPr>
              <w:t>对通过电晕放电方式耗散电荷的传送带，本表格不适用，应由专家测试，如测量其在最易起电条件下的起电能力。</w:t>
            </w:r>
          </w:p>
        </w:tc>
      </w:tr>
    </w:tbl>
    <w:p>
      <w:pPr>
        <w:pStyle w:val="122"/>
      </w:pPr>
      <w:r>
        <w:rPr>
          <w:rFonts w:hint="eastAsia"/>
        </w:rPr>
        <w:t>耗散性传送带应符合如下要求之一：</w:t>
      </w:r>
    </w:p>
    <w:p>
      <w:pPr>
        <w:pStyle w:val="56"/>
        <w:numPr>
          <w:ilvl w:val="0"/>
          <w:numId w:val="18"/>
        </w:numPr>
      </w:pPr>
      <w:r>
        <w:rPr>
          <w:rFonts w:hint="eastAsia"/>
        </w:rPr>
        <w:t>按照GB</w:t>
      </w:r>
      <w:r>
        <w:t>/T 3684</w:t>
      </w:r>
      <w:r>
        <w:rPr>
          <w:rFonts w:hint="eastAsia"/>
        </w:rPr>
        <w:t>规定的方法测试，传送带两面的表面电阻均小于3</w:t>
      </w:r>
      <w:r>
        <w:t>00</w:t>
      </w:r>
      <w:r>
        <w:rPr>
          <w:rFonts w:hint="eastAsia"/>
        </w:rPr>
        <w:t>MΩ；</w:t>
      </w:r>
    </w:p>
    <w:p>
      <w:pPr>
        <w:pStyle w:val="56"/>
        <w:numPr>
          <w:ilvl w:val="0"/>
          <w:numId w:val="18"/>
        </w:numPr>
      </w:pPr>
      <w:r>
        <w:rPr>
          <w:rFonts w:hint="eastAsia"/>
        </w:rPr>
        <w:t>按照GB</w:t>
      </w:r>
      <w:r>
        <w:t>/T 3836.26</w:t>
      </w:r>
      <w:r>
        <w:rPr>
          <w:rFonts w:hint="eastAsia"/>
        </w:rPr>
        <w:t>-</w:t>
      </w:r>
      <w:r>
        <w:t>2019</w:t>
      </w:r>
      <w:r>
        <w:rPr>
          <w:rFonts w:hint="eastAsia"/>
        </w:rPr>
        <w:t>标准中3</w:t>
      </w:r>
      <w:r>
        <w:t>.21</w:t>
      </w:r>
      <w:r>
        <w:rPr>
          <w:rFonts w:hint="eastAsia"/>
        </w:rPr>
        <w:t>规定的电极布局测量传送带两面的表面电阻，均小于7</w:t>
      </w:r>
      <w:r>
        <w:t>5</w:t>
      </w:r>
      <w:r>
        <w:rPr>
          <w:rFonts w:hint="eastAsia"/>
        </w:rPr>
        <w:t>MΩ；</w:t>
      </w:r>
    </w:p>
    <w:p>
      <w:pPr>
        <w:pStyle w:val="56"/>
        <w:numPr>
          <w:ilvl w:val="0"/>
          <w:numId w:val="18"/>
        </w:numPr>
      </w:pPr>
      <w:r>
        <w:rPr>
          <w:rFonts w:hint="eastAsia"/>
        </w:rPr>
        <w:t>多层不同材料制成的传送带，两相对外表面之间的电阻（在2</w:t>
      </w:r>
      <w:r>
        <w:t>3</w:t>
      </w:r>
      <w:r>
        <w:rPr>
          <w:rFonts w:hint="eastAsia"/>
        </w:rPr>
        <w:t>℃±</w:t>
      </w:r>
      <w:r>
        <w:t>2</w:t>
      </w:r>
      <w:r>
        <w:rPr>
          <w:rFonts w:hint="eastAsia"/>
        </w:rPr>
        <w:t>℃，5</w:t>
      </w:r>
      <w:r>
        <w:t>0</w:t>
      </w:r>
      <w:r>
        <w:rPr>
          <w:rFonts w:hint="eastAsia"/>
        </w:rPr>
        <w:t>%RH±</w:t>
      </w:r>
      <w:r>
        <w:t>5</w:t>
      </w:r>
      <w:r>
        <w:rPr>
          <w:rFonts w:hint="eastAsia"/>
        </w:rPr>
        <w:t>%RH条件下测量）小于1GΩ。</w:t>
      </w:r>
    </w:p>
    <w:p>
      <w:pPr>
        <w:pStyle w:val="61"/>
      </w:pPr>
      <w:r>
        <w:rPr>
          <w:rFonts w:hint="eastAsia"/>
        </w:rPr>
        <w:t>传送带上覆盖的蜡层或污物层可能增加其荷电率及电阻，从而增加充电危害。修理工作应保证不会增加这些数值。最基本的是保证用于连接传送带的绝缘性粘合剂不会中断导电通路。</w:t>
      </w:r>
    </w:p>
    <w:p>
      <w:pPr>
        <w:pStyle w:val="122"/>
      </w:pPr>
      <w:r>
        <w:rPr>
          <w:rFonts w:hint="eastAsia"/>
        </w:rPr>
        <w:t>用于驱动旋转部件或机器的传动带，由于接触表面的连续分离会生成的电荷，应根据危险场所的不同选择不同的传动带，不同场所设备所用传动带应符合表</w:t>
      </w:r>
      <w:r>
        <w:t>4</w:t>
      </w:r>
      <w:r>
        <w:rPr>
          <w:rFonts w:hint="eastAsia"/>
        </w:rPr>
        <w:t>的要求。</w:t>
      </w:r>
    </w:p>
    <w:p>
      <w:pPr>
        <w:pStyle w:val="123"/>
        <w:spacing w:before="156" w:after="156"/>
      </w:pPr>
      <w:r>
        <w:rPr>
          <w:rFonts w:hint="eastAsia"/>
        </w:rPr>
        <w:t>传动带要求</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97"/>
        <w:gridCol w:w="966"/>
        <w:gridCol w:w="851"/>
        <w:gridCol w:w="1417"/>
        <w:gridCol w:w="993"/>
        <w:gridCol w:w="1134"/>
        <w:gridCol w:w="1134"/>
        <w:gridCol w:w="708"/>
        <w:gridCol w:w="8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97" w:type="dxa"/>
            <w:vMerge w:val="restart"/>
          </w:tcPr>
          <w:p>
            <w:pPr>
              <w:widowControl/>
              <w:tabs>
                <w:tab w:val="center" w:pos="4201"/>
                <w:tab w:val="right" w:leader="dot" w:pos="9298"/>
              </w:tabs>
              <w:autoSpaceDE w:val="0"/>
              <w:autoSpaceDN w:val="0"/>
              <w:jc w:val="center"/>
              <w:rPr>
                <w:rFonts w:ascii="宋体"/>
                <w:kern w:val="0"/>
                <w:sz w:val="18"/>
                <w:szCs w:val="18"/>
              </w:rPr>
            </w:pPr>
            <w:r>
              <w:rPr>
                <w:rFonts w:hint="eastAsia" w:ascii="宋体"/>
                <w:kern w:val="0"/>
                <w:sz w:val="18"/>
                <w:szCs w:val="18"/>
              </w:rPr>
              <w:t>带速度</w:t>
            </w:r>
          </w:p>
        </w:tc>
        <w:tc>
          <w:tcPr>
            <w:tcW w:w="966" w:type="dxa"/>
            <w:vMerge w:val="restart"/>
          </w:tcPr>
          <w:p>
            <w:pPr>
              <w:widowControl/>
              <w:tabs>
                <w:tab w:val="center" w:pos="4201"/>
                <w:tab w:val="right" w:leader="dot" w:pos="9298"/>
              </w:tabs>
              <w:autoSpaceDE w:val="0"/>
              <w:autoSpaceDN w:val="0"/>
              <w:jc w:val="center"/>
              <w:rPr>
                <w:rFonts w:ascii="宋体"/>
                <w:kern w:val="0"/>
                <w:sz w:val="18"/>
                <w:szCs w:val="18"/>
              </w:rPr>
            </w:pPr>
            <w:r>
              <w:rPr>
                <w:rFonts w:hint="eastAsia" w:ascii="宋体"/>
                <w:kern w:val="0"/>
                <w:sz w:val="18"/>
                <w:szCs w:val="18"/>
              </w:rPr>
              <w:t>0区</w:t>
            </w:r>
          </w:p>
        </w:tc>
        <w:tc>
          <w:tcPr>
            <w:tcW w:w="2268" w:type="dxa"/>
            <w:gridSpan w:val="2"/>
          </w:tcPr>
          <w:p>
            <w:pPr>
              <w:widowControl/>
              <w:tabs>
                <w:tab w:val="center" w:pos="4201"/>
                <w:tab w:val="right" w:leader="dot" w:pos="9298"/>
              </w:tabs>
              <w:autoSpaceDE w:val="0"/>
              <w:autoSpaceDN w:val="0"/>
              <w:jc w:val="center"/>
              <w:rPr>
                <w:rFonts w:ascii="宋体"/>
                <w:kern w:val="0"/>
                <w:sz w:val="18"/>
                <w:szCs w:val="18"/>
              </w:rPr>
            </w:pPr>
            <w:r>
              <w:rPr>
                <w:rFonts w:hint="eastAsia" w:ascii="宋体"/>
                <w:kern w:val="0"/>
                <w:sz w:val="18"/>
                <w:szCs w:val="18"/>
              </w:rPr>
              <w:t>I区</w:t>
            </w:r>
          </w:p>
        </w:tc>
        <w:tc>
          <w:tcPr>
            <w:tcW w:w="993" w:type="dxa"/>
            <w:vMerge w:val="restart"/>
          </w:tcPr>
          <w:p>
            <w:pPr>
              <w:widowControl/>
              <w:tabs>
                <w:tab w:val="center" w:pos="4201"/>
                <w:tab w:val="right" w:leader="dot" w:pos="9298"/>
              </w:tabs>
              <w:autoSpaceDE w:val="0"/>
              <w:autoSpaceDN w:val="0"/>
              <w:jc w:val="center"/>
              <w:rPr>
                <w:rFonts w:ascii="宋体"/>
                <w:kern w:val="0"/>
                <w:sz w:val="18"/>
                <w:szCs w:val="18"/>
              </w:rPr>
            </w:pPr>
            <w:r>
              <w:rPr>
                <w:rFonts w:hint="eastAsia" w:ascii="宋体"/>
                <w:kern w:val="0"/>
                <w:sz w:val="18"/>
                <w:szCs w:val="18"/>
              </w:rPr>
              <w:t>2区</w:t>
            </w:r>
          </w:p>
        </w:tc>
        <w:tc>
          <w:tcPr>
            <w:tcW w:w="2268" w:type="dxa"/>
            <w:gridSpan w:val="2"/>
          </w:tcPr>
          <w:p>
            <w:pPr>
              <w:widowControl/>
              <w:tabs>
                <w:tab w:val="center" w:pos="4201"/>
                <w:tab w:val="right" w:leader="dot" w:pos="9298"/>
              </w:tabs>
              <w:autoSpaceDE w:val="0"/>
              <w:autoSpaceDN w:val="0"/>
              <w:jc w:val="center"/>
              <w:rPr>
                <w:rFonts w:ascii="宋体"/>
                <w:kern w:val="0"/>
                <w:sz w:val="18"/>
                <w:szCs w:val="18"/>
              </w:rPr>
            </w:pPr>
            <w:r>
              <w:rPr>
                <w:rFonts w:hint="eastAsia" w:ascii="宋体"/>
                <w:kern w:val="0"/>
                <w:sz w:val="18"/>
                <w:szCs w:val="18"/>
              </w:rPr>
              <w:t>2</w:t>
            </w:r>
            <w:r>
              <w:rPr>
                <w:rFonts w:ascii="宋体"/>
                <w:kern w:val="0"/>
                <w:sz w:val="18"/>
                <w:szCs w:val="18"/>
              </w:rPr>
              <w:t>0</w:t>
            </w:r>
            <w:r>
              <w:rPr>
                <w:rFonts w:hint="eastAsia" w:ascii="宋体"/>
                <w:kern w:val="0"/>
                <w:sz w:val="18"/>
                <w:szCs w:val="18"/>
              </w:rPr>
              <w:t>区</w:t>
            </w:r>
          </w:p>
        </w:tc>
        <w:tc>
          <w:tcPr>
            <w:tcW w:w="708" w:type="dxa"/>
            <w:vMerge w:val="restart"/>
          </w:tcPr>
          <w:p>
            <w:pPr>
              <w:widowControl/>
              <w:tabs>
                <w:tab w:val="center" w:pos="4201"/>
                <w:tab w:val="right" w:leader="dot" w:pos="9298"/>
              </w:tabs>
              <w:autoSpaceDE w:val="0"/>
              <w:autoSpaceDN w:val="0"/>
              <w:jc w:val="center"/>
              <w:rPr>
                <w:rFonts w:ascii="宋体"/>
                <w:kern w:val="0"/>
                <w:sz w:val="18"/>
                <w:szCs w:val="18"/>
              </w:rPr>
            </w:pPr>
            <w:r>
              <w:rPr>
                <w:rFonts w:hint="eastAsia" w:ascii="宋体"/>
                <w:kern w:val="0"/>
                <w:sz w:val="18"/>
                <w:szCs w:val="18"/>
              </w:rPr>
              <w:t>2</w:t>
            </w:r>
            <w:r>
              <w:rPr>
                <w:rFonts w:ascii="宋体"/>
                <w:kern w:val="0"/>
                <w:sz w:val="18"/>
                <w:szCs w:val="18"/>
              </w:rPr>
              <w:t>1</w:t>
            </w:r>
            <w:r>
              <w:rPr>
                <w:rFonts w:hint="eastAsia" w:ascii="宋体"/>
                <w:kern w:val="0"/>
                <w:sz w:val="18"/>
                <w:szCs w:val="18"/>
              </w:rPr>
              <w:t>区</w:t>
            </w:r>
          </w:p>
        </w:tc>
        <w:tc>
          <w:tcPr>
            <w:tcW w:w="844" w:type="dxa"/>
            <w:vMerge w:val="restart"/>
          </w:tcPr>
          <w:p>
            <w:pPr>
              <w:widowControl/>
              <w:tabs>
                <w:tab w:val="center" w:pos="4201"/>
                <w:tab w:val="right" w:leader="dot" w:pos="9298"/>
              </w:tabs>
              <w:autoSpaceDE w:val="0"/>
              <w:autoSpaceDN w:val="0"/>
              <w:jc w:val="center"/>
              <w:rPr>
                <w:rFonts w:ascii="宋体"/>
                <w:kern w:val="0"/>
                <w:sz w:val="18"/>
                <w:szCs w:val="18"/>
              </w:rPr>
            </w:pPr>
            <w:r>
              <w:rPr>
                <w:rFonts w:hint="eastAsia" w:ascii="宋体"/>
                <w:kern w:val="0"/>
                <w:sz w:val="18"/>
                <w:szCs w:val="18"/>
              </w:rPr>
              <w:t>2</w:t>
            </w:r>
            <w:r>
              <w:rPr>
                <w:rFonts w:ascii="宋体"/>
                <w:kern w:val="0"/>
                <w:sz w:val="18"/>
                <w:szCs w:val="18"/>
              </w:rPr>
              <w:t>2</w:t>
            </w:r>
            <w:r>
              <w:rPr>
                <w:rFonts w:hint="eastAsia" w:ascii="宋体"/>
                <w:kern w:val="0"/>
                <w:sz w:val="18"/>
                <w:szCs w:val="18"/>
              </w:rPr>
              <w:t>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97" w:type="dxa"/>
            <w:vMerge w:val="continue"/>
          </w:tcPr>
          <w:p>
            <w:pPr>
              <w:widowControl/>
              <w:tabs>
                <w:tab w:val="center" w:pos="4201"/>
                <w:tab w:val="right" w:leader="dot" w:pos="9298"/>
              </w:tabs>
              <w:autoSpaceDE w:val="0"/>
              <w:autoSpaceDN w:val="0"/>
              <w:rPr>
                <w:rFonts w:ascii="宋体"/>
                <w:kern w:val="0"/>
                <w:sz w:val="18"/>
                <w:szCs w:val="18"/>
              </w:rPr>
            </w:pPr>
          </w:p>
        </w:tc>
        <w:tc>
          <w:tcPr>
            <w:tcW w:w="966" w:type="dxa"/>
            <w:vMerge w:val="continue"/>
          </w:tcPr>
          <w:p>
            <w:pPr>
              <w:widowControl/>
              <w:tabs>
                <w:tab w:val="center" w:pos="4201"/>
                <w:tab w:val="right" w:leader="dot" w:pos="9298"/>
              </w:tabs>
              <w:autoSpaceDE w:val="0"/>
              <w:autoSpaceDN w:val="0"/>
              <w:rPr>
                <w:rFonts w:ascii="宋体"/>
                <w:kern w:val="0"/>
                <w:sz w:val="18"/>
                <w:szCs w:val="18"/>
              </w:rPr>
            </w:pPr>
          </w:p>
        </w:tc>
        <w:tc>
          <w:tcPr>
            <w:tcW w:w="851" w:type="dxa"/>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IIC</w:t>
            </w:r>
          </w:p>
        </w:tc>
        <w:tc>
          <w:tcPr>
            <w:tcW w:w="1417" w:type="dxa"/>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IIA和IIB</w:t>
            </w:r>
          </w:p>
        </w:tc>
        <w:tc>
          <w:tcPr>
            <w:tcW w:w="993" w:type="dxa"/>
            <w:vMerge w:val="continue"/>
          </w:tcPr>
          <w:p>
            <w:pPr>
              <w:widowControl/>
              <w:tabs>
                <w:tab w:val="center" w:pos="4201"/>
                <w:tab w:val="right" w:leader="dot" w:pos="9298"/>
              </w:tabs>
              <w:autoSpaceDE w:val="0"/>
              <w:autoSpaceDN w:val="0"/>
              <w:rPr>
                <w:rFonts w:ascii="宋体"/>
                <w:kern w:val="0"/>
                <w:sz w:val="18"/>
                <w:szCs w:val="18"/>
              </w:rPr>
            </w:pPr>
          </w:p>
        </w:tc>
        <w:tc>
          <w:tcPr>
            <w:tcW w:w="1134" w:type="dxa"/>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MIE≤1</w:t>
            </w:r>
            <w:r>
              <w:rPr>
                <w:rFonts w:ascii="宋体"/>
                <w:kern w:val="0"/>
                <w:sz w:val="18"/>
                <w:szCs w:val="18"/>
              </w:rPr>
              <w:t>0 </w:t>
            </w:r>
            <w:r>
              <w:rPr>
                <w:rFonts w:hint="eastAsia" w:ascii="宋体"/>
                <w:kern w:val="0"/>
                <w:sz w:val="18"/>
                <w:szCs w:val="18"/>
              </w:rPr>
              <w:t>mJ</w:t>
            </w:r>
          </w:p>
        </w:tc>
        <w:tc>
          <w:tcPr>
            <w:tcW w:w="1134" w:type="dxa"/>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MIE＞1</w:t>
            </w:r>
            <w:r>
              <w:rPr>
                <w:rFonts w:ascii="宋体"/>
                <w:kern w:val="0"/>
                <w:sz w:val="18"/>
                <w:szCs w:val="18"/>
              </w:rPr>
              <w:t>0 </w:t>
            </w:r>
            <w:r>
              <w:rPr>
                <w:rFonts w:hint="eastAsia" w:ascii="宋体"/>
                <w:kern w:val="0"/>
                <w:sz w:val="18"/>
                <w:szCs w:val="18"/>
              </w:rPr>
              <w:t>mJ</w:t>
            </w:r>
          </w:p>
        </w:tc>
        <w:tc>
          <w:tcPr>
            <w:tcW w:w="708" w:type="dxa"/>
            <w:vMerge w:val="continue"/>
          </w:tcPr>
          <w:p>
            <w:pPr>
              <w:widowControl/>
              <w:tabs>
                <w:tab w:val="center" w:pos="4201"/>
                <w:tab w:val="right" w:leader="dot" w:pos="9298"/>
              </w:tabs>
              <w:autoSpaceDE w:val="0"/>
              <w:autoSpaceDN w:val="0"/>
              <w:rPr>
                <w:rFonts w:ascii="宋体"/>
                <w:kern w:val="0"/>
                <w:sz w:val="18"/>
                <w:szCs w:val="18"/>
              </w:rPr>
            </w:pPr>
          </w:p>
        </w:tc>
        <w:tc>
          <w:tcPr>
            <w:tcW w:w="844" w:type="dxa"/>
            <w:vMerge w:val="continue"/>
          </w:tcPr>
          <w:p>
            <w:pPr>
              <w:widowControl/>
              <w:tabs>
                <w:tab w:val="center" w:pos="4201"/>
                <w:tab w:val="right" w:leader="dot" w:pos="9298"/>
              </w:tabs>
              <w:autoSpaceDE w:val="0"/>
              <w:autoSpaceDN w:val="0"/>
              <w:rPr>
                <w:rFonts w:ascii="宋体"/>
                <w:kern w:val="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97" w:type="dxa"/>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≤0</w:t>
            </w:r>
            <w:r>
              <w:rPr>
                <w:rFonts w:ascii="宋体"/>
                <w:kern w:val="0"/>
                <w:sz w:val="18"/>
                <w:szCs w:val="18"/>
              </w:rPr>
              <w:t>.5</w:t>
            </w:r>
            <w:r>
              <w:rPr>
                <w:rFonts w:hint="eastAsia" w:ascii="宋体"/>
                <w:kern w:val="0"/>
                <w:sz w:val="18"/>
                <w:szCs w:val="18"/>
              </w:rPr>
              <w:t>m</w:t>
            </w:r>
            <w:r>
              <w:rPr>
                <w:rFonts w:ascii="宋体"/>
                <w:kern w:val="0"/>
                <w:sz w:val="18"/>
                <w:szCs w:val="18"/>
              </w:rPr>
              <w:t>/s</w:t>
            </w:r>
          </w:p>
        </w:tc>
        <w:tc>
          <w:tcPr>
            <w:tcW w:w="1817" w:type="dxa"/>
            <w:gridSpan w:val="2"/>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使用耗散性动带及导电性滑轮，不得使用传送带连接装置</w:t>
            </w:r>
          </w:p>
        </w:tc>
        <w:tc>
          <w:tcPr>
            <w:tcW w:w="1417" w:type="dxa"/>
            <w:vMerge w:val="restart"/>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使用耗散性传送带及导电性滑轮，可使用传送带连接装置</w:t>
            </w:r>
          </w:p>
        </w:tc>
        <w:tc>
          <w:tcPr>
            <w:tcW w:w="993" w:type="dxa"/>
            <w:vMerge w:val="restart"/>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除经验表明引燃放电情况频繁发生，无要求</w:t>
            </w:r>
          </w:p>
        </w:tc>
        <w:tc>
          <w:tcPr>
            <w:tcW w:w="2976" w:type="dxa"/>
            <w:gridSpan w:val="3"/>
            <w:vMerge w:val="restart"/>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使用耗散性传动带及导电性滑轮，可使用传送带连接装置</w:t>
            </w:r>
          </w:p>
        </w:tc>
        <w:tc>
          <w:tcPr>
            <w:tcW w:w="844" w:type="dxa"/>
            <w:vMerge w:val="restart"/>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除经验表明引燃放电情况频繁发生，无要求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 w:hRule="atLeast"/>
        </w:trPr>
        <w:tc>
          <w:tcPr>
            <w:tcW w:w="1297" w:type="dxa"/>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0</w:t>
            </w:r>
            <w:r>
              <w:rPr>
                <w:rFonts w:ascii="宋体"/>
                <w:kern w:val="0"/>
                <w:sz w:val="18"/>
                <w:szCs w:val="18"/>
              </w:rPr>
              <w:t>.5 </w:t>
            </w:r>
            <w:r>
              <w:rPr>
                <w:rFonts w:hint="eastAsia" w:ascii="宋体"/>
                <w:kern w:val="0"/>
                <w:sz w:val="18"/>
                <w:szCs w:val="18"/>
              </w:rPr>
              <w:t>m</w:t>
            </w:r>
            <w:r>
              <w:rPr>
                <w:rFonts w:ascii="宋体"/>
                <w:kern w:val="0"/>
                <w:sz w:val="18"/>
                <w:szCs w:val="18"/>
              </w:rPr>
              <w:t>/s~5 m</w:t>
            </w:r>
            <w:r>
              <w:rPr>
                <w:rFonts w:hint="eastAsia" w:ascii="宋体"/>
                <w:kern w:val="0"/>
                <w:sz w:val="18"/>
                <w:szCs w:val="18"/>
              </w:rPr>
              <w:t>/</w:t>
            </w:r>
            <w:r>
              <w:rPr>
                <w:rFonts w:ascii="宋体"/>
                <w:kern w:val="0"/>
                <w:sz w:val="18"/>
                <w:szCs w:val="18"/>
              </w:rPr>
              <w:t>s</w:t>
            </w:r>
          </w:p>
        </w:tc>
        <w:tc>
          <w:tcPr>
            <w:tcW w:w="1817" w:type="dxa"/>
            <w:gridSpan w:val="2"/>
            <w:vMerge w:val="restart"/>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不允许</w:t>
            </w:r>
          </w:p>
        </w:tc>
        <w:tc>
          <w:tcPr>
            <w:tcW w:w="1417" w:type="dxa"/>
            <w:vMerge w:val="continue"/>
          </w:tcPr>
          <w:p>
            <w:pPr>
              <w:widowControl/>
              <w:tabs>
                <w:tab w:val="center" w:pos="4201"/>
                <w:tab w:val="right" w:leader="dot" w:pos="9298"/>
              </w:tabs>
              <w:autoSpaceDE w:val="0"/>
              <w:autoSpaceDN w:val="0"/>
              <w:rPr>
                <w:rFonts w:ascii="宋体"/>
                <w:kern w:val="0"/>
                <w:sz w:val="18"/>
                <w:szCs w:val="18"/>
              </w:rPr>
            </w:pPr>
          </w:p>
        </w:tc>
        <w:tc>
          <w:tcPr>
            <w:tcW w:w="993" w:type="dxa"/>
            <w:vMerge w:val="continue"/>
          </w:tcPr>
          <w:p>
            <w:pPr>
              <w:widowControl/>
              <w:tabs>
                <w:tab w:val="center" w:pos="4201"/>
                <w:tab w:val="right" w:leader="dot" w:pos="9298"/>
              </w:tabs>
              <w:autoSpaceDE w:val="0"/>
              <w:autoSpaceDN w:val="0"/>
              <w:rPr>
                <w:rFonts w:ascii="宋体"/>
                <w:kern w:val="0"/>
                <w:sz w:val="18"/>
                <w:szCs w:val="18"/>
              </w:rPr>
            </w:pPr>
          </w:p>
        </w:tc>
        <w:tc>
          <w:tcPr>
            <w:tcW w:w="2976" w:type="dxa"/>
            <w:gridSpan w:val="3"/>
            <w:vMerge w:val="continue"/>
          </w:tcPr>
          <w:p>
            <w:pPr>
              <w:widowControl/>
              <w:tabs>
                <w:tab w:val="center" w:pos="4201"/>
                <w:tab w:val="right" w:leader="dot" w:pos="9298"/>
              </w:tabs>
              <w:autoSpaceDE w:val="0"/>
              <w:autoSpaceDN w:val="0"/>
              <w:rPr>
                <w:rFonts w:ascii="宋体"/>
                <w:kern w:val="0"/>
                <w:sz w:val="18"/>
                <w:szCs w:val="18"/>
              </w:rPr>
            </w:pPr>
          </w:p>
        </w:tc>
        <w:tc>
          <w:tcPr>
            <w:tcW w:w="844" w:type="dxa"/>
            <w:vMerge w:val="continue"/>
          </w:tcPr>
          <w:p>
            <w:pPr>
              <w:widowControl/>
              <w:tabs>
                <w:tab w:val="center" w:pos="4201"/>
                <w:tab w:val="right" w:leader="dot" w:pos="9298"/>
              </w:tabs>
              <w:autoSpaceDE w:val="0"/>
              <w:autoSpaceDN w:val="0"/>
              <w:rPr>
                <w:rFonts w:ascii="宋体"/>
                <w:kern w:val="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97" w:type="dxa"/>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5</w:t>
            </w:r>
            <w:r>
              <w:rPr>
                <w:rFonts w:ascii="宋体"/>
                <w:kern w:val="0"/>
                <w:sz w:val="18"/>
                <w:szCs w:val="18"/>
              </w:rPr>
              <w:t> m/s~30 m/s</w:t>
            </w:r>
          </w:p>
        </w:tc>
        <w:tc>
          <w:tcPr>
            <w:tcW w:w="1817" w:type="dxa"/>
            <w:gridSpan w:val="2"/>
            <w:vMerge w:val="continue"/>
          </w:tcPr>
          <w:p>
            <w:pPr>
              <w:widowControl/>
              <w:tabs>
                <w:tab w:val="center" w:pos="4201"/>
                <w:tab w:val="right" w:leader="dot" w:pos="9298"/>
              </w:tabs>
              <w:autoSpaceDE w:val="0"/>
              <w:autoSpaceDN w:val="0"/>
              <w:rPr>
                <w:rFonts w:ascii="宋体"/>
                <w:kern w:val="0"/>
                <w:sz w:val="18"/>
                <w:szCs w:val="18"/>
              </w:rPr>
            </w:pPr>
          </w:p>
        </w:tc>
        <w:tc>
          <w:tcPr>
            <w:tcW w:w="1417" w:type="dxa"/>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耗散性传送带及导电性滑轮，不得使用传送带连接装置</w:t>
            </w:r>
          </w:p>
        </w:tc>
        <w:tc>
          <w:tcPr>
            <w:tcW w:w="993" w:type="dxa"/>
            <w:vMerge w:val="continue"/>
          </w:tcPr>
          <w:p>
            <w:pPr>
              <w:widowControl/>
              <w:tabs>
                <w:tab w:val="center" w:pos="4201"/>
                <w:tab w:val="right" w:leader="dot" w:pos="9298"/>
              </w:tabs>
              <w:autoSpaceDE w:val="0"/>
              <w:autoSpaceDN w:val="0"/>
              <w:rPr>
                <w:rFonts w:ascii="宋体"/>
                <w:kern w:val="0"/>
                <w:sz w:val="18"/>
                <w:szCs w:val="18"/>
              </w:rPr>
            </w:pPr>
          </w:p>
        </w:tc>
        <w:tc>
          <w:tcPr>
            <w:tcW w:w="1134" w:type="dxa"/>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不允许</w:t>
            </w:r>
          </w:p>
        </w:tc>
        <w:tc>
          <w:tcPr>
            <w:tcW w:w="1842" w:type="dxa"/>
            <w:gridSpan w:val="2"/>
          </w:tcPr>
          <w:p>
            <w:pPr>
              <w:widowControl/>
              <w:tabs>
                <w:tab w:val="center" w:pos="4201"/>
                <w:tab w:val="right" w:leader="dot" w:pos="9298"/>
              </w:tabs>
              <w:autoSpaceDE w:val="0"/>
              <w:autoSpaceDN w:val="0"/>
              <w:rPr>
                <w:rFonts w:ascii="宋体"/>
                <w:kern w:val="0"/>
                <w:sz w:val="18"/>
                <w:szCs w:val="18"/>
              </w:rPr>
            </w:pPr>
            <w:r>
              <w:rPr>
                <w:rFonts w:hint="eastAsia" w:ascii="宋体"/>
                <w:kern w:val="0"/>
                <w:sz w:val="18"/>
                <w:szCs w:val="18"/>
              </w:rPr>
              <w:t>使用耗散性传送带及导电性滑轮，不得使用传送带连接装置</w:t>
            </w:r>
          </w:p>
        </w:tc>
        <w:tc>
          <w:tcPr>
            <w:tcW w:w="844" w:type="dxa"/>
            <w:vMerge w:val="continue"/>
          </w:tcPr>
          <w:p>
            <w:pPr>
              <w:widowControl/>
              <w:tabs>
                <w:tab w:val="center" w:pos="4201"/>
                <w:tab w:val="right" w:leader="dot" w:pos="9298"/>
              </w:tabs>
              <w:autoSpaceDE w:val="0"/>
              <w:autoSpaceDN w:val="0"/>
              <w:rPr>
                <w:rFonts w:ascii="宋体"/>
                <w:kern w:val="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44" w:type="dxa"/>
            <w:gridSpan w:val="9"/>
          </w:tcPr>
          <w:p>
            <w:pPr>
              <w:pStyle w:val="55"/>
              <w:numPr>
                <w:ilvl w:val="0"/>
                <w:numId w:val="19"/>
              </w:numPr>
            </w:pPr>
            <w:r>
              <w:rPr>
                <w:rFonts w:hint="eastAsia"/>
              </w:rPr>
              <w:t>暂无速度＞3</w:t>
            </w:r>
            <w:r>
              <w:t>0 </w:t>
            </w:r>
            <w:r>
              <w:rPr>
                <w:rFonts w:hint="eastAsia"/>
              </w:rPr>
              <w:t>m</w:t>
            </w:r>
            <w:r>
              <w:t>/s</w:t>
            </w:r>
            <w:r>
              <w:rPr>
                <w:rFonts w:hint="eastAsia"/>
              </w:rPr>
              <w:t>的传动带的相关信息。</w:t>
            </w:r>
          </w:p>
          <w:p>
            <w:pPr>
              <w:pStyle w:val="55"/>
            </w:pPr>
            <w:r>
              <w:t>对通过电晕</w:t>
            </w:r>
            <w:r>
              <w:rPr>
                <w:rFonts w:hint="eastAsia"/>
              </w:rPr>
              <w:t>放电方式</w:t>
            </w:r>
            <w:r>
              <w:t>耗散电荷</w:t>
            </w:r>
            <w:r>
              <w:rPr>
                <w:rFonts w:hint="eastAsia"/>
              </w:rPr>
              <w:t>的传动带，本表格不适用，应由专家测试，如测量其在最易起电条件下的起电能力。</w:t>
            </w:r>
          </w:p>
        </w:tc>
      </w:tr>
    </w:tbl>
    <w:p>
      <w:pPr>
        <w:pStyle w:val="122"/>
      </w:pPr>
      <w:r>
        <w:rPr>
          <w:rFonts w:hint="eastAsia"/>
        </w:rPr>
        <w:t>耗散性传动带应符合如下要求之一：</w:t>
      </w:r>
    </w:p>
    <w:p>
      <w:pPr>
        <w:pStyle w:val="56"/>
        <w:numPr>
          <w:ilvl w:val="0"/>
          <w:numId w:val="20"/>
        </w:numPr>
      </w:pPr>
      <w:r>
        <w:rPr>
          <w:rFonts w:hint="eastAsia"/>
        </w:rPr>
        <w:t>满足式2要求</w:t>
      </w:r>
    </w:p>
    <w:p>
      <w:pPr>
        <w:pStyle w:val="124"/>
        <w:tabs>
          <w:tab w:val="right" w:leader="dot" w:pos="9072"/>
          <w:tab w:val="clear" w:pos="9298"/>
        </w:tabs>
        <w:ind w:firstLine="2940" w:firstLineChars="1400"/>
      </w:pPr>
      <w:r>
        <w:rPr>
          <w:rFonts w:hint="eastAsia"/>
        </w:rPr>
        <w:t>R×B</w:t>
      </w:r>
      <w:r>
        <w:t>/L</w:t>
      </w:r>
      <w:r>
        <w:rPr>
          <w:rFonts w:hint="eastAsia"/>
        </w:rPr>
        <w:t>≤</w:t>
      </w:r>
      <w:r>
        <w:t>600 </w:t>
      </w:r>
      <w:r>
        <w:rPr>
          <w:rFonts w:hint="eastAsia"/>
        </w:rPr>
        <w:t>kΩ</w:t>
      </w:r>
      <w:r>
        <w:tab/>
      </w:r>
      <w:r>
        <w:t>(</w:t>
      </w:r>
      <w:r>
        <w:fldChar w:fldCharType="begin"/>
      </w:r>
      <w:r>
        <w:instrText xml:space="preserve"> SEQ 标准自动公式 \* ARABIC </w:instrText>
      </w:r>
      <w:r>
        <w:fldChar w:fldCharType="separate"/>
      </w:r>
      <w:r>
        <w:t>2</w:t>
      </w:r>
      <w:r>
        <w:fldChar w:fldCharType="end"/>
      </w:r>
      <w:r>
        <w:t>)</w:t>
      </w:r>
    </w:p>
    <w:p>
      <w:pPr>
        <w:pStyle w:val="22"/>
      </w:pPr>
      <w:r>
        <w:rPr>
          <w:rFonts w:hint="eastAsia"/>
        </w:rPr>
        <w:t>式中：</w:t>
      </w:r>
    </w:p>
    <w:p>
      <w:pPr>
        <w:pStyle w:val="22"/>
      </w:pPr>
      <w:r>
        <w:rPr>
          <w:rFonts w:hint="eastAsia"/>
        </w:rPr>
        <w:t>L——传动带上两个导电性电极间的距离；</w:t>
      </w:r>
    </w:p>
    <w:p>
      <w:pPr>
        <w:pStyle w:val="22"/>
      </w:pPr>
      <w:r>
        <w:rPr>
          <w:rFonts w:hint="eastAsia"/>
        </w:rPr>
        <w:t>B——平带的宽度或V型带侧面宽度的两倍；</w:t>
      </w:r>
    </w:p>
    <w:p>
      <w:pPr>
        <w:pStyle w:val="22"/>
      </w:pPr>
      <w:r>
        <w:rPr>
          <w:rFonts w:hint="eastAsia"/>
        </w:rPr>
        <w:t>R——温度（2</w:t>
      </w:r>
      <w:r>
        <w:t>3</w:t>
      </w:r>
      <w:r>
        <w:rPr>
          <w:rFonts w:hint="eastAsia"/>
        </w:rPr>
        <w:t>±</w:t>
      </w:r>
      <w:r>
        <w:t>2</w:t>
      </w:r>
      <w:r>
        <w:rPr>
          <w:rFonts w:hint="eastAsia"/>
        </w:rPr>
        <w:t>）℃，无湿气凝聚时测得电极间电阻。</w:t>
      </w:r>
    </w:p>
    <w:p>
      <w:pPr>
        <w:pStyle w:val="56"/>
      </w:pPr>
      <w:r>
        <w:rPr>
          <w:rFonts w:hint="eastAsia"/>
        </w:rPr>
        <w:t>由多层不同材料制成的传送带，两相对外表面之间的电阻（在23℃±2℃，50</w:t>
      </w:r>
      <w:r>
        <w:t> </w:t>
      </w:r>
      <w:r>
        <w:rPr>
          <w:rFonts w:hint="eastAsia"/>
        </w:rPr>
        <w:t>%RH±5</w:t>
      </w:r>
      <w:r>
        <w:t> </w:t>
      </w:r>
      <w:r>
        <w:rPr>
          <w:rFonts w:hint="eastAsia"/>
        </w:rPr>
        <w:t>%RH条件下测量）小于1</w:t>
      </w:r>
      <w:r>
        <w:t> </w:t>
      </w:r>
      <w:r>
        <w:rPr>
          <w:rFonts w:hint="eastAsia"/>
        </w:rPr>
        <w:t>GΩ。</w:t>
      </w:r>
    </w:p>
    <w:p>
      <w:pPr>
        <w:pStyle w:val="61"/>
      </w:pPr>
      <w:r>
        <w:rPr>
          <w:rFonts w:hint="eastAsia"/>
        </w:rPr>
        <w:t>传动带上覆盖的蜡层或污物可能增大其荷电性和电阻，从而增加充电危害。应注意保证修理工作不会增加这些数值。最基本的应保证用于连接传动带的绝缘性粘合剂不会中断导电通路。</w:t>
      </w:r>
    </w:p>
    <w:p>
      <w:pPr>
        <w:pStyle w:val="42"/>
        <w:spacing w:before="312" w:after="312"/>
      </w:pPr>
      <w:bookmarkStart w:id="43" w:name="_Toc53176649"/>
      <w:bookmarkStart w:id="44" w:name="_Toc53175710"/>
      <w:r>
        <w:rPr>
          <w:rFonts w:hint="eastAsia"/>
        </w:rPr>
        <w:t>液态物料防护措施</w:t>
      </w:r>
      <w:bookmarkEnd w:id="43"/>
      <w:bookmarkEnd w:id="44"/>
    </w:p>
    <w:p>
      <w:pPr>
        <w:pStyle w:val="39"/>
        <w:spacing w:before="156" w:after="156"/>
      </w:pPr>
      <w:r>
        <w:rPr>
          <w:rFonts w:hint="eastAsia"/>
        </w:rPr>
        <w:t>灌装和采样</w:t>
      </w:r>
    </w:p>
    <w:p>
      <w:pPr>
        <w:pStyle w:val="60"/>
      </w:pPr>
      <w:r>
        <w:rPr>
          <w:rFonts w:hint="eastAsia"/>
        </w:rPr>
        <w:t>在生产工艺的操作上，应控制液体处于安全流速范围内。</w:t>
      </w:r>
    </w:p>
    <w:p>
      <w:pPr>
        <w:pStyle w:val="60"/>
      </w:pPr>
      <w:r>
        <w:rPr>
          <w:rFonts w:hint="eastAsia"/>
        </w:rPr>
        <w:t>装油鹤管、管道、罐车应跨接和接地。采用顶部装油时，装油鹤管口应深入到距槽罐的底部不大于200</w:t>
      </w:r>
      <w:r>
        <w:t> </w:t>
      </w:r>
      <w:r>
        <w:rPr>
          <w:rFonts w:hint="eastAsia"/>
        </w:rPr>
        <w:t>mm。</w:t>
      </w:r>
    </w:p>
    <w:p>
      <w:pPr>
        <w:pStyle w:val="60"/>
      </w:pPr>
      <w:r>
        <w:rPr>
          <w:rFonts w:hint="eastAsia"/>
        </w:rPr>
        <w:t>灌装铁路罐车时，液体在鹤管内的容许流速按式(</w:t>
      </w:r>
      <w:r>
        <w:t>2</w:t>
      </w:r>
      <w:r>
        <w:rPr>
          <w:rFonts w:hint="eastAsia"/>
        </w:rPr>
        <w:t>)计算：</w:t>
      </w:r>
    </w:p>
    <w:p>
      <w:pPr>
        <w:pStyle w:val="4"/>
        <w:rPr>
          <w:rFonts w:ascii="宋体" w:hAnsi="Times New Roman" w:eastAsia="宋体" w:cs="Times New Roman"/>
          <w:kern w:val="0"/>
          <w:sz w:val="21"/>
        </w:rPr>
      </w:pPr>
      <w:r>
        <w:rPr>
          <w:rFonts w:ascii="宋体" w:hAnsi="宋体" w:eastAsia="宋体"/>
          <w:sz w:val="21"/>
          <w:szCs w:val="21"/>
        </w:rPr>
        <w:tab/>
      </w:r>
      <w:r>
        <w:rPr>
          <w:rFonts w:ascii="宋体" w:hAnsi="宋体" w:eastAsia="宋体"/>
          <w:sz w:val="21"/>
          <w:szCs w:val="21"/>
        </w:rPr>
        <w:t xml:space="preserve">                                  </w:t>
      </w:r>
      <w:r>
        <w:rPr>
          <w:rFonts w:hint="eastAsia" w:ascii="宋体" w:hAnsi="宋体" w:eastAsia="宋体"/>
          <w:sz w:val="21"/>
          <w:szCs w:val="21"/>
        </w:rPr>
        <w:t>V×D≤0</w:t>
      </w:r>
      <w:r>
        <w:rPr>
          <w:rFonts w:ascii="宋体" w:hAnsi="宋体" w:eastAsia="宋体"/>
          <w:sz w:val="21"/>
          <w:szCs w:val="21"/>
        </w:rPr>
        <w:t xml:space="preserve">.8                  </w:t>
      </w:r>
      <w:r>
        <w:rPr>
          <w:rFonts w:ascii="宋体" w:hAnsi="Times New Roman" w:eastAsia="宋体" w:cs="Times New Roman"/>
          <w:kern w:val="0"/>
          <w:sz w:val="21"/>
        </w:rPr>
        <w:t xml:space="preserve">                  </w:t>
      </w:r>
      <w:r>
        <w:rPr>
          <w:rFonts w:ascii="宋体" w:hAnsi="Times New Roman" w:eastAsia="宋体" w:cs="Times New Roman"/>
          <w:kern w:val="0"/>
          <w:sz w:val="21"/>
        </w:rPr>
        <w:tab/>
      </w:r>
      <w:r>
        <w:rPr>
          <w:rFonts w:ascii="宋体" w:hAnsi="Times New Roman" w:eastAsia="宋体" w:cs="Times New Roman"/>
          <w:kern w:val="0"/>
          <w:sz w:val="21"/>
        </w:rPr>
        <w:t>(</w:t>
      </w:r>
      <w:r>
        <w:rPr>
          <w:rFonts w:ascii="宋体" w:hAnsi="Times New Roman" w:eastAsia="宋体" w:cs="Times New Roman"/>
          <w:kern w:val="0"/>
          <w:sz w:val="21"/>
        </w:rPr>
        <w:fldChar w:fldCharType="begin"/>
      </w:r>
      <w:r>
        <w:rPr>
          <w:rFonts w:ascii="宋体" w:hAnsi="Times New Roman" w:eastAsia="宋体" w:cs="Times New Roman"/>
          <w:kern w:val="0"/>
          <w:sz w:val="21"/>
        </w:rPr>
        <w:instrText xml:space="preserve"> SEQ 标准自动公式 \* ARABIC </w:instrText>
      </w:r>
      <w:r>
        <w:rPr>
          <w:rFonts w:ascii="宋体" w:hAnsi="Times New Roman" w:eastAsia="宋体" w:cs="Times New Roman"/>
          <w:kern w:val="0"/>
          <w:sz w:val="21"/>
        </w:rPr>
        <w:fldChar w:fldCharType="separate"/>
      </w:r>
      <w:r>
        <w:rPr>
          <w:rFonts w:ascii="宋体" w:hAnsi="Times New Roman" w:eastAsia="宋体" w:cs="Times New Roman"/>
          <w:kern w:val="0"/>
          <w:sz w:val="21"/>
        </w:rPr>
        <w:t>3</w:t>
      </w:r>
      <w:r>
        <w:rPr>
          <w:rFonts w:ascii="宋体" w:hAnsi="Times New Roman" w:eastAsia="宋体" w:cs="Times New Roman"/>
          <w:kern w:val="0"/>
          <w:sz w:val="21"/>
        </w:rPr>
        <w:fldChar w:fldCharType="end"/>
      </w:r>
      <w:r>
        <w:rPr>
          <w:rFonts w:ascii="宋体" w:hAnsi="Times New Roman" w:eastAsia="宋体" w:cs="Times New Roman"/>
          <w:kern w:val="0"/>
          <w:sz w:val="21"/>
        </w:rPr>
        <w:t>)</w:t>
      </w:r>
    </w:p>
    <w:p>
      <w:pPr>
        <w:pStyle w:val="22"/>
        <w:rPr>
          <w:rFonts w:asciiTheme="minorEastAsia" w:hAnsiTheme="minorEastAsia" w:eastAsiaTheme="minorEastAsia"/>
        </w:rPr>
      </w:pPr>
      <w:r>
        <w:rPr>
          <w:rFonts w:hint="eastAsia" w:asciiTheme="minorEastAsia" w:hAnsiTheme="minorEastAsia" w:eastAsiaTheme="minorEastAsia"/>
        </w:rPr>
        <w:t>式中：</w:t>
      </w:r>
    </w:p>
    <w:p>
      <w:pPr>
        <w:pStyle w:val="22"/>
        <w:rPr>
          <w:rFonts w:hAnsi="宋体"/>
        </w:rPr>
      </w:pPr>
      <w:r>
        <w:rPr>
          <w:rFonts w:hint="eastAsia" w:hAnsi="宋体"/>
        </w:rPr>
        <w:t>V——烃类液体流速的数值，单位为米每秒（m</w:t>
      </w:r>
      <w:r>
        <w:rPr>
          <w:rFonts w:hAnsi="宋体"/>
        </w:rPr>
        <w:t>/s</w:t>
      </w:r>
      <w:r>
        <w:rPr>
          <w:rFonts w:hint="eastAsia" w:hAnsi="宋体"/>
        </w:rPr>
        <w:t>）；</w:t>
      </w:r>
    </w:p>
    <w:p>
      <w:pPr>
        <w:pStyle w:val="22"/>
        <w:rPr>
          <w:rFonts w:hAnsi="宋体"/>
        </w:rPr>
      </w:pPr>
      <w:r>
        <w:rPr>
          <w:rFonts w:hAnsi="宋体"/>
        </w:rPr>
        <w:t>D</w:t>
      </w:r>
      <w:r>
        <w:rPr>
          <w:rFonts w:hint="eastAsia" w:hAnsi="宋体"/>
        </w:rPr>
        <w:t>——鹤管内径的数值，单位为米（m）。</w:t>
      </w:r>
    </w:p>
    <w:p>
      <w:pPr>
        <w:pStyle w:val="22"/>
        <w:rPr>
          <w:rFonts w:hAnsi="宋体"/>
        </w:rPr>
      </w:pPr>
      <w:r>
        <w:rPr>
          <w:rFonts w:hint="eastAsia" w:hAnsi="宋体"/>
        </w:rPr>
        <w:t>如使用大鹤管装车时，出口流速可超过按式（1）所得的计算值，但不得大于5</w:t>
      </w:r>
      <w:r>
        <w:rPr>
          <w:rFonts w:hAnsi="宋体"/>
        </w:rPr>
        <w:t> </w:t>
      </w:r>
      <w:r>
        <w:rPr>
          <w:rFonts w:hint="eastAsia" w:ascii="MS Mincho" w:hAnsi="MS Mincho" w:eastAsia="MS Mincho" w:cs="MS Mincho"/>
        </w:rPr>
        <w:t> </w:t>
      </w:r>
      <w:r>
        <w:rPr>
          <w:rFonts w:hint="eastAsia" w:hAnsi="宋体"/>
        </w:rPr>
        <w:t>m</w:t>
      </w:r>
      <w:r>
        <w:rPr>
          <w:rFonts w:hAnsi="宋体"/>
        </w:rPr>
        <w:t>/s</w:t>
      </w:r>
      <w:r>
        <w:rPr>
          <w:rFonts w:hint="eastAsia" w:hAnsi="宋体"/>
        </w:rPr>
        <w:t>。</w:t>
      </w:r>
    </w:p>
    <w:p>
      <w:pPr>
        <w:pStyle w:val="60"/>
      </w:pPr>
      <w:r>
        <w:rPr>
          <w:rFonts w:hint="eastAsia"/>
        </w:rPr>
        <w:t>灌装汽车罐车时，液体在鹤管内的容许流速按式（</w:t>
      </w:r>
      <w:r>
        <w:t>3</w:t>
      </w:r>
      <w:r>
        <w:rPr>
          <w:rFonts w:hint="eastAsia"/>
        </w:rPr>
        <w:t>）计算：</w:t>
      </w:r>
    </w:p>
    <w:p>
      <w:pPr>
        <w:pStyle w:val="4"/>
        <w:ind w:firstLine="3800" w:firstLineChars="1900"/>
        <w:rPr>
          <w:rFonts w:ascii="宋体" w:hAnsi="Times New Roman" w:eastAsia="宋体" w:cs="Times New Roman"/>
          <w:kern w:val="0"/>
          <w:sz w:val="21"/>
        </w:rPr>
      </w:pPr>
      <w:r>
        <w:rPr>
          <w:rFonts w:hint="eastAsia" w:ascii="宋体" w:hAnsi="宋体" w:eastAsia="宋体"/>
        </w:rPr>
        <w:t>V×D≤</w:t>
      </w:r>
      <w:r>
        <w:rPr>
          <w:rFonts w:ascii="宋体" w:hAnsi="宋体" w:eastAsia="宋体"/>
        </w:rPr>
        <w:t>0.5</w:t>
      </w:r>
      <w:r>
        <w:rPr>
          <w:rFonts w:hAnsi="宋体"/>
        </w:rPr>
        <w:t xml:space="preserve">                                     </w:t>
      </w:r>
      <w:r>
        <w:rPr>
          <w:rFonts w:ascii="宋体" w:hAnsi="Times New Roman" w:eastAsia="宋体" w:cs="Times New Roman"/>
          <w:kern w:val="0"/>
          <w:sz w:val="21"/>
        </w:rPr>
        <w:tab/>
      </w:r>
      <w:r>
        <w:rPr>
          <w:rFonts w:ascii="宋体" w:hAnsi="Times New Roman" w:eastAsia="宋体" w:cs="Times New Roman"/>
          <w:kern w:val="0"/>
          <w:sz w:val="21"/>
        </w:rPr>
        <w:t>(</w:t>
      </w:r>
      <w:r>
        <w:rPr>
          <w:rFonts w:ascii="宋体" w:hAnsi="Times New Roman" w:eastAsia="宋体" w:cs="Times New Roman"/>
          <w:kern w:val="0"/>
          <w:sz w:val="21"/>
        </w:rPr>
        <w:fldChar w:fldCharType="begin"/>
      </w:r>
      <w:r>
        <w:rPr>
          <w:rFonts w:ascii="宋体" w:hAnsi="Times New Roman" w:eastAsia="宋体" w:cs="Times New Roman"/>
          <w:kern w:val="0"/>
          <w:sz w:val="21"/>
        </w:rPr>
        <w:instrText xml:space="preserve"> SEQ 标准自动公式 \* ARABIC </w:instrText>
      </w:r>
      <w:r>
        <w:rPr>
          <w:rFonts w:ascii="宋体" w:hAnsi="Times New Roman" w:eastAsia="宋体" w:cs="Times New Roman"/>
          <w:kern w:val="0"/>
          <w:sz w:val="21"/>
        </w:rPr>
        <w:fldChar w:fldCharType="separate"/>
      </w:r>
      <w:r>
        <w:rPr>
          <w:rFonts w:ascii="宋体" w:hAnsi="Times New Roman" w:eastAsia="宋体" w:cs="Times New Roman"/>
          <w:kern w:val="0"/>
          <w:sz w:val="21"/>
        </w:rPr>
        <w:t>4</w:t>
      </w:r>
      <w:r>
        <w:rPr>
          <w:rFonts w:ascii="宋体" w:hAnsi="Times New Roman" w:eastAsia="宋体" w:cs="Times New Roman"/>
          <w:kern w:val="0"/>
          <w:sz w:val="21"/>
        </w:rPr>
        <w:fldChar w:fldCharType="end"/>
      </w:r>
      <w:r>
        <w:rPr>
          <w:rFonts w:ascii="宋体" w:hAnsi="Times New Roman" w:eastAsia="宋体" w:cs="Times New Roman"/>
          <w:kern w:val="0"/>
          <w:sz w:val="21"/>
        </w:rPr>
        <w:t>)</w:t>
      </w:r>
    </w:p>
    <w:p>
      <w:pPr>
        <w:pStyle w:val="22"/>
        <w:rPr>
          <w:rFonts w:asciiTheme="majorEastAsia" w:hAnsiTheme="majorEastAsia" w:eastAsiaTheme="majorEastAsia"/>
        </w:rPr>
      </w:pPr>
      <w:r>
        <w:rPr>
          <w:rFonts w:hint="eastAsia"/>
        </w:rPr>
        <w:t>式中：</w:t>
      </w:r>
    </w:p>
    <w:p>
      <w:pPr>
        <w:pStyle w:val="22"/>
        <w:rPr>
          <w:rFonts w:asciiTheme="majorEastAsia" w:hAnsiTheme="majorEastAsia" w:eastAsiaTheme="majorEastAsia"/>
        </w:rPr>
      </w:pPr>
      <w:r>
        <w:rPr>
          <w:rFonts w:hint="eastAsia" w:asciiTheme="majorEastAsia" w:hAnsiTheme="majorEastAsia" w:eastAsiaTheme="majorEastAsia"/>
        </w:rPr>
        <w:t>V——烃类液体流速的数值，单位为米每秒（m/s）；</w:t>
      </w:r>
    </w:p>
    <w:p>
      <w:pPr>
        <w:pStyle w:val="22"/>
        <w:rPr>
          <w:rFonts w:asciiTheme="majorEastAsia" w:hAnsiTheme="majorEastAsia" w:eastAsiaTheme="majorEastAsia"/>
        </w:rPr>
      </w:pPr>
      <w:r>
        <w:rPr>
          <w:rFonts w:hint="eastAsia" w:asciiTheme="majorEastAsia" w:hAnsiTheme="majorEastAsia" w:eastAsiaTheme="majorEastAsia"/>
        </w:rPr>
        <w:t>D——鹤管内径的数值，单位为米（m）。</w:t>
      </w:r>
    </w:p>
    <w:p>
      <w:pPr>
        <w:pStyle w:val="60"/>
      </w:pPr>
      <w:r>
        <w:rPr>
          <w:rFonts w:hint="eastAsia"/>
        </w:rPr>
        <w:t>烃类液体中应避免混入其他不相容的第二物相杂质，如水等。并应尽量减少和排除槽底和管道中的积水。当管道内明显存在不相容的第二物相时，其流速应限制在 1</w:t>
      </w:r>
      <w:r>
        <w:t> </w:t>
      </w:r>
      <w:r>
        <w:rPr>
          <w:rFonts w:hint="eastAsia"/>
        </w:rPr>
        <w:t>m/s 以内。</w:t>
      </w:r>
    </w:p>
    <w:p>
      <w:pPr>
        <w:pStyle w:val="60"/>
      </w:pPr>
      <w:r>
        <w:rPr>
          <w:rFonts w:hint="eastAsia"/>
        </w:rPr>
        <w:t>当液体带电很高时，例如在精细过滤器的出口，可先通过缓和器后再输出进行灌装。带电液体 在缓和器内停留时间，按缓和时间的</w:t>
      </w:r>
      <w:r>
        <w:t>3</w:t>
      </w:r>
      <w:r>
        <w:rPr>
          <w:rFonts w:hint="eastAsia"/>
        </w:rPr>
        <w:t>倍来设计，缓和时间按式（4）规定的方法计算。对于电导率大于5</w:t>
      </w:r>
      <w:r>
        <w:t>0 pS/m</w:t>
      </w:r>
      <w:r>
        <w:rPr>
          <w:rFonts w:hint="eastAsia"/>
        </w:rPr>
        <w:t>的液体，可不受缓和时间的限制。</w:t>
      </w:r>
    </w:p>
    <w:p>
      <w:pPr>
        <w:pStyle w:val="124"/>
      </w:pPr>
      <w:r>
        <w:tab/>
      </w:r>
      <w:r>
        <w:rPr>
          <w:rFonts w:hint="eastAsia"/>
        </w:rPr>
        <w:t xml:space="preserve"> </w:t>
      </w:r>
      <w:r>
        <w:t xml:space="preserve">                                     T=(ε</w:t>
      </w:r>
      <w:r>
        <w:rPr>
          <w:vertAlign w:val="subscript"/>
        </w:rPr>
        <w:t>r</w:t>
      </w:r>
      <w:r>
        <w:rPr>
          <w:rFonts w:hint="eastAsia"/>
        </w:rPr>
        <w:t>×</w:t>
      </w:r>
      <w:r>
        <w:t>ε</w:t>
      </w:r>
      <w:r>
        <w:rPr>
          <w:vertAlign w:val="subscript"/>
        </w:rPr>
        <w:t>0</w:t>
      </w:r>
      <w:r>
        <w:rPr>
          <w:rFonts w:hint="eastAsia"/>
        </w:rPr>
        <w:t>)/</w:t>
      </w:r>
      <w:r>
        <w:t>σ                                  (</w:t>
      </w:r>
      <w:r>
        <w:fldChar w:fldCharType="begin"/>
      </w:r>
      <w:r>
        <w:instrText xml:space="preserve"> SEQ 标准自动公式 \* ARABIC </w:instrText>
      </w:r>
      <w:r>
        <w:fldChar w:fldCharType="separate"/>
      </w:r>
      <w:r>
        <w:t>5</w:t>
      </w:r>
      <w:r>
        <w:fldChar w:fldCharType="end"/>
      </w:r>
      <w:r>
        <w:t>)</w:t>
      </w:r>
    </w:p>
    <w:p>
      <w:pPr>
        <w:pStyle w:val="122"/>
        <w:numPr>
          <w:ilvl w:val="0"/>
          <w:numId w:val="0"/>
        </w:numPr>
        <w:ind w:firstLine="420"/>
      </w:pPr>
      <w:r>
        <w:rPr>
          <w:rFonts w:hint="eastAsia"/>
        </w:rPr>
        <w:t>式中：</w:t>
      </w:r>
    </w:p>
    <w:p>
      <w:pPr>
        <w:pStyle w:val="22"/>
      </w:pPr>
      <w:r>
        <w:rPr>
          <w:rFonts w:hint="eastAsia"/>
        </w:rPr>
        <w:t>T——缓和时间，单位为秒（s）；</w:t>
      </w:r>
    </w:p>
    <w:p>
      <w:pPr>
        <w:pStyle w:val="22"/>
      </w:pPr>
      <w:r>
        <w:rPr>
          <w:rFonts w:hint="eastAsia"/>
        </w:rPr>
        <w:t>ε</w:t>
      </w:r>
      <w:r>
        <w:rPr>
          <w:vertAlign w:val="subscript"/>
        </w:rPr>
        <w:t>r</w:t>
      </w:r>
      <w:r>
        <w:rPr>
          <w:rFonts w:hint="eastAsia"/>
        </w:rPr>
        <w:t>——液体相对介电常数；</w:t>
      </w:r>
    </w:p>
    <w:p>
      <w:pPr>
        <w:pStyle w:val="22"/>
      </w:pPr>
      <w:r>
        <w:rPr>
          <w:rFonts w:hint="eastAsia"/>
        </w:rPr>
        <w:t>ε</w:t>
      </w:r>
      <w:r>
        <w:rPr>
          <w:vertAlign w:val="subscript"/>
        </w:rPr>
        <w:t>0</w:t>
      </w:r>
      <w:r>
        <w:rPr>
          <w:rFonts w:hint="eastAsia"/>
        </w:rPr>
        <w:t>——真空介电常数，单位为皮法每米（p</w:t>
      </w:r>
      <w:r>
        <w:t>F</w:t>
      </w:r>
      <w:r>
        <w:rPr>
          <w:rFonts w:hint="eastAsia"/>
        </w:rPr>
        <w:t>/</w:t>
      </w:r>
      <w:r>
        <w:t>m</w:t>
      </w:r>
      <w:r>
        <w:rPr>
          <w:rFonts w:hint="eastAsia"/>
        </w:rPr>
        <w:t>）；</w:t>
      </w:r>
    </w:p>
    <w:p>
      <w:pPr>
        <w:pStyle w:val="22"/>
      </w:pPr>
      <w:r>
        <w:rPr>
          <w:rFonts w:hint="eastAsia"/>
        </w:rPr>
        <w:t>σ——液体的电导率，单位为皮西门子每米（pS</w:t>
      </w:r>
      <w:r>
        <w:t>/m</w:t>
      </w:r>
      <w:r>
        <w:rPr>
          <w:rFonts w:hint="eastAsia"/>
        </w:rPr>
        <w:t>），测试应依据GB</w:t>
      </w:r>
      <w:r>
        <w:t xml:space="preserve"> 6950</w:t>
      </w:r>
      <w:r>
        <w:rPr>
          <w:rFonts w:hint="eastAsia"/>
        </w:rPr>
        <w:t>规定的方法进行。</w:t>
      </w:r>
    </w:p>
    <w:p>
      <w:pPr>
        <w:pStyle w:val="60"/>
      </w:pPr>
      <w:r>
        <w:rPr>
          <w:rFonts w:hint="eastAsia"/>
        </w:rPr>
        <w:t>在输送和灌装过程中，应防止液体的飞散喷溅，从底部或上部入罐的注油管末端应设计成不易 使液体飞散的倒T形等形状或另加导流板；或在上部灌装时，使液体沿侧壁缓慢下流。</w:t>
      </w:r>
    </w:p>
    <w:p>
      <w:pPr>
        <w:pStyle w:val="60"/>
      </w:pPr>
      <w:r>
        <w:rPr>
          <w:rFonts w:hint="eastAsia"/>
        </w:rPr>
        <w:t>对罐车等大型容器灌装类烃液体时，应首选底部进油方式。若不得已采用顶部进油时，注油管应伸入罐内距罐底不大于200</w:t>
      </w:r>
      <w:r>
        <w:t> </w:t>
      </w:r>
      <w:r>
        <w:rPr>
          <w:rFonts w:hint="eastAsia"/>
        </w:rPr>
        <w:t>mm。顶部进油过程中，在注油管未浸入液面前，其流速应限制在1</w:t>
      </w:r>
      <w:r>
        <w:t> </w:t>
      </w:r>
      <w:r>
        <w:rPr>
          <w:rFonts w:hint="eastAsia"/>
        </w:rPr>
        <w:t>m/s 以内，当注入口浸没200</w:t>
      </w:r>
      <w:r>
        <w:t> </w:t>
      </w:r>
      <w:r>
        <w:rPr>
          <w:rFonts w:hint="eastAsia"/>
        </w:rPr>
        <w:t>mm后，可逐步提高流速，但最大流速不应大于7</w:t>
      </w:r>
      <w:r>
        <w:t> </w:t>
      </w:r>
      <w:r>
        <w:rPr>
          <w:rFonts w:hint="eastAsia"/>
        </w:rPr>
        <w:t>m/s。如采用其他有效防静电措施（如防静电添加剂、静电消除器等），可不受上述限制。</w:t>
      </w:r>
    </w:p>
    <w:p>
      <w:pPr>
        <w:pStyle w:val="60"/>
      </w:pPr>
      <w:r>
        <w:rPr>
          <w:rFonts w:hint="eastAsia"/>
        </w:rPr>
        <w:t>油罐汽车在装卸过程中应采用专用的接地导线（可卷式）、夹子和接地端子将罐车与装卸设备相互联接起来。接地线的联接应在油罐开盖以前进行；接地线的拆除应在装卸完毕，封闭罐盖以后进行。有条件时可尽量采用接地设备与启动装卸用泵相互间能联锁的装置。</w:t>
      </w:r>
    </w:p>
    <w:p>
      <w:pPr>
        <w:pStyle w:val="60"/>
      </w:pPr>
      <w:r>
        <w:rPr>
          <w:rFonts w:hint="eastAsia"/>
        </w:rPr>
        <w:t>不应使用无挡板汽车罐车运输轻质油品。</w:t>
      </w:r>
    </w:p>
    <w:p>
      <w:pPr>
        <w:pStyle w:val="60"/>
      </w:pPr>
      <w:r>
        <w:rPr>
          <w:rFonts w:hint="eastAsia"/>
        </w:rPr>
        <w:t>汽车罐车未经清洗不得换装油品。</w:t>
      </w:r>
    </w:p>
    <w:p>
      <w:pPr>
        <w:pStyle w:val="60"/>
      </w:pPr>
      <w:r>
        <w:rPr>
          <w:rFonts w:hint="eastAsia"/>
        </w:rPr>
        <w:t>在贮存罐、罐车等大型容器内，可燃性液体的表面，不允许存在不接地的漂浮物。</w:t>
      </w:r>
    </w:p>
    <w:p>
      <w:pPr>
        <w:pStyle w:val="60"/>
      </w:pPr>
      <w:r>
        <w:rPr>
          <w:rFonts w:hint="eastAsia"/>
        </w:rPr>
        <w:t>轻质油品的进出口管口应接近油罐底部，轻质油品的分类方法见附录A。</w:t>
      </w:r>
    </w:p>
    <w:p>
      <w:pPr>
        <w:pStyle w:val="60"/>
      </w:pPr>
      <w:r>
        <w:rPr>
          <w:rFonts w:hint="eastAsia"/>
        </w:rPr>
        <w:t>当设备在灌装、循环或搅拌等工作过程中，禁止进行取样、检尺或测温等现场操作。在设备停止工作后，应静置一段时间才允许进行上述操作。所需静置时间见表</w:t>
      </w:r>
      <w:r>
        <w:t>5</w:t>
      </w:r>
      <w:r>
        <w:rPr>
          <w:rFonts w:hint="eastAsia"/>
        </w:rPr>
        <w:t>,对油槽车的静置时间应不小于2</w:t>
      </w:r>
      <w:r>
        <w:t> </w:t>
      </w:r>
      <w:r>
        <w:rPr>
          <w:rFonts w:hint="eastAsia"/>
        </w:rPr>
        <w:t>min。</w:t>
      </w:r>
    </w:p>
    <w:p>
      <w:pPr>
        <w:pStyle w:val="123"/>
        <w:spacing w:before="156" w:after="156"/>
      </w:pPr>
      <w:r>
        <w:rPr>
          <w:rFonts w:hint="eastAsia"/>
        </w:rPr>
        <w:t>不同电导率烃类液体静置时间表</w:t>
      </w:r>
    </w:p>
    <w:p>
      <w:pPr>
        <w:pStyle w:val="22"/>
        <w:ind w:firstLine="360"/>
        <w:rPr>
          <w:sz w:val="18"/>
          <w:szCs w:val="18"/>
        </w:rPr>
      </w:pPr>
      <w:r>
        <w:rPr>
          <w:rFonts w:hint="eastAsia"/>
          <w:sz w:val="18"/>
          <w:szCs w:val="18"/>
        </w:rPr>
        <w:t xml:space="preserve"> </w:t>
      </w:r>
      <w:r>
        <w:rPr>
          <w:sz w:val="18"/>
          <w:szCs w:val="18"/>
        </w:rPr>
        <w:t xml:space="preserve">                                                                                    </w:t>
      </w:r>
      <w:r>
        <w:rPr>
          <w:rFonts w:hint="eastAsia"/>
          <w:sz w:val="18"/>
          <w:szCs w:val="18"/>
        </w:rPr>
        <w:t>单位：分钟（min）</w:t>
      </w:r>
    </w:p>
    <w:tbl>
      <w:tblPr>
        <w:tblStyle w:val="31"/>
        <w:tblW w:w="9354"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1871"/>
        <w:gridCol w:w="1871"/>
        <w:gridCol w:w="1871"/>
        <w:gridCol w:w="187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4" w:hRule="atLeast"/>
        </w:trPr>
        <w:tc>
          <w:tcPr>
            <w:tcW w:w="1870" w:type="dxa"/>
            <w:vMerge w:val="restart"/>
            <w:tcBorders>
              <w:top w:val="single" w:color="auto" w:sz="8" w:space="0"/>
            </w:tcBorders>
            <w:shd w:val="clear" w:color="auto" w:fill="auto"/>
          </w:tcPr>
          <w:p>
            <w:pPr>
              <w:rPr>
                <w:rFonts w:ascii="宋体"/>
                <w:sz w:val="18"/>
                <w:szCs w:val="18"/>
              </w:rPr>
            </w:pPr>
            <w:r>
              <w:rPr>
                <w:rFonts w:hint="eastAsia" w:ascii="宋体"/>
                <w:sz w:val="18"/>
                <w:szCs w:val="18"/>
              </w:rPr>
              <w:t>液体电导率（S</w:t>
            </w:r>
            <w:r>
              <w:rPr>
                <w:rFonts w:ascii="宋体"/>
                <w:sz w:val="18"/>
                <w:szCs w:val="18"/>
              </w:rPr>
              <w:t>/m</w:t>
            </w:r>
            <w:r>
              <w:rPr>
                <w:rFonts w:hint="eastAsia" w:ascii="宋体"/>
                <w:sz w:val="18"/>
                <w:szCs w:val="18"/>
              </w:rPr>
              <w:t>）</w:t>
            </w:r>
          </w:p>
        </w:tc>
        <w:tc>
          <w:tcPr>
            <w:tcW w:w="7484" w:type="dxa"/>
            <w:gridSpan w:val="4"/>
            <w:tcBorders>
              <w:top w:val="single" w:color="auto" w:sz="8" w:space="0"/>
              <w:bottom w:val="single" w:color="auto" w:sz="8" w:space="0"/>
            </w:tcBorders>
            <w:shd w:val="clear" w:color="auto" w:fill="auto"/>
          </w:tcPr>
          <w:p>
            <w:pPr>
              <w:jc w:val="center"/>
              <w:rPr>
                <w:rFonts w:ascii="宋体"/>
                <w:sz w:val="18"/>
                <w:szCs w:val="18"/>
              </w:rPr>
            </w:pPr>
            <w:r>
              <w:rPr>
                <w:rFonts w:hint="eastAsia" w:ascii="宋体"/>
                <w:sz w:val="18"/>
                <w:szCs w:val="18"/>
              </w:rPr>
              <w:t>液体容积（</w:t>
            </w:r>
            <w:r>
              <w:rPr>
                <w:rFonts w:ascii="宋体"/>
                <w:sz w:val="18"/>
                <w:szCs w:val="18"/>
              </w:rPr>
              <w:t>m</w:t>
            </w:r>
            <w:r>
              <w:rPr>
                <w:rFonts w:ascii="宋体"/>
                <w:sz w:val="18"/>
                <w:szCs w:val="18"/>
                <w:vertAlign w:val="superscript"/>
              </w:rPr>
              <w:t>3</w:t>
            </w:r>
            <w:r>
              <w:rPr>
                <w:rFonts w:hint="eastAsia" w:ascii="宋体"/>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4" w:hRule="atLeast"/>
        </w:trPr>
        <w:tc>
          <w:tcPr>
            <w:tcW w:w="1870" w:type="dxa"/>
            <w:vMerge w:val="continue"/>
            <w:tcBorders>
              <w:bottom w:val="single" w:color="auto" w:sz="4" w:space="0"/>
            </w:tcBorders>
            <w:shd w:val="clear" w:color="auto" w:fill="auto"/>
          </w:tcPr>
          <w:p>
            <w:pPr>
              <w:rPr>
                <w:rFonts w:ascii="宋体"/>
                <w:sz w:val="18"/>
                <w:szCs w:val="18"/>
              </w:rPr>
            </w:pPr>
          </w:p>
        </w:tc>
        <w:tc>
          <w:tcPr>
            <w:tcW w:w="1871" w:type="dxa"/>
            <w:tcBorders>
              <w:top w:val="single" w:color="auto" w:sz="8" w:space="0"/>
              <w:bottom w:val="single" w:color="auto" w:sz="4" w:space="0"/>
            </w:tcBorders>
            <w:shd w:val="clear" w:color="auto" w:fill="auto"/>
          </w:tcPr>
          <w:p>
            <w:pPr>
              <w:rPr>
                <w:rFonts w:ascii="宋体"/>
                <w:sz w:val="18"/>
                <w:szCs w:val="18"/>
              </w:rPr>
            </w:pPr>
            <w:r>
              <w:rPr>
                <w:rFonts w:hint="eastAsia" w:ascii="宋体"/>
                <w:sz w:val="18"/>
                <w:szCs w:val="18"/>
              </w:rPr>
              <w:t>＜1</w:t>
            </w:r>
            <w:r>
              <w:rPr>
                <w:rFonts w:ascii="宋体"/>
                <w:sz w:val="18"/>
                <w:szCs w:val="18"/>
              </w:rPr>
              <w:t>0</w:t>
            </w:r>
          </w:p>
        </w:tc>
        <w:tc>
          <w:tcPr>
            <w:tcW w:w="1871" w:type="dxa"/>
            <w:tcBorders>
              <w:bottom w:val="single" w:color="auto" w:sz="4" w:space="0"/>
            </w:tcBorders>
            <w:shd w:val="clear" w:color="auto" w:fill="auto"/>
          </w:tcPr>
          <w:p>
            <w:pPr>
              <w:rPr>
                <w:rFonts w:ascii="宋体"/>
                <w:sz w:val="18"/>
                <w:szCs w:val="18"/>
              </w:rPr>
            </w:pPr>
            <w:r>
              <w:rPr>
                <w:rFonts w:hint="eastAsia" w:ascii="宋体"/>
                <w:sz w:val="18"/>
                <w:szCs w:val="18"/>
              </w:rPr>
              <w:t>1</w:t>
            </w:r>
            <w:r>
              <w:rPr>
                <w:rFonts w:ascii="宋体"/>
                <w:sz w:val="18"/>
                <w:szCs w:val="18"/>
              </w:rPr>
              <w:t>0</w:t>
            </w:r>
            <w:r>
              <w:rPr>
                <w:rFonts w:hint="eastAsia" w:ascii="宋体"/>
                <w:sz w:val="18"/>
                <w:szCs w:val="18"/>
              </w:rPr>
              <w:t>~</w:t>
            </w:r>
            <w:r>
              <w:rPr>
                <w:rFonts w:ascii="宋体"/>
                <w:sz w:val="18"/>
                <w:szCs w:val="18"/>
              </w:rPr>
              <w:t>50</w:t>
            </w:r>
          </w:p>
        </w:tc>
        <w:tc>
          <w:tcPr>
            <w:tcW w:w="1871" w:type="dxa"/>
            <w:tcBorders>
              <w:bottom w:val="single" w:color="auto" w:sz="4" w:space="0"/>
            </w:tcBorders>
            <w:shd w:val="clear" w:color="auto" w:fill="auto"/>
          </w:tcPr>
          <w:p>
            <w:pPr>
              <w:rPr>
                <w:rFonts w:ascii="宋体"/>
                <w:sz w:val="18"/>
                <w:szCs w:val="18"/>
              </w:rPr>
            </w:pPr>
            <w:r>
              <w:rPr>
                <w:rFonts w:hint="eastAsia" w:ascii="宋体"/>
                <w:sz w:val="18"/>
                <w:szCs w:val="18"/>
              </w:rPr>
              <w:t>5</w:t>
            </w:r>
            <w:r>
              <w:rPr>
                <w:rFonts w:ascii="宋体"/>
                <w:sz w:val="18"/>
                <w:szCs w:val="18"/>
              </w:rPr>
              <w:t>0</w:t>
            </w:r>
            <w:r>
              <w:rPr>
                <w:rFonts w:hint="eastAsia" w:ascii="宋体"/>
                <w:sz w:val="18"/>
                <w:szCs w:val="18"/>
              </w:rPr>
              <w:t>~</w:t>
            </w:r>
            <w:r>
              <w:rPr>
                <w:rFonts w:ascii="宋体"/>
                <w:sz w:val="18"/>
                <w:szCs w:val="18"/>
              </w:rPr>
              <w:t>5000</w:t>
            </w:r>
          </w:p>
        </w:tc>
        <w:tc>
          <w:tcPr>
            <w:tcW w:w="1871" w:type="dxa"/>
            <w:tcBorders>
              <w:bottom w:val="single" w:color="auto" w:sz="4" w:space="0"/>
            </w:tcBorders>
            <w:shd w:val="clear" w:color="auto" w:fill="auto"/>
          </w:tcPr>
          <w:p>
            <w:pPr>
              <w:rPr>
                <w:rFonts w:ascii="宋体"/>
                <w:sz w:val="18"/>
                <w:szCs w:val="18"/>
              </w:rPr>
            </w:pPr>
            <w:r>
              <w:rPr>
                <w:rFonts w:hint="eastAsia" w:ascii="宋体"/>
                <w:sz w:val="18"/>
                <w:szCs w:val="18"/>
              </w:rPr>
              <w:t>＞5</w:t>
            </w:r>
            <w:r>
              <w:rPr>
                <w:rFonts w:ascii="宋体"/>
                <w:sz w:val="18"/>
                <w:szCs w:val="18"/>
              </w:rPr>
              <w:t>000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c>
          <w:tcPr>
            <w:tcW w:w="1870" w:type="dxa"/>
            <w:tcBorders>
              <w:top w:val="single" w:color="auto" w:sz="4" w:space="0"/>
            </w:tcBorders>
            <w:shd w:val="clear" w:color="auto" w:fill="auto"/>
          </w:tcPr>
          <w:p>
            <w:pPr>
              <w:rPr>
                <w:rFonts w:ascii="宋体"/>
                <w:sz w:val="18"/>
                <w:szCs w:val="18"/>
                <w:vertAlign w:val="superscript"/>
              </w:rPr>
            </w:pPr>
            <w:r>
              <w:rPr>
                <w:rFonts w:hint="eastAsia" w:ascii="宋体"/>
                <w:sz w:val="18"/>
                <w:szCs w:val="18"/>
              </w:rPr>
              <w:t>＞1</w:t>
            </w:r>
            <w:r>
              <w:rPr>
                <w:rFonts w:ascii="宋体"/>
                <w:sz w:val="18"/>
                <w:szCs w:val="18"/>
              </w:rPr>
              <w:t>0</w:t>
            </w:r>
            <w:r>
              <w:rPr>
                <w:rFonts w:hint="eastAsia" w:ascii="宋体"/>
                <w:sz w:val="18"/>
                <w:szCs w:val="18"/>
                <w:vertAlign w:val="superscript"/>
              </w:rPr>
              <w:t>-</w:t>
            </w:r>
            <w:r>
              <w:rPr>
                <w:rFonts w:ascii="宋体"/>
                <w:sz w:val="18"/>
                <w:szCs w:val="18"/>
                <w:vertAlign w:val="superscript"/>
              </w:rPr>
              <w:t>8</w:t>
            </w:r>
          </w:p>
        </w:tc>
        <w:tc>
          <w:tcPr>
            <w:tcW w:w="1871" w:type="dxa"/>
            <w:tcBorders>
              <w:top w:val="single" w:color="auto" w:sz="4" w:space="0"/>
            </w:tcBorders>
            <w:shd w:val="clear" w:color="auto" w:fill="auto"/>
          </w:tcPr>
          <w:p>
            <w:pPr>
              <w:rPr>
                <w:rFonts w:ascii="宋体"/>
                <w:sz w:val="18"/>
                <w:szCs w:val="18"/>
              </w:rPr>
            </w:pPr>
            <w:r>
              <w:rPr>
                <w:rFonts w:hint="eastAsia" w:ascii="宋体"/>
                <w:sz w:val="18"/>
                <w:szCs w:val="18"/>
              </w:rPr>
              <w:t>1</w:t>
            </w:r>
          </w:p>
        </w:tc>
        <w:tc>
          <w:tcPr>
            <w:tcW w:w="1871" w:type="dxa"/>
            <w:tcBorders>
              <w:top w:val="single" w:color="auto" w:sz="4" w:space="0"/>
            </w:tcBorders>
            <w:shd w:val="clear" w:color="auto" w:fill="auto"/>
          </w:tcPr>
          <w:p>
            <w:pPr>
              <w:rPr>
                <w:rFonts w:ascii="宋体"/>
                <w:sz w:val="18"/>
                <w:szCs w:val="18"/>
              </w:rPr>
            </w:pPr>
            <w:r>
              <w:rPr>
                <w:rFonts w:hint="eastAsia" w:ascii="宋体"/>
                <w:sz w:val="18"/>
                <w:szCs w:val="18"/>
              </w:rPr>
              <w:t>1</w:t>
            </w:r>
          </w:p>
        </w:tc>
        <w:tc>
          <w:tcPr>
            <w:tcW w:w="1871" w:type="dxa"/>
            <w:tcBorders>
              <w:top w:val="single" w:color="auto" w:sz="4" w:space="0"/>
            </w:tcBorders>
            <w:shd w:val="clear" w:color="auto" w:fill="auto"/>
          </w:tcPr>
          <w:p>
            <w:pPr>
              <w:rPr>
                <w:rFonts w:ascii="宋体"/>
                <w:sz w:val="18"/>
                <w:szCs w:val="18"/>
              </w:rPr>
            </w:pPr>
            <w:r>
              <w:rPr>
                <w:rFonts w:hint="eastAsia" w:ascii="宋体"/>
                <w:sz w:val="18"/>
                <w:szCs w:val="18"/>
              </w:rPr>
              <w:t>1</w:t>
            </w:r>
          </w:p>
        </w:tc>
        <w:tc>
          <w:tcPr>
            <w:tcW w:w="1871" w:type="dxa"/>
            <w:tcBorders>
              <w:top w:val="single" w:color="auto" w:sz="4" w:space="0"/>
            </w:tcBorders>
            <w:shd w:val="clear" w:color="auto" w:fill="auto"/>
          </w:tcPr>
          <w:p>
            <w:pPr>
              <w:rPr>
                <w:rFonts w:ascii="宋体"/>
                <w:sz w:val="18"/>
                <w:szCs w:val="18"/>
              </w:rPr>
            </w:pPr>
            <w:r>
              <w:rPr>
                <w:rFonts w:hint="eastAsia" w:ascii="宋体"/>
                <w:sz w:val="18"/>
                <w:szCs w:val="18"/>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c>
          <w:tcPr>
            <w:tcW w:w="1870" w:type="dxa"/>
            <w:shd w:val="clear" w:color="auto" w:fill="auto"/>
          </w:tcPr>
          <w:p>
            <w:pPr>
              <w:rPr>
                <w:rFonts w:ascii="宋体"/>
                <w:sz w:val="18"/>
                <w:szCs w:val="18"/>
                <w:vertAlign w:val="superscript"/>
              </w:rPr>
            </w:pPr>
            <w:r>
              <w:rPr>
                <w:rFonts w:hint="eastAsia" w:ascii="宋体"/>
                <w:sz w:val="18"/>
                <w:szCs w:val="18"/>
              </w:rPr>
              <w:t>1</w:t>
            </w:r>
            <w:r>
              <w:rPr>
                <w:rFonts w:ascii="宋体"/>
                <w:sz w:val="18"/>
                <w:szCs w:val="18"/>
              </w:rPr>
              <w:t>0</w:t>
            </w:r>
            <w:r>
              <w:rPr>
                <w:rFonts w:hint="eastAsia" w:ascii="宋体"/>
                <w:sz w:val="18"/>
                <w:szCs w:val="18"/>
                <w:vertAlign w:val="superscript"/>
              </w:rPr>
              <w:t>-</w:t>
            </w:r>
            <w:r>
              <w:rPr>
                <w:rFonts w:ascii="宋体"/>
                <w:sz w:val="18"/>
                <w:szCs w:val="18"/>
                <w:vertAlign w:val="superscript"/>
              </w:rPr>
              <w:t>12</w:t>
            </w:r>
            <w:r>
              <w:rPr>
                <w:rFonts w:hint="eastAsia" w:ascii="宋体"/>
                <w:sz w:val="18"/>
                <w:szCs w:val="18"/>
              </w:rPr>
              <w:t>~</w:t>
            </w:r>
            <w:r>
              <w:rPr>
                <w:rFonts w:ascii="宋体"/>
                <w:sz w:val="18"/>
                <w:szCs w:val="18"/>
              </w:rPr>
              <w:t>10</w:t>
            </w:r>
            <w:r>
              <w:rPr>
                <w:rFonts w:hint="eastAsia" w:ascii="宋体"/>
                <w:sz w:val="18"/>
                <w:szCs w:val="18"/>
                <w:vertAlign w:val="superscript"/>
              </w:rPr>
              <w:t>-</w:t>
            </w:r>
            <w:r>
              <w:rPr>
                <w:rFonts w:ascii="宋体"/>
                <w:sz w:val="18"/>
                <w:szCs w:val="18"/>
                <w:vertAlign w:val="superscript"/>
              </w:rPr>
              <w:t>8</w:t>
            </w:r>
          </w:p>
        </w:tc>
        <w:tc>
          <w:tcPr>
            <w:tcW w:w="1871" w:type="dxa"/>
            <w:shd w:val="clear" w:color="auto" w:fill="auto"/>
          </w:tcPr>
          <w:p>
            <w:pPr>
              <w:rPr>
                <w:rFonts w:ascii="宋体"/>
                <w:sz w:val="18"/>
                <w:szCs w:val="18"/>
              </w:rPr>
            </w:pPr>
            <w:r>
              <w:rPr>
                <w:rFonts w:hint="eastAsia" w:ascii="宋体"/>
                <w:sz w:val="18"/>
                <w:szCs w:val="18"/>
              </w:rPr>
              <w:t>2</w:t>
            </w:r>
          </w:p>
        </w:tc>
        <w:tc>
          <w:tcPr>
            <w:tcW w:w="1871" w:type="dxa"/>
            <w:shd w:val="clear" w:color="auto" w:fill="auto"/>
          </w:tcPr>
          <w:p>
            <w:pPr>
              <w:rPr>
                <w:rFonts w:ascii="宋体"/>
                <w:sz w:val="18"/>
                <w:szCs w:val="18"/>
              </w:rPr>
            </w:pPr>
            <w:r>
              <w:rPr>
                <w:rFonts w:ascii="宋体"/>
                <w:sz w:val="18"/>
                <w:szCs w:val="18"/>
              </w:rPr>
              <w:t>3</w:t>
            </w:r>
          </w:p>
        </w:tc>
        <w:tc>
          <w:tcPr>
            <w:tcW w:w="1871" w:type="dxa"/>
            <w:shd w:val="clear" w:color="auto" w:fill="auto"/>
          </w:tcPr>
          <w:p>
            <w:pPr>
              <w:rPr>
                <w:rFonts w:ascii="宋体"/>
                <w:sz w:val="18"/>
                <w:szCs w:val="18"/>
              </w:rPr>
            </w:pPr>
            <w:r>
              <w:rPr>
                <w:rFonts w:hint="eastAsia" w:ascii="宋体"/>
                <w:sz w:val="18"/>
                <w:szCs w:val="18"/>
              </w:rPr>
              <w:t>2</w:t>
            </w:r>
            <w:r>
              <w:rPr>
                <w:rFonts w:ascii="宋体"/>
                <w:sz w:val="18"/>
                <w:szCs w:val="18"/>
              </w:rPr>
              <w:t>0</w:t>
            </w:r>
          </w:p>
        </w:tc>
        <w:tc>
          <w:tcPr>
            <w:tcW w:w="1871" w:type="dxa"/>
            <w:shd w:val="clear" w:color="auto" w:fill="auto"/>
          </w:tcPr>
          <w:p>
            <w:pPr>
              <w:rPr>
                <w:rFonts w:ascii="宋体"/>
                <w:sz w:val="18"/>
                <w:szCs w:val="18"/>
              </w:rPr>
            </w:pPr>
            <w:r>
              <w:rPr>
                <w:rFonts w:hint="eastAsia" w:ascii="宋体"/>
                <w:sz w:val="18"/>
                <w:szCs w:val="18"/>
              </w:rPr>
              <w:t>3</w:t>
            </w:r>
            <w:r>
              <w:rPr>
                <w:rFonts w:ascii="宋体"/>
                <w:sz w:val="18"/>
                <w:szCs w:val="18"/>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1870" w:type="dxa"/>
            <w:tcBorders>
              <w:bottom w:val="single" w:color="auto" w:sz="4" w:space="0"/>
            </w:tcBorders>
            <w:shd w:val="clear" w:color="auto" w:fill="auto"/>
          </w:tcPr>
          <w:p>
            <w:pPr>
              <w:rPr>
                <w:rFonts w:ascii="宋体"/>
                <w:sz w:val="18"/>
                <w:szCs w:val="18"/>
                <w:vertAlign w:val="superscript"/>
              </w:rPr>
            </w:pPr>
            <w:r>
              <w:rPr>
                <w:rFonts w:hint="eastAsia" w:ascii="宋体"/>
                <w:sz w:val="18"/>
                <w:szCs w:val="18"/>
              </w:rPr>
              <w:t>1</w:t>
            </w:r>
            <w:r>
              <w:rPr>
                <w:rFonts w:ascii="宋体"/>
                <w:sz w:val="18"/>
                <w:szCs w:val="18"/>
              </w:rPr>
              <w:t>0</w:t>
            </w:r>
            <w:r>
              <w:rPr>
                <w:rFonts w:hint="eastAsia" w:ascii="宋体"/>
                <w:sz w:val="18"/>
                <w:szCs w:val="18"/>
                <w:vertAlign w:val="superscript"/>
              </w:rPr>
              <w:t>-</w:t>
            </w:r>
            <w:r>
              <w:rPr>
                <w:rFonts w:ascii="宋体"/>
                <w:sz w:val="18"/>
                <w:szCs w:val="18"/>
                <w:vertAlign w:val="superscript"/>
              </w:rPr>
              <w:t>14</w:t>
            </w:r>
            <w:r>
              <w:rPr>
                <w:rFonts w:hint="eastAsia" w:ascii="宋体"/>
                <w:sz w:val="18"/>
                <w:szCs w:val="18"/>
              </w:rPr>
              <w:t>~</w:t>
            </w:r>
            <w:r>
              <w:rPr>
                <w:rFonts w:ascii="宋体"/>
                <w:sz w:val="18"/>
                <w:szCs w:val="18"/>
              </w:rPr>
              <w:t>10</w:t>
            </w:r>
            <w:r>
              <w:rPr>
                <w:rFonts w:hint="eastAsia" w:ascii="宋体"/>
                <w:sz w:val="18"/>
                <w:szCs w:val="18"/>
                <w:vertAlign w:val="superscript"/>
              </w:rPr>
              <w:t>-</w:t>
            </w:r>
            <w:r>
              <w:rPr>
                <w:rFonts w:ascii="宋体"/>
                <w:sz w:val="18"/>
                <w:szCs w:val="18"/>
                <w:vertAlign w:val="superscript"/>
              </w:rPr>
              <w:t>12</w:t>
            </w:r>
          </w:p>
        </w:tc>
        <w:tc>
          <w:tcPr>
            <w:tcW w:w="1871" w:type="dxa"/>
            <w:tcBorders>
              <w:bottom w:val="single" w:color="auto" w:sz="4" w:space="0"/>
            </w:tcBorders>
            <w:shd w:val="clear" w:color="auto" w:fill="auto"/>
          </w:tcPr>
          <w:p>
            <w:pPr>
              <w:rPr>
                <w:rFonts w:ascii="宋体"/>
                <w:sz w:val="18"/>
                <w:szCs w:val="18"/>
              </w:rPr>
            </w:pPr>
            <w:r>
              <w:rPr>
                <w:rFonts w:hint="eastAsia" w:ascii="宋体"/>
                <w:sz w:val="18"/>
                <w:szCs w:val="18"/>
              </w:rPr>
              <w:t>3</w:t>
            </w:r>
          </w:p>
        </w:tc>
        <w:tc>
          <w:tcPr>
            <w:tcW w:w="1871" w:type="dxa"/>
            <w:tcBorders>
              <w:bottom w:val="single" w:color="auto" w:sz="4" w:space="0"/>
            </w:tcBorders>
            <w:shd w:val="clear" w:color="auto" w:fill="auto"/>
          </w:tcPr>
          <w:p>
            <w:pPr>
              <w:rPr>
                <w:rFonts w:ascii="宋体"/>
                <w:sz w:val="18"/>
                <w:szCs w:val="18"/>
              </w:rPr>
            </w:pPr>
            <w:r>
              <w:rPr>
                <w:rFonts w:ascii="宋体"/>
                <w:sz w:val="18"/>
                <w:szCs w:val="18"/>
              </w:rPr>
              <w:t>5</w:t>
            </w:r>
          </w:p>
        </w:tc>
        <w:tc>
          <w:tcPr>
            <w:tcW w:w="1871" w:type="dxa"/>
            <w:tcBorders>
              <w:bottom w:val="single" w:color="auto" w:sz="4" w:space="0"/>
            </w:tcBorders>
            <w:shd w:val="clear" w:color="auto" w:fill="auto"/>
          </w:tcPr>
          <w:p>
            <w:pPr>
              <w:rPr>
                <w:rFonts w:ascii="宋体"/>
                <w:sz w:val="18"/>
                <w:szCs w:val="18"/>
              </w:rPr>
            </w:pPr>
            <w:r>
              <w:rPr>
                <w:rFonts w:hint="eastAsia" w:ascii="宋体"/>
                <w:sz w:val="18"/>
                <w:szCs w:val="18"/>
              </w:rPr>
              <w:t>6</w:t>
            </w:r>
            <w:r>
              <w:rPr>
                <w:rFonts w:ascii="宋体"/>
                <w:sz w:val="18"/>
                <w:szCs w:val="18"/>
              </w:rPr>
              <w:t>0</w:t>
            </w:r>
          </w:p>
        </w:tc>
        <w:tc>
          <w:tcPr>
            <w:tcW w:w="1871" w:type="dxa"/>
            <w:tcBorders>
              <w:bottom w:val="single" w:color="auto" w:sz="4" w:space="0"/>
            </w:tcBorders>
            <w:shd w:val="clear" w:color="auto" w:fill="auto"/>
          </w:tcPr>
          <w:p>
            <w:pPr>
              <w:rPr>
                <w:rFonts w:ascii="宋体"/>
                <w:sz w:val="18"/>
                <w:szCs w:val="18"/>
              </w:rPr>
            </w:pPr>
            <w:r>
              <w:rPr>
                <w:rFonts w:hint="eastAsia" w:ascii="宋体"/>
                <w:sz w:val="18"/>
                <w:szCs w:val="18"/>
              </w:rPr>
              <w:t>1</w:t>
            </w:r>
            <w:r>
              <w:rPr>
                <w:rFonts w:ascii="宋体"/>
                <w:sz w:val="18"/>
                <w:szCs w:val="18"/>
              </w:rPr>
              <w:t>20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c>
          <w:tcPr>
            <w:tcW w:w="1870" w:type="dxa"/>
            <w:tcBorders>
              <w:top w:val="single" w:color="auto" w:sz="4" w:space="0"/>
              <w:bottom w:val="single" w:color="auto" w:sz="8" w:space="0"/>
            </w:tcBorders>
            <w:shd w:val="clear" w:color="auto" w:fill="auto"/>
          </w:tcPr>
          <w:p>
            <w:pPr>
              <w:rPr>
                <w:rFonts w:ascii="宋体"/>
                <w:sz w:val="18"/>
                <w:szCs w:val="18"/>
                <w:vertAlign w:val="superscript"/>
              </w:rPr>
            </w:pPr>
            <w:r>
              <w:rPr>
                <w:rFonts w:hint="eastAsia" w:ascii="宋体"/>
                <w:sz w:val="18"/>
                <w:szCs w:val="18"/>
              </w:rPr>
              <w:t>＜1</w:t>
            </w:r>
            <w:r>
              <w:rPr>
                <w:rFonts w:ascii="宋体"/>
                <w:sz w:val="18"/>
                <w:szCs w:val="18"/>
              </w:rPr>
              <w:t>0</w:t>
            </w:r>
            <w:r>
              <w:rPr>
                <w:rFonts w:hint="eastAsia" w:ascii="宋体"/>
                <w:sz w:val="18"/>
                <w:szCs w:val="18"/>
                <w:vertAlign w:val="superscript"/>
              </w:rPr>
              <w:t>-</w:t>
            </w:r>
            <w:r>
              <w:rPr>
                <w:rFonts w:ascii="宋体"/>
                <w:sz w:val="18"/>
                <w:szCs w:val="18"/>
                <w:vertAlign w:val="superscript"/>
              </w:rPr>
              <w:t>14</w:t>
            </w:r>
          </w:p>
        </w:tc>
        <w:tc>
          <w:tcPr>
            <w:tcW w:w="1871" w:type="dxa"/>
            <w:tcBorders>
              <w:top w:val="single" w:color="auto" w:sz="4" w:space="0"/>
              <w:bottom w:val="single" w:color="auto" w:sz="8" w:space="0"/>
            </w:tcBorders>
            <w:shd w:val="clear" w:color="auto" w:fill="auto"/>
          </w:tcPr>
          <w:p>
            <w:pPr>
              <w:rPr>
                <w:rFonts w:ascii="宋体"/>
                <w:sz w:val="18"/>
                <w:szCs w:val="18"/>
              </w:rPr>
            </w:pPr>
            <w:r>
              <w:rPr>
                <w:rFonts w:hint="eastAsia" w:ascii="宋体"/>
                <w:sz w:val="18"/>
                <w:szCs w:val="18"/>
              </w:rPr>
              <w:t>1</w:t>
            </w:r>
            <w:r>
              <w:rPr>
                <w:rFonts w:ascii="宋体"/>
                <w:sz w:val="18"/>
                <w:szCs w:val="18"/>
              </w:rPr>
              <w:t>0</w:t>
            </w:r>
          </w:p>
        </w:tc>
        <w:tc>
          <w:tcPr>
            <w:tcW w:w="1871" w:type="dxa"/>
            <w:tcBorders>
              <w:top w:val="single" w:color="auto" w:sz="4" w:space="0"/>
              <w:bottom w:val="single" w:color="auto" w:sz="8" w:space="0"/>
            </w:tcBorders>
            <w:shd w:val="clear" w:color="auto" w:fill="auto"/>
          </w:tcPr>
          <w:p>
            <w:pPr>
              <w:rPr>
                <w:rFonts w:ascii="宋体"/>
                <w:sz w:val="18"/>
                <w:szCs w:val="18"/>
              </w:rPr>
            </w:pPr>
            <w:r>
              <w:rPr>
                <w:rFonts w:hint="eastAsia" w:ascii="宋体"/>
                <w:sz w:val="18"/>
                <w:szCs w:val="18"/>
              </w:rPr>
              <w:t>1</w:t>
            </w:r>
            <w:r>
              <w:rPr>
                <w:rFonts w:ascii="宋体"/>
                <w:sz w:val="18"/>
                <w:szCs w:val="18"/>
              </w:rPr>
              <w:t>5</w:t>
            </w:r>
          </w:p>
        </w:tc>
        <w:tc>
          <w:tcPr>
            <w:tcW w:w="1871" w:type="dxa"/>
            <w:tcBorders>
              <w:top w:val="single" w:color="auto" w:sz="4" w:space="0"/>
              <w:bottom w:val="single" w:color="auto" w:sz="8" w:space="0"/>
            </w:tcBorders>
            <w:shd w:val="clear" w:color="auto" w:fill="auto"/>
          </w:tcPr>
          <w:p>
            <w:pPr>
              <w:rPr>
                <w:rFonts w:ascii="宋体"/>
                <w:sz w:val="18"/>
                <w:szCs w:val="18"/>
              </w:rPr>
            </w:pPr>
            <w:r>
              <w:rPr>
                <w:rFonts w:hint="eastAsia" w:ascii="宋体"/>
                <w:sz w:val="18"/>
                <w:szCs w:val="18"/>
              </w:rPr>
              <w:t>1</w:t>
            </w:r>
            <w:r>
              <w:rPr>
                <w:rFonts w:ascii="宋体"/>
                <w:sz w:val="18"/>
                <w:szCs w:val="18"/>
              </w:rPr>
              <w:t>20</w:t>
            </w:r>
          </w:p>
        </w:tc>
        <w:tc>
          <w:tcPr>
            <w:tcW w:w="1871" w:type="dxa"/>
            <w:tcBorders>
              <w:top w:val="single" w:color="auto" w:sz="4" w:space="0"/>
              <w:bottom w:val="single" w:color="auto" w:sz="8" w:space="0"/>
            </w:tcBorders>
            <w:shd w:val="clear" w:color="auto" w:fill="auto"/>
          </w:tcPr>
          <w:p>
            <w:pPr>
              <w:rPr>
                <w:rFonts w:ascii="宋体"/>
                <w:sz w:val="18"/>
                <w:szCs w:val="18"/>
              </w:rPr>
            </w:pPr>
            <w:r>
              <w:rPr>
                <w:rFonts w:hint="eastAsia" w:ascii="宋体"/>
                <w:sz w:val="18"/>
                <w:szCs w:val="18"/>
              </w:rPr>
              <w:t>2</w:t>
            </w:r>
            <w:r>
              <w:rPr>
                <w:rFonts w:ascii="宋体"/>
                <w:sz w:val="18"/>
                <w:szCs w:val="18"/>
              </w:rPr>
              <w:t>40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9354" w:type="dxa"/>
            <w:gridSpan w:val="5"/>
            <w:tcBorders>
              <w:top w:val="single" w:color="auto" w:sz="8" w:space="0"/>
              <w:bottom w:val="single" w:color="auto" w:sz="4" w:space="0"/>
            </w:tcBorders>
            <w:shd w:val="clear" w:color="auto" w:fill="auto"/>
          </w:tcPr>
          <w:p>
            <w:pPr>
              <w:pStyle w:val="54"/>
            </w:pPr>
            <w:r>
              <w:rPr>
                <w:rFonts w:hint="eastAsia"/>
              </w:rPr>
              <w:t>若容器内设有专用量槽时，按量槽内液体容积＜</w:t>
            </w:r>
            <w:r>
              <w:t>10 </w:t>
            </w:r>
            <w:r>
              <w:rPr>
                <w:rFonts w:hint="eastAsia"/>
              </w:rPr>
              <w:t>m</w:t>
            </w:r>
            <w:r>
              <w:rPr>
                <w:vertAlign w:val="superscript"/>
              </w:rPr>
              <w:t>3</w:t>
            </w:r>
            <w:r>
              <w:rPr>
                <w:rFonts w:hint="eastAsia"/>
              </w:rPr>
              <w:t>取值</w:t>
            </w:r>
          </w:p>
        </w:tc>
      </w:tr>
    </w:tbl>
    <w:p>
      <w:pPr>
        <w:pStyle w:val="60"/>
      </w:pPr>
      <w:r>
        <w:rPr>
          <w:rFonts w:hint="eastAsia"/>
        </w:rPr>
        <w:t>对金属材质制作的取样器，测温器及检尺等在操作中应接地。有条件时应采用具有防静电功能的工具。</w:t>
      </w:r>
    </w:p>
    <w:p>
      <w:pPr>
        <w:pStyle w:val="60"/>
      </w:pPr>
      <w:r>
        <w:t>取样器、测温器及检尺等装备上所用合成材料的绳索及油尺等，</w:t>
      </w:r>
      <w:r>
        <w:rPr>
          <w:rFonts w:hint="eastAsia"/>
        </w:rPr>
        <w:t>应使用</w:t>
      </w:r>
      <w:r>
        <w:t>静电亚导体</w:t>
      </w:r>
      <w:r>
        <w:rPr>
          <w:rFonts w:hint="eastAsia"/>
        </w:rPr>
        <w:t>材料，</w:t>
      </w:r>
      <w:r>
        <w:t>其单位长度电阻值应为1</w:t>
      </w:r>
      <w:r>
        <w:rPr>
          <w:rFonts w:hint="eastAsia"/>
        </w:rPr>
        <w:t>×</w:t>
      </w:r>
      <w:r>
        <w:t>10</w:t>
      </w:r>
      <w:r>
        <w:rPr>
          <w:vertAlign w:val="superscript"/>
        </w:rPr>
        <w:t>5</w:t>
      </w:r>
      <w:bookmarkStart w:id="45" w:name="_Hlk53087269"/>
      <w:r>
        <w:t> </w:t>
      </w:r>
      <w:r>
        <w:rPr>
          <w:rFonts w:hint="eastAsia"/>
        </w:rPr>
        <w:t>Ω</w:t>
      </w:r>
      <w:r>
        <w:t>/m</w:t>
      </w:r>
      <w:bookmarkEnd w:id="45"/>
      <w:r>
        <w:rPr>
          <w:rFonts w:ascii="Times New Roman"/>
        </w:rPr>
        <w:t>~</w:t>
      </w:r>
      <w:r>
        <w:t>1</w:t>
      </w:r>
      <w:r>
        <w:rPr>
          <w:rFonts w:hint="eastAsia"/>
        </w:rPr>
        <w:t>×</w:t>
      </w:r>
      <w:r>
        <w:t>10</w:t>
      </w:r>
      <w:r>
        <w:rPr>
          <w:vertAlign w:val="superscript"/>
        </w:rPr>
        <w:t>7 </w:t>
      </w:r>
      <w:r>
        <w:rPr>
          <w:rFonts w:hint="eastAsia"/>
        </w:rPr>
        <w:t>Ω</w:t>
      </w:r>
      <w:r>
        <w:t>/m</w:t>
      </w:r>
      <w:r>
        <w:rPr>
          <w:rFonts w:hint="eastAsia"/>
        </w:rPr>
        <w:t>，</w:t>
      </w:r>
      <w:r>
        <w:t>或表面电阻和体电阻率分别低于</w:t>
      </w:r>
      <w:r>
        <w:rPr>
          <w:rFonts w:hAnsi="宋体"/>
        </w:rPr>
        <w:t xml:space="preserve"> 1×10</w:t>
      </w:r>
      <w:r>
        <w:rPr>
          <w:rFonts w:hAnsi="宋体"/>
          <w:vertAlign w:val="superscript"/>
        </w:rPr>
        <w:t>10</w:t>
      </w:r>
      <w:r>
        <w:t> </w:t>
      </w:r>
      <w:r>
        <w:rPr>
          <w:rFonts w:hAnsi="宋体"/>
        </w:rPr>
        <w:t>Ω及1×10</w:t>
      </w:r>
      <w:r>
        <w:rPr>
          <w:rFonts w:hAnsi="宋体"/>
          <w:vertAlign w:val="superscript"/>
        </w:rPr>
        <w:t>8</w:t>
      </w:r>
      <w:r>
        <w:t> </w:t>
      </w:r>
      <w:r>
        <w:rPr>
          <w:rFonts w:hAnsi="宋体"/>
        </w:rPr>
        <w:t>Ω</w:t>
      </w:r>
      <w:r>
        <w:rPr>
          <w:rFonts w:hint="eastAsia" w:hAnsi="宋体"/>
        </w:rPr>
        <w:t>·</w:t>
      </w:r>
      <w:r>
        <w:rPr>
          <w:rFonts w:hAnsi="宋体"/>
        </w:rPr>
        <w:t>m</w:t>
      </w:r>
      <w:r>
        <w:rPr>
          <w:rFonts w:hint="eastAsia"/>
        </w:rPr>
        <w:t>。</w:t>
      </w:r>
    </w:p>
    <w:p>
      <w:pPr>
        <w:pStyle w:val="60"/>
      </w:pPr>
      <w:r>
        <w:t>在设计和制作取样器、测温器及检尺装备时，应优先采用红外、超声等原理的装备，以减少静电危害产生的可能。</w:t>
      </w:r>
    </w:p>
    <w:p>
      <w:pPr>
        <w:pStyle w:val="60"/>
      </w:pPr>
      <w:r>
        <w:rPr>
          <w:rFonts w:hint="eastAsia"/>
        </w:rPr>
        <w:t>进行油品采样、计量和测温时，不得猛拉快提，上提速度不得大于0.5</w:t>
      </w:r>
      <w:r>
        <w:t> </w:t>
      </w:r>
      <w:r>
        <w:rPr>
          <w:rFonts w:hint="eastAsia"/>
        </w:rPr>
        <w:t>m/s，下落速度不得大于</w:t>
      </w:r>
      <w:r>
        <w:t>1 m/s</w:t>
      </w:r>
      <w:r>
        <w:rPr>
          <w:rFonts w:hint="eastAsia"/>
        </w:rPr>
        <w:t>。</w:t>
      </w:r>
    </w:p>
    <w:p>
      <w:pPr>
        <w:pStyle w:val="60"/>
      </w:pPr>
      <w:r>
        <w:rPr>
          <w:rFonts w:hint="eastAsia"/>
        </w:rPr>
        <w:t>油罐的接地点应设两处以上，沿油罐外围均匀布置，其间距应不大于</w:t>
      </w:r>
      <w:r>
        <w:t>30 </w:t>
      </w:r>
      <w:r>
        <w:rPr>
          <w:rFonts w:hint="eastAsia"/>
        </w:rPr>
        <w:t>m。</w:t>
      </w:r>
    </w:p>
    <w:p>
      <w:pPr>
        <w:pStyle w:val="60"/>
      </w:pPr>
      <w:r>
        <w:rPr>
          <w:rFonts w:hint="eastAsia"/>
        </w:rPr>
        <w:t>当油罐内壁采用导静电型防腐蚀涂料时，应采用本征型导静电防腐蚀涂料或非碳系的浅色添加型导静电防腐蚀涂料，涂层的表面电阻率应为（1</w:t>
      </w:r>
      <w:r>
        <w:t>0</w:t>
      </w:r>
      <w:r>
        <w:rPr>
          <w:vertAlign w:val="superscript"/>
        </w:rPr>
        <w:t>8</w:t>
      </w:r>
      <w:r>
        <w:rPr>
          <w:rFonts w:hint="eastAsia"/>
        </w:rPr>
        <w:t>~</w:t>
      </w:r>
      <w:r>
        <w:t>10</w:t>
      </w:r>
      <w:r>
        <w:rPr>
          <w:vertAlign w:val="superscript"/>
        </w:rPr>
        <w:t>11</w:t>
      </w:r>
      <w:r>
        <w:rPr>
          <w:rFonts w:hint="eastAsia"/>
        </w:rPr>
        <w:t>）Ω。</w:t>
      </w:r>
    </w:p>
    <w:p>
      <w:pPr>
        <w:pStyle w:val="60"/>
      </w:pPr>
      <w:r>
        <w:rPr>
          <w:rFonts w:hint="eastAsia"/>
        </w:rPr>
        <w:t>烃类液体中可加入微量的防静电添加剂，使电导率提高至 250</w:t>
      </w:r>
      <w:r>
        <w:t> </w:t>
      </w:r>
      <w:r>
        <w:rPr>
          <w:rFonts w:hint="eastAsia"/>
        </w:rPr>
        <w:t>pS/m 以上。</w:t>
      </w:r>
    </w:p>
    <w:p>
      <w:pPr>
        <w:pStyle w:val="60"/>
      </w:pPr>
      <w:r>
        <w:rPr>
          <w:rFonts w:hint="eastAsia"/>
        </w:rPr>
        <w:t>当在烃类液体中加入防静电添加剂来消除静电时，其容器应是静电导体并可靠接地，且需定期检测其电导率，以便使其数值保持在规定要求以上。</w:t>
      </w:r>
    </w:p>
    <w:p>
      <w:pPr>
        <w:pStyle w:val="60"/>
      </w:pPr>
      <w:r>
        <w:rPr>
          <w:rFonts w:hint="eastAsia"/>
        </w:rPr>
        <w:t>当不能以控制流速等方法来减少静电积聚时，可以在管道的末端装设液体静电消除器。</w:t>
      </w:r>
    </w:p>
    <w:p>
      <w:pPr>
        <w:pStyle w:val="60"/>
      </w:pPr>
      <w:r>
        <w:rPr>
          <w:rFonts w:hint="eastAsia"/>
        </w:rPr>
        <w:t>当用软管输送易燃液体时，应使用导电软管或内附金属丝、网的橡胶管，且在相接时注意静电的导通性。</w:t>
      </w:r>
    </w:p>
    <w:p>
      <w:pPr>
        <w:pStyle w:val="60"/>
      </w:pPr>
      <w:r>
        <w:rPr>
          <w:rFonts w:hint="eastAsia"/>
        </w:rPr>
        <w:t>在使用小型便携式容器灌装易燃绝缘性液体时，应用金属或导静电容器，不得使用静电非导体容器，对金属容器及金属漏斗应跨接并接地。</w:t>
      </w:r>
    </w:p>
    <w:p>
      <w:pPr>
        <w:pStyle w:val="60"/>
      </w:pPr>
      <w:r>
        <w:rPr>
          <w:rFonts w:hint="eastAsia"/>
        </w:rPr>
        <w:t>轻质油品装油时，油面电位应低于12</w:t>
      </w:r>
      <w:r>
        <w:t> </w:t>
      </w:r>
      <w:r>
        <w:rPr>
          <w:rFonts w:hint="eastAsia"/>
        </w:rPr>
        <w:t>kV。</w:t>
      </w:r>
    </w:p>
    <w:p>
      <w:pPr>
        <w:pStyle w:val="60"/>
      </w:pPr>
      <w:r>
        <w:rPr>
          <w:rFonts w:hint="eastAsia"/>
        </w:rPr>
        <w:t>轻质油品安全静止电导率应大于50</w:t>
      </w:r>
      <w:r>
        <w:t> </w:t>
      </w:r>
      <w:r>
        <w:rPr>
          <w:rFonts w:hint="eastAsia"/>
        </w:rPr>
        <w:t>pS/m。</w:t>
      </w:r>
    </w:p>
    <w:p>
      <w:pPr>
        <w:pStyle w:val="60"/>
      </w:pPr>
      <w:r>
        <w:rPr>
          <w:rFonts w:hint="eastAsia"/>
        </w:rPr>
        <w:t>对于采取了基本防护措施的，内表面涂有静电非导体的导电容器，若其涂层厚度不大于2</w:t>
      </w:r>
      <w:r>
        <w:t> </w:t>
      </w:r>
      <w:r>
        <w:rPr>
          <w:rFonts w:hint="eastAsia"/>
        </w:rPr>
        <w:t>mm,并避免快速重复灌装液体，则此涂层不会增加危险。</w:t>
      </w:r>
    </w:p>
    <w:p>
      <w:pPr>
        <w:pStyle w:val="39"/>
        <w:spacing w:before="156" w:after="156"/>
      </w:pPr>
      <w:r>
        <w:rPr>
          <w:rFonts w:hint="eastAsia"/>
        </w:rPr>
        <w:t>搅拌、混合和调合</w:t>
      </w:r>
    </w:p>
    <w:p>
      <w:pPr>
        <w:pStyle w:val="60"/>
      </w:pPr>
      <w:r>
        <w:rPr>
          <w:rFonts w:hint="eastAsia"/>
        </w:rPr>
        <w:t>搅拌、混合、调合设备的所有金属零部件均应进行电气连接并接地。如果设备有绝缘内衬，可采取内部电荷泄放措施。</w:t>
      </w:r>
    </w:p>
    <w:p>
      <w:pPr>
        <w:pStyle w:val="60"/>
      </w:pPr>
      <w:r>
        <w:rPr>
          <w:rFonts w:hint="eastAsia"/>
        </w:rPr>
        <w:t>不应用压缩空气进行汽油、煤油、轻柴油的调合。重柴油等用压缩空气调合时，应控制风压不大于343</w:t>
      </w:r>
      <w:r>
        <w:t> </w:t>
      </w:r>
      <w:r>
        <w:rPr>
          <w:rFonts w:hint="eastAsia"/>
        </w:rPr>
        <w:t>kPa，并使油品调合温度至少低于该油品闪点20</w:t>
      </w:r>
      <w:r>
        <w:t> </w:t>
      </w:r>
      <w:r>
        <w:rPr>
          <w:rFonts w:hint="eastAsia"/>
        </w:rPr>
        <w:t>℃。</w:t>
      </w:r>
    </w:p>
    <w:p>
      <w:pPr>
        <w:pStyle w:val="39"/>
        <w:spacing w:before="156" w:after="156"/>
      </w:pPr>
      <w:r>
        <w:rPr>
          <w:rFonts w:hint="eastAsia"/>
        </w:rPr>
        <w:t>吹扫和清洗</w:t>
      </w:r>
    </w:p>
    <w:p>
      <w:pPr>
        <w:pStyle w:val="60"/>
      </w:pPr>
      <w:r>
        <w:rPr>
          <w:rFonts w:hint="eastAsia"/>
        </w:rPr>
        <w:t>采用蒸汽进行吹扫和清洗时，受蒸汽喷击的管线、导电物体应与油罐或设备进行接地连接。</w:t>
      </w:r>
    </w:p>
    <w:p>
      <w:pPr>
        <w:pStyle w:val="60"/>
      </w:pPr>
      <w:r>
        <w:rPr>
          <w:rFonts w:hint="eastAsia"/>
        </w:rPr>
        <w:t>不应使用压缩空气对汽油、煤油、苯、轻柴油等产品的管线进行清扫。</w:t>
      </w:r>
    </w:p>
    <w:p>
      <w:pPr>
        <w:pStyle w:val="60"/>
      </w:pPr>
      <w:r>
        <w:rPr>
          <w:rFonts w:hint="eastAsia"/>
        </w:rPr>
        <w:t>不应使用汽油、苯类等易燃溶剂对设备、器具吹扫和清洗。</w:t>
      </w:r>
    </w:p>
    <w:p>
      <w:pPr>
        <w:pStyle w:val="60"/>
      </w:pPr>
      <w:r>
        <w:rPr>
          <w:rFonts w:hint="eastAsia"/>
        </w:rPr>
        <w:t>使用液体喷洗容器时，压力不得大于980</w:t>
      </w:r>
      <w:r>
        <w:t> </w:t>
      </w:r>
      <w:r>
        <w:rPr>
          <w:rFonts w:hint="eastAsia"/>
        </w:rPr>
        <w:t>kPa。</w:t>
      </w:r>
    </w:p>
    <w:p>
      <w:pPr>
        <w:pStyle w:val="60"/>
      </w:pPr>
      <w:r>
        <w:rPr>
          <w:rFonts w:hint="eastAsia"/>
        </w:rPr>
        <w:t>容器的清洗过程应该避免可燃的环境条件，并且在清洗后静置一定时间才可使用。</w:t>
      </w:r>
    </w:p>
    <w:p>
      <w:pPr>
        <w:pStyle w:val="122"/>
      </w:pPr>
      <w:r>
        <w:t>在可燃的环境条件下灌装、检尺、测温、清洗等操作时，应避开可能发生雷暴等危害安全的恶劣天气，同样强烈的阳光照射可使低能量的静电放电造成引燃或引爆。</w:t>
      </w:r>
    </w:p>
    <w:p>
      <w:pPr>
        <w:pStyle w:val="122"/>
      </w:pPr>
      <w:r>
        <w:rPr>
          <w:rFonts w:hint="eastAsia"/>
        </w:rPr>
        <w:t>在易燃易爆液体和空气的混合物接近爆炸浓度极限范围的情况下，应采取作业场所通风措施，必要时可配置惰性气体系统。</w:t>
      </w:r>
    </w:p>
    <w:p>
      <w:pPr>
        <w:pStyle w:val="39"/>
        <w:spacing w:before="156" w:after="156"/>
      </w:pPr>
      <w:r>
        <w:rPr>
          <w:rFonts w:hint="eastAsia"/>
        </w:rPr>
        <w:t>油轮和船舶</w:t>
      </w:r>
    </w:p>
    <w:p>
      <w:pPr>
        <w:pStyle w:val="60"/>
      </w:pPr>
      <w:r>
        <w:rPr>
          <w:rFonts w:hint="eastAsia"/>
        </w:rPr>
        <w:t>作业前应用绝缘护套导线通过防爆开关将码头与船体跨接，作业后拆除跨接连线。输油臂或软管上如装有25</w:t>
      </w:r>
      <w:r>
        <w:t> </w:t>
      </w:r>
      <w:r>
        <w:rPr>
          <w:rFonts w:hint="eastAsia"/>
        </w:rPr>
        <w:t>kΩ~2500</w:t>
      </w:r>
      <w:r>
        <w:t> </w:t>
      </w:r>
      <w:r>
        <w:rPr>
          <w:rFonts w:hint="eastAsia"/>
        </w:rPr>
        <w:t>kΩ的绝缘法兰或防静电软管，不宜设跨接线。使用软管输送轻质油品前，应做电气连续性检查。</w:t>
      </w:r>
    </w:p>
    <w:p>
      <w:pPr>
        <w:pStyle w:val="60"/>
      </w:pPr>
      <w:r>
        <w:rPr>
          <w:rFonts w:hint="eastAsia"/>
        </w:rPr>
        <w:t>禁止采用外部软管从舱口直接灌装轻质油品。不应使用空气或惰性气体将管中剩油驱入油舱内。</w:t>
      </w:r>
    </w:p>
    <w:p>
      <w:pPr>
        <w:pStyle w:val="60"/>
      </w:pPr>
      <w:r>
        <w:rPr>
          <w:rFonts w:hint="eastAsia"/>
        </w:rPr>
        <w:t>装油初速度不大于1</w:t>
      </w:r>
      <w:r>
        <w:t> </w:t>
      </w:r>
      <w:r>
        <w:rPr>
          <w:rFonts w:hint="eastAsia"/>
        </w:rPr>
        <w:t>m/s，当入口管浸没后，可提高流速，但不应大于7</w:t>
      </w:r>
      <w:r>
        <w:t> </w:t>
      </w:r>
      <w:r>
        <w:rPr>
          <w:rFonts w:hint="eastAsia"/>
        </w:rPr>
        <w:t>m/s。</w:t>
      </w:r>
    </w:p>
    <w:p>
      <w:pPr>
        <w:pStyle w:val="60"/>
      </w:pPr>
      <w:r>
        <w:rPr>
          <w:rFonts w:hint="eastAsia"/>
        </w:rPr>
        <w:t>油舱内不应存在任何未接地的浮动物。</w:t>
      </w:r>
    </w:p>
    <w:p>
      <w:pPr>
        <w:pStyle w:val="60"/>
      </w:pPr>
      <w:r>
        <w:rPr>
          <w:rFonts w:hint="eastAsia"/>
        </w:rPr>
        <w:t>装油完毕应静置至少10</w:t>
      </w:r>
      <w:r>
        <w:t> </w:t>
      </w:r>
      <w:r>
        <w:rPr>
          <w:rFonts w:hint="eastAsia"/>
        </w:rPr>
        <w:t>min，再进行采样、测温、检尺等操作。若油舱容积大于5000</w:t>
      </w:r>
      <w:r>
        <w:t> </w:t>
      </w:r>
      <w:r>
        <w:rPr>
          <w:rFonts w:hint="eastAsia"/>
        </w:rPr>
        <w:t>m</w:t>
      </w:r>
      <w:r>
        <w:rPr>
          <w:vertAlign w:val="superscript"/>
        </w:rPr>
        <w:t>3</w:t>
      </w:r>
      <w:r>
        <w:rPr>
          <w:rFonts w:hint="eastAsia"/>
        </w:rPr>
        <w:t>时，应静置30</w:t>
      </w:r>
      <w:r>
        <w:t> </w:t>
      </w:r>
      <w:r>
        <w:rPr>
          <w:rFonts w:hint="eastAsia"/>
        </w:rPr>
        <w:t>min后作业。</w:t>
      </w:r>
    </w:p>
    <w:p>
      <w:pPr>
        <w:pStyle w:val="60"/>
      </w:pPr>
      <w:r>
        <w:rPr>
          <w:rFonts w:hint="eastAsia"/>
        </w:rPr>
        <w:t>当油舱装有闪点小于60</w:t>
      </w:r>
      <w:r>
        <w:t> </w:t>
      </w:r>
      <w:r>
        <w:rPr>
          <w:rFonts w:hint="eastAsia"/>
        </w:rPr>
        <w:t>℃的油品时，油舱系统宜配备惰性气体装置。</w:t>
      </w:r>
    </w:p>
    <w:p>
      <w:pPr>
        <w:pStyle w:val="39"/>
        <w:spacing w:before="156" w:after="156"/>
      </w:pPr>
      <w:r>
        <w:rPr>
          <w:rFonts w:hint="eastAsia"/>
        </w:rPr>
        <w:t>飞机</w:t>
      </w:r>
    </w:p>
    <w:p>
      <w:pPr>
        <w:pStyle w:val="60"/>
      </w:pPr>
      <w:r>
        <w:rPr>
          <w:rFonts w:hint="eastAsia"/>
        </w:rPr>
        <w:t>飞机加油前，应将机体和加油设备同时接地。</w:t>
      </w:r>
    </w:p>
    <w:p>
      <w:pPr>
        <w:pStyle w:val="60"/>
      </w:pPr>
      <w:r>
        <w:rPr>
          <w:rFonts w:hint="eastAsia"/>
        </w:rPr>
        <w:t>压力加油时，机体和加油接头应直接连接。翼上加油时，机体与加油枪应保持良好接触。</w:t>
      </w:r>
    </w:p>
    <w:p>
      <w:pPr>
        <w:pStyle w:val="60"/>
      </w:pPr>
      <w:r>
        <w:rPr>
          <w:rFonts w:hint="eastAsia"/>
        </w:rPr>
        <w:t>飞机加油宜采用导电性软管。</w:t>
      </w:r>
    </w:p>
    <w:p>
      <w:pPr>
        <w:pStyle w:val="60"/>
      </w:pPr>
      <w:r>
        <w:rPr>
          <w:rFonts w:hint="eastAsia"/>
        </w:rPr>
        <w:t>当油品电导率大于</w:t>
      </w:r>
      <w:r>
        <w:rPr>
          <w:rFonts w:hint="eastAsia" w:hAnsi="宋体"/>
        </w:rPr>
        <w:t>250</w:t>
      </w:r>
      <w:r>
        <w:rPr>
          <w:rFonts w:hint="eastAsia" w:ascii="MS Mincho" w:hAnsi="MS Mincho" w:eastAsia="MS Mincho" w:cs="MS Mincho"/>
        </w:rPr>
        <w:t> </w:t>
      </w:r>
      <w:r>
        <w:rPr>
          <w:rFonts w:hint="eastAsia" w:hAnsi="宋体"/>
        </w:rPr>
        <w:t>pS/m</w:t>
      </w:r>
      <w:r>
        <w:rPr>
          <w:rFonts w:hint="eastAsia"/>
        </w:rPr>
        <w:t>时，其加油速度可达至</w:t>
      </w:r>
      <w:r>
        <w:rPr>
          <w:rFonts w:hint="eastAsia" w:hAnsi="宋体"/>
        </w:rPr>
        <w:t>7</w:t>
      </w:r>
      <w:r>
        <w:rPr>
          <w:rFonts w:hint="eastAsia" w:ascii="MS Mincho" w:hAnsi="MS Mincho" w:eastAsia="MS Mincho" w:cs="MS Mincho"/>
        </w:rPr>
        <w:t> </w:t>
      </w:r>
      <w:r>
        <w:rPr>
          <w:rFonts w:hint="eastAsia" w:hAnsi="宋体"/>
        </w:rPr>
        <w:t>m/s</w:t>
      </w:r>
      <w:r>
        <w:rPr>
          <w:rFonts w:hint="eastAsia"/>
        </w:rPr>
        <w:t>。</w:t>
      </w:r>
    </w:p>
    <w:p>
      <w:pPr>
        <w:pStyle w:val="39"/>
        <w:spacing w:before="156" w:after="156"/>
      </w:pPr>
      <w:r>
        <w:rPr>
          <w:rFonts w:hint="eastAsia"/>
        </w:rPr>
        <w:t>油桶</w:t>
      </w:r>
    </w:p>
    <w:p>
      <w:pPr>
        <w:pStyle w:val="60"/>
      </w:pPr>
      <w:r>
        <w:rPr>
          <w:rFonts w:hint="eastAsia"/>
        </w:rPr>
        <w:t>当采用金属管嘴或金属漏斗向金属油桶装油时，各部分应保持良好的电气连接，并可靠接地。</w:t>
      </w:r>
    </w:p>
    <w:p>
      <w:pPr>
        <w:pStyle w:val="60"/>
      </w:pPr>
      <w:r>
        <w:rPr>
          <w:rFonts w:hint="eastAsia"/>
        </w:rPr>
        <w:t>不应使用绝缘性容器加注汽油、煤油等。</w:t>
      </w:r>
    </w:p>
    <w:p>
      <w:pPr>
        <w:pStyle w:val="60"/>
      </w:pPr>
      <w:r>
        <w:rPr>
          <w:rFonts w:hint="eastAsia"/>
        </w:rPr>
        <w:t>防静电容器加注油品时，容器上的任何金属部件应与装油管线跨接。若使用金属漏斗加注，金属漏斗也应接地。</w:t>
      </w:r>
    </w:p>
    <w:p>
      <w:pPr>
        <w:pStyle w:val="39"/>
        <w:spacing w:before="156" w:after="156"/>
      </w:pPr>
      <w:r>
        <w:rPr>
          <w:rFonts w:hint="eastAsia"/>
        </w:rPr>
        <w:t>管路</w:t>
      </w:r>
    </w:p>
    <w:p>
      <w:pPr>
        <w:pStyle w:val="60"/>
      </w:pPr>
      <w:r>
        <w:rPr>
          <w:rFonts w:hint="eastAsia"/>
        </w:rPr>
        <w:t>管路系统的所有金属件，包括护套的金属包覆层应接地。管路两端和每隔200</w:t>
      </w:r>
      <w:r>
        <w:t> </w:t>
      </w:r>
      <w:r>
        <w:rPr>
          <w:rFonts w:hint="eastAsia"/>
        </w:rPr>
        <w:t>m~300</w:t>
      </w:r>
      <w:r>
        <w:t> </w:t>
      </w:r>
      <w:r>
        <w:rPr>
          <w:rFonts w:hint="eastAsia"/>
        </w:rPr>
        <w:t>m处，应有一处接地。当平行管路相距10</w:t>
      </w:r>
      <w:r>
        <w:t> </w:t>
      </w:r>
      <w:r>
        <w:rPr>
          <w:rFonts w:hint="eastAsia"/>
        </w:rPr>
        <w:t>cm以内时，每隔20m应加连接。当管路交叉间距小于10</w:t>
      </w:r>
      <w:r>
        <w:t> </w:t>
      </w:r>
      <w:r>
        <w:rPr>
          <w:rFonts w:hint="eastAsia"/>
        </w:rPr>
        <w:t>cm时，应相连接地。</w:t>
      </w:r>
    </w:p>
    <w:p>
      <w:pPr>
        <w:pStyle w:val="60"/>
      </w:pPr>
      <w:r>
        <w:rPr>
          <w:rFonts w:hint="eastAsia"/>
        </w:rPr>
        <w:t>对金属管路中间的非导体管路段，除需做屏蔽保护外，两端的金属管应分别与接地干线相接。 非导体管路段的金属件应跨接、接地。</w:t>
      </w:r>
    </w:p>
    <w:p>
      <w:pPr>
        <w:pStyle w:val="60"/>
      </w:pPr>
      <w:r>
        <w:rPr>
          <w:rFonts w:hint="eastAsia"/>
        </w:rPr>
        <w:t>管道泵及过滤器、缓冲器等应可靠接地。</w:t>
      </w:r>
    </w:p>
    <w:p>
      <w:pPr>
        <w:pStyle w:val="60"/>
      </w:pPr>
      <w:r>
        <w:rPr>
          <w:rFonts w:hint="eastAsia"/>
        </w:rPr>
        <w:t>用管路输送油品，应避免混入空气、水、灰尘等物质。</w:t>
      </w:r>
    </w:p>
    <w:p>
      <w:pPr>
        <w:pStyle w:val="60"/>
      </w:pPr>
      <w:r>
        <w:rPr>
          <w:rFonts w:hint="eastAsia"/>
        </w:rPr>
        <w:t>应尽量采用金属导体制作管道或部件。当采用静电非导体时，应具体测量并评价其起电程度。 必要时应采取相应措施，评价过程和所采取的措施应形成文件并成为单位内部管理规范文件的一部分。</w:t>
      </w:r>
    </w:p>
    <w:p>
      <w:pPr>
        <w:pStyle w:val="42"/>
        <w:spacing w:before="312" w:after="312"/>
      </w:pPr>
      <w:bookmarkStart w:id="46" w:name="_Toc53175711"/>
      <w:bookmarkStart w:id="47" w:name="_Toc53176650"/>
      <w:r>
        <w:rPr>
          <w:rFonts w:hint="eastAsia"/>
        </w:rPr>
        <w:t>气态和粉体物料的静电防护</w:t>
      </w:r>
      <w:bookmarkEnd w:id="46"/>
      <w:bookmarkEnd w:id="47"/>
    </w:p>
    <w:p>
      <w:pPr>
        <w:pStyle w:val="122"/>
      </w:pPr>
      <w:r>
        <w:rPr>
          <w:rFonts w:hint="eastAsia"/>
        </w:rPr>
        <w:t>作业过程应注意所处区域类型，并进行必要的静电防护措施，应采取如下一项或全部措施：</w:t>
      </w:r>
    </w:p>
    <w:p>
      <w:pPr>
        <w:pStyle w:val="56"/>
        <w:numPr>
          <w:ilvl w:val="0"/>
          <w:numId w:val="21"/>
        </w:numPr>
      </w:pPr>
      <w:r>
        <w:rPr>
          <w:rFonts w:hint="eastAsia"/>
        </w:rPr>
        <w:t>增加散装物料的电导率，例如通过涂层；</w:t>
      </w:r>
    </w:p>
    <w:p>
      <w:pPr>
        <w:pStyle w:val="56"/>
        <w:numPr>
          <w:ilvl w:val="0"/>
          <w:numId w:val="21"/>
        </w:numPr>
      </w:pPr>
      <w:r>
        <w:rPr>
          <w:rFonts w:hint="eastAsia"/>
        </w:rPr>
        <w:t>用接地导电设备代替绝缘设备；</w:t>
      </w:r>
    </w:p>
    <w:p>
      <w:pPr>
        <w:pStyle w:val="56"/>
        <w:numPr>
          <w:ilvl w:val="0"/>
          <w:numId w:val="21"/>
        </w:numPr>
      </w:pPr>
      <w:r>
        <w:rPr>
          <w:rFonts w:hint="eastAsia"/>
        </w:rPr>
        <w:t>粉末加湿；</w:t>
      </w:r>
    </w:p>
    <w:p>
      <w:pPr>
        <w:pStyle w:val="56"/>
        <w:numPr>
          <w:ilvl w:val="0"/>
          <w:numId w:val="21"/>
        </w:numPr>
      </w:pPr>
      <w:r>
        <w:rPr>
          <w:rFonts w:hint="eastAsia"/>
        </w:rPr>
        <w:t>电离；</w:t>
      </w:r>
    </w:p>
    <w:p>
      <w:pPr>
        <w:pStyle w:val="56"/>
        <w:numPr>
          <w:ilvl w:val="0"/>
          <w:numId w:val="21"/>
        </w:numPr>
      </w:pPr>
      <w:r>
        <w:rPr>
          <w:rFonts w:hint="eastAsia"/>
        </w:rPr>
        <w:t>减少散状物料中的细颗粒，例如，避免磨损或摩擦产生细颗粒；</w:t>
      </w:r>
    </w:p>
    <w:p>
      <w:pPr>
        <w:pStyle w:val="56"/>
        <w:numPr>
          <w:ilvl w:val="0"/>
          <w:numId w:val="21"/>
        </w:numPr>
      </w:pPr>
      <w:r>
        <w:rPr>
          <w:rFonts w:hint="eastAsia"/>
        </w:rPr>
        <w:t>避免分散，例如，用致密相运输代替稀释相运输；</w:t>
      </w:r>
    </w:p>
    <w:p>
      <w:pPr>
        <w:pStyle w:val="56"/>
        <w:numPr>
          <w:ilvl w:val="0"/>
          <w:numId w:val="21"/>
        </w:numPr>
      </w:pPr>
      <w:r>
        <w:rPr>
          <w:rFonts w:hint="eastAsia"/>
        </w:rPr>
        <w:t>减少输送速度、流量和空气流速；</w:t>
      </w:r>
    </w:p>
    <w:p>
      <w:pPr>
        <w:pStyle w:val="56"/>
        <w:numPr>
          <w:ilvl w:val="0"/>
          <w:numId w:val="21"/>
        </w:numPr>
      </w:pPr>
      <w:r>
        <w:rPr>
          <w:rFonts w:hint="eastAsia"/>
        </w:rPr>
        <w:t>采用惰化技术避免静电引燃、引爆风险</w:t>
      </w:r>
    </w:p>
    <w:p>
      <w:pPr>
        <w:pStyle w:val="56"/>
        <w:numPr>
          <w:ilvl w:val="0"/>
          <w:numId w:val="21"/>
        </w:numPr>
      </w:pPr>
      <w:r>
        <w:rPr>
          <w:rFonts w:hint="eastAsia"/>
        </w:rPr>
        <w:t>避免大量散状物料；</w:t>
      </w:r>
    </w:p>
    <w:p>
      <w:pPr>
        <w:pStyle w:val="56"/>
        <w:numPr>
          <w:ilvl w:val="0"/>
          <w:numId w:val="21"/>
        </w:numPr>
      </w:pPr>
      <w:r>
        <w:rPr>
          <w:rFonts w:hint="eastAsia"/>
        </w:rPr>
        <w:t>采用重力运输代替气动运输；</w:t>
      </w:r>
    </w:p>
    <w:p>
      <w:pPr>
        <w:pStyle w:val="56"/>
        <w:numPr>
          <w:ilvl w:val="0"/>
          <w:numId w:val="21"/>
        </w:numPr>
      </w:pPr>
      <w:r>
        <w:rPr>
          <w:rFonts w:hint="eastAsia"/>
        </w:rPr>
        <w:t>气动运输中使用导电性或防静电的管道，依据GB</w:t>
      </w:r>
      <w:r>
        <w:t>/T 9572</w:t>
      </w:r>
      <w:r>
        <w:rPr>
          <w:rFonts w:hint="eastAsia"/>
        </w:rPr>
        <w:t>规定的方法测试，管道内壁任意位置电阻应不大于1</w:t>
      </w:r>
      <w:r>
        <w:t>00 </w:t>
      </w:r>
      <w:r>
        <w:rPr>
          <w:rFonts w:hint="eastAsia"/>
        </w:rPr>
        <w:t>MΩ。</w:t>
      </w:r>
    </w:p>
    <w:p>
      <w:pPr>
        <w:pStyle w:val="122"/>
      </w:pPr>
      <w:r>
        <w:rPr>
          <w:rFonts w:hint="eastAsia"/>
        </w:rPr>
        <w:t>在工艺设备的设计及结构上应避免粉体的不正常滞留、堆积和飞扬；同时还应配置必要的密闭、清扫和排放装置。</w:t>
      </w:r>
    </w:p>
    <w:p>
      <w:pPr>
        <w:pStyle w:val="122"/>
      </w:pPr>
      <w:r>
        <w:rPr>
          <w:rFonts w:hint="eastAsia"/>
        </w:rPr>
        <w:t>粉体的粒径越细，越易起电和点燃。在整个工艺过程中，应尽显避免利用或形成粒径在75</w:t>
      </w:r>
      <w:r>
        <w:t> </w:t>
      </w:r>
      <w:r>
        <w:rPr>
          <w:rFonts w:hint="eastAsia" w:hAnsi="宋体"/>
        </w:rPr>
        <w:t>µm</w:t>
      </w:r>
      <w:r>
        <w:rPr>
          <w:rFonts w:hint="eastAsia"/>
        </w:rPr>
        <w:t>或更小的细微粉尘。</w:t>
      </w:r>
    </w:p>
    <w:p>
      <w:pPr>
        <w:pStyle w:val="122"/>
      </w:pPr>
      <w:r>
        <w:rPr>
          <w:rFonts w:hint="eastAsia"/>
        </w:rPr>
        <w:t>应按工艺分片（分区域）设置相对独立的除尘系统，不同类别的可燃性粉尘不应合用同一除尘系统。</w:t>
      </w:r>
    </w:p>
    <w:p>
      <w:pPr>
        <w:pStyle w:val="122"/>
      </w:pPr>
      <w:r>
        <w:rPr>
          <w:rFonts w:hint="eastAsia"/>
        </w:rPr>
        <w:t>除尘系统的导电部件应进行等电位连接，并可靠接地，接地电阻应小于1</w:t>
      </w:r>
      <w:r>
        <w:t>00 </w:t>
      </w:r>
      <w:r>
        <w:rPr>
          <w:rFonts w:hint="eastAsia"/>
        </w:rPr>
        <w:t>Ω，管道连接法兰应进行防静电跨接。</w:t>
      </w:r>
    </w:p>
    <w:p>
      <w:pPr>
        <w:pStyle w:val="122"/>
      </w:pPr>
      <w:r>
        <w:rPr>
          <w:rFonts w:hint="eastAsia"/>
        </w:rPr>
        <w:t>绝缘性粉尘过滤织物不应隔断导电性或耗散性材料构成的部件的接地连接，当散状物料的MIE小于3</w:t>
      </w:r>
      <w:r>
        <w:t> </w:t>
      </w:r>
      <w:r>
        <w:rPr>
          <w:rFonts w:hint="eastAsia"/>
        </w:rPr>
        <w:t>mJ时，应确保所有金属部件如夹具等接地，且电容大于1</w:t>
      </w:r>
      <w:r>
        <w:t>0 </w:t>
      </w:r>
      <w:r>
        <w:rPr>
          <w:rFonts w:hint="eastAsia"/>
        </w:rPr>
        <w:t>pF。如物料中存在可燃性蒸气或处理MIE小于3</w:t>
      </w:r>
      <w:r>
        <w:t>0 </w:t>
      </w:r>
      <w:r>
        <w:rPr>
          <w:rFonts w:hint="eastAsia"/>
        </w:rPr>
        <w:t>mJ的非金属导电性粉末时，应使用由导电且接地的材料制成的过滤织物，接地电阻应小于1</w:t>
      </w:r>
      <w:r>
        <w:t>00 </w:t>
      </w:r>
      <w:r>
        <w:rPr>
          <w:rFonts w:hint="eastAsia"/>
        </w:rPr>
        <w:t>MΩ。</w:t>
      </w:r>
    </w:p>
    <w:p>
      <w:pPr>
        <w:pStyle w:val="61"/>
      </w:pPr>
      <w:r>
        <w:rPr>
          <w:rFonts w:hint="eastAsia"/>
        </w:rPr>
        <w:t>如相关规程无明确禁止使用干燥介质型集尘器，导电且接地材料制成的过滤织物也可用于MIE小于3</w:t>
      </w:r>
      <w:r>
        <w:t>0 </w:t>
      </w:r>
      <w:r>
        <w:rPr>
          <w:rFonts w:hint="eastAsia"/>
        </w:rPr>
        <w:t>mJ的可燃性金属粉尘。</w:t>
      </w:r>
    </w:p>
    <w:p>
      <w:pPr>
        <w:pStyle w:val="122"/>
      </w:pPr>
      <w:r>
        <w:rPr>
          <w:rFonts w:hint="eastAsia"/>
        </w:rPr>
        <w:t>气流物料输送系统内，应防止偶然性外来金属导体混入，成为对地绝缘的导体。</w:t>
      </w:r>
    </w:p>
    <w:p>
      <w:pPr>
        <w:pStyle w:val="122"/>
      </w:pPr>
      <w:r>
        <w:rPr>
          <w:rFonts w:hint="eastAsia"/>
        </w:rPr>
        <w:t>应采用金属导体制作管道或部件，当采用静电非导体时，应具体测量并评估其起电程度，必要时采取相应措施，测量和评估过程及所采取措施应形成文件并成为单位内部管理规范文件的一部分。</w:t>
      </w:r>
    </w:p>
    <w:p>
      <w:pPr>
        <w:pStyle w:val="122"/>
      </w:pPr>
      <w:r>
        <w:rPr>
          <w:rFonts w:hint="eastAsia"/>
        </w:rPr>
        <w:t>所有金属设备、装置外壳、金属管道、支架、构件、部件等，应采用防静电直接接地措施，不便或工艺不准许直接接地的，应通过导静电材料或制品间接接地。</w:t>
      </w:r>
    </w:p>
    <w:p>
      <w:pPr>
        <w:pStyle w:val="122"/>
      </w:pPr>
      <w:r>
        <w:rPr>
          <w:rFonts w:hint="eastAsia"/>
        </w:rPr>
        <w:t>直接用于盛装起电粉料的器具、输送粉料的管道（带）等，应采用金属或防静电材料制成。</w:t>
      </w:r>
    </w:p>
    <w:p>
      <w:pPr>
        <w:pStyle w:val="122"/>
      </w:pPr>
      <w:r>
        <w:rPr>
          <w:rFonts w:hint="eastAsia"/>
        </w:rPr>
        <w:t>金属管道连接处（如法兰），应进行防静电跨接。</w:t>
      </w:r>
    </w:p>
    <w:p>
      <w:pPr>
        <w:pStyle w:val="122"/>
      </w:pPr>
      <w:r>
        <w:rPr>
          <w:rFonts w:hint="eastAsia"/>
        </w:rPr>
        <w:t>必要时，可在气流输送系统的管道中央，顺其走向加设两端接地的金属线，以降低管内静电电位。也可采取专用的管道静电消除器。</w:t>
      </w:r>
    </w:p>
    <w:p>
      <w:pPr>
        <w:pStyle w:val="122"/>
      </w:pPr>
      <w:r>
        <w:rPr>
          <w:rFonts w:hint="eastAsia"/>
        </w:rPr>
        <w:t>对于强烈带电的粉料，宜先输入小体积的金属接地容器，待静电消除后再装入大型料仓。</w:t>
      </w:r>
    </w:p>
    <w:p>
      <w:pPr>
        <w:pStyle w:val="122"/>
      </w:pPr>
      <w:r>
        <w:rPr>
          <w:rFonts w:hint="eastAsia"/>
        </w:rPr>
        <w:t>大型料仓内部不应有突出的接地导体。在顶部进料时，进料口不得伸出，应与仓顶取平。</w:t>
      </w:r>
    </w:p>
    <w:p>
      <w:pPr>
        <w:pStyle w:val="122"/>
      </w:pPr>
      <w:r>
        <w:rPr>
          <w:rFonts w:hint="eastAsia"/>
        </w:rPr>
        <w:t>当筒仓的直径在</w:t>
      </w:r>
      <w:r>
        <w:t>1.5 </w:t>
      </w:r>
      <w:r>
        <w:rPr>
          <w:rFonts w:hint="eastAsia"/>
        </w:rPr>
        <w:t>m以上时，且工艺中粉尘粒径多数在</w:t>
      </w:r>
      <w:r>
        <w:rPr>
          <w:rFonts w:hint="eastAsia" w:asciiTheme="minorEastAsia" w:hAnsiTheme="minorEastAsia" w:eastAsiaTheme="minorEastAsia"/>
        </w:rPr>
        <w:t>30</w:t>
      </w:r>
      <w:r>
        <w:rPr>
          <w:rFonts w:hint="eastAsia" w:ascii="MS Mincho" w:hAnsi="MS Mincho" w:eastAsia="MS Mincho" w:cs="MS Mincho"/>
        </w:rPr>
        <w:t> </w:t>
      </w:r>
      <w:r>
        <w:rPr>
          <w:rFonts w:hint="eastAsia" w:asciiTheme="minorEastAsia" w:hAnsiTheme="minorEastAsia" w:eastAsiaTheme="minorEastAsia"/>
        </w:rPr>
        <w:t>µm</w:t>
      </w:r>
      <w:r>
        <w:rPr>
          <w:rFonts w:hint="eastAsia"/>
        </w:rPr>
        <w:t>以下时，要用惰性气体置换、密封筒仓。</w:t>
      </w:r>
    </w:p>
    <w:p>
      <w:pPr>
        <w:pStyle w:val="122"/>
      </w:pPr>
      <w:r>
        <w:rPr>
          <w:rFonts w:hint="eastAsia"/>
        </w:rPr>
        <w:t>在填装和清空筒仓过程中，筒仓和容器应接地。</w:t>
      </w:r>
    </w:p>
    <w:p>
      <w:pPr>
        <w:pStyle w:val="122"/>
      </w:pPr>
      <w:r>
        <w:rPr>
          <w:rFonts w:hint="eastAsia"/>
        </w:rPr>
        <w:t>容积大于100</w:t>
      </w:r>
      <w:r>
        <w:t> </w:t>
      </w:r>
      <w:r>
        <w:rPr>
          <w:rFonts w:hint="eastAsia"/>
        </w:rPr>
        <w:t>m</w:t>
      </w:r>
      <w:r>
        <w:rPr>
          <w:rFonts w:hint="eastAsia"/>
          <w:vertAlign w:val="superscript"/>
        </w:rPr>
        <w:t>3</w:t>
      </w:r>
      <w:r>
        <w:rPr>
          <w:rFonts w:hint="eastAsia"/>
        </w:rPr>
        <w:t>，含有可燃性气体的罐，不应用蒸汽清洗。容积不大于100</w:t>
      </w:r>
      <w:r>
        <w:t> </w:t>
      </w:r>
      <w:r>
        <w:rPr>
          <w:rFonts w:hint="eastAsia"/>
        </w:rPr>
        <w:t>m</w:t>
      </w:r>
      <w:r>
        <w:rPr>
          <w:rFonts w:hint="eastAsia"/>
          <w:vertAlign w:val="superscript"/>
        </w:rPr>
        <w:t>3</w:t>
      </w:r>
      <w:r>
        <w:rPr>
          <w:rFonts w:hint="eastAsia"/>
        </w:rPr>
        <w:t>的罐可用蒸汽清洗，但蒸汽喷嘴和系统的其他金属部件应可靠接地，且被清洁的罐和容器也应接地。</w:t>
      </w:r>
    </w:p>
    <w:p>
      <w:pPr>
        <w:pStyle w:val="122"/>
      </w:pPr>
      <w:r>
        <w:rPr>
          <w:rFonts w:hint="eastAsia"/>
        </w:rPr>
        <w:t>工艺中需将静电非导体粉粒投入可燃性液体或混合搅拌时，应采取相应的综合防护措施。</w:t>
      </w:r>
    </w:p>
    <w:p>
      <w:pPr>
        <w:pStyle w:val="122"/>
      </w:pPr>
      <w:r>
        <w:rPr>
          <w:rFonts w:hint="eastAsia"/>
        </w:rPr>
        <w:t>收集和过滤粉料的设备，应采用导静电的容器及滤料并予以接地。</w:t>
      </w:r>
    </w:p>
    <w:p>
      <w:pPr>
        <w:pStyle w:val="122"/>
      </w:pPr>
      <w:r>
        <w:rPr>
          <w:rFonts w:hint="eastAsia"/>
        </w:rPr>
        <w:t>对输送可燃气体的管道或容器等，应防止不正常的泄漏，并应装设气体泄漏自动检测报警器。</w:t>
      </w:r>
    </w:p>
    <w:p>
      <w:pPr>
        <w:pStyle w:val="122"/>
      </w:pPr>
      <w:r>
        <w:rPr>
          <w:rFonts w:hint="eastAsia"/>
        </w:rPr>
        <w:t>采用惰化技术避免静电引燃、引爆风险时，应对采用惰化防爆的工艺设备进行氧浓度监测。</w:t>
      </w:r>
    </w:p>
    <w:p>
      <w:pPr>
        <w:pStyle w:val="122"/>
      </w:pPr>
      <w:r>
        <w:rPr>
          <w:rFonts w:hint="eastAsia"/>
        </w:rPr>
        <w:t>使用惰性气体对含有可燃性气体混合物或粉尘悬浮物的罐体进行惰化灌注时，应使用不含颗粒物的气体或在高压释放过程不凝结产生液态或固态相的气体。灌注过程应缓和以避免带动粉尘。</w:t>
      </w:r>
    </w:p>
    <w:p>
      <w:pPr>
        <w:pStyle w:val="122"/>
      </w:pPr>
      <w:r>
        <w:rPr>
          <w:rFonts w:hint="eastAsia"/>
        </w:rPr>
        <w:t>高压可燃气体的对空排放，应选择适宜的流向和处所。对于压力高、容量大的气体如液氢排放时，应在排放口装设专用的感应式静电消除器。同时要避开可能发生雷暴等危害安全的恶劣天气。</w:t>
      </w:r>
    </w:p>
    <w:p>
      <w:pPr>
        <w:pStyle w:val="42"/>
        <w:spacing w:before="312" w:after="312"/>
      </w:pPr>
      <w:bookmarkStart w:id="48" w:name="_Toc53175712"/>
      <w:bookmarkStart w:id="49" w:name="_Toc53176651"/>
      <w:r>
        <w:rPr>
          <w:rFonts w:hint="eastAsia"/>
        </w:rPr>
        <w:t>人体静电防护措施</w:t>
      </w:r>
      <w:bookmarkEnd w:id="48"/>
      <w:bookmarkEnd w:id="49"/>
    </w:p>
    <w:p>
      <w:pPr>
        <w:pStyle w:val="122"/>
      </w:pPr>
      <w:r>
        <w:rPr>
          <w:rFonts w:hint="eastAsia"/>
        </w:rPr>
        <w:t>当气体爆炸危险场所的等级属0区和1区，且可燃物的最小点燃能量在 0.25</w:t>
      </w:r>
      <w:r>
        <w:t> </w:t>
      </w:r>
      <w:r>
        <w:rPr>
          <w:rFonts w:hint="eastAsia"/>
        </w:rPr>
        <w:t>mJ以下时，工作人员需穿着防静电鞋、防静电服。防静电服应符合GB</w:t>
      </w:r>
      <w:r>
        <w:t xml:space="preserve"> 12014</w:t>
      </w:r>
      <w:r>
        <w:rPr>
          <w:rFonts w:hint="eastAsia"/>
        </w:rPr>
        <w:t>标准的要求，防静电鞋应符合GB</w:t>
      </w:r>
      <w:r>
        <w:t xml:space="preserve"> 21148</w:t>
      </w:r>
      <w:r>
        <w:rPr>
          <w:rFonts w:hint="eastAsia"/>
        </w:rPr>
        <w:t>的相关要求。如需使用手套，手套的防静电性能应符合GB/T 22</w:t>
      </w:r>
      <w:r>
        <w:t>845</w:t>
      </w:r>
      <w:r>
        <w:rPr>
          <w:rFonts w:hint="eastAsia"/>
        </w:rPr>
        <w:t>的要求。</w:t>
      </w:r>
    </w:p>
    <w:p>
      <w:pPr>
        <w:pStyle w:val="122"/>
      </w:pPr>
      <w:r>
        <w:rPr>
          <w:rFonts w:hint="eastAsia"/>
        </w:rPr>
        <w:t>静电危险场所的工作人员，外层服装应使用符合GB 12014规定的防静电服产品、并搭配符合GB 21148规定的防静电鞋或导电鞋，且各部分穿着物应存在电气连续性，地面应配用导电地面。如需使用手套，手套的防静电性能应符合GB/T 22</w:t>
      </w:r>
      <w:r>
        <w:t>845</w:t>
      </w:r>
      <w:r>
        <w:rPr>
          <w:rFonts w:hint="eastAsia"/>
        </w:rPr>
        <w:t>的要求。</w:t>
      </w:r>
    </w:p>
    <w:p>
      <w:pPr>
        <w:pStyle w:val="122"/>
      </w:pPr>
      <w:r>
        <w:rPr>
          <w:rFonts w:hint="eastAsia"/>
        </w:rPr>
        <w:t>如场地地面，鞋靴等无法为人员提供充分的接地，应使用采用安全有效的局部静电防护措施（如腕带），以防止静电危害的发生。</w:t>
      </w:r>
    </w:p>
    <w:p>
      <w:pPr>
        <w:pStyle w:val="122"/>
      </w:pPr>
      <w:r>
        <w:rPr>
          <w:rFonts w:hint="eastAsia"/>
        </w:rPr>
        <w:t>禁止在静电危险场所穿脱衣物、帽子及类似物，并避免剧烈的身体运动。</w:t>
      </w:r>
    </w:p>
    <w:p>
      <w:pPr>
        <w:pStyle w:val="122"/>
      </w:pPr>
      <w:r>
        <w:rPr>
          <w:rFonts w:hint="eastAsia"/>
        </w:rPr>
        <w:t>在进入静电危险场所前应对进入防静电工作区的人员的静电防护措施进行确认，确认合格后方可进入。</w:t>
      </w:r>
    </w:p>
    <w:p>
      <w:pPr>
        <w:pStyle w:val="122"/>
      </w:pPr>
      <w:r>
        <w:rPr>
          <w:rFonts w:hint="eastAsia"/>
        </w:rPr>
        <w:t>泵房的门外、油罐的上罐扶梯入口与采样口处、装卸作业区内操作平台的扶梯入口及悬梯口处、 装置区采样口处、码头入口处等作业场所应设人体静电消除器。</w:t>
      </w:r>
    </w:p>
    <w:p>
      <w:pPr>
        <w:pStyle w:val="42"/>
        <w:spacing w:before="312" w:after="312"/>
      </w:pPr>
      <w:bookmarkStart w:id="50" w:name="_Toc53175713"/>
      <w:bookmarkStart w:id="51" w:name="_Toc53176652"/>
      <w:r>
        <w:rPr>
          <w:rFonts w:hint="eastAsia"/>
        </w:rPr>
        <w:t>静电事故的分析和确定</w:t>
      </w:r>
      <w:bookmarkEnd w:id="50"/>
      <w:bookmarkEnd w:id="51"/>
    </w:p>
    <w:p>
      <w:pPr>
        <w:pStyle w:val="122"/>
      </w:pPr>
      <w:r>
        <w:rPr>
          <w:rFonts w:hint="eastAsia"/>
        </w:rPr>
        <w:t>凡疑为静电</w:t>
      </w:r>
      <w:bookmarkStart w:id="52" w:name="_Hlk105077154"/>
      <w:r>
        <w:rPr>
          <w:rFonts w:hint="eastAsia"/>
        </w:rPr>
        <w:t>引燃的事故</w:t>
      </w:r>
      <w:bookmarkEnd w:id="52"/>
      <w:r>
        <w:rPr>
          <w:rFonts w:hint="eastAsia"/>
        </w:rPr>
        <w:t>，除按常规进行事故调查分析外，还应按照本部分的规定进行分析及确认。</w:t>
      </w:r>
    </w:p>
    <w:p>
      <w:pPr>
        <w:pStyle w:val="122"/>
      </w:pPr>
      <w:r>
        <w:rPr>
          <w:rFonts w:hint="eastAsia"/>
        </w:rPr>
        <w:t>检查分析是否存在发生静电放电引燃的必要条件：</w:t>
      </w:r>
    </w:p>
    <w:p>
      <w:pPr>
        <w:pStyle w:val="45"/>
      </w:pPr>
      <w:r>
        <w:rPr>
          <w:rFonts w:hint="eastAsia"/>
        </w:rPr>
        <w:t>充分收集事故现场视频记录、人员描述等信息，明确事故发生具体位置、时间、环节及相关人员、设备、物料情况。</w:t>
      </w:r>
    </w:p>
    <w:p>
      <w:pPr>
        <w:pStyle w:val="45"/>
      </w:pPr>
      <w:r>
        <w:rPr>
          <w:rFonts w:hint="eastAsia"/>
        </w:rPr>
        <w:t>通过对有关的运转设备、物料性能、人员操作以及环境情况的分析，推测可能带有静电的设备、物体和带电程度，以及放电的物件、条件和类型。</w:t>
      </w:r>
    </w:p>
    <w:p>
      <w:pPr>
        <w:pStyle w:val="45"/>
      </w:pPr>
      <w:r>
        <w:rPr>
          <w:rFonts w:hint="eastAsia"/>
        </w:rPr>
        <w:t>收集和测取必要的有关技术参数，并估算可能的放电能量。</w:t>
      </w:r>
    </w:p>
    <w:p>
      <w:pPr>
        <w:pStyle w:val="45"/>
      </w:pPr>
      <w:r>
        <w:rPr>
          <w:rFonts w:hint="eastAsia"/>
        </w:rPr>
        <w:t>参考本文件提出的有关界限，对是否属于静电放电火源做出倾向性意见，或对较为简单明显的情况做出相应的结论。</w:t>
      </w:r>
    </w:p>
    <w:p>
      <w:pPr>
        <w:pStyle w:val="122"/>
      </w:pPr>
      <w:r>
        <w:rPr>
          <w:rFonts w:hint="eastAsia"/>
        </w:rPr>
        <w:t>对于较复杂的情况，则应根据实际的需要和可能，选取以下部分或全部内容，作进一步的测试，并通过综合分析后，做出相应的结论。</w:t>
      </w:r>
    </w:p>
    <w:p>
      <w:pPr>
        <w:pStyle w:val="60"/>
      </w:pPr>
      <w:r>
        <w:rPr>
          <w:rFonts w:hint="eastAsia"/>
        </w:rPr>
        <w:t>充分收集或测取有关技术参数，主要包括环境温度湿度和通风情况、可燃物种类、释放源位置及可能的爆炸性气体浓度分布情况，已有的防火防爆措施及其实际作用，与静电有关的物料的流量流速和人员动作及操作情况，非静电的其他火源的可能性等。</w:t>
      </w:r>
    </w:p>
    <w:p>
      <w:pPr>
        <w:pStyle w:val="60"/>
      </w:pPr>
      <w:r>
        <w:rPr>
          <w:rFonts w:hint="eastAsia"/>
        </w:rPr>
        <w:t>遗留残骸件的分析检验，其方法是选出可能带有静电并发生放电的物件（主要是金属件）通过电子显微镜作微观形貌观察，查明是否存在类似“火山口”特征的高温熔融微坑。以确定静电放电的具体部位，肯定事故的原因。</w:t>
      </w:r>
    </w:p>
    <w:p>
      <w:pPr>
        <w:pStyle w:val="60"/>
      </w:pPr>
      <w:r>
        <w:rPr>
          <w:rFonts w:hint="eastAsia"/>
        </w:rPr>
        <w:t>物件的起电程度和放电能量难以用分析的方法予以定量或半定量确定时，需参考事故发生时的具体条件，进行实物模拟试验，加以验证。模拟试验可在现场或在其他适宜场所进行。</w:t>
      </w:r>
    </w:p>
    <w:p>
      <w:pPr>
        <w:pStyle w:val="60"/>
      </w:pPr>
      <w:r>
        <w:rPr>
          <w:rFonts w:hint="eastAsia"/>
        </w:rPr>
        <w:t>对有关情况数据作进一步综合分析，观察各种情况数据间的相互关系是否符合客观规律和是否存在矛盾，必要时还须对其他情况或数据（包括非静电技术方面的）作补充收集或测试，以便做出最终结论。</w:t>
      </w:r>
    </w:p>
    <w:p>
      <w:pPr>
        <w:pStyle w:val="60"/>
        <w:numPr>
          <w:ilvl w:val="0"/>
          <w:numId w:val="0"/>
        </w:numPr>
      </w:pPr>
    </w:p>
    <w:p>
      <w:pPr>
        <w:pStyle w:val="95"/>
      </w:pPr>
    </w:p>
    <w:p>
      <w:pPr>
        <w:pStyle w:val="83"/>
      </w:pPr>
    </w:p>
    <w:p>
      <w:pPr>
        <w:pStyle w:val="81"/>
      </w:pPr>
      <w:r>
        <w:br w:type="textWrapping"/>
      </w:r>
      <w:bookmarkStart w:id="53" w:name="_Toc53176653"/>
      <w:bookmarkStart w:id="54" w:name="_Toc53175714"/>
      <w:r>
        <w:rPr>
          <w:rFonts w:hint="eastAsia"/>
        </w:rPr>
        <w:t>（规范性）</w:t>
      </w:r>
      <w:r>
        <w:br w:type="textWrapping"/>
      </w:r>
      <w:r>
        <w:rPr>
          <w:rFonts w:hint="eastAsia"/>
        </w:rPr>
        <w:t>液体石油产品火灾危险性分类说明</w:t>
      </w:r>
      <w:bookmarkEnd w:id="53"/>
      <w:bookmarkEnd w:id="54"/>
    </w:p>
    <w:p>
      <w:pPr>
        <w:pStyle w:val="99"/>
        <w:spacing w:before="312" w:after="312"/>
      </w:pPr>
      <w:r>
        <w:rPr>
          <w:rFonts w:hint="eastAsia"/>
        </w:rPr>
        <w:t>液体石油产品分类</w:t>
      </w:r>
    </w:p>
    <w:p>
      <w:pPr>
        <w:pStyle w:val="22"/>
      </w:pPr>
      <w:r>
        <w:rPr>
          <w:rFonts w:hint="eastAsia"/>
        </w:rPr>
        <w:t>液体石油产品火灾危险性按闪点高低可分为三类（见表A.</w:t>
      </w:r>
      <w:r>
        <w:t>1</w:t>
      </w:r>
      <w:r>
        <w:rPr>
          <w:rFonts w:hint="eastAsia"/>
        </w:rPr>
        <w:t>），轻质油品为表A.</w:t>
      </w:r>
      <w:r>
        <w:t>1</w:t>
      </w:r>
      <w:r>
        <w:rPr>
          <w:rFonts w:hint="eastAsia"/>
        </w:rPr>
        <w:t>中甲、乙类液体石油产品。</w:t>
      </w:r>
    </w:p>
    <w:p>
      <w:pPr>
        <w:pStyle w:val="84"/>
        <w:spacing w:before="156" w:after="156"/>
      </w:pPr>
      <w:r>
        <w:rPr>
          <w:rFonts w:hint="eastAsia"/>
        </w:rPr>
        <w:t>液体石油产品火灾危险性分级</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13"/>
        <w:gridCol w:w="1417"/>
        <w:gridCol w:w="2127"/>
        <w:gridCol w:w="43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0" w:type="dxa"/>
            <w:gridSpan w:val="2"/>
          </w:tcPr>
          <w:p>
            <w:pPr>
              <w:pStyle w:val="22"/>
              <w:ind w:firstLine="0" w:firstLineChars="0"/>
              <w:jc w:val="center"/>
              <w:rPr>
                <w:sz w:val="18"/>
                <w:szCs w:val="18"/>
              </w:rPr>
            </w:pPr>
            <w:r>
              <w:rPr>
                <w:rFonts w:hint="eastAsia"/>
                <w:sz w:val="18"/>
                <w:szCs w:val="18"/>
              </w:rPr>
              <w:t>类别</w:t>
            </w:r>
          </w:p>
        </w:tc>
        <w:tc>
          <w:tcPr>
            <w:tcW w:w="2127" w:type="dxa"/>
          </w:tcPr>
          <w:p>
            <w:pPr>
              <w:pStyle w:val="22"/>
              <w:ind w:firstLine="0" w:firstLineChars="0"/>
              <w:jc w:val="center"/>
              <w:rPr>
                <w:sz w:val="18"/>
                <w:szCs w:val="18"/>
              </w:rPr>
            </w:pPr>
            <w:r>
              <w:rPr>
                <w:rFonts w:hint="eastAsia"/>
                <w:sz w:val="18"/>
                <w:szCs w:val="18"/>
              </w:rPr>
              <w:t>闪点/℃</w:t>
            </w:r>
          </w:p>
        </w:tc>
        <w:tc>
          <w:tcPr>
            <w:tcW w:w="4387" w:type="dxa"/>
          </w:tcPr>
          <w:p>
            <w:pPr>
              <w:pStyle w:val="22"/>
              <w:ind w:firstLine="0" w:firstLineChars="0"/>
              <w:jc w:val="center"/>
              <w:rPr>
                <w:sz w:val="18"/>
                <w:szCs w:val="18"/>
              </w:rPr>
            </w:pPr>
            <w:r>
              <w:rPr>
                <w:rFonts w:hint="eastAsia"/>
                <w:sz w:val="18"/>
                <w:szCs w:val="18"/>
              </w:rPr>
              <w:t>举例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0" w:type="dxa"/>
            <w:gridSpan w:val="2"/>
          </w:tcPr>
          <w:p>
            <w:pPr>
              <w:pStyle w:val="22"/>
              <w:ind w:firstLine="0" w:firstLineChars="0"/>
              <w:jc w:val="center"/>
              <w:rPr>
                <w:sz w:val="18"/>
                <w:szCs w:val="18"/>
              </w:rPr>
            </w:pPr>
            <w:r>
              <w:rPr>
                <w:rFonts w:hint="eastAsia"/>
                <w:sz w:val="18"/>
                <w:szCs w:val="18"/>
              </w:rPr>
              <w:t>甲</w:t>
            </w:r>
          </w:p>
        </w:tc>
        <w:tc>
          <w:tcPr>
            <w:tcW w:w="2127" w:type="dxa"/>
          </w:tcPr>
          <w:p>
            <w:pPr>
              <w:pStyle w:val="22"/>
              <w:ind w:firstLine="0" w:firstLineChars="0"/>
              <w:rPr>
                <w:sz w:val="18"/>
                <w:szCs w:val="18"/>
              </w:rPr>
            </w:pPr>
            <w:r>
              <w:rPr>
                <w:rFonts w:hint="eastAsia"/>
                <w:sz w:val="18"/>
                <w:szCs w:val="18"/>
              </w:rPr>
              <w:t>＜2</w:t>
            </w:r>
            <w:r>
              <w:rPr>
                <w:sz w:val="18"/>
                <w:szCs w:val="18"/>
              </w:rPr>
              <w:t>8</w:t>
            </w:r>
          </w:p>
        </w:tc>
        <w:tc>
          <w:tcPr>
            <w:tcW w:w="4387" w:type="dxa"/>
          </w:tcPr>
          <w:p>
            <w:pPr>
              <w:pStyle w:val="22"/>
              <w:ind w:firstLine="0" w:firstLineChars="0"/>
              <w:rPr>
                <w:sz w:val="18"/>
                <w:szCs w:val="18"/>
              </w:rPr>
            </w:pPr>
            <w:r>
              <w:rPr>
                <w:rFonts w:hint="eastAsia"/>
                <w:sz w:val="18"/>
                <w:szCs w:val="18"/>
              </w:rPr>
              <w:t>石脑油、苯类、轻质溶剂油、汽油类油品等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0" w:type="dxa"/>
            <w:gridSpan w:val="2"/>
          </w:tcPr>
          <w:p>
            <w:pPr>
              <w:pStyle w:val="22"/>
              <w:ind w:firstLine="0" w:firstLineChars="0"/>
              <w:jc w:val="center"/>
              <w:rPr>
                <w:sz w:val="18"/>
                <w:szCs w:val="18"/>
              </w:rPr>
            </w:pPr>
            <w:r>
              <w:rPr>
                <w:rFonts w:hint="eastAsia"/>
                <w:sz w:val="18"/>
                <w:szCs w:val="18"/>
              </w:rPr>
              <w:t>乙</w:t>
            </w:r>
          </w:p>
        </w:tc>
        <w:tc>
          <w:tcPr>
            <w:tcW w:w="2127" w:type="dxa"/>
          </w:tcPr>
          <w:p>
            <w:pPr>
              <w:pStyle w:val="22"/>
              <w:ind w:firstLine="0" w:firstLineChars="0"/>
              <w:rPr>
                <w:sz w:val="18"/>
                <w:szCs w:val="18"/>
              </w:rPr>
            </w:pPr>
            <w:r>
              <w:rPr>
                <w:rFonts w:hint="eastAsia"/>
                <w:sz w:val="18"/>
                <w:szCs w:val="18"/>
              </w:rPr>
              <w:t>2</w:t>
            </w:r>
            <w:r>
              <w:rPr>
                <w:sz w:val="18"/>
                <w:szCs w:val="18"/>
              </w:rPr>
              <w:t>8</w:t>
            </w:r>
            <w:r>
              <w:rPr>
                <w:rFonts w:hint="eastAsia"/>
                <w:sz w:val="18"/>
                <w:szCs w:val="18"/>
              </w:rPr>
              <w:t>~</w:t>
            </w:r>
            <w:r>
              <w:rPr>
                <w:sz w:val="18"/>
                <w:szCs w:val="18"/>
              </w:rPr>
              <w:t>60</w:t>
            </w:r>
          </w:p>
        </w:tc>
        <w:tc>
          <w:tcPr>
            <w:tcW w:w="4387" w:type="dxa"/>
          </w:tcPr>
          <w:p>
            <w:pPr>
              <w:pStyle w:val="22"/>
              <w:ind w:firstLine="0" w:firstLineChars="0"/>
              <w:rPr>
                <w:sz w:val="18"/>
                <w:szCs w:val="18"/>
              </w:rPr>
            </w:pPr>
            <w:r>
              <w:rPr>
                <w:rFonts w:hint="eastAsia"/>
                <w:sz w:val="18"/>
                <w:szCs w:val="18"/>
              </w:rPr>
              <w:t>喷气燃料、灯用煤油、轻柴油等油品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3" w:type="dxa"/>
            <w:vMerge w:val="restart"/>
          </w:tcPr>
          <w:p>
            <w:pPr>
              <w:pStyle w:val="22"/>
              <w:ind w:firstLine="0" w:firstLineChars="0"/>
              <w:jc w:val="center"/>
              <w:rPr>
                <w:sz w:val="18"/>
                <w:szCs w:val="18"/>
              </w:rPr>
            </w:pPr>
            <w:r>
              <w:rPr>
                <w:rFonts w:hint="eastAsia"/>
                <w:sz w:val="18"/>
                <w:szCs w:val="18"/>
              </w:rPr>
              <w:t>丙</w:t>
            </w:r>
          </w:p>
        </w:tc>
        <w:tc>
          <w:tcPr>
            <w:tcW w:w="1417" w:type="dxa"/>
          </w:tcPr>
          <w:p>
            <w:pPr>
              <w:pStyle w:val="22"/>
              <w:ind w:firstLine="0" w:firstLineChars="0"/>
              <w:jc w:val="center"/>
              <w:rPr>
                <w:sz w:val="18"/>
                <w:szCs w:val="18"/>
              </w:rPr>
            </w:pPr>
            <w:r>
              <w:rPr>
                <w:rFonts w:hint="eastAsia"/>
                <w:sz w:val="18"/>
                <w:szCs w:val="18"/>
              </w:rPr>
              <w:t>A</w:t>
            </w:r>
          </w:p>
        </w:tc>
        <w:tc>
          <w:tcPr>
            <w:tcW w:w="2127" w:type="dxa"/>
          </w:tcPr>
          <w:p>
            <w:pPr>
              <w:pStyle w:val="22"/>
              <w:ind w:firstLine="0" w:firstLineChars="0"/>
              <w:rPr>
                <w:sz w:val="18"/>
                <w:szCs w:val="18"/>
              </w:rPr>
            </w:pPr>
            <w:r>
              <w:rPr>
                <w:rFonts w:hint="eastAsia"/>
                <w:sz w:val="18"/>
                <w:szCs w:val="18"/>
              </w:rPr>
              <w:t>6</w:t>
            </w:r>
            <w:r>
              <w:rPr>
                <w:sz w:val="18"/>
                <w:szCs w:val="18"/>
              </w:rPr>
              <w:t>0</w:t>
            </w:r>
            <w:r>
              <w:rPr>
                <w:rFonts w:hint="eastAsia"/>
                <w:sz w:val="18"/>
                <w:szCs w:val="18"/>
              </w:rPr>
              <w:t>~</w:t>
            </w:r>
            <w:r>
              <w:rPr>
                <w:sz w:val="18"/>
                <w:szCs w:val="18"/>
              </w:rPr>
              <w:t>120</w:t>
            </w:r>
          </w:p>
        </w:tc>
        <w:tc>
          <w:tcPr>
            <w:tcW w:w="4387" w:type="dxa"/>
          </w:tcPr>
          <w:p>
            <w:pPr>
              <w:pStyle w:val="22"/>
              <w:ind w:firstLine="0" w:firstLineChars="0"/>
              <w:rPr>
                <w:sz w:val="18"/>
                <w:szCs w:val="18"/>
              </w:rPr>
            </w:pPr>
            <w:r>
              <w:rPr>
                <w:rFonts w:hint="eastAsia"/>
                <w:sz w:val="18"/>
                <w:szCs w:val="18"/>
              </w:rPr>
              <w:t>重柴油、重油类油品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3" w:type="dxa"/>
            <w:vMerge w:val="continue"/>
          </w:tcPr>
          <w:p>
            <w:pPr>
              <w:pStyle w:val="22"/>
              <w:ind w:firstLine="0" w:firstLineChars="0"/>
              <w:rPr>
                <w:sz w:val="18"/>
                <w:szCs w:val="18"/>
              </w:rPr>
            </w:pPr>
          </w:p>
        </w:tc>
        <w:tc>
          <w:tcPr>
            <w:tcW w:w="1417" w:type="dxa"/>
          </w:tcPr>
          <w:p>
            <w:pPr>
              <w:pStyle w:val="22"/>
              <w:ind w:firstLine="0" w:firstLineChars="0"/>
              <w:jc w:val="center"/>
              <w:rPr>
                <w:sz w:val="18"/>
                <w:szCs w:val="18"/>
              </w:rPr>
            </w:pPr>
            <w:r>
              <w:rPr>
                <w:rFonts w:hint="eastAsia"/>
                <w:sz w:val="18"/>
                <w:szCs w:val="18"/>
              </w:rPr>
              <w:t>B</w:t>
            </w:r>
          </w:p>
        </w:tc>
        <w:tc>
          <w:tcPr>
            <w:tcW w:w="2127" w:type="dxa"/>
          </w:tcPr>
          <w:p>
            <w:pPr>
              <w:pStyle w:val="22"/>
              <w:ind w:firstLine="0" w:firstLineChars="0"/>
              <w:rPr>
                <w:sz w:val="18"/>
                <w:szCs w:val="18"/>
              </w:rPr>
            </w:pPr>
            <w:r>
              <w:rPr>
                <w:rFonts w:hint="eastAsia"/>
                <w:sz w:val="18"/>
                <w:szCs w:val="18"/>
              </w:rPr>
              <w:t>＞1</w:t>
            </w:r>
            <w:r>
              <w:rPr>
                <w:sz w:val="18"/>
                <w:szCs w:val="18"/>
              </w:rPr>
              <w:t>20</w:t>
            </w:r>
          </w:p>
        </w:tc>
        <w:tc>
          <w:tcPr>
            <w:tcW w:w="4387" w:type="dxa"/>
          </w:tcPr>
          <w:p>
            <w:pPr>
              <w:pStyle w:val="22"/>
              <w:ind w:firstLine="0" w:firstLineChars="0"/>
              <w:rPr>
                <w:sz w:val="18"/>
                <w:szCs w:val="18"/>
              </w:rPr>
            </w:pPr>
            <w:r>
              <w:rPr>
                <w:rFonts w:hint="eastAsia"/>
                <w:sz w:val="18"/>
                <w:szCs w:val="18"/>
              </w:rPr>
              <w:t>1</w:t>
            </w:r>
            <w:r>
              <w:rPr>
                <w:sz w:val="18"/>
                <w:szCs w:val="18"/>
              </w:rPr>
              <w:t>00</w:t>
            </w:r>
            <w:r>
              <w:rPr>
                <w:rFonts w:hint="eastAsia"/>
                <w:sz w:val="18"/>
                <w:szCs w:val="18"/>
              </w:rPr>
              <w:t>号、1</w:t>
            </w:r>
            <w:r>
              <w:rPr>
                <w:sz w:val="18"/>
                <w:szCs w:val="18"/>
              </w:rPr>
              <w:t>15</w:t>
            </w:r>
            <w:r>
              <w:rPr>
                <w:rFonts w:hint="eastAsia"/>
                <w:sz w:val="18"/>
                <w:szCs w:val="18"/>
              </w:rPr>
              <w:t>号重油、润滑油等油品</w:t>
            </w:r>
          </w:p>
        </w:tc>
      </w:tr>
    </w:tbl>
    <w:p>
      <w:pPr>
        <w:pStyle w:val="99"/>
        <w:numPr>
          <w:ilvl w:val="0"/>
          <w:numId w:val="0"/>
        </w:numPr>
        <w:spacing w:before="312" w:after="312"/>
      </w:pPr>
    </w:p>
    <w:p>
      <w:pPr>
        <w:pStyle w:val="95"/>
      </w:pPr>
    </w:p>
    <w:p>
      <w:pPr>
        <w:pStyle w:val="83"/>
      </w:pPr>
    </w:p>
    <w:p>
      <w:pPr>
        <w:pStyle w:val="81"/>
      </w:pPr>
      <w:r>
        <w:br w:type="textWrapping"/>
      </w:r>
      <w:bookmarkStart w:id="55" w:name="_Toc53176654"/>
      <w:bookmarkStart w:id="56" w:name="_Toc53175715"/>
      <w:r>
        <w:rPr>
          <w:rFonts w:hint="eastAsia"/>
        </w:rPr>
        <w:t>（资料性）</w:t>
      </w:r>
      <w:r>
        <w:br w:type="textWrapping"/>
      </w:r>
      <w:r>
        <w:rPr>
          <w:rFonts w:hint="eastAsia"/>
        </w:rPr>
        <w:t>静电起电极性序列表</w:t>
      </w:r>
      <w:bookmarkEnd w:id="55"/>
      <w:bookmarkEnd w:id="56"/>
    </w:p>
    <w:p>
      <w:pPr>
        <w:pStyle w:val="22"/>
      </w:pPr>
      <w:r>
        <w:rPr>
          <w:rFonts w:hint="eastAsia"/>
        </w:rPr>
        <w:t>静电起电极性序列表见表B</w:t>
      </w:r>
      <w:r>
        <w:t>.1</w:t>
      </w:r>
      <w:r>
        <w:rPr>
          <w:rFonts w:hint="eastAsia"/>
        </w:rPr>
        <w:t>。</w:t>
      </w:r>
    </w:p>
    <w:p>
      <w:pPr>
        <w:pStyle w:val="84"/>
        <w:spacing w:before="156" w:after="156"/>
      </w:pPr>
      <w:r>
        <w:rPr>
          <w:rFonts w:hint="eastAsia"/>
        </w:rPr>
        <w:t>常用材料静电序列</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36"/>
        <w:gridCol w:w="2336"/>
        <w:gridCol w:w="2336"/>
        <w:gridCol w:w="23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36" w:type="dxa"/>
          </w:tcPr>
          <w:p>
            <w:pPr>
              <w:pStyle w:val="22"/>
              <w:ind w:firstLine="0" w:firstLineChars="0"/>
              <w:rPr>
                <w:rFonts w:hAnsi="宋体"/>
                <w:sz w:val="18"/>
                <w:szCs w:val="18"/>
              </w:rPr>
            </w:pPr>
            <w:r>
              <w:rPr>
                <w:rFonts w:hint="eastAsia" w:hAnsi="宋体"/>
                <w:sz w:val="18"/>
                <w:szCs w:val="18"/>
              </w:rPr>
              <w:t>金属</w:t>
            </w:r>
          </w:p>
        </w:tc>
        <w:tc>
          <w:tcPr>
            <w:tcW w:w="2336" w:type="dxa"/>
          </w:tcPr>
          <w:p>
            <w:pPr>
              <w:pStyle w:val="22"/>
              <w:ind w:firstLine="0" w:firstLineChars="0"/>
              <w:rPr>
                <w:rFonts w:hAnsi="宋体"/>
                <w:sz w:val="18"/>
                <w:szCs w:val="18"/>
              </w:rPr>
            </w:pPr>
            <w:r>
              <w:rPr>
                <w:rFonts w:hint="eastAsia" w:hAnsi="宋体"/>
                <w:sz w:val="18"/>
                <w:szCs w:val="18"/>
              </w:rPr>
              <w:t>纤维</w:t>
            </w:r>
          </w:p>
        </w:tc>
        <w:tc>
          <w:tcPr>
            <w:tcW w:w="2336" w:type="dxa"/>
          </w:tcPr>
          <w:p>
            <w:pPr>
              <w:pStyle w:val="22"/>
              <w:ind w:firstLine="0" w:firstLineChars="0"/>
              <w:rPr>
                <w:rFonts w:hAnsi="宋体"/>
                <w:sz w:val="18"/>
                <w:szCs w:val="18"/>
              </w:rPr>
            </w:pPr>
            <w:r>
              <w:rPr>
                <w:rFonts w:hint="eastAsia" w:hAnsi="宋体"/>
                <w:sz w:val="18"/>
                <w:szCs w:val="18"/>
              </w:rPr>
              <w:t>天然物质</w:t>
            </w:r>
          </w:p>
        </w:tc>
        <w:tc>
          <w:tcPr>
            <w:tcW w:w="2336" w:type="dxa"/>
          </w:tcPr>
          <w:p>
            <w:pPr>
              <w:pStyle w:val="22"/>
              <w:ind w:firstLine="0" w:firstLineChars="0"/>
              <w:rPr>
                <w:rFonts w:hAnsi="宋体"/>
                <w:sz w:val="18"/>
                <w:szCs w:val="18"/>
              </w:rPr>
            </w:pPr>
            <w:r>
              <w:rPr>
                <w:rFonts w:hint="eastAsia" w:hAnsi="宋体"/>
                <w:sz w:val="18"/>
                <w:szCs w:val="18"/>
              </w:rPr>
              <w:t>合成树脂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r>
              <w:rPr>
                <w:rFonts w:hint="eastAsia" w:hAnsi="宋体"/>
                <w:sz w:val="18"/>
                <w:szCs w:val="18"/>
              </w:rPr>
              <w:t>（+）</w:t>
            </w:r>
          </w:p>
        </w:tc>
        <w:tc>
          <w:tcPr>
            <w:tcW w:w="2336" w:type="dxa"/>
          </w:tcPr>
          <w:p>
            <w:pPr>
              <w:pStyle w:val="22"/>
              <w:spacing w:line="240" w:lineRule="exact"/>
              <w:ind w:firstLine="0" w:firstLineChars="0"/>
              <w:rPr>
                <w:rFonts w:hAnsi="宋体"/>
                <w:sz w:val="18"/>
                <w:szCs w:val="18"/>
              </w:rPr>
            </w:pPr>
            <w:r>
              <w:rPr>
                <w:rFonts w:hint="eastAsia" w:hAnsi="宋体"/>
                <w:sz w:val="18"/>
                <w:szCs w:val="18"/>
              </w:rPr>
              <w:t>（+）</w:t>
            </w:r>
          </w:p>
        </w:tc>
        <w:tc>
          <w:tcPr>
            <w:tcW w:w="2336" w:type="dxa"/>
          </w:tcPr>
          <w:p>
            <w:pPr>
              <w:pStyle w:val="22"/>
              <w:spacing w:line="240" w:lineRule="exact"/>
              <w:ind w:firstLine="0" w:firstLineChars="0"/>
              <w:jc w:val="center"/>
              <w:rPr>
                <w:rFonts w:hAnsi="宋体"/>
                <w:sz w:val="18"/>
                <w:szCs w:val="18"/>
              </w:rPr>
            </w:pPr>
            <w:r>
              <w:rPr>
                <w:rFonts w:hint="eastAsia" w:hAnsi="宋体"/>
                <w:sz w:val="18"/>
                <w:szCs w:val="18"/>
              </w:rPr>
              <w:t>（+）</w:t>
            </w:r>
          </w:p>
        </w:tc>
        <w:tc>
          <w:tcPr>
            <w:tcW w:w="2336" w:type="dxa"/>
          </w:tcPr>
          <w:p>
            <w:pPr>
              <w:pStyle w:val="22"/>
              <w:spacing w:line="240" w:lineRule="exact"/>
              <w:ind w:firstLine="0" w:firstLineChars="0"/>
              <w:rPr>
                <w:rFonts w:hAnsi="宋体"/>
                <w:sz w:val="18"/>
                <w:szCs w:val="18"/>
              </w:rPr>
            </w:pPr>
            <w:r>
              <w:rPr>
                <w:rFonts w:hint="eastAsia" w:hAnsi="宋体"/>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jc w:val="center"/>
              <w:rPr>
                <w:rFonts w:hAnsi="宋体"/>
                <w:sz w:val="18"/>
                <w:szCs w:val="18"/>
              </w:rPr>
            </w:pPr>
            <w:r>
              <w:rPr>
                <w:rFonts w:hint="eastAsia" w:hAnsi="宋体"/>
                <w:sz w:val="18"/>
                <w:szCs w:val="18"/>
              </w:rPr>
              <w:t>石棉</w:t>
            </w: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jc w:val="center"/>
              <w:rPr>
                <w:rFonts w:hAnsi="宋体"/>
                <w:sz w:val="18"/>
                <w:szCs w:val="18"/>
              </w:rPr>
            </w:pPr>
            <w:r>
              <w:rPr>
                <w:rFonts w:hint="eastAsia" w:hAnsi="宋体"/>
                <w:sz w:val="18"/>
                <w:szCs w:val="18"/>
              </w:rPr>
              <w:t>毛发、毛皮</w:t>
            </w: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jc w:val="center"/>
              <w:rPr>
                <w:rFonts w:hAnsi="宋体"/>
                <w:sz w:val="18"/>
                <w:szCs w:val="18"/>
              </w:rPr>
            </w:pPr>
            <w:r>
              <w:rPr>
                <w:rFonts w:hint="eastAsia" w:hAnsi="宋体"/>
                <w:sz w:val="18"/>
                <w:szCs w:val="18"/>
              </w:rPr>
              <w:t>玻璃</w:t>
            </w: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jc w:val="center"/>
              <w:rPr>
                <w:rFonts w:hAnsi="宋体"/>
                <w:sz w:val="18"/>
                <w:szCs w:val="18"/>
              </w:rPr>
            </w:pPr>
            <w:r>
              <w:rPr>
                <w:rFonts w:hint="eastAsia" w:hAnsi="宋体"/>
                <w:sz w:val="18"/>
                <w:szCs w:val="18"/>
              </w:rPr>
              <w:t>云母</w:t>
            </w: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羊毛</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尼龙</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人造纤维</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r>
              <w:rPr>
                <w:rFonts w:hint="eastAsia" w:hAnsi="宋体"/>
                <w:sz w:val="18"/>
                <w:szCs w:val="18"/>
              </w:rPr>
              <w:t>铅</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绢</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木棉</w:t>
            </w:r>
          </w:p>
        </w:tc>
        <w:tc>
          <w:tcPr>
            <w:tcW w:w="2336" w:type="dxa"/>
          </w:tcPr>
          <w:p>
            <w:pPr>
              <w:pStyle w:val="22"/>
              <w:spacing w:line="240" w:lineRule="exact"/>
              <w:ind w:firstLine="0" w:firstLineChars="0"/>
              <w:rPr>
                <w:rFonts w:hAnsi="宋体"/>
                <w:sz w:val="18"/>
                <w:szCs w:val="18"/>
              </w:rPr>
            </w:pPr>
            <w:r>
              <w:rPr>
                <w:rFonts w:hint="eastAsia" w:hAnsi="宋体"/>
                <w:sz w:val="18"/>
                <w:szCs w:val="18"/>
              </w:rPr>
              <w:t>棉</w:t>
            </w: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麻</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木材</w:t>
            </w: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人的皮肤</w:t>
            </w: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玻璃纤维</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r>
              <w:rPr>
                <w:rFonts w:hint="eastAsia" w:hAnsi="宋体"/>
                <w:sz w:val="18"/>
                <w:szCs w:val="18"/>
              </w:rPr>
              <w:t>锌</w:t>
            </w:r>
          </w:p>
        </w:tc>
        <w:tc>
          <w:tcPr>
            <w:tcW w:w="2336" w:type="dxa"/>
          </w:tcPr>
          <w:p>
            <w:pPr>
              <w:pStyle w:val="22"/>
              <w:spacing w:line="240" w:lineRule="exact"/>
              <w:ind w:firstLine="0" w:firstLineChars="0"/>
              <w:rPr>
                <w:rFonts w:hAnsi="宋体"/>
                <w:sz w:val="18"/>
                <w:szCs w:val="18"/>
              </w:rPr>
            </w:pPr>
            <w:r>
              <w:rPr>
                <w:rFonts w:hint="eastAsia" w:hAnsi="宋体"/>
                <w:sz w:val="18"/>
                <w:szCs w:val="18"/>
              </w:rPr>
              <w:t>乙酸酣</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r>
              <w:rPr>
                <w:rFonts w:hint="eastAsia" w:hAnsi="宋体"/>
                <w:sz w:val="18"/>
                <w:szCs w:val="18"/>
              </w:rPr>
              <w:t>铝</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纸</w:t>
            </w: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r>
              <w:rPr>
                <w:rFonts w:hint="eastAsia" w:hAnsi="宋体"/>
                <w:sz w:val="18"/>
                <w:szCs w:val="18"/>
              </w:rPr>
              <w:t>辂</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硬橡胶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r>
              <w:rPr>
                <w:rFonts w:hint="eastAsia" w:hAnsi="宋体"/>
                <w:sz w:val="18"/>
                <w:szCs w:val="18"/>
              </w:rPr>
              <w:t>铁</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r>
              <w:rPr>
                <w:rFonts w:hint="eastAsia" w:hAnsi="宋体"/>
                <w:sz w:val="18"/>
                <w:szCs w:val="18"/>
              </w:rPr>
              <w:t>铜</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r>
              <w:rPr>
                <w:rFonts w:hint="eastAsia" w:hAnsi="宋体"/>
                <w:sz w:val="18"/>
                <w:szCs w:val="18"/>
              </w:rPr>
              <w:t>镍</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r>
              <w:rPr>
                <w:rFonts w:hint="eastAsia" w:hAnsi="宋体"/>
                <w:sz w:val="18"/>
                <w:szCs w:val="18"/>
              </w:rPr>
              <w:t>金</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橡胶</w:t>
            </w:r>
          </w:p>
        </w:tc>
        <w:tc>
          <w:tcPr>
            <w:tcW w:w="2336" w:type="dxa"/>
          </w:tcPr>
          <w:p>
            <w:pPr>
              <w:pStyle w:val="22"/>
              <w:spacing w:line="240" w:lineRule="exact"/>
              <w:ind w:firstLine="0" w:firstLineChars="0"/>
              <w:rPr>
                <w:rFonts w:hAnsi="宋体"/>
                <w:sz w:val="18"/>
                <w:szCs w:val="18"/>
              </w:rPr>
            </w:pPr>
            <w:r>
              <w:rPr>
                <w:rFonts w:hint="eastAsia" w:hAnsi="宋体"/>
                <w:sz w:val="18"/>
                <w:szCs w:val="18"/>
              </w:rPr>
              <w:t>聚苯乙烯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维尼纶</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r>
              <w:rPr>
                <w:rFonts w:hint="eastAsia" w:hAnsi="宋体"/>
                <w:sz w:val="18"/>
                <w:szCs w:val="18"/>
              </w:rPr>
              <w:t>铅</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聚丙烯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聚酯</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丙纶</w:t>
            </w: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聚乙烯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聚偏二氯乙烯</w:t>
            </w:r>
          </w:p>
        </w:tc>
        <w:tc>
          <w:tcPr>
            <w:tcW w:w="2336" w:type="dxa"/>
          </w:tcPr>
          <w:p>
            <w:pPr>
              <w:pStyle w:val="22"/>
              <w:spacing w:line="240" w:lineRule="exact"/>
              <w:ind w:firstLine="0" w:firstLineChars="0"/>
              <w:rPr>
                <w:rFonts w:hAnsi="宋体"/>
                <w:sz w:val="18"/>
                <w:szCs w:val="18"/>
              </w:rPr>
            </w:pPr>
            <w:r>
              <w:rPr>
                <w:rFonts w:hint="eastAsia" w:hAnsi="宋体"/>
                <w:sz w:val="18"/>
                <w:szCs w:val="18"/>
              </w:rPr>
              <w:t>硝化纤维、象牙</w:t>
            </w: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p>
        </w:tc>
        <w:tc>
          <w:tcPr>
            <w:tcW w:w="2336" w:type="dxa"/>
          </w:tcPr>
          <w:p>
            <w:pPr>
              <w:pStyle w:val="22"/>
              <w:spacing w:line="240" w:lineRule="exact"/>
              <w:ind w:firstLine="0" w:firstLineChars="0"/>
              <w:rPr>
                <w:rFonts w:hAnsi="宋体"/>
                <w:sz w:val="18"/>
                <w:szCs w:val="18"/>
              </w:rPr>
            </w:pPr>
            <w:r>
              <w:rPr>
                <w:rFonts w:hint="eastAsia" w:hAnsi="宋体"/>
                <w:sz w:val="18"/>
                <w:szCs w:val="18"/>
              </w:rPr>
              <w:t>玻璃纸</w:t>
            </w:r>
          </w:p>
        </w:tc>
        <w:tc>
          <w:tcPr>
            <w:tcW w:w="2336" w:type="dxa"/>
          </w:tcPr>
          <w:p>
            <w:pPr>
              <w:pStyle w:val="22"/>
              <w:spacing w:line="240" w:lineRule="exact"/>
              <w:ind w:firstLine="0" w:firstLineChars="0"/>
              <w:rPr>
                <w:rFonts w:hAnsi="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spacing w:line="240" w:lineRule="exact"/>
              <w:ind w:firstLine="0" w:firstLineChars="0"/>
              <w:rPr>
                <w:szCs w:val="18"/>
              </w:rPr>
            </w:pPr>
          </w:p>
        </w:tc>
        <w:tc>
          <w:tcPr>
            <w:tcW w:w="2336" w:type="dxa"/>
          </w:tcPr>
          <w:p>
            <w:pPr>
              <w:pStyle w:val="22"/>
              <w:spacing w:line="240" w:lineRule="exact"/>
              <w:ind w:firstLine="0" w:firstLineChars="0"/>
              <w:rPr>
                <w:szCs w:val="18"/>
              </w:rPr>
            </w:pPr>
          </w:p>
        </w:tc>
        <w:tc>
          <w:tcPr>
            <w:tcW w:w="2336" w:type="dxa"/>
          </w:tcPr>
          <w:p>
            <w:pPr>
              <w:pStyle w:val="22"/>
              <w:spacing w:line="240" w:lineRule="exact"/>
              <w:ind w:firstLine="0" w:firstLineChars="0"/>
              <w:rPr>
                <w:szCs w:val="18"/>
              </w:rPr>
            </w:pPr>
          </w:p>
        </w:tc>
        <w:tc>
          <w:tcPr>
            <w:tcW w:w="2336" w:type="dxa"/>
          </w:tcPr>
          <w:p>
            <w:pPr>
              <w:pStyle w:val="22"/>
              <w:spacing w:line="240" w:lineRule="exact"/>
              <w:ind w:firstLine="0" w:firstLineChars="0"/>
              <w:rPr>
                <w:szCs w:val="18"/>
              </w:rPr>
            </w:pPr>
            <w:r>
              <w:rPr>
                <w:rFonts w:hint="eastAsia"/>
                <w:szCs w:val="18"/>
              </w:rPr>
              <w:t>聚氯乙烯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ind w:firstLine="0" w:firstLineChars="0"/>
              <w:rPr>
                <w:szCs w:val="18"/>
              </w:rPr>
            </w:pPr>
          </w:p>
        </w:tc>
        <w:tc>
          <w:tcPr>
            <w:tcW w:w="2336" w:type="dxa"/>
          </w:tcPr>
          <w:p>
            <w:pPr>
              <w:pStyle w:val="22"/>
              <w:ind w:firstLine="0" w:firstLineChars="0"/>
              <w:rPr>
                <w:szCs w:val="18"/>
              </w:rPr>
            </w:pPr>
          </w:p>
        </w:tc>
        <w:tc>
          <w:tcPr>
            <w:tcW w:w="2336" w:type="dxa"/>
          </w:tcPr>
          <w:p>
            <w:pPr>
              <w:pStyle w:val="22"/>
              <w:ind w:firstLine="0" w:firstLineChars="0"/>
              <w:rPr>
                <w:szCs w:val="18"/>
              </w:rPr>
            </w:pPr>
          </w:p>
        </w:tc>
        <w:tc>
          <w:tcPr>
            <w:tcW w:w="2336" w:type="dxa"/>
          </w:tcPr>
          <w:p>
            <w:pPr>
              <w:pStyle w:val="22"/>
              <w:ind w:firstLine="0" w:firstLineChars="0"/>
              <w:rPr>
                <w:szCs w:val="18"/>
              </w:rPr>
            </w:pPr>
            <w:r>
              <w:rPr>
                <w:rFonts w:hint="eastAsia"/>
                <w:szCs w:val="18"/>
              </w:rPr>
              <w:t>聚四氟乙烯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7" w:hRule="atLeast"/>
        </w:trPr>
        <w:tc>
          <w:tcPr>
            <w:tcW w:w="2336" w:type="dxa"/>
          </w:tcPr>
          <w:p>
            <w:pPr>
              <w:pStyle w:val="22"/>
              <w:ind w:firstLine="0" w:firstLineChars="0"/>
              <w:rPr>
                <w:szCs w:val="18"/>
              </w:rPr>
            </w:pPr>
            <w:r>
              <w:rPr>
                <w:rFonts w:hint="eastAsia"/>
                <w:szCs w:val="18"/>
              </w:rPr>
              <w:t>（-）</w:t>
            </w:r>
          </w:p>
        </w:tc>
        <w:tc>
          <w:tcPr>
            <w:tcW w:w="2336" w:type="dxa"/>
          </w:tcPr>
          <w:p>
            <w:pPr>
              <w:pStyle w:val="22"/>
              <w:ind w:firstLine="0" w:firstLineChars="0"/>
              <w:rPr>
                <w:szCs w:val="18"/>
              </w:rPr>
            </w:pPr>
            <w:r>
              <w:rPr>
                <w:rFonts w:hint="eastAsia"/>
                <w:szCs w:val="18"/>
              </w:rPr>
              <w:t>（-）</w:t>
            </w:r>
          </w:p>
        </w:tc>
        <w:tc>
          <w:tcPr>
            <w:tcW w:w="2336" w:type="dxa"/>
          </w:tcPr>
          <w:p>
            <w:pPr>
              <w:pStyle w:val="22"/>
              <w:ind w:firstLine="0" w:firstLineChars="0"/>
              <w:rPr>
                <w:szCs w:val="18"/>
              </w:rPr>
            </w:pPr>
            <w:r>
              <w:rPr>
                <w:rFonts w:hint="eastAsia"/>
                <w:szCs w:val="18"/>
              </w:rPr>
              <w:t>（-）</w:t>
            </w:r>
          </w:p>
        </w:tc>
        <w:tc>
          <w:tcPr>
            <w:tcW w:w="2336" w:type="dxa"/>
          </w:tcPr>
          <w:p>
            <w:pPr>
              <w:pStyle w:val="22"/>
              <w:ind w:firstLine="0" w:firstLineChars="0"/>
              <w:rPr>
                <w:szCs w:val="18"/>
              </w:rPr>
            </w:pPr>
            <w:r>
              <w:rPr>
                <w:rFonts w:hint="eastAsia"/>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trPr>
        <w:tc>
          <w:tcPr>
            <w:tcW w:w="9344" w:type="dxa"/>
            <w:gridSpan w:val="4"/>
          </w:tcPr>
          <w:p>
            <w:pPr>
              <w:pStyle w:val="54"/>
            </w:pPr>
            <w:r>
              <w:rPr>
                <w:rFonts w:hint="eastAsia"/>
              </w:rPr>
              <w:t>表中列出的两种物质相互摩擦时，处在表中上面位置的物质带芷电，下面位置的带负电（属于不同种类的物质相互摩擦时，也是如此），且其带电蜇数值与该两种物质在表中所处上下位置的间癌距离有关，即在同样条件下，两种物质所处的上下位置间隔越远，其摩擦带电量越大。</w:t>
            </w:r>
          </w:p>
        </w:tc>
      </w:tr>
    </w:tbl>
    <w:p>
      <w:pPr>
        <w:pStyle w:val="22"/>
      </w:pPr>
    </w:p>
    <w:p>
      <w:pPr>
        <w:pStyle w:val="95"/>
      </w:pPr>
    </w:p>
    <w:p>
      <w:pPr>
        <w:pStyle w:val="83"/>
      </w:pPr>
    </w:p>
    <w:p>
      <w:pPr>
        <w:pStyle w:val="81"/>
      </w:pPr>
      <w:r>
        <w:br w:type="textWrapping"/>
      </w:r>
      <w:bookmarkStart w:id="57" w:name="_Toc53175716"/>
      <w:bookmarkStart w:id="58" w:name="_Toc53176655"/>
      <w:r>
        <w:rPr>
          <w:rFonts w:hint="eastAsia"/>
        </w:rPr>
        <w:t>（资料性）</w:t>
      </w:r>
      <w:r>
        <w:br w:type="textWrapping"/>
      </w:r>
      <w:r>
        <w:rPr>
          <w:rFonts w:hint="eastAsia"/>
        </w:rPr>
        <w:t>人体带电电位与静电电击程度关系</w:t>
      </w:r>
      <w:bookmarkEnd w:id="57"/>
      <w:bookmarkEnd w:id="58"/>
    </w:p>
    <w:p>
      <w:pPr>
        <w:pStyle w:val="22"/>
      </w:pPr>
      <w:r>
        <w:rPr>
          <w:rFonts w:hint="eastAsia"/>
        </w:rPr>
        <w:t>人体带电电位与静电电击程度的关系见表C.</w:t>
      </w:r>
      <w:r>
        <w:t>1</w:t>
      </w:r>
      <w:r>
        <w:rPr>
          <w:rFonts w:hint="eastAsia"/>
        </w:rPr>
        <w:t>。</w:t>
      </w:r>
    </w:p>
    <w:p>
      <w:pPr>
        <w:pStyle w:val="84"/>
        <w:spacing w:before="156" w:after="156"/>
      </w:pPr>
      <w:r>
        <w:rPr>
          <w:rFonts w:hint="eastAsia"/>
        </w:rPr>
        <w:t>人体带电电位与静电电击程度关系</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96"/>
        <w:gridCol w:w="4533"/>
        <w:gridCol w:w="31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6" w:type="dxa"/>
          </w:tcPr>
          <w:p>
            <w:pPr>
              <w:pStyle w:val="22"/>
              <w:ind w:firstLine="0" w:firstLineChars="0"/>
              <w:rPr>
                <w:sz w:val="18"/>
                <w:szCs w:val="18"/>
              </w:rPr>
            </w:pPr>
            <w:r>
              <w:rPr>
                <w:rFonts w:hint="eastAsia"/>
                <w:sz w:val="18"/>
                <w:szCs w:val="18"/>
              </w:rPr>
              <w:t>人体电位/</w:t>
            </w:r>
            <w:r>
              <w:rPr>
                <w:sz w:val="18"/>
                <w:szCs w:val="18"/>
              </w:rPr>
              <w:t>kV</w:t>
            </w:r>
          </w:p>
        </w:tc>
        <w:tc>
          <w:tcPr>
            <w:tcW w:w="4533" w:type="dxa"/>
          </w:tcPr>
          <w:p>
            <w:pPr>
              <w:pStyle w:val="22"/>
              <w:ind w:firstLine="0" w:firstLineChars="0"/>
              <w:rPr>
                <w:sz w:val="18"/>
                <w:szCs w:val="18"/>
              </w:rPr>
            </w:pPr>
            <w:r>
              <w:rPr>
                <w:rFonts w:hint="eastAsia"/>
                <w:sz w:val="18"/>
                <w:szCs w:val="18"/>
              </w:rPr>
              <w:t>电击程度</w:t>
            </w:r>
          </w:p>
        </w:tc>
        <w:tc>
          <w:tcPr>
            <w:tcW w:w="3115" w:type="dxa"/>
          </w:tcPr>
          <w:p>
            <w:pPr>
              <w:pStyle w:val="22"/>
              <w:ind w:firstLine="0" w:firstLineChars="0"/>
              <w:rPr>
                <w:sz w:val="18"/>
                <w:szCs w:val="18"/>
              </w:rPr>
            </w:pPr>
            <w:r>
              <w:rPr>
                <w:rFonts w:hint="eastAsia"/>
                <w:sz w:val="18"/>
                <w:szCs w:val="1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6" w:type="dxa"/>
          </w:tcPr>
          <w:p>
            <w:pPr>
              <w:pStyle w:val="22"/>
              <w:ind w:firstLine="0" w:firstLineChars="0"/>
              <w:rPr>
                <w:sz w:val="18"/>
                <w:szCs w:val="18"/>
              </w:rPr>
            </w:pPr>
            <w:r>
              <w:rPr>
                <w:rFonts w:hint="eastAsia"/>
                <w:sz w:val="18"/>
                <w:szCs w:val="18"/>
              </w:rPr>
              <w:t>1</w:t>
            </w:r>
            <w:r>
              <w:rPr>
                <w:sz w:val="18"/>
                <w:szCs w:val="18"/>
              </w:rPr>
              <w:t>.0</w:t>
            </w:r>
          </w:p>
        </w:tc>
        <w:tc>
          <w:tcPr>
            <w:tcW w:w="4533" w:type="dxa"/>
          </w:tcPr>
          <w:p>
            <w:pPr>
              <w:pStyle w:val="22"/>
              <w:ind w:firstLine="0" w:firstLineChars="0"/>
              <w:rPr>
                <w:sz w:val="18"/>
                <w:szCs w:val="18"/>
              </w:rPr>
            </w:pPr>
            <w:r>
              <w:rPr>
                <w:rFonts w:hint="eastAsia"/>
                <w:sz w:val="18"/>
                <w:szCs w:val="18"/>
              </w:rPr>
              <w:t>完全无感觉</w:t>
            </w:r>
          </w:p>
        </w:tc>
        <w:tc>
          <w:tcPr>
            <w:tcW w:w="3115" w:type="dxa"/>
          </w:tcPr>
          <w:p>
            <w:pPr>
              <w:pStyle w:val="22"/>
              <w:ind w:firstLine="0" w:firstLineChars="0"/>
              <w:rPr>
                <w:sz w:val="18"/>
                <w:szCs w:val="18"/>
              </w:rPr>
            </w:pPr>
            <w:r>
              <w:rPr>
                <w:rFonts w:hint="eastAsia"/>
                <w:sz w:val="18"/>
                <w:szCs w:val="18"/>
              </w:rPr>
              <w:t>发出微弱的放电声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6" w:type="dxa"/>
          </w:tcPr>
          <w:p>
            <w:pPr>
              <w:pStyle w:val="22"/>
              <w:ind w:firstLine="0" w:firstLineChars="0"/>
              <w:rPr>
                <w:sz w:val="18"/>
                <w:szCs w:val="18"/>
              </w:rPr>
            </w:pPr>
            <w:r>
              <w:rPr>
                <w:rFonts w:hint="eastAsia"/>
                <w:sz w:val="18"/>
                <w:szCs w:val="18"/>
              </w:rPr>
              <w:t>2</w:t>
            </w:r>
            <w:r>
              <w:rPr>
                <w:sz w:val="18"/>
                <w:szCs w:val="18"/>
              </w:rPr>
              <w:t>.0</w:t>
            </w:r>
          </w:p>
        </w:tc>
        <w:tc>
          <w:tcPr>
            <w:tcW w:w="4533" w:type="dxa"/>
          </w:tcPr>
          <w:p>
            <w:pPr>
              <w:pStyle w:val="22"/>
              <w:ind w:firstLine="0" w:firstLineChars="0"/>
              <w:rPr>
                <w:sz w:val="18"/>
                <w:szCs w:val="18"/>
              </w:rPr>
            </w:pPr>
            <w:r>
              <w:rPr>
                <w:rFonts w:hint="eastAsia"/>
                <w:sz w:val="18"/>
                <w:szCs w:val="18"/>
              </w:rPr>
              <w:t>手指外侧有感觉，但不疼</w:t>
            </w:r>
          </w:p>
        </w:tc>
        <w:tc>
          <w:tcPr>
            <w:tcW w:w="3115" w:type="dxa"/>
          </w:tcPr>
          <w:p>
            <w:pPr>
              <w:pStyle w:val="22"/>
              <w:ind w:firstLine="0" w:firstLineChars="0"/>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6" w:type="dxa"/>
          </w:tcPr>
          <w:p>
            <w:pPr>
              <w:pStyle w:val="22"/>
              <w:ind w:firstLine="0" w:firstLineChars="0"/>
              <w:rPr>
                <w:sz w:val="18"/>
                <w:szCs w:val="18"/>
              </w:rPr>
            </w:pPr>
            <w:r>
              <w:rPr>
                <w:rFonts w:hint="eastAsia"/>
                <w:sz w:val="18"/>
                <w:szCs w:val="18"/>
              </w:rPr>
              <w:t>3</w:t>
            </w:r>
            <w:r>
              <w:rPr>
                <w:sz w:val="18"/>
                <w:szCs w:val="18"/>
              </w:rPr>
              <w:t>.0</w:t>
            </w:r>
          </w:p>
        </w:tc>
        <w:tc>
          <w:tcPr>
            <w:tcW w:w="4533" w:type="dxa"/>
          </w:tcPr>
          <w:p>
            <w:pPr>
              <w:pStyle w:val="22"/>
              <w:ind w:firstLine="0" w:firstLineChars="0"/>
              <w:rPr>
                <w:sz w:val="18"/>
                <w:szCs w:val="18"/>
              </w:rPr>
            </w:pPr>
            <w:r>
              <w:rPr>
                <w:rFonts w:hint="eastAsia"/>
                <w:sz w:val="18"/>
                <w:szCs w:val="18"/>
              </w:rPr>
              <w:t>有针触的感觉，有哆嗦感，但不疼</w:t>
            </w:r>
          </w:p>
        </w:tc>
        <w:tc>
          <w:tcPr>
            <w:tcW w:w="3115" w:type="dxa"/>
          </w:tcPr>
          <w:p>
            <w:pPr>
              <w:pStyle w:val="22"/>
              <w:ind w:firstLine="0" w:firstLineChars="0"/>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6" w:type="dxa"/>
          </w:tcPr>
          <w:p>
            <w:pPr>
              <w:pStyle w:val="22"/>
              <w:ind w:firstLine="0" w:firstLineChars="0"/>
              <w:rPr>
                <w:sz w:val="18"/>
                <w:szCs w:val="18"/>
              </w:rPr>
            </w:pPr>
            <w:r>
              <w:rPr>
                <w:rFonts w:hint="eastAsia"/>
                <w:sz w:val="18"/>
                <w:szCs w:val="18"/>
              </w:rPr>
              <w:t>4</w:t>
            </w:r>
            <w:r>
              <w:rPr>
                <w:sz w:val="18"/>
                <w:szCs w:val="18"/>
              </w:rPr>
              <w:t>.0</w:t>
            </w:r>
          </w:p>
        </w:tc>
        <w:tc>
          <w:tcPr>
            <w:tcW w:w="4533" w:type="dxa"/>
          </w:tcPr>
          <w:p>
            <w:pPr>
              <w:pStyle w:val="22"/>
              <w:ind w:firstLine="0" w:firstLineChars="0"/>
              <w:rPr>
                <w:sz w:val="18"/>
                <w:szCs w:val="18"/>
              </w:rPr>
            </w:pPr>
            <w:r>
              <w:rPr>
                <w:rFonts w:hint="eastAsia"/>
                <w:sz w:val="18"/>
                <w:szCs w:val="18"/>
              </w:rPr>
              <w:t>有被针刺的感觉，微疼</w:t>
            </w:r>
          </w:p>
        </w:tc>
        <w:tc>
          <w:tcPr>
            <w:tcW w:w="3115" w:type="dxa"/>
          </w:tcPr>
          <w:p>
            <w:pPr>
              <w:pStyle w:val="22"/>
              <w:ind w:firstLine="0" w:firstLineChars="0"/>
              <w:rPr>
                <w:sz w:val="18"/>
                <w:szCs w:val="18"/>
              </w:rPr>
            </w:pPr>
            <w:r>
              <w:rPr>
                <w:rFonts w:hint="eastAsia"/>
                <w:sz w:val="18"/>
                <w:szCs w:val="18"/>
              </w:rPr>
              <w:t>见到放电的微光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6" w:type="dxa"/>
          </w:tcPr>
          <w:p>
            <w:pPr>
              <w:pStyle w:val="22"/>
              <w:ind w:firstLine="0" w:firstLineChars="0"/>
              <w:rPr>
                <w:sz w:val="18"/>
                <w:szCs w:val="18"/>
              </w:rPr>
            </w:pPr>
            <w:r>
              <w:rPr>
                <w:rFonts w:hint="eastAsia"/>
                <w:sz w:val="18"/>
                <w:szCs w:val="18"/>
              </w:rPr>
              <w:t>5</w:t>
            </w:r>
            <w:r>
              <w:rPr>
                <w:sz w:val="18"/>
                <w:szCs w:val="18"/>
              </w:rPr>
              <w:t>.0</w:t>
            </w:r>
          </w:p>
        </w:tc>
        <w:tc>
          <w:tcPr>
            <w:tcW w:w="4533" w:type="dxa"/>
          </w:tcPr>
          <w:p>
            <w:pPr>
              <w:pStyle w:val="22"/>
              <w:ind w:firstLine="0" w:firstLineChars="0"/>
              <w:rPr>
                <w:sz w:val="18"/>
                <w:szCs w:val="18"/>
              </w:rPr>
            </w:pPr>
            <w:r>
              <w:rPr>
                <w:rFonts w:hint="eastAsia"/>
                <w:sz w:val="18"/>
                <w:szCs w:val="18"/>
              </w:rPr>
              <w:t>有被针深刺的感觉，手指微疼</w:t>
            </w:r>
          </w:p>
        </w:tc>
        <w:tc>
          <w:tcPr>
            <w:tcW w:w="3115" w:type="dxa"/>
          </w:tcPr>
          <w:p>
            <w:pPr>
              <w:pStyle w:val="22"/>
              <w:ind w:firstLine="0" w:firstLineChars="0"/>
              <w:rPr>
                <w:sz w:val="18"/>
                <w:szCs w:val="18"/>
              </w:rPr>
            </w:pPr>
            <w:r>
              <w:rPr>
                <w:rFonts w:hint="eastAsia"/>
                <w:sz w:val="18"/>
                <w:szCs w:val="18"/>
              </w:rPr>
              <w:t>指尖延伸出微光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6" w:type="dxa"/>
          </w:tcPr>
          <w:p>
            <w:pPr>
              <w:pStyle w:val="22"/>
              <w:ind w:firstLine="0" w:firstLineChars="0"/>
              <w:rPr>
                <w:sz w:val="18"/>
                <w:szCs w:val="18"/>
              </w:rPr>
            </w:pPr>
            <w:r>
              <w:rPr>
                <w:rFonts w:hint="eastAsia"/>
                <w:sz w:val="18"/>
                <w:szCs w:val="18"/>
              </w:rPr>
              <w:t>6</w:t>
            </w:r>
            <w:r>
              <w:rPr>
                <w:sz w:val="18"/>
                <w:szCs w:val="18"/>
              </w:rPr>
              <w:t>.0</w:t>
            </w:r>
          </w:p>
        </w:tc>
        <w:tc>
          <w:tcPr>
            <w:tcW w:w="4533" w:type="dxa"/>
          </w:tcPr>
          <w:p>
            <w:pPr>
              <w:pStyle w:val="22"/>
              <w:ind w:firstLine="0" w:firstLineChars="0"/>
              <w:rPr>
                <w:sz w:val="18"/>
                <w:szCs w:val="18"/>
              </w:rPr>
            </w:pPr>
            <w:r>
              <w:rPr>
                <w:rFonts w:hint="eastAsia"/>
                <w:sz w:val="18"/>
                <w:szCs w:val="18"/>
              </w:rPr>
              <w:t>从手掌到前腕感到疼</w:t>
            </w:r>
          </w:p>
        </w:tc>
        <w:tc>
          <w:tcPr>
            <w:tcW w:w="3115" w:type="dxa"/>
          </w:tcPr>
          <w:p>
            <w:pPr>
              <w:pStyle w:val="22"/>
              <w:ind w:firstLine="0" w:firstLineChars="0"/>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6" w:type="dxa"/>
          </w:tcPr>
          <w:p>
            <w:pPr>
              <w:pStyle w:val="22"/>
              <w:ind w:firstLine="0" w:firstLineChars="0"/>
              <w:rPr>
                <w:sz w:val="18"/>
                <w:szCs w:val="18"/>
              </w:rPr>
            </w:pPr>
            <w:r>
              <w:rPr>
                <w:rFonts w:hint="eastAsia"/>
                <w:sz w:val="18"/>
                <w:szCs w:val="18"/>
              </w:rPr>
              <w:t>7</w:t>
            </w:r>
            <w:r>
              <w:rPr>
                <w:sz w:val="18"/>
                <w:szCs w:val="18"/>
              </w:rPr>
              <w:t>.0</w:t>
            </w:r>
          </w:p>
        </w:tc>
        <w:tc>
          <w:tcPr>
            <w:tcW w:w="4533" w:type="dxa"/>
          </w:tcPr>
          <w:p>
            <w:pPr>
              <w:pStyle w:val="22"/>
              <w:ind w:firstLine="0" w:firstLineChars="0"/>
              <w:rPr>
                <w:sz w:val="18"/>
                <w:szCs w:val="18"/>
              </w:rPr>
            </w:pPr>
            <w:r>
              <w:rPr>
                <w:rFonts w:hint="eastAsia"/>
                <w:sz w:val="18"/>
                <w:szCs w:val="18"/>
              </w:rPr>
              <w:t>手指感到剧疼，后腕感到沉重</w:t>
            </w:r>
          </w:p>
        </w:tc>
        <w:tc>
          <w:tcPr>
            <w:tcW w:w="3115" w:type="dxa"/>
          </w:tcPr>
          <w:p>
            <w:pPr>
              <w:pStyle w:val="22"/>
              <w:ind w:firstLine="0" w:firstLineChars="0"/>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6" w:type="dxa"/>
          </w:tcPr>
          <w:p>
            <w:pPr>
              <w:pStyle w:val="22"/>
              <w:ind w:firstLine="0" w:firstLineChars="0"/>
              <w:rPr>
                <w:sz w:val="18"/>
                <w:szCs w:val="18"/>
              </w:rPr>
            </w:pPr>
            <w:r>
              <w:rPr>
                <w:rFonts w:hint="eastAsia"/>
                <w:sz w:val="18"/>
                <w:szCs w:val="18"/>
              </w:rPr>
              <w:t>8</w:t>
            </w:r>
            <w:r>
              <w:rPr>
                <w:sz w:val="18"/>
                <w:szCs w:val="18"/>
              </w:rPr>
              <w:t>.0</w:t>
            </w:r>
          </w:p>
        </w:tc>
        <w:tc>
          <w:tcPr>
            <w:tcW w:w="4533" w:type="dxa"/>
          </w:tcPr>
          <w:p>
            <w:pPr>
              <w:pStyle w:val="22"/>
              <w:ind w:firstLine="0" w:firstLineChars="0"/>
              <w:rPr>
                <w:sz w:val="18"/>
                <w:szCs w:val="18"/>
              </w:rPr>
            </w:pPr>
            <w:r>
              <w:rPr>
                <w:rFonts w:hint="eastAsia"/>
                <w:sz w:val="18"/>
                <w:szCs w:val="18"/>
              </w:rPr>
              <w:t>手指和手掌感到剧疼，稍有麻木感觉</w:t>
            </w:r>
          </w:p>
        </w:tc>
        <w:tc>
          <w:tcPr>
            <w:tcW w:w="3115" w:type="dxa"/>
          </w:tcPr>
          <w:p>
            <w:pPr>
              <w:pStyle w:val="22"/>
              <w:ind w:firstLine="0" w:firstLineChars="0"/>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6" w:type="dxa"/>
          </w:tcPr>
          <w:p>
            <w:pPr>
              <w:pStyle w:val="22"/>
              <w:ind w:firstLine="0" w:firstLineChars="0"/>
              <w:rPr>
                <w:sz w:val="18"/>
                <w:szCs w:val="18"/>
              </w:rPr>
            </w:pPr>
            <w:r>
              <w:rPr>
                <w:rFonts w:hint="eastAsia"/>
                <w:sz w:val="18"/>
                <w:szCs w:val="18"/>
              </w:rPr>
              <w:t>9</w:t>
            </w:r>
            <w:r>
              <w:rPr>
                <w:sz w:val="18"/>
                <w:szCs w:val="18"/>
              </w:rPr>
              <w:t>.0</w:t>
            </w:r>
          </w:p>
        </w:tc>
        <w:tc>
          <w:tcPr>
            <w:tcW w:w="4533" w:type="dxa"/>
          </w:tcPr>
          <w:p>
            <w:pPr>
              <w:pStyle w:val="22"/>
              <w:ind w:firstLine="0" w:firstLineChars="0"/>
              <w:rPr>
                <w:sz w:val="18"/>
                <w:szCs w:val="18"/>
              </w:rPr>
            </w:pPr>
            <w:r>
              <w:rPr>
                <w:rFonts w:hint="eastAsia"/>
                <w:sz w:val="18"/>
                <w:szCs w:val="18"/>
              </w:rPr>
              <w:t>从手掌到前腕有麻木的感觉</w:t>
            </w:r>
          </w:p>
        </w:tc>
        <w:tc>
          <w:tcPr>
            <w:tcW w:w="3115" w:type="dxa"/>
          </w:tcPr>
          <w:p>
            <w:pPr>
              <w:pStyle w:val="22"/>
              <w:ind w:firstLine="0" w:firstLineChars="0"/>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6" w:type="dxa"/>
          </w:tcPr>
          <w:p>
            <w:pPr>
              <w:pStyle w:val="22"/>
              <w:ind w:firstLine="0" w:firstLineChars="0"/>
              <w:rPr>
                <w:sz w:val="18"/>
                <w:szCs w:val="18"/>
              </w:rPr>
            </w:pPr>
            <w:r>
              <w:rPr>
                <w:rFonts w:hint="eastAsia"/>
                <w:sz w:val="18"/>
                <w:szCs w:val="18"/>
              </w:rPr>
              <w:t>1</w:t>
            </w:r>
            <w:r>
              <w:rPr>
                <w:sz w:val="18"/>
                <w:szCs w:val="18"/>
              </w:rPr>
              <w:t>0.0</w:t>
            </w:r>
          </w:p>
        </w:tc>
        <w:tc>
          <w:tcPr>
            <w:tcW w:w="4533" w:type="dxa"/>
          </w:tcPr>
          <w:p>
            <w:pPr>
              <w:pStyle w:val="22"/>
              <w:ind w:firstLine="0" w:firstLineChars="0"/>
              <w:rPr>
                <w:sz w:val="18"/>
                <w:szCs w:val="18"/>
              </w:rPr>
            </w:pPr>
            <w:r>
              <w:rPr>
                <w:rFonts w:hint="eastAsia"/>
                <w:sz w:val="18"/>
                <w:szCs w:val="18"/>
              </w:rPr>
              <w:t>手腕子感到剧疼，手感到麻木沉重</w:t>
            </w:r>
          </w:p>
        </w:tc>
        <w:tc>
          <w:tcPr>
            <w:tcW w:w="3115" w:type="dxa"/>
          </w:tcPr>
          <w:p>
            <w:pPr>
              <w:pStyle w:val="22"/>
              <w:ind w:firstLine="0" w:firstLineChars="0"/>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6" w:type="dxa"/>
          </w:tcPr>
          <w:p>
            <w:pPr>
              <w:pStyle w:val="22"/>
              <w:ind w:firstLine="0" w:firstLineChars="0"/>
              <w:rPr>
                <w:sz w:val="18"/>
                <w:szCs w:val="18"/>
              </w:rPr>
            </w:pPr>
            <w:r>
              <w:rPr>
                <w:rFonts w:hint="eastAsia"/>
                <w:sz w:val="18"/>
                <w:szCs w:val="18"/>
              </w:rPr>
              <w:t>1</w:t>
            </w:r>
            <w:r>
              <w:rPr>
                <w:sz w:val="18"/>
                <w:szCs w:val="18"/>
              </w:rPr>
              <w:t>1.0</w:t>
            </w:r>
          </w:p>
        </w:tc>
        <w:tc>
          <w:tcPr>
            <w:tcW w:w="4533" w:type="dxa"/>
          </w:tcPr>
          <w:p>
            <w:pPr>
              <w:pStyle w:val="22"/>
              <w:ind w:firstLine="0" w:firstLineChars="0"/>
              <w:rPr>
                <w:sz w:val="18"/>
                <w:szCs w:val="18"/>
              </w:rPr>
            </w:pPr>
            <w:r>
              <w:rPr>
                <w:rFonts w:hint="eastAsia"/>
                <w:sz w:val="18"/>
                <w:szCs w:val="18"/>
              </w:rPr>
              <w:t>整个手感到疼，有电流过的感觉</w:t>
            </w:r>
          </w:p>
        </w:tc>
        <w:tc>
          <w:tcPr>
            <w:tcW w:w="3115" w:type="dxa"/>
          </w:tcPr>
          <w:p>
            <w:pPr>
              <w:pStyle w:val="22"/>
              <w:ind w:firstLine="0" w:firstLineChars="0"/>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6" w:type="dxa"/>
          </w:tcPr>
          <w:p>
            <w:pPr>
              <w:pStyle w:val="22"/>
              <w:ind w:firstLine="0" w:firstLineChars="0"/>
              <w:rPr>
                <w:sz w:val="18"/>
                <w:szCs w:val="18"/>
              </w:rPr>
            </w:pPr>
            <w:r>
              <w:rPr>
                <w:rFonts w:hint="eastAsia"/>
                <w:sz w:val="18"/>
                <w:szCs w:val="18"/>
              </w:rPr>
              <w:t>1</w:t>
            </w:r>
            <w:r>
              <w:rPr>
                <w:sz w:val="18"/>
                <w:szCs w:val="18"/>
              </w:rPr>
              <w:t>2.0</w:t>
            </w:r>
          </w:p>
        </w:tc>
        <w:tc>
          <w:tcPr>
            <w:tcW w:w="4533" w:type="dxa"/>
          </w:tcPr>
          <w:p>
            <w:pPr>
              <w:pStyle w:val="22"/>
              <w:ind w:firstLine="0" w:firstLineChars="0"/>
              <w:rPr>
                <w:sz w:val="18"/>
                <w:szCs w:val="18"/>
              </w:rPr>
            </w:pPr>
            <w:r>
              <w:rPr>
                <w:rFonts w:hint="eastAsia"/>
                <w:sz w:val="18"/>
                <w:szCs w:val="18"/>
              </w:rPr>
              <w:t>手指剧麻，整个手感到被强烈电击整个手感到被强烈打击</w:t>
            </w:r>
          </w:p>
        </w:tc>
        <w:tc>
          <w:tcPr>
            <w:tcW w:w="3115" w:type="dxa"/>
          </w:tcPr>
          <w:p>
            <w:pPr>
              <w:pStyle w:val="22"/>
              <w:ind w:firstLine="0" w:firstLineChars="0"/>
              <w:rPr>
                <w:sz w:val="18"/>
                <w:szCs w:val="18"/>
              </w:rPr>
            </w:pPr>
          </w:p>
        </w:tc>
      </w:tr>
    </w:tbl>
    <w:p>
      <w:pPr>
        <w:pStyle w:val="68"/>
      </w:pPr>
      <w:bookmarkStart w:id="59" w:name="BKCKWX"/>
      <w:bookmarkStart w:id="60" w:name="_Toc53176656"/>
      <w:r>
        <w:rPr>
          <w:rFonts w:hint="eastAsia"/>
        </w:rPr>
        <w:t>参</w:t>
      </w:r>
      <w:r>
        <w:rPr>
          <w:rFonts w:hAnsi="黑体"/>
        </w:rPr>
        <w:t> </w:t>
      </w:r>
      <w:r>
        <w:rPr>
          <w:rFonts w:hint="eastAsia"/>
        </w:rPr>
        <w:t>考</w:t>
      </w:r>
      <w:r>
        <w:rPr>
          <w:rFonts w:hAnsi="黑体"/>
        </w:rPr>
        <w:t> </w:t>
      </w:r>
      <w:r>
        <w:rPr>
          <w:rFonts w:hint="eastAsia"/>
        </w:rPr>
        <w:t>文</w:t>
      </w:r>
      <w:r>
        <w:rPr>
          <w:rFonts w:hAnsi="黑体"/>
        </w:rPr>
        <w:t> </w:t>
      </w:r>
      <w:r>
        <w:rPr>
          <w:rFonts w:hint="eastAsia"/>
        </w:rPr>
        <w:t>献</w:t>
      </w:r>
      <w:bookmarkEnd w:id="59"/>
      <w:bookmarkEnd w:id="60"/>
    </w:p>
    <w:p>
      <w:pPr>
        <w:pStyle w:val="22"/>
      </w:pPr>
      <w:r>
        <w:rPr>
          <w:rFonts w:hint="eastAsia"/>
        </w:rPr>
        <w:t>[</w:t>
      </w:r>
      <w:r>
        <w:t xml:space="preserve">1] </w:t>
      </w:r>
      <w:r>
        <w:rPr>
          <w:rFonts w:hint="eastAsia"/>
        </w:rPr>
        <w:t>GB/</w:t>
      </w:r>
      <w:r>
        <w:t xml:space="preserve">T 3836.26-2019 </w:t>
      </w:r>
      <w:r>
        <w:rPr>
          <w:rFonts w:hint="eastAsia"/>
        </w:rPr>
        <w:t>爆炸性环境 第2</w:t>
      </w:r>
      <w:r>
        <w:t>6</w:t>
      </w:r>
      <w:r>
        <w:rPr>
          <w:rFonts w:hint="eastAsia"/>
        </w:rPr>
        <w:t>部分：静电危害 指南</w:t>
      </w:r>
    </w:p>
    <w:p>
      <w:pPr>
        <w:pStyle w:val="22"/>
      </w:pPr>
      <w:r>
        <w:rPr>
          <w:rFonts w:hint="eastAsia"/>
        </w:rPr>
        <w:t>[</w:t>
      </w:r>
      <w:r>
        <w:t xml:space="preserve">2] </w:t>
      </w:r>
      <w:r>
        <w:rPr>
          <w:rFonts w:hint="eastAsia"/>
        </w:rPr>
        <w:t>IEC</w:t>
      </w:r>
      <w:r>
        <w:t xml:space="preserve"> TS 60079-32-1: 2017 Explosive atmospheres Part 32-1: Electrostatic hazards, guidance</w:t>
      </w:r>
    </w:p>
    <w:p>
      <w:pPr>
        <w:pStyle w:val="22"/>
        <w:rPr>
          <w:highlight w:val="none"/>
        </w:rPr>
      </w:pPr>
      <w:r>
        <w:rPr>
          <w:rFonts w:hint="eastAsia"/>
        </w:rPr>
        <w:t>[</w:t>
      </w:r>
      <w:r>
        <w:t>3] N</w:t>
      </w:r>
      <w:r>
        <w:rPr>
          <w:highlight w:val="none"/>
        </w:rPr>
        <w:t>FPA 77: 2019 Recommended Practice on Static Electricity</w:t>
      </w:r>
    </w:p>
    <w:p>
      <w:pPr>
        <w:pStyle w:val="22"/>
        <w:rPr>
          <w:highlight w:val="none"/>
        </w:rPr>
      </w:pPr>
      <w:r>
        <w:rPr>
          <w:highlight w:val="none"/>
        </w:rPr>
        <w:t xml:space="preserve">[4] </w:t>
      </w:r>
      <w:r>
        <w:rPr>
          <w:rFonts w:hint="eastAsia"/>
          <w:highlight w:val="none"/>
        </w:rPr>
        <w:t>日本静电安全指南-</w:t>
      </w:r>
      <w:r>
        <w:rPr>
          <w:highlight w:val="none"/>
        </w:rPr>
        <w:t>2007</w:t>
      </w:r>
    </w:p>
    <w:p>
      <w:pPr>
        <w:pStyle w:val="22"/>
      </w:pPr>
      <w:r>
        <w:rPr>
          <w:rFonts w:hint="eastAsia"/>
        </w:rPr>
        <w:t>[</w:t>
      </w:r>
      <w:r>
        <w:t xml:space="preserve">5] </w:t>
      </w:r>
      <w:r>
        <w:rPr>
          <w:rFonts w:hint="eastAsia"/>
        </w:rPr>
        <w:t>静电放电及危害防护</w:t>
      </w:r>
      <w:r>
        <w:t xml:space="preserve"> </w:t>
      </w:r>
      <w:r>
        <w:rPr>
          <w:rFonts w:hint="eastAsia"/>
        </w:rPr>
        <w:t>刘尚合，武占成等，北京邮电大学出版社，</w:t>
      </w:r>
      <w:r>
        <w:t>2004</w:t>
      </w:r>
    </w:p>
    <w:p>
      <w:pPr>
        <w:pStyle w:val="22"/>
      </w:pPr>
      <w:r>
        <w:rPr>
          <w:rFonts w:hint="eastAsia"/>
        </w:rPr>
        <w:t>[</w:t>
      </w:r>
      <w:r>
        <w:t>6] API RP2003-2015 Protection against ignitions arising out of static, lighting, and stray currents</w:t>
      </w:r>
    </w:p>
    <w:p>
      <w:pPr>
        <w:pStyle w:val="126"/>
        <w:framePr w:wrap="around"/>
      </w:pPr>
      <w:r>
        <w:t>_________________________________</w:t>
      </w:r>
    </w:p>
    <w:sectPr>
      <w:headerReference r:id="rId5" w:type="default"/>
      <w:footerReference r:id="rId6" w:type="default"/>
      <w:pgSz w:w="11906" w:h="16838"/>
      <w:pgMar w:top="567" w:right="1134" w:bottom="1134" w:left="1418" w:header="1418" w:footer="1134" w:gutter="0"/>
      <w:pgNumType w:start="1"/>
      <w:cols w:space="425" w:num="1"/>
      <w:formProt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MS Mincho">
    <w:altName w:val="Kozuka Mincho Pro M"/>
    <w:panose1 w:val="02020609040205080304"/>
    <w:charset w:val="80"/>
    <w:family w:val="modern"/>
    <w:pitch w:val="default"/>
    <w:sig w:usb0="00000000" w:usb1="00000000" w:usb2="00000010" w:usb3="00000000" w:csb0="0002009F" w:csb1="00000000"/>
  </w:font>
  <w:font w:name="Kozuka Mincho Pro M">
    <w:panose1 w:val="02020600000000000000"/>
    <w:charset w:val="80"/>
    <w:family w:val="auto"/>
    <w:pitch w:val="default"/>
    <w:sig w:usb0="00000083" w:usb1="2AC71C11" w:usb2="00000012" w:usb3="00000000" w:csb0="2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Pr>
    <w:r>
      <w:fldChar w:fldCharType="begin"/>
    </w:r>
    <w:r>
      <w:instrText xml:space="preserve"> PAGE  \* MERGEFORMAT </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ascii="黑体" w:hAnsi="黑体" w:eastAsia="黑体"/>
      </w:rPr>
    </w:pPr>
    <w:r>
      <w:rPr>
        <w:rFonts w:ascii="黑体" w:hAnsi="黑体" w:eastAsia="黑体"/>
      </w:rPr>
      <w:t xml:space="preserve">GB </w:t>
    </w:r>
    <w:r>
      <w:rPr>
        <w:rFonts w:hint="eastAsia" w:ascii="黑体" w:hAnsi="黑体" w:eastAsia="黑体"/>
      </w:rPr>
      <w:t>××××</w:t>
    </w:r>
    <w:r>
      <w:rPr>
        <w:rFonts w:ascii="黑体" w:hAnsi="黑体" w:eastAsia="黑体"/>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ascii="黑体" w:hAnsi="黑体" w:eastAsia="黑体"/>
      </w:rPr>
    </w:pPr>
    <w:r>
      <w:rPr>
        <w:rFonts w:ascii="黑体" w:hAnsi="黑体" w:eastAsia="黑体"/>
      </w:rPr>
      <w:t>GB 12158—××××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952887"/>
    <w:multiLevelType w:val="multilevel"/>
    <w:tmpl w:val="0A952887"/>
    <w:lvl w:ilvl="0" w:tentative="0">
      <w:start w:val="1"/>
      <w:numFmt w:val="decimal"/>
      <w:pStyle w:val="62"/>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1">
    <w:nsid w:val="0F805D97"/>
    <w:multiLevelType w:val="multilevel"/>
    <w:tmpl w:val="0F805D97"/>
    <w:lvl w:ilvl="0" w:tentative="0">
      <w:start w:val="1"/>
      <w:numFmt w:val="none"/>
      <w:pStyle w:val="54"/>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
    <w:nsid w:val="1FC91163"/>
    <w:multiLevelType w:val="multilevel"/>
    <w:tmpl w:val="1FC91163"/>
    <w:lvl w:ilvl="0" w:tentative="0">
      <w:start w:val="1"/>
      <w:numFmt w:val="decimal"/>
      <w:pStyle w:val="42"/>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39"/>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43"/>
      <w:suff w:val="nothing"/>
      <w:lvlText w:val="%1.%2.%3　"/>
      <w:lvlJc w:val="left"/>
      <w:pPr>
        <w:ind w:left="0" w:firstLine="0"/>
      </w:pPr>
      <w:rPr>
        <w:rFonts w:hint="eastAsia" w:ascii="黑体" w:hAnsi="Times New Roman" w:eastAsia="黑体"/>
        <w:b w:val="0"/>
        <w:i w:val="0"/>
        <w:sz w:val="21"/>
      </w:rPr>
    </w:lvl>
    <w:lvl w:ilvl="3" w:tentative="0">
      <w:start w:val="1"/>
      <w:numFmt w:val="decimal"/>
      <w:pStyle w:val="48"/>
      <w:suff w:val="nothing"/>
      <w:lvlText w:val="%1.%2.%3.%4　"/>
      <w:lvlJc w:val="left"/>
      <w:pPr>
        <w:ind w:left="0" w:firstLine="0"/>
      </w:pPr>
      <w:rPr>
        <w:rFonts w:hint="eastAsia" w:ascii="黑体" w:hAnsi="Times New Roman" w:eastAsia="黑体"/>
        <w:b w:val="0"/>
        <w:i w:val="0"/>
        <w:sz w:val="21"/>
      </w:rPr>
    </w:lvl>
    <w:lvl w:ilvl="4" w:tentative="0">
      <w:start w:val="1"/>
      <w:numFmt w:val="decimal"/>
      <w:pStyle w:val="52"/>
      <w:suff w:val="nothing"/>
      <w:lvlText w:val="%1.%2.%3.%4.%5　"/>
      <w:lvlJc w:val="left"/>
      <w:pPr>
        <w:ind w:left="0" w:firstLine="0"/>
      </w:pPr>
      <w:rPr>
        <w:rFonts w:hint="eastAsia" w:ascii="黑体" w:hAnsi="Times New Roman" w:eastAsia="黑体"/>
        <w:b w:val="0"/>
        <w:i w:val="0"/>
        <w:sz w:val="21"/>
      </w:rPr>
    </w:lvl>
    <w:lvl w:ilvl="5" w:tentative="0">
      <w:start w:val="1"/>
      <w:numFmt w:val="decimal"/>
      <w:pStyle w:val="53"/>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4B435DB"/>
    <w:multiLevelType w:val="multilevel"/>
    <w:tmpl w:val="24B435DB"/>
    <w:lvl w:ilvl="0" w:tentative="0">
      <w:start w:val="1"/>
      <w:numFmt w:val="lowerLetter"/>
      <w:pStyle w:val="118"/>
      <w:suff w:val="nothing"/>
      <w:lvlText w:val="%1   "/>
      <w:lvlJc w:val="left"/>
      <w:pPr>
        <w:ind w:left="544" w:hanging="181"/>
      </w:pPr>
      <w:rPr>
        <w:rFonts w:hint="eastAsia" w:ascii="宋体" w:hAns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4">
    <w:nsid w:val="29707437"/>
    <w:multiLevelType w:val="multilevel"/>
    <w:tmpl w:val="29707437"/>
    <w:lvl w:ilvl="0" w:tentative="0">
      <w:start w:val="1"/>
      <w:numFmt w:val="none"/>
      <w:pStyle w:val="61"/>
      <w:suff w:val="nothing"/>
      <w:lvlText w:val="%1注："/>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2A8F7113"/>
    <w:multiLevelType w:val="multilevel"/>
    <w:tmpl w:val="2A8F7113"/>
    <w:lvl w:ilvl="0" w:tentative="0">
      <w:start w:val="1"/>
      <w:numFmt w:val="upperLetter"/>
      <w:pStyle w:val="95"/>
      <w:suff w:val="space"/>
      <w:lvlText w:val="%1"/>
      <w:lvlJc w:val="left"/>
      <w:pPr>
        <w:ind w:left="623" w:hanging="425"/>
      </w:pPr>
      <w:rPr>
        <w:rFonts w:hint="eastAsia"/>
      </w:rPr>
    </w:lvl>
    <w:lvl w:ilvl="1" w:tentative="0">
      <w:start w:val="1"/>
      <w:numFmt w:val="decimal"/>
      <w:pStyle w:val="96"/>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6">
    <w:nsid w:val="2C5917C3"/>
    <w:multiLevelType w:val="multilevel"/>
    <w:tmpl w:val="2C5917C3"/>
    <w:lvl w:ilvl="0" w:tentative="0">
      <w:start w:val="1"/>
      <w:numFmt w:val="none"/>
      <w:pStyle w:val="45"/>
      <w:suff w:val="nothing"/>
      <w:lvlText w:val="%1——"/>
      <w:lvlJc w:val="left"/>
      <w:pPr>
        <w:ind w:left="833" w:hanging="408"/>
      </w:pPr>
      <w:rPr>
        <w:rFonts w:hint="eastAsia"/>
      </w:rPr>
    </w:lvl>
    <w:lvl w:ilvl="1" w:tentative="0">
      <w:start w:val="1"/>
      <w:numFmt w:val="bullet"/>
      <w:pStyle w:val="46"/>
      <w:lvlText w:val=""/>
      <w:lvlJc w:val="left"/>
      <w:pPr>
        <w:tabs>
          <w:tab w:val="left" w:pos="760"/>
        </w:tabs>
        <w:ind w:left="1264" w:hanging="413"/>
      </w:pPr>
      <w:rPr>
        <w:rFonts w:hint="default" w:ascii="Symbol" w:hAnsi="Symbol"/>
        <w:color w:val="auto"/>
      </w:rPr>
    </w:lvl>
    <w:lvl w:ilvl="2" w:tentative="0">
      <w:start w:val="1"/>
      <w:numFmt w:val="bullet"/>
      <w:pStyle w:val="57"/>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7">
    <w:nsid w:val="3D733618"/>
    <w:multiLevelType w:val="multilevel"/>
    <w:tmpl w:val="3D733618"/>
    <w:lvl w:ilvl="0" w:tentative="0">
      <w:start w:val="1"/>
      <w:numFmt w:val="decimal"/>
      <w:pStyle w:val="23"/>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8">
    <w:nsid w:val="44C50F90"/>
    <w:multiLevelType w:val="multilevel"/>
    <w:tmpl w:val="44C50F90"/>
    <w:lvl w:ilvl="0" w:tentative="0">
      <w:start w:val="1"/>
      <w:numFmt w:val="lowerLetter"/>
      <w:pStyle w:val="56"/>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51"/>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58"/>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9">
    <w:nsid w:val="520F62E9"/>
    <w:multiLevelType w:val="multilevel"/>
    <w:tmpl w:val="520F62E9"/>
    <w:lvl w:ilvl="0" w:tentative="0">
      <w:start w:val="1"/>
      <w:numFmt w:val="decimal"/>
      <w:pStyle w:val="125"/>
      <w:suff w:val="nothing"/>
      <w:lvlText w:val="图%1　"/>
      <w:lvlJc w:val="left"/>
      <w:pPr>
        <w:ind w:left="0" w:firstLine="0"/>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5E63562F"/>
    <w:multiLevelType w:val="multilevel"/>
    <w:tmpl w:val="5E63562F"/>
    <w:lvl w:ilvl="0" w:tentative="0">
      <w:start w:val="1"/>
      <w:numFmt w:val="decimal"/>
      <w:pStyle w:val="55"/>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11">
    <w:nsid w:val="60B55DC2"/>
    <w:multiLevelType w:val="multilevel"/>
    <w:tmpl w:val="60B55DC2"/>
    <w:lvl w:ilvl="0" w:tentative="0">
      <w:start w:val="1"/>
      <w:numFmt w:val="upperLetter"/>
      <w:pStyle w:val="83"/>
      <w:lvlText w:val="%1"/>
      <w:lvlJc w:val="left"/>
      <w:pPr>
        <w:tabs>
          <w:tab w:val="left" w:pos="0"/>
        </w:tabs>
        <w:ind w:left="0" w:hanging="425"/>
      </w:pPr>
      <w:rPr>
        <w:rFonts w:hint="eastAsia"/>
      </w:rPr>
    </w:lvl>
    <w:lvl w:ilvl="1" w:tentative="0">
      <w:start w:val="1"/>
      <w:numFmt w:val="decimal"/>
      <w:pStyle w:val="84"/>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2">
    <w:nsid w:val="63404DBE"/>
    <w:multiLevelType w:val="multilevel"/>
    <w:tmpl w:val="63404DBE"/>
    <w:lvl w:ilvl="0" w:tentative="0">
      <w:start w:val="1"/>
      <w:numFmt w:val="none"/>
      <w:pStyle w:val="49"/>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3">
    <w:nsid w:val="63AF7EBF"/>
    <w:multiLevelType w:val="multilevel"/>
    <w:tmpl w:val="63AF7EBF"/>
    <w:lvl w:ilvl="0" w:tentative="0">
      <w:start w:val="1"/>
      <w:numFmt w:val="decimal"/>
      <w:pStyle w:val="123"/>
      <w:suff w:val="nothing"/>
      <w:lvlText w:val="表%1　"/>
      <w:lvlJc w:val="left"/>
      <w:pPr>
        <w:ind w:left="0" w:firstLine="0"/>
      </w:pPr>
      <w:rPr>
        <w:rFonts w:hint="eastAsia"/>
        <w:lang w:val="en-US"/>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657D3FBC"/>
    <w:multiLevelType w:val="multilevel"/>
    <w:tmpl w:val="657D3FBC"/>
    <w:lvl w:ilvl="0" w:tentative="0">
      <w:start w:val="1"/>
      <w:numFmt w:val="upperLetter"/>
      <w:pStyle w:val="81"/>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99"/>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0"/>
      <w:suff w:val="nothing"/>
      <w:lvlText w:val="%1.%2.%3　"/>
      <w:lvlJc w:val="left"/>
      <w:pPr>
        <w:ind w:left="0" w:firstLine="0"/>
      </w:pPr>
      <w:rPr>
        <w:rFonts w:hint="eastAsia" w:ascii="黑体" w:hAnsi="Times New Roman" w:eastAsia="黑体"/>
        <w:b w:val="0"/>
        <w:i w:val="0"/>
        <w:sz w:val="21"/>
      </w:rPr>
    </w:lvl>
    <w:lvl w:ilvl="3" w:tentative="0">
      <w:start w:val="1"/>
      <w:numFmt w:val="decimal"/>
      <w:pStyle w:val="85"/>
      <w:suff w:val="nothing"/>
      <w:lvlText w:val="%1.%2.%3.%4　"/>
      <w:lvlJc w:val="left"/>
      <w:pPr>
        <w:ind w:left="0" w:firstLine="0"/>
      </w:pPr>
      <w:rPr>
        <w:rFonts w:hint="eastAsia" w:ascii="黑体" w:hAnsi="Times New Roman" w:eastAsia="黑体"/>
        <w:b w:val="0"/>
        <w:i w:val="0"/>
        <w:sz w:val="21"/>
      </w:rPr>
    </w:lvl>
    <w:lvl w:ilvl="4" w:tentative="0">
      <w:start w:val="1"/>
      <w:numFmt w:val="decimal"/>
      <w:pStyle w:val="90"/>
      <w:suff w:val="nothing"/>
      <w:lvlText w:val="%1.%2.%3.%4.%5　"/>
      <w:lvlJc w:val="left"/>
      <w:pPr>
        <w:ind w:left="0" w:firstLine="0"/>
      </w:pPr>
      <w:rPr>
        <w:rFonts w:hint="eastAsia" w:ascii="黑体" w:hAnsi="Times New Roman" w:eastAsia="黑体"/>
        <w:b w:val="0"/>
        <w:i w:val="0"/>
        <w:sz w:val="21"/>
      </w:rPr>
    </w:lvl>
    <w:lvl w:ilvl="5" w:tentative="0">
      <w:start w:val="1"/>
      <w:numFmt w:val="decimal"/>
      <w:pStyle w:val="93"/>
      <w:suff w:val="nothing"/>
      <w:lvlText w:val="%1.%2.%3.%4.%5.%6　"/>
      <w:lvlJc w:val="left"/>
      <w:pPr>
        <w:ind w:left="0" w:firstLine="0"/>
      </w:pPr>
      <w:rPr>
        <w:rFonts w:hint="eastAsia" w:ascii="黑体" w:hAnsi="Times New Roman" w:eastAsia="黑体"/>
        <w:b w:val="0"/>
        <w:i w:val="0"/>
        <w:sz w:val="21"/>
      </w:rPr>
    </w:lvl>
    <w:lvl w:ilvl="6" w:tentative="0">
      <w:start w:val="1"/>
      <w:numFmt w:val="decimal"/>
      <w:pStyle w:val="9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AB870ED"/>
    <w:multiLevelType w:val="multilevel"/>
    <w:tmpl w:val="6AB870ED"/>
    <w:lvl w:ilvl="0" w:tentative="0">
      <w:start w:val="1"/>
      <w:numFmt w:val="decimal"/>
      <w:pStyle w:val="59"/>
      <w:suff w:val="nothing"/>
      <w:lvlText w:val="示例%1："/>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6">
    <w:nsid w:val="6D6C07CD"/>
    <w:multiLevelType w:val="multilevel"/>
    <w:tmpl w:val="6D6C07CD"/>
    <w:lvl w:ilvl="0" w:tentative="0">
      <w:start w:val="1"/>
      <w:numFmt w:val="lowerLetter"/>
      <w:pStyle w:val="102"/>
      <w:lvlText w:val="%1)"/>
      <w:lvlJc w:val="left"/>
      <w:pPr>
        <w:tabs>
          <w:tab w:val="left" w:pos="839"/>
        </w:tabs>
        <w:ind w:left="839" w:hanging="419"/>
      </w:pPr>
      <w:rPr>
        <w:rFonts w:hint="eastAsia" w:ascii="宋体" w:eastAsia="宋体"/>
        <w:b w:val="0"/>
        <w:i w:val="0"/>
        <w:sz w:val="21"/>
      </w:rPr>
    </w:lvl>
    <w:lvl w:ilvl="1" w:tentative="0">
      <w:start w:val="1"/>
      <w:numFmt w:val="decimal"/>
      <w:pStyle w:val="92"/>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num w:numId="1">
    <w:abstractNumId w:val="7"/>
  </w:num>
  <w:num w:numId="2">
    <w:abstractNumId w:val="2"/>
  </w:num>
  <w:num w:numId="3">
    <w:abstractNumId w:val="6"/>
  </w:num>
  <w:num w:numId="4">
    <w:abstractNumId w:val="12"/>
  </w:num>
  <w:num w:numId="5">
    <w:abstractNumId w:val="8"/>
  </w:num>
  <w:num w:numId="6">
    <w:abstractNumId w:val="1"/>
  </w:num>
  <w:num w:numId="7">
    <w:abstractNumId w:val="10"/>
  </w:num>
  <w:num w:numId="8">
    <w:abstractNumId w:val="15"/>
  </w:num>
  <w:num w:numId="9">
    <w:abstractNumId w:val="4"/>
  </w:num>
  <w:num w:numId="10">
    <w:abstractNumId w:val="0"/>
  </w:num>
  <w:num w:numId="11">
    <w:abstractNumId w:val="14"/>
  </w:num>
  <w:num w:numId="12">
    <w:abstractNumId w:val="11"/>
  </w:num>
  <w:num w:numId="13">
    <w:abstractNumId w:val="16"/>
  </w:num>
  <w:num w:numId="14">
    <w:abstractNumId w:val="5"/>
  </w:num>
  <w:num w:numId="15">
    <w:abstractNumId w:val="3"/>
  </w:num>
  <w:num w:numId="16">
    <w:abstractNumId w:val="13"/>
  </w:num>
  <w:num w:numId="17">
    <w:abstractNumId w:val="9"/>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kxNWMwM2NkODAzOThhMjY1OTBjODkyMGUxYmU0OTIifQ=="/>
  </w:docVars>
  <w:rsids>
    <w:rsidRoot w:val="00035925"/>
    <w:rsid w:val="00000244"/>
    <w:rsid w:val="00000311"/>
    <w:rsid w:val="00000BB3"/>
    <w:rsid w:val="0000185F"/>
    <w:rsid w:val="0000271C"/>
    <w:rsid w:val="00004747"/>
    <w:rsid w:val="00004B91"/>
    <w:rsid w:val="00004E32"/>
    <w:rsid w:val="0000586F"/>
    <w:rsid w:val="000102FB"/>
    <w:rsid w:val="000132BF"/>
    <w:rsid w:val="00013D86"/>
    <w:rsid w:val="00013E02"/>
    <w:rsid w:val="00016CB6"/>
    <w:rsid w:val="0002143C"/>
    <w:rsid w:val="00022671"/>
    <w:rsid w:val="00024519"/>
    <w:rsid w:val="00025A65"/>
    <w:rsid w:val="00026C31"/>
    <w:rsid w:val="00027280"/>
    <w:rsid w:val="000320A7"/>
    <w:rsid w:val="000325EA"/>
    <w:rsid w:val="00034FAA"/>
    <w:rsid w:val="00035925"/>
    <w:rsid w:val="00036C2C"/>
    <w:rsid w:val="00045A7C"/>
    <w:rsid w:val="00054CCE"/>
    <w:rsid w:val="00055371"/>
    <w:rsid w:val="00056A24"/>
    <w:rsid w:val="00057CE5"/>
    <w:rsid w:val="000607A3"/>
    <w:rsid w:val="00063035"/>
    <w:rsid w:val="000657F7"/>
    <w:rsid w:val="00067CDF"/>
    <w:rsid w:val="0007355B"/>
    <w:rsid w:val="00074FBE"/>
    <w:rsid w:val="0007762A"/>
    <w:rsid w:val="00077A1C"/>
    <w:rsid w:val="00081F6E"/>
    <w:rsid w:val="00083A09"/>
    <w:rsid w:val="00084C29"/>
    <w:rsid w:val="00087DF5"/>
    <w:rsid w:val="0009005E"/>
    <w:rsid w:val="000918A9"/>
    <w:rsid w:val="00092001"/>
    <w:rsid w:val="00092618"/>
    <w:rsid w:val="00092857"/>
    <w:rsid w:val="00092BD8"/>
    <w:rsid w:val="000930BA"/>
    <w:rsid w:val="000964C7"/>
    <w:rsid w:val="000979D9"/>
    <w:rsid w:val="00097C53"/>
    <w:rsid w:val="000A20A9"/>
    <w:rsid w:val="000A48B1"/>
    <w:rsid w:val="000A5221"/>
    <w:rsid w:val="000A6788"/>
    <w:rsid w:val="000B2F0E"/>
    <w:rsid w:val="000B3143"/>
    <w:rsid w:val="000B377D"/>
    <w:rsid w:val="000B405D"/>
    <w:rsid w:val="000B511A"/>
    <w:rsid w:val="000C194D"/>
    <w:rsid w:val="000C2BE6"/>
    <w:rsid w:val="000C6539"/>
    <w:rsid w:val="000C6B05"/>
    <w:rsid w:val="000C6DD6"/>
    <w:rsid w:val="000C7312"/>
    <w:rsid w:val="000C73D4"/>
    <w:rsid w:val="000D3D4C"/>
    <w:rsid w:val="000D3E40"/>
    <w:rsid w:val="000D4F51"/>
    <w:rsid w:val="000D5149"/>
    <w:rsid w:val="000D718B"/>
    <w:rsid w:val="000E0C46"/>
    <w:rsid w:val="000E15EE"/>
    <w:rsid w:val="000E25CE"/>
    <w:rsid w:val="000E4629"/>
    <w:rsid w:val="000E6E52"/>
    <w:rsid w:val="000F030C"/>
    <w:rsid w:val="000F129C"/>
    <w:rsid w:val="000F174F"/>
    <w:rsid w:val="000F3A71"/>
    <w:rsid w:val="000F6B9B"/>
    <w:rsid w:val="001009B3"/>
    <w:rsid w:val="00102158"/>
    <w:rsid w:val="00104E29"/>
    <w:rsid w:val="001056DE"/>
    <w:rsid w:val="00106292"/>
    <w:rsid w:val="00111CC1"/>
    <w:rsid w:val="001124C0"/>
    <w:rsid w:val="00116F1C"/>
    <w:rsid w:val="00117303"/>
    <w:rsid w:val="0011740E"/>
    <w:rsid w:val="00117A25"/>
    <w:rsid w:val="001200AF"/>
    <w:rsid w:val="00121293"/>
    <w:rsid w:val="001212B2"/>
    <w:rsid w:val="00121ACA"/>
    <w:rsid w:val="0013175F"/>
    <w:rsid w:val="0013364D"/>
    <w:rsid w:val="001343BB"/>
    <w:rsid w:val="0014632A"/>
    <w:rsid w:val="001512B4"/>
    <w:rsid w:val="00153A26"/>
    <w:rsid w:val="001607D0"/>
    <w:rsid w:val="001620A5"/>
    <w:rsid w:val="00163F50"/>
    <w:rsid w:val="00164A29"/>
    <w:rsid w:val="00164E53"/>
    <w:rsid w:val="00164FC4"/>
    <w:rsid w:val="00165D35"/>
    <w:rsid w:val="0016699D"/>
    <w:rsid w:val="001670D9"/>
    <w:rsid w:val="00167A1F"/>
    <w:rsid w:val="00170C89"/>
    <w:rsid w:val="00175159"/>
    <w:rsid w:val="00175AAD"/>
    <w:rsid w:val="00175AD7"/>
    <w:rsid w:val="00176208"/>
    <w:rsid w:val="0017780C"/>
    <w:rsid w:val="001813B2"/>
    <w:rsid w:val="00181BBE"/>
    <w:rsid w:val="0018211B"/>
    <w:rsid w:val="00183FE1"/>
    <w:rsid w:val="001840D3"/>
    <w:rsid w:val="00184782"/>
    <w:rsid w:val="00186FF8"/>
    <w:rsid w:val="00187A8A"/>
    <w:rsid w:val="001900F8"/>
    <w:rsid w:val="00191258"/>
    <w:rsid w:val="00192680"/>
    <w:rsid w:val="00193037"/>
    <w:rsid w:val="00193375"/>
    <w:rsid w:val="00193A2C"/>
    <w:rsid w:val="001A288E"/>
    <w:rsid w:val="001A6CFF"/>
    <w:rsid w:val="001B36ED"/>
    <w:rsid w:val="001B6DC2"/>
    <w:rsid w:val="001B754B"/>
    <w:rsid w:val="001C149C"/>
    <w:rsid w:val="001C21AC"/>
    <w:rsid w:val="001C2971"/>
    <w:rsid w:val="001C3689"/>
    <w:rsid w:val="001C47BA"/>
    <w:rsid w:val="001C59EA"/>
    <w:rsid w:val="001D3556"/>
    <w:rsid w:val="001D3D3A"/>
    <w:rsid w:val="001D406C"/>
    <w:rsid w:val="001D41EE"/>
    <w:rsid w:val="001D4BEB"/>
    <w:rsid w:val="001D71E6"/>
    <w:rsid w:val="001D7496"/>
    <w:rsid w:val="001E0380"/>
    <w:rsid w:val="001E093B"/>
    <w:rsid w:val="001E0B1B"/>
    <w:rsid w:val="001E13B1"/>
    <w:rsid w:val="001E2153"/>
    <w:rsid w:val="001E3E4D"/>
    <w:rsid w:val="001F2860"/>
    <w:rsid w:val="001F3A19"/>
    <w:rsid w:val="001F5D70"/>
    <w:rsid w:val="002009E4"/>
    <w:rsid w:val="00201053"/>
    <w:rsid w:val="0020251B"/>
    <w:rsid w:val="0020309D"/>
    <w:rsid w:val="00203F1A"/>
    <w:rsid w:val="002073D3"/>
    <w:rsid w:val="00213F9F"/>
    <w:rsid w:val="00215D48"/>
    <w:rsid w:val="0021624B"/>
    <w:rsid w:val="0022185E"/>
    <w:rsid w:val="00223A6E"/>
    <w:rsid w:val="0022484A"/>
    <w:rsid w:val="00225643"/>
    <w:rsid w:val="00227FED"/>
    <w:rsid w:val="0023030A"/>
    <w:rsid w:val="00230F08"/>
    <w:rsid w:val="00234467"/>
    <w:rsid w:val="00235351"/>
    <w:rsid w:val="00235BE6"/>
    <w:rsid w:val="00237D8D"/>
    <w:rsid w:val="00241DA2"/>
    <w:rsid w:val="00243DF9"/>
    <w:rsid w:val="00247FEE"/>
    <w:rsid w:val="00250E7D"/>
    <w:rsid w:val="00251FC7"/>
    <w:rsid w:val="002523DB"/>
    <w:rsid w:val="002527DD"/>
    <w:rsid w:val="00252DAA"/>
    <w:rsid w:val="002565D5"/>
    <w:rsid w:val="002622C0"/>
    <w:rsid w:val="002778AE"/>
    <w:rsid w:val="0028269A"/>
    <w:rsid w:val="00282ACF"/>
    <w:rsid w:val="00283590"/>
    <w:rsid w:val="00283677"/>
    <w:rsid w:val="00286973"/>
    <w:rsid w:val="00287674"/>
    <w:rsid w:val="002919B4"/>
    <w:rsid w:val="002938A4"/>
    <w:rsid w:val="00294E70"/>
    <w:rsid w:val="002954B8"/>
    <w:rsid w:val="002967B2"/>
    <w:rsid w:val="002A040D"/>
    <w:rsid w:val="002A1924"/>
    <w:rsid w:val="002A57C9"/>
    <w:rsid w:val="002A7420"/>
    <w:rsid w:val="002A7A7E"/>
    <w:rsid w:val="002B0119"/>
    <w:rsid w:val="002B0F12"/>
    <w:rsid w:val="002B1308"/>
    <w:rsid w:val="002B4554"/>
    <w:rsid w:val="002B707C"/>
    <w:rsid w:val="002B7B8F"/>
    <w:rsid w:val="002C0F55"/>
    <w:rsid w:val="002C72D8"/>
    <w:rsid w:val="002D11FA"/>
    <w:rsid w:val="002D17BC"/>
    <w:rsid w:val="002D19A4"/>
    <w:rsid w:val="002D2A0D"/>
    <w:rsid w:val="002D4BAA"/>
    <w:rsid w:val="002D6352"/>
    <w:rsid w:val="002D738E"/>
    <w:rsid w:val="002D7C8D"/>
    <w:rsid w:val="002E023F"/>
    <w:rsid w:val="002E0DDF"/>
    <w:rsid w:val="002E189C"/>
    <w:rsid w:val="002E2906"/>
    <w:rsid w:val="002E5635"/>
    <w:rsid w:val="002E64C3"/>
    <w:rsid w:val="002E6A2C"/>
    <w:rsid w:val="002F035E"/>
    <w:rsid w:val="002F0FE8"/>
    <w:rsid w:val="002F1D8C"/>
    <w:rsid w:val="002F21DA"/>
    <w:rsid w:val="002F34B8"/>
    <w:rsid w:val="00301F39"/>
    <w:rsid w:val="00302AA5"/>
    <w:rsid w:val="00302FEE"/>
    <w:rsid w:val="00303D27"/>
    <w:rsid w:val="00305BEE"/>
    <w:rsid w:val="00306B89"/>
    <w:rsid w:val="00311426"/>
    <w:rsid w:val="00311A07"/>
    <w:rsid w:val="00313962"/>
    <w:rsid w:val="003234E0"/>
    <w:rsid w:val="00325926"/>
    <w:rsid w:val="00326550"/>
    <w:rsid w:val="00327A8A"/>
    <w:rsid w:val="003339A3"/>
    <w:rsid w:val="00336610"/>
    <w:rsid w:val="00341F5C"/>
    <w:rsid w:val="00343D23"/>
    <w:rsid w:val="00343F73"/>
    <w:rsid w:val="00344710"/>
    <w:rsid w:val="00344BCC"/>
    <w:rsid w:val="00345060"/>
    <w:rsid w:val="003451FB"/>
    <w:rsid w:val="00345AB0"/>
    <w:rsid w:val="003474FE"/>
    <w:rsid w:val="003510A3"/>
    <w:rsid w:val="00352629"/>
    <w:rsid w:val="00353131"/>
    <w:rsid w:val="0035323B"/>
    <w:rsid w:val="00353D19"/>
    <w:rsid w:val="0035785A"/>
    <w:rsid w:val="003609D2"/>
    <w:rsid w:val="00360BE1"/>
    <w:rsid w:val="00363F22"/>
    <w:rsid w:val="00364940"/>
    <w:rsid w:val="003661D7"/>
    <w:rsid w:val="00372C11"/>
    <w:rsid w:val="00375564"/>
    <w:rsid w:val="00376489"/>
    <w:rsid w:val="00383191"/>
    <w:rsid w:val="00385914"/>
    <w:rsid w:val="00386DED"/>
    <w:rsid w:val="00387BEE"/>
    <w:rsid w:val="003912E7"/>
    <w:rsid w:val="00393947"/>
    <w:rsid w:val="00395141"/>
    <w:rsid w:val="003A0E27"/>
    <w:rsid w:val="003A2275"/>
    <w:rsid w:val="003A6A4F"/>
    <w:rsid w:val="003A7035"/>
    <w:rsid w:val="003A7088"/>
    <w:rsid w:val="003B00DF"/>
    <w:rsid w:val="003B1275"/>
    <w:rsid w:val="003B1778"/>
    <w:rsid w:val="003B3234"/>
    <w:rsid w:val="003B52DF"/>
    <w:rsid w:val="003C0F2E"/>
    <w:rsid w:val="003C11CB"/>
    <w:rsid w:val="003C3017"/>
    <w:rsid w:val="003C49E7"/>
    <w:rsid w:val="003C6A77"/>
    <w:rsid w:val="003C75F3"/>
    <w:rsid w:val="003C78A3"/>
    <w:rsid w:val="003D36AB"/>
    <w:rsid w:val="003E1867"/>
    <w:rsid w:val="003E27F9"/>
    <w:rsid w:val="003E546C"/>
    <w:rsid w:val="003E5729"/>
    <w:rsid w:val="003E724E"/>
    <w:rsid w:val="003F1D40"/>
    <w:rsid w:val="003F22BB"/>
    <w:rsid w:val="003F2A5B"/>
    <w:rsid w:val="003F4EE0"/>
    <w:rsid w:val="003F5559"/>
    <w:rsid w:val="00400473"/>
    <w:rsid w:val="00402153"/>
    <w:rsid w:val="00402E26"/>
    <w:rsid w:val="00402FC1"/>
    <w:rsid w:val="00404D23"/>
    <w:rsid w:val="00417233"/>
    <w:rsid w:val="004200D9"/>
    <w:rsid w:val="004201C0"/>
    <w:rsid w:val="004202F6"/>
    <w:rsid w:val="00425082"/>
    <w:rsid w:val="00427FC5"/>
    <w:rsid w:val="00431DEB"/>
    <w:rsid w:val="0044259D"/>
    <w:rsid w:val="0044266C"/>
    <w:rsid w:val="004439D9"/>
    <w:rsid w:val="00446B29"/>
    <w:rsid w:val="00450ECA"/>
    <w:rsid w:val="00451A16"/>
    <w:rsid w:val="004524BE"/>
    <w:rsid w:val="0045327B"/>
    <w:rsid w:val="00453F9A"/>
    <w:rsid w:val="00454CC3"/>
    <w:rsid w:val="00456090"/>
    <w:rsid w:val="00456135"/>
    <w:rsid w:val="004631F0"/>
    <w:rsid w:val="00463562"/>
    <w:rsid w:val="00464903"/>
    <w:rsid w:val="004677DB"/>
    <w:rsid w:val="00467BD6"/>
    <w:rsid w:val="00471E91"/>
    <w:rsid w:val="00474079"/>
    <w:rsid w:val="00474675"/>
    <w:rsid w:val="0047470C"/>
    <w:rsid w:val="00476CA7"/>
    <w:rsid w:val="00484102"/>
    <w:rsid w:val="00484371"/>
    <w:rsid w:val="00484C88"/>
    <w:rsid w:val="004914D4"/>
    <w:rsid w:val="0049210F"/>
    <w:rsid w:val="004A203E"/>
    <w:rsid w:val="004A35F9"/>
    <w:rsid w:val="004A4662"/>
    <w:rsid w:val="004A79FC"/>
    <w:rsid w:val="004A7E02"/>
    <w:rsid w:val="004B157A"/>
    <w:rsid w:val="004B24C1"/>
    <w:rsid w:val="004B3092"/>
    <w:rsid w:val="004B49B1"/>
    <w:rsid w:val="004B557C"/>
    <w:rsid w:val="004B7512"/>
    <w:rsid w:val="004C292F"/>
    <w:rsid w:val="004C2D95"/>
    <w:rsid w:val="004C657F"/>
    <w:rsid w:val="004D306F"/>
    <w:rsid w:val="004D4B02"/>
    <w:rsid w:val="004D4F76"/>
    <w:rsid w:val="004E46F3"/>
    <w:rsid w:val="004E4B13"/>
    <w:rsid w:val="004E4B8C"/>
    <w:rsid w:val="004E4E4F"/>
    <w:rsid w:val="004E5A47"/>
    <w:rsid w:val="004E7F0E"/>
    <w:rsid w:val="004F2F0C"/>
    <w:rsid w:val="005036E2"/>
    <w:rsid w:val="0050619F"/>
    <w:rsid w:val="00510280"/>
    <w:rsid w:val="0051084D"/>
    <w:rsid w:val="00510AFC"/>
    <w:rsid w:val="00513D73"/>
    <w:rsid w:val="005148B3"/>
    <w:rsid w:val="00514A43"/>
    <w:rsid w:val="00515E9C"/>
    <w:rsid w:val="00516434"/>
    <w:rsid w:val="005174E5"/>
    <w:rsid w:val="00520898"/>
    <w:rsid w:val="00520AE7"/>
    <w:rsid w:val="00521E44"/>
    <w:rsid w:val="00522393"/>
    <w:rsid w:val="00522620"/>
    <w:rsid w:val="00523387"/>
    <w:rsid w:val="00525656"/>
    <w:rsid w:val="005259C3"/>
    <w:rsid w:val="00525BF3"/>
    <w:rsid w:val="00534C02"/>
    <w:rsid w:val="0054044C"/>
    <w:rsid w:val="0054264B"/>
    <w:rsid w:val="00543786"/>
    <w:rsid w:val="00545A49"/>
    <w:rsid w:val="005463CC"/>
    <w:rsid w:val="00546D0D"/>
    <w:rsid w:val="00547E3A"/>
    <w:rsid w:val="00551455"/>
    <w:rsid w:val="0055153A"/>
    <w:rsid w:val="00552435"/>
    <w:rsid w:val="00552BC2"/>
    <w:rsid w:val="005533D7"/>
    <w:rsid w:val="00553F30"/>
    <w:rsid w:val="005543DE"/>
    <w:rsid w:val="00554B63"/>
    <w:rsid w:val="00555F54"/>
    <w:rsid w:val="00556C46"/>
    <w:rsid w:val="00561086"/>
    <w:rsid w:val="0056160C"/>
    <w:rsid w:val="00562CF6"/>
    <w:rsid w:val="00564C59"/>
    <w:rsid w:val="0056544B"/>
    <w:rsid w:val="00567177"/>
    <w:rsid w:val="005703DE"/>
    <w:rsid w:val="005710BC"/>
    <w:rsid w:val="005755F1"/>
    <w:rsid w:val="00582BBE"/>
    <w:rsid w:val="0058464E"/>
    <w:rsid w:val="0058650E"/>
    <w:rsid w:val="005A01CB"/>
    <w:rsid w:val="005A19A9"/>
    <w:rsid w:val="005A39CB"/>
    <w:rsid w:val="005A58FF"/>
    <w:rsid w:val="005A5EAF"/>
    <w:rsid w:val="005A6491"/>
    <w:rsid w:val="005A64C0"/>
    <w:rsid w:val="005A738C"/>
    <w:rsid w:val="005B1985"/>
    <w:rsid w:val="005B3C11"/>
    <w:rsid w:val="005B4022"/>
    <w:rsid w:val="005B5A64"/>
    <w:rsid w:val="005B5D93"/>
    <w:rsid w:val="005B5DA3"/>
    <w:rsid w:val="005B71FB"/>
    <w:rsid w:val="005B7E74"/>
    <w:rsid w:val="005C1C28"/>
    <w:rsid w:val="005C2BA6"/>
    <w:rsid w:val="005C3EA4"/>
    <w:rsid w:val="005C43D0"/>
    <w:rsid w:val="005C6DB5"/>
    <w:rsid w:val="005D100E"/>
    <w:rsid w:val="005D3842"/>
    <w:rsid w:val="005E19E7"/>
    <w:rsid w:val="005E2392"/>
    <w:rsid w:val="005F3086"/>
    <w:rsid w:val="005F5F2D"/>
    <w:rsid w:val="005F7F72"/>
    <w:rsid w:val="00601622"/>
    <w:rsid w:val="00604538"/>
    <w:rsid w:val="00606494"/>
    <w:rsid w:val="006075A3"/>
    <w:rsid w:val="0060789B"/>
    <w:rsid w:val="0061037E"/>
    <w:rsid w:val="00611E4D"/>
    <w:rsid w:val="00613FAA"/>
    <w:rsid w:val="00616C36"/>
    <w:rsid w:val="0061716C"/>
    <w:rsid w:val="006171AF"/>
    <w:rsid w:val="00617868"/>
    <w:rsid w:val="006226F2"/>
    <w:rsid w:val="006243A1"/>
    <w:rsid w:val="00626005"/>
    <w:rsid w:val="00632E56"/>
    <w:rsid w:val="00635CBA"/>
    <w:rsid w:val="00636EFC"/>
    <w:rsid w:val="0064338B"/>
    <w:rsid w:val="006460A6"/>
    <w:rsid w:val="00646542"/>
    <w:rsid w:val="006504F4"/>
    <w:rsid w:val="0065366F"/>
    <w:rsid w:val="00654BC9"/>
    <w:rsid w:val="006552FD"/>
    <w:rsid w:val="00655380"/>
    <w:rsid w:val="00656F0B"/>
    <w:rsid w:val="0065709D"/>
    <w:rsid w:val="00663733"/>
    <w:rsid w:val="00663AF3"/>
    <w:rsid w:val="006659C8"/>
    <w:rsid w:val="00666B6C"/>
    <w:rsid w:val="006675B1"/>
    <w:rsid w:val="00671F7B"/>
    <w:rsid w:val="00677B54"/>
    <w:rsid w:val="00682682"/>
    <w:rsid w:val="00682702"/>
    <w:rsid w:val="00683D89"/>
    <w:rsid w:val="006845C1"/>
    <w:rsid w:val="00686F02"/>
    <w:rsid w:val="00692368"/>
    <w:rsid w:val="00693D81"/>
    <w:rsid w:val="00695192"/>
    <w:rsid w:val="006A2EBC"/>
    <w:rsid w:val="006A5EA0"/>
    <w:rsid w:val="006A783B"/>
    <w:rsid w:val="006A7B33"/>
    <w:rsid w:val="006B2B17"/>
    <w:rsid w:val="006B497F"/>
    <w:rsid w:val="006B4E13"/>
    <w:rsid w:val="006B75DD"/>
    <w:rsid w:val="006B7AC4"/>
    <w:rsid w:val="006C047C"/>
    <w:rsid w:val="006C1079"/>
    <w:rsid w:val="006C21E2"/>
    <w:rsid w:val="006C3D8B"/>
    <w:rsid w:val="006C67E0"/>
    <w:rsid w:val="006C694E"/>
    <w:rsid w:val="006C7ABA"/>
    <w:rsid w:val="006D039D"/>
    <w:rsid w:val="006D0A13"/>
    <w:rsid w:val="006D0D60"/>
    <w:rsid w:val="006D1122"/>
    <w:rsid w:val="006D317E"/>
    <w:rsid w:val="006D3B1E"/>
    <w:rsid w:val="006D3C00"/>
    <w:rsid w:val="006E06AD"/>
    <w:rsid w:val="006E2906"/>
    <w:rsid w:val="006E361F"/>
    <w:rsid w:val="006E3675"/>
    <w:rsid w:val="006E4A7F"/>
    <w:rsid w:val="006F0967"/>
    <w:rsid w:val="006F1C31"/>
    <w:rsid w:val="006F2274"/>
    <w:rsid w:val="006F64A0"/>
    <w:rsid w:val="0070038F"/>
    <w:rsid w:val="007027B1"/>
    <w:rsid w:val="0070286C"/>
    <w:rsid w:val="00702E7F"/>
    <w:rsid w:val="007034F9"/>
    <w:rsid w:val="00704DF6"/>
    <w:rsid w:val="0070641D"/>
    <w:rsid w:val="0070651C"/>
    <w:rsid w:val="00712311"/>
    <w:rsid w:val="00713208"/>
    <w:rsid w:val="007132A3"/>
    <w:rsid w:val="0071374B"/>
    <w:rsid w:val="00713FC8"/>
    <w:rsid w:val="00716421"/>
    <w:rsid w:val="0071719C"/>
    <w:rsid w:val="00721419"/>
    <w:rsid w:val="00721AA6"/>
    <w:rsid w:val="00724EFB"/>
    <w:rsid w:val="00726575"/>
    <w:rsid w:val="00730310"/>
    <w:rsid w:val="00734770"/>
    <w:rsid w:val="00736B38"/>
    <w:rsid w:val="00740A49"/>
    <w:rsid w:val="0074162B"/>
    <w:rsid w:val="007419C3"/>
    <w:rsid w:val="00744C29"/>
    <w:rsid w:val="00746559"/>
    <w:rsid w:val="007467A7"/>
    <w:rsid w:val="007469DD"/>
    <w:rsid w:val="0074741B"/>
    <w:rsid w:val="0074759E"/>
    <w:rsid w:val="007478EA"/>
    <w:rsid w:val="0075415C"/>
    <w:rsid w:val="00754557"/>
    <w:rsid w:val="007561F7"/>
    <w:rsid w:val="00757097"/>
    <w:rsid w:val="007606CB"/>
    <w:rsid w:val="00761E8B"/>
    <w:rsid w:val="00763502"/>
    <w:rsid w:val="00766E74"/>
    <w:rsid w:val="007761B4"/>
    <w:rsid w:val="0077767D"/>
    <w:rsid w:val="00780D29"/>
    <w:rsid w:val="00780DE2"/>
    <w:rsid w:val="00781F0C"/>
    <w:rsid w:val="00781FC4"/>
    <w:rsid w:val="00786987"/>
    <w:rsid w:val="007913AB"/>
    <w:rsid w:val="007914F7"/>
    <w:rsid w:val="00794044"/>
    <w:rsid w:val="00795C73"/>
    <w:rsid w:val="007968FB"/>
    <w:rsid w:val="00796CD1"/>
    <w:rsid w:val="007972D7"/>
    <w:rsid w:val="007A4809"/>
    <w:rsid w:val="007A7E83"/>
    <w:rsid w:val="007B083C"/>
    <w:rsid w:val="007B1625"/>
    <w:rsid w:val="007B6EA7"/>
    <w:rsid w:val="007B706E"/>
    <w:rsid w:val="007B71EB"/>
    <w:rsid w:val="007B7DEE"/>
    <w:rsid w:val="007C0748"/>
    <w:rsid w:val="007C51F1"/>
    <w:rsid w:val="007C6205"/>
    <w:rsid w:val="007C686A"/>
    <w:rsid w:val="007C728E"/>
    <w:rsid w:val="007D0BE0"/>
    <w:rsid w:val="007D0FAF"/>
    <w:rsid w:val="007D16EB"/>
    <w:rsid w:val="007D204F"/>
    <w:rsid w:val="007D2C53"/>
    <w:rsid w:val="007D3D60"/>
    <w:rsid w:val="007D62B9"/>
    <w:rsid w:val="007D65CC"/>
    <w:rsid w:val="007E1980"/>
    <w:rsid w:val="007E4B76"/>
    <w:rsid w:val="007E5043"/>
    <w:rsid w:val="007E5EA8"/>
    <w:rsid w:val="007F0CF1"/>
    <w:rsid w:val="007F12A5"/>
    <w:rsid w:val="007F1324"/>
    <w:rsid w:val="007F2D74"/>
    <w:rsid w:val="007F3FB7"/>
    <w:rsid w:val="007F4CF1"/>
    <w:rsid w:val="007F6F30"/>
    <w:rsid w:val="007F758D"/>
    <w:rsid w:val="007F7D52"/>
    <w:rsid w:val="00804141"/>
    <w:rsid w:val="0080484A"/>
    <w:rsid w:val="00805589"/>
    <w:rsid w:val="008057A5"/>
    <w:rsid w:val="00805E2F"/>
    <w:rsid w:val="0080654C"/>
    <w:rsid w:val="008071C6"/>
    <w:rsid w:val="0081099D"/>
    <w:rsid w:val="00813505"/>
    <w:rsid w:val="00817A00"/>
    <w:rsid w:val="00820B95"/>
    <w:rsid w:val="00822BA8"/>
    <w:rsid w:val="00825891"/>
    <w:rsid w:val="00827BE0"/>
    <w:rsid w:val="00831631"/>
    <w:rsid w:val="0083228D"/>
    <w:rsid w:val="0083307F"/>
    <w:rsid w:val="00833D07"/>
    <w:rsid w:val="00835DB3"/>
    <w:rsid w:val="0083617B"/>
    <w:rsid w:val="00836342"/>
    <w:rsid w:val="00836A2D"/>
    <w:rsid w:val="008371BD"/>
    <w:rsid w:val="00840EBF"/>
    <w:rsid w:val="008460D4"/>
    <w:rsid w:val="008504A8"/>
    <w:rsid w:val="00850CCA"/>
    <w:rsid w:val="00851B58"/>
    <w:rsid w:val="0085282E"/>
    <w:rsid w:val="00852EC9"/>
    <w:rsid w:val="00853DEA"/>
    <w:rsid w:val="00861E95"/>
    <w:rsid w:val="00863E33"/>
    <w:rsid w:val="008676A3"/>
    <w:rsid w:val="00871197"/>
    <w:rsid w:val="0087198C"/>
    <w:rsid w:val="008728B9"/>
    <w:rsid w:val="00872C1F"/>
    <w:rsid w:val="00873B42"/>
    <w:rsid w:val="00875C8F"/>
    <w:rsid w:val="00877624"/>
    <w:rsid w:val="00877CB0"/>
    <w:rsid w:val="008805AC"/>
    <w:rsid w:val="00880D1A"/>
    <w:rsid w:val="00884468"/>
    <w:rsid w:val="00885631"/>
    <w:rsid w:val="008856D8"/>
    <w:rsid w:val="00885B09"/>
    <w:rsid w:val="008867A9"/>
    <w:rsid w:val="00892E82"/>
    <w:rsid w:val="00893277"/>
    <w:rsid w:val="00895FA9"/>
    <w:rsid w:val="008A1035"/>
    <w:rsid w:val="008A6E08"/>
    <w:rsid w:val="008A77C8"/>
    <w:rsid w:val="008B41F9"/>
    <w:rsid w:val="008C0BE9"/>
    <w:rsid w:val="008C1B58"/>
    <w:rsid w:val="008C21DE"/>
    <w:rsid w:val="008C39AE"/>
    <w:rsid w:val="008C39ED"/>
    <w:rsid w:val="008C40DF"/>
    <w:rsid w:val="008C590D"/>
    <w:rsid w:val="008D0068"/>
    <w:rsid w:val="008D23A0"/>
    <w:rsid w:val="008D2E1E"/>
    <w:rsid w:val="008D3448"/>
    <w:rsid w:val="008D4472"/>
    <w:rsid w:val="008D447E"/>
    <w:rsid w:val="008D7566"/>
    <w:rsid w:val="008E031B"/>
    <w:rsid w:val="008E0560"/>
    <w:rsid w:val="008E2D8C"/>
    <w:rsid w:val="008E7029"/>
    <w:rsid w:val="008E7EF6"/>
    <w:rsid w:val="008F09A4"/>
    <w:rsid w:val="008F1F98"/>
    <w:rsid w:val="008F2340"/>
    <w:rsid w:val="008F2790"/>
    <w:rsid w:val="008F6758"/>
    <w:rsid w:val="00902AE7"/>
    <w:rsid w:val="00902DA0"/>
    <w:rsid w:val="009040DD"/>
    <w:rsid w:val="00905B47"/>
    <w:rsid w:val="0090690F"/>
    <w:rsid w:val="00906C4B"/>
    <w:rsid w:val="00910784"/>
    <w:rsid w:val="00911391"/>
    <w:rsid w:val="00911F8A"/>
    <w:rsid w:val="0091331C"/>
    <w:rsid w:val="009137BD"/>
    <w:rsid w:val="0091503D"/>
    <w:rsid w:val="00920538"/>
    <w:rsid w:val="009279DE"/>
    <w:rsid w:val="00927AB9"/>
    <w:rsid w:val="00927B37"/>
    <w:rsid w:val="00930116"/>
    <w:rsid w:val="00930625"/>
    <w:rsid w:val="009322D5"/>
    <w:rsid w:val="00941082"/>
    <w:rsid w:val="0094212C"/>
    <w:rsid w:val="00944853"/>
    <w:rsid w:val="0094609D"/>
    <w:rsid w:val="0094613B"/>
    <w:rsid w:val="0094777F"/>
    <w:rsid w:val="0095378C"/>
    <w:rsid w:val="00954689"/>
    <w:rsid w:val="0095472A"/>
    <w:rsid w:val="009604A9"/>
    <w:rsid w:val="0096085A"/>
    <w:rsid w:val="009617C9"/>
    <w:rsid w:val="00961C93"/>
    <w:rsid w:val="0096252E"/>
    <w:rsid w:val="00962B4E"/>
    <w:rsid w:val="00965324"/>
    <w:rsid w:val="009666A1"/>
    <w:rsid w:val="009703EE"/>
    <w:rsid w:val="0097091E"/>
    <w:rsid w:val="00972C76"/>
    <w:rsid w:val="00975A2F"/>
    <w:rsid w:val="009760D3"/>
    <w:rsid w:val="00977132"/>
    <w:rsid w:val="00980BCD"/>
    <w:rsid w:val="00981A4B"/>
    <w:rsid w:val="00982250"/>
    <w:rsid w:val="00982501"/>
    <w:rsid w:val="00983D33"/>
    <w:rsid w:val="00984358"/>
    <w:rsid w:val="009871AC"/>
    <w:rsid w:val="009877D3"/>
    <w:rsid w:val="00992B64"/>
    <w:rsid w:val="00992EF1"/>
    <w:rsid w:val="0099401C"/>
    <w:rsid w:val="00994E8F"/>
    <w:rsid w:val="009951DC"/>
    <w:rsid w:val="009959BB"/>
    <w:rsid w:val="00997158"/>
    <w:rsid w:val="009976E5"/>
    <w:rsid w:val="009A0827"/>
    <w:rsid w:val="009A0AB4"/>
    <w:rsid w:val="009A3A7C"/>
    <w:rsid w:val="009A469A"/>
    <w:rsid w:val="009A5D33"/>
    <w:rsid w:val="009A7D84"/>
    <w:rsid w:val="009B2323"/>
    <w:rsid w:val="009B2ADB"/>
    <w:rsid w:val="009B520C"/>
    <w:rsid w:val="009B603A"/>
    <w:rsid w:val="009C21EA"/>
    <w:rsid w:val="009C2D0E"/>
    <w:rsid w:val="009C3BBB"/>
    <w:rsid w:val="009C3DAC"/>
    <w:rsid w:val="009C42E0"/>
    <w:rsid w:val="009C4B17"/>
    <w:rsid w:val="009C68C1"/>
    <w:rsid w:val="009D0739"/>
    <w:rsid w:val="009D3230"/>
    <w:rsid w:val="009D5362"/>
    <w:rsid w:val="009D5585"/>
    <w:rsid w:val="009E03DD"/>
    <w:rsid w:val="009E1415"/>
    <w:rsid w:val="009E431B"/>
    <w:rsid w:val="009E6116"/>
    <w:rsid w:val="009E7E25"/>
    <w:rsid w:val="009F2A8A"/>
    <w:rsid w:val="009F4E70"/>
    <w:rsid w:val="009F7DD4"/>
    <w:rsid w:val="00A02E43"/>
    <w:rsid w:val="00A04BB5"/>
    <w:rsid w:val="00A05368"/>
    <w:rsid w:val="00A065F9"/>
    <w:rsid w:val="00A07011"/>
    <w:rsid w:val="00A07F34"/>
    <w:rsid w:val="00A13F17"/>
    <w:rsid w:val="00A20E6B"/>
    <w:rsid w:val="00A22154"/>
    <w:rsid w:val="00A24058"/>
    <w:rsid w:val="00A25C38"/>
    <w:rsid w:val="00A27433"/>
    <w:rsid w:val="00A27642"/>
    <w:rsid w:val="00A35824"/>
    <w:rsid w:val="00A3614A"/>
    <w:rsid w:val="00A36BBE"/>
    <w:rsid w:val="00A37C20"/>
    <w:rsid w:val="00A37DD5"/>
    <w:rsid w:val="00A40D9E"/>
    <w:rsid w:val="00A41DF7"/>
    <w:rsid w:val="00A420B1"/>
    <w:rsid w:val="00A42ECA"/>
    <w:rsid w:val="00A4307A"/>
    <w:rsid w:val="00A43747"/>
    <w:rsid w:val="00A46DEF"/>
    <w:rsid w:val="00A47EBB"/>
    <w:rsid w:val="00A51CDD"/>
    <w:rsid w:val="00A52C49"/>
    <w:rsid w:val="00A563F8"/>
    <w:rsid w:val="00A56BBA"/>
    <w:rsid w:val="00A612DF"/>
    <w:rsid w:val="00A61D6D"/>
    <w:rsid w:val="00A65370"/>
    <w:rsid w:val="00A6730D"/>
    <w:rsid w:val="00A71625"/>
    <w:rsid w:val="00A71B9B"/>
    <w:rsid w:val="00A72B0F"/>
    <w:rsid w:val="00A751C7"/>
    <w:rsid w:val="00A75770"/>
    <w:rsid w:val="00A76CF9"/>
    <w:rsid w:val="00A80008"/>
    <w:rsid w:val="00A842D3"/>
    <w:rsid w:val="00A84CE5"/>
    <w:rsid w:val="00A87844"/>
    <w:rsid w:val="00A9227B"/>
    <w:rsid w:val="00A95EF7"/>
    <w:rsid w:val="00A97A55"/>
    <w:rsid w:val="00AA038C"/>
    <w:rsid w:val="00AA7580"/>
    <w:rsid w:val="00AA7A09"/>
    <w:rsid w:val="00AB3B50"/>
    <w:rsid w:val="00AC05B1"/>
    <w:rsid w:val="00AC450C"/>
    <w:rsid w:val="00AC7CF0"/>
    <w:rsid w:val="00AD0764"/>
    <w:rsid w:val="00AD340B"/>
    <w:rsid w:val="00AD356C"/>
    <w:rsid w:val="00AD3C23"/>
    <w:rsid w:val="00AD3E77"/>
    <w:rsid w:val="00AD7868"/>
    <w:rsid w:val="00AE2914"/>
    <w:rsid w:val="00AE3CEA"/>
    <w:rsid w:val="00AE6D15"/>
    <w:rsid w:val="00AE7023"/>
    <w:rsid w:val="00AE78AA"/>
    <w:rsid w:val="00AF0EF3"/>
    <w:rsid w:val="00AF1F49"/>
    <w:rsid w:val="00AF2D81"/>
    <w:rsid w:val="00AF35E3"/>
    <w:rsid w:val="00B03E05"/>
    <w:rsid w:val="00B04182"/>
    <w:rsid w:val="00B052CA"/>
    <w:rsid w:val="00B05ECF"/>
    <w:rsid w:val="00B07AE3"/>
    <w:rsid w:val="00B11430"/>
    <w:rsid w:val="00B12A5D"/>
    <w:rsid w:val="00B12FC2"/>
    <w:rsid w:val="00B140D6"/>
    <w:rsid w:val="00B206C2"/>
    <w:rsid w:val="00B242F4"/>
    <w:rsid w:val="00B2477A"/>
    <w:rsid w:val="00B24D1C"/>
    <w:rsid w:val="00B30072"/>
    <w:rsid w:val="00B30481"/>
    <w:rsid w:val="00B31F02"/>
    <w:rsid w:val="00B3312F"/>
    <w:rsid w:val="00B33FD4"/>
    <w:rsid w:val="00B34D93"/>
    <w:rsid w:val="00B353EB"/>
    <w:rsid w:val="00B4016F"/>
    <w:rsid w:val="00B407AC"/>
    <w:rsid w:val="00B41A21"/>
    <w:rsid w:val="00B439C4"/>
    <w:rsid w:val="00B4535E"/>
    <w:rsid w:val="00B4601E"/>
    <w:rsid w:val="00B47479"/>
    <w:rsid w:val="00B52A8C"/>
    <w:rsid w:val="00B54704"/>
    <w:rsid w:val="00B54707"/>
    <w:rsid w:val="00B56155"/>
    <w:rsid w:val="00B60DBF"/>
    <w:rsid w:val="00B62F11"/>
    <w:rsid w:val="00B63042"/>
    <w:rsid w:val="00B636A8"/>
    <w:rsid w:val="00B665C6"/>
    <w:rsid w:val="00B66EC4"/>
    <w:rsid w:val="00B67154"/>
    <w:rsid w:val="00B721CE"/>
    <w:rsid w:val="00B72AD8"/>
    <w:rsid w:val="00B74441"/>
    <w:rsid w:val="00B758A5"/>
    <w:rsid w:val="00B805AF"/>
    <w:rsid w:val="00B808F1"/>
    <w:rsid w:val="00B82BD5"/>
    <w:rsid w:val="00B848AA"/>
    <w:rsid w:val="00B86280"/>
    <w:rsid w:val="00B86417"/>
    <w:rsid w:val="00B869EC"/>
    <w:rsid w:val="00B92383"/>
    <w:rsid w:val="00B9397A"/>
    <w:rsid w:val="00B94447"/>
    <w:rsid w:val="00B9633D"/>
    <w:rsid w:val="00B967D5"/>
    <w:rsid w:val="00B97CB3"/>
    <w:rsid w:val="00BA06C9"/>
    <w:rsid w:val="00BA1751"/>
    <w:rsid w:val="00BA2EBE"/>
    <w:rsid w:val="00BA379D"/>
    <w:rsid w:val="00BA3FB1"/>
    <w:rsid w:val="00BB0F28"/>
    <w:rsid w:val="00BB3DFF"/>
    <w:rsid w:val="00BB458A"/>
    <w:rsid w:val="00BB4B8A"/>
    <w:rsid w:val="00BB693F"/>
    <w:rsid w:val="00BB6C11"/>
    <w:rsid w:val="00BC08BF"/>
    <w:rsid w:val="00BC173E"/>
    <w:rsid w:val="00BC1FFC"/>
    <w:rsid w:val="00BC2021"/>
    <w:rsid w:val="00BC4F3F"/>
    <w:rsid w:val="00BC5953"/>
    <w:rsid w:val="00BD00D3"/>
    <w:rsid w:val="00BD1659"/>
    <w:rsid w:val="00BD3AA9"/>
    <w:rsid w:val="00BD4A18"/>
    <w:rsid w:val="00BD5481"/>
    <w:rsid w:val="00BD6DB2"/>
    <w:rsid w:val="00BD73A1"/>
    <w:rsid w:val="00BE004E"/>
    <w:rsid w:val="00BE03D4"/>
    <w:rsid w:val="00BE11CF"/>
    <w:rsid w:val="00BE21AB"/>
    <w:rsid w:val="00BE55CB"/>
    <w:rsid w:val="00BE7067"/>
    <w:rsid w:val="00BE784B"/>
    <w:rsid w:val="00BF3BB2"/>
    <w:rsid w:val="00BF3F83"/>
    <w:rsid w:val="00BF617A"/>
    <w:rsid w:val="00C023A0"/>
    <w:rsid w:val="00C02C5E"/>
    <w:rsid w:val="00C0379D"/>
    <w:rsid w:val="00C03931"/>
    <w:rsid w:val="00C0469A"/>
    <w:rsid w:val="00C05FE3"/>
    <w:rsid w:val="00C06391"/>
    <w:rsid w:val="00C11DA9"/>
    <w:rsid w:val="00C130DF"/>
    <w:rsid w:val="00C2136D"/>
    <w:rsid w:val="00C214EE"/>
    <w:rsid w:val="00C2314B"/>
    <w:rsid w:val="00C244A0"/>
    <w:rsid w:val="00C24971"/>
    <w:rsid w:val="00C25355"/>
    <w:rsid w:val="00C26BE5"/>
    <w:rsid w:val="00C26E4D"/>
    <w:rsid w:val="00C27909"/>
    <w:rsid w:val="00C27B03"/>
    <w:rsid w:val="00C314E1"/>
    <w:rsid w:val="00C34397"/>
    <w:rsid w:val="00C40503"/>
    <w:rsid w:val="00C4095D"/>
    <w:rsid w:val="00C41979"/>
    <w:rsid w:val="00C51FF2"/>
    <w:rsid w:val="00C56DBD"/>
    <w:rsid w:val="00C57A9C"/>
    <w:rsid w:val="00C601D2"/>
    <w:rsid w:val="00C61CE7"/>
    <w:rsid w:val="00C65BCC"/>
    <w:rsid w:val="00C66970"/>
    <w:rsid w:val="00C719B8"/>
    <w:rsid w:val="00C71F4D"/>
    <w:rsid w:val="00C76460"/>
    <w:rsid w:val="00C76CEC"/>
    <w:rsid w:val="00C8691C"/>
    <w:rsid w:val="00C86CB4"/>
    <w:rsid w:val="00C87C33"/>
    <w:rsid w:val="00C92392"/>
    <w:rsid w:val="00C95C08"/>
    <w:rsid w:val="00C96295"/>
    <w:rsid w:val="00C96364"/>
    <w:rsid w:val="00C96623"/>
    <w:rsid w:val="00CA03DF"/>
    <w:rsid w:val="00CA168A"/>
    <w:rsid w:val="00CA2097"/>
    <w:rsid w:val="00CA2E06"/>
    <w:rsid w:val="00CA357E"/>
    <w:rsid w:val="00CA44F9"/>
    <w:rsid w:val="00CA4A69"/>
    <w:rsid w:val="00CA7CD9"/>
    <w:rsid w:val="00CB722E"/>
    <w:rsid w:val="00CB7EA2"/>
    <w:rsid w:val="00CC3E0C"/>
    <w:rsid w:val="00CC401A"/>
    <w:rsid w:val="00CC52CB"/>
    <w:rsid w:val="00CC58D3"/>
    <w:rsid w:val="00CC5BCD"/>
    <w:rsid w:val="00CC5DB3"/>
    <w:rsid w:val="00CC784D"/>
    <w:rsid w:val="00CC7953"/>
    <w:rsid w:val="00CE1843"/>
    <w:rsid w:val="00CF154F"/>
    <w:rsid w:val="00CF1E15"/>
    <w:rsid w:val="00D00A8D"/>
    <w:rsid w:val="00D03268"/>
    <w:rsid w:val="00D0337B"/>
    <w:rsid w:val="00D04CE2"/>
    <w:rsid w:val="00D06A5F"/>
    <w:rsid w:val="00D07777"/>
    <w:rsid w:val="00D079B2"/>
    <w:rsid w:val="00D114E9"/>
    <w:rsid w:val="00D13E8E"/>
    <w:rsid w:val="00D154C0"/>
    <w:rsid w:val="00D1636B"/>
    <w:rsid w:val="00D17CD8"/>
    <w:rsid w:val="00D239F4"/>
    <w:rsid w:val="00D2527C"/>
    <w:rsid w:val="00D313B3"/>
    <w:rsid w:val="00D335A9"/>
    <w:rsid w:val="00D35515"/>
    <w:rsid w:val="00D35B8E"/>
    <w:rsid w:val="00D3648B"/>
    <w:rsid w:val="00D40F07"/>
    <w:rsid w:val="00D429C6"/>
    <w:rsid w:val="00D438BD"/>
    <w:rsid w:val="00D460F0"/>
    <w:rsid w:val="00D47748"/>
    <w:rsid w:val="00D5178F"/>
    <w:rsid w:val="00D518DF"/>
    <w:rsid w:val="00D54CC3"/>
    <w:rsid w:val="00D6041A"/>
    <w:rsid w:val="00D61258"/>
    <w:rsid w:val="00D62D2E"/>
    <w:rsid w:val="00D633EB"/>
    <w:rsid w:val="00D665B2"/>
    <w:rsid w:val="00D70F65"/>
    <w:rsid w:val="00D736AC"/>
    <w:rsid w:val="00D747AA"/>
    <w:rsid w:val="00D75A7E"/>
    <w:rsid w:val="00D76DEB"/>
    <w:rsid w:val="00D81566"/>
    <w:rsid w:val="00D82FF7"/>
    <w:rsid w:val="00D84271"/>
    <w:rsid w:val="00D847FE"/>
    <w:rsid w:val="00D86B9C"/>
    <w:rsid w:val="00D86C73"/>
    <w:rsid w:val="00D87E19"/>
    <w:rsid w:val="00D900CD"/>
    <w:rsid w:val="00D90A39"/>
    <w:rsid w:val="00D964EA"/>
    <w:rsid w:val="00D966D0"/>
    <w:rsid w:val="00DA0C59"/>
    <w:rsid w:val="00DA2C1A"/>
    <w:rsid w:val="00DA363F"/>
    <w:rsid w:val="00DA3991"/>
    <w:rsid w:val="00DA5310"/>
    <w:rsid w:val="00DA72A1"/>
    <w:rsid w:val="00DA7F95"/>
    <w:rsid w:val="00DB01F1"/>
    <w:rsid w:val="00DB3222"/>
    <w:rsid w:val="00DB39CA"/>
    <w:rsid w:val="00DB7E6C"/>
    <w:rsid w:val="00DC4F68"/>
    <w:rsid w:val="00DC60BD"/>
    <w:rsid w:val="00DC64B0"/>
    <w:rsid w:val="00DC6B1E"/>
    <w:rsid w:val="00DD252A"/>
    <w:rsid w:val="00DD2A1C"/>
    <w:rsid w:val="00DD5949"/>
    <w:rsid w:val="00DD5A29"/>
    <w:rsid w:val="00DD5D9D"/>
    <w:rsid w:val="00DD6E25"/>
    <w:rsid w:val="00DE35CB"/>
    <w:rsid w:val="00DE7654"/>
    <w:rsid w:val="00DF0EF0"/>
    <w:rsid w:val="00DF21E9"/>
    <w:rsid w:val="00DF22C7"/>
    <w:rsid w:val="00DF244D"/>
    <w:rsid w:val="00DF5588"/>
    <w:rsid w:val="00DF5CC9"/>
    <w:rsid w:val="00E005D3"/>
    <w:rsid w:val="00E00F14"/>
    <w:rsid w:val="00E01CB8"/>
    <w:rsid w:val="00E055B1"/>
    <w:rsid w:val="00E06183"/>
    <w:rsid w:val="00E06386"/>
    <w:rsid w:val="00E075C5"/>
    <w:rsid w:val="00E1051A"/>
    <w:rsid w:val="00E111F3"/>
    <w:rsid w:val="00E11668"/>
    <w:rsid w:val="00E118E7"/>
    <w:rsid w:val="00E122B7"/>
    <w:rsid w:val="00E12BD7"/>
    <w:rsid w:val="00E16C8B"/>
    <w:rsid w:val="00E16EF9"/>
    <w:rsid w:val="00E2188A"/>
    <w:rsid w:val="00E21B55"/>
    <w:rsid w:val="00E221D3"/>
    <w:rsid w:val="00E22AA1"/>
    <w:rsid w:val="00E23927"/>
    <w:rsid w:val="00E24EB4"/>
    <w:rsid w:val="00E254F8"/>
    <w:rsid w:val="00E30577"/>
    <w:rsid w:val="00E30635"/>
    <w:rsid w:val="00E320ED"/>
    <w:rsid w:val="00E332D0"/>
    <w:rsid w:val="00E33AFB"/>
    <w:rsid w:val="00E34218"/>
    <w:rsid w:val="00E368F9"/>
    <w:rsid w:val="00E44094"/>
    <w:rsid w:val="00E4555B"/>
    <w:rsid w:val="00E46282"/>
    <w:rsid w:val="00E519F2"/>
    <w:rsid w:val="00E5216E"/>
    <w:rsid w:val="00E5529C"/>
    <w:rsid w:val="00E657C6"/>
    <w:rsid w:val="00E66204"/>
    <w:rsid w:val="00E75D40"/>
    <w:rsid w:val="00E81965"/>
    <w:rsid w:val="00E81A88"/>
    <w:rsid w:val="00E82344"/>
    <w:rsid w:val="00E84C82"/>
    <w:rsid w:val="00E84D64"/>
    <w:rsid w:val="00E87408"/>
    <w:rsid w:val="00E901AC"/>
    <w:rsid w:val="00E914C4"/>
    <w:rsid w:val="00E934F5"/>
    <w:rsid w:val="00E94FA7"/>
    <w:rsid w:val="00E96961"/>
    <w:rsid w:val="00E96C0C"/>
    <w:rsid w:val="00EA72EC"/>
    <w:rsid w:val="00EB11CB"/>
    <w:rsid w:val="00EB1C71"/>
    <w:rsid w:val="00EB275A"/>
    <w:rsid w:val="00EB2F2C"/>
    <w:rsid w:val="00EB57CA"/>
    <w:rsid w:val="00EB6115"/>
    <w:rsid w:val="00EB786A"/>
    <w:rsid w:val="00EC1578"/>
    <w:rsid w:val="00EC1BFC"/>
    <w:rsid w:val="00EC1C72"/>
    <w:rsid w:val="00EC3356"/>
    <w:rsid w:val="00EC3CC9"/>
    <w:rsid w:val="00EC5D85"/>
    <w:rsid w:val="00EC680A"/>
    <w:rsid w:val="00ED2289"/>
    <w:rsid w:val="00ED41DB"/>
    <w:rsid w:val="00ED511C"/>
    <w:rsid w:val="00ED7229"/>
    <w:rsid w:val="00EE25CB"/>
    <w:rsid w:val="00EE2BED"/>
    <w:rsid w:val="00EE34D5"/>
    <w:rsid w:val="00EE374B"/>
    <w:rsid w:val="00EE4A87"/>
    <w:rsid w:val="00EF2869"/>
    <w:rsid w:val="00F05D60"/>
    <w:rsid w:val="00F07224"/>
    <w:rsid w:val="00F07FD3"/>
    <w:rsid w:val="00F104BF"/>
    <w:rsid w:val="00F10DC2"/>
    <w:rsid w:val="00F11BB5"/>
    <w:rsid w:val="00F1296C"/>
    <w:rsid w:val="00F1417B"/>
    <w:rsid w:val="00F1712D"/>
    <w:rsid w:val="00F17A17"/>
    <w:rsid w:val="00F208A0"/>
    <w:rsid w:val="00F2115E"/>
    <w:rsid w:val="00F21164"/>
    <w:rsid w:val="00F23DC3"/>
    <w:rsid w:val="00F24116"/>
    <w:rsid w:val="00F27B3D"/>
    <w:rsid w:val="00F30ABD"/>
    <w:rsid w:val="00F34B99"/>
    <w:rsid w:val="00F40B02"/>
    <w:rsid w:val="00F41E81"/>
    <w:rsid w:val="00F43B96"/>
    <w:rsid w:val="00F45B1F"/>
    <w:rsid w:val="00F51720"/>
    <w:rsid w:val="00F51CF2"/>
    <w:rsid w:val="00F52DAB"/>
    <w:rsid w:val="00F53015"/>
    <w:rsid w:val="00F543F0"/>
    <w:rsid w:val="00F55E3E"/>
    <w:rsid w:val="00F57601"/>
    <w:rsid w:val="00F647A5"/>
    <w:rsid w:val="00F64F74"/>
    <w:rsid w:val="00F653E3"/>
    <w:rsid w:val="00F70B21"/>
    <w:rsid w:val="00F73F99"/>
    <w:rsid w:val="00F75F80"/>
    <w:rsid w:val="00F81D29"/>
    <w:rsid w:val="00F87479"/>
    <w:rsid w:val="00F90BE5"/>
    <w:rsid w:val="00F91C4D"/>
    <w:rsid w:val="00F92FD9"/>
    <w:rsid w:val="00F960C7"/>
    <w:rsid w:val="00FA1AAC"/>
    <w:rsid w:val="00FA37B1"/>
    <w:rsid w:val="00FA3E0B"/>
    <w:rsid w:val="00FA4C1A"/>
    <w:rsid w:val="00FA4FB5"/>
    <w:rsid w:val="00FA5EF7"/>
    <w:rsid w:val="00FA6684"/>
    <w:rsid w:val="00FA731E"/>
    <w:rsid w:val="00FA7BD0"/>
    <w:rsid w:val="00FB01B4"/>
    <w:rsid w:val="00FB1DCF"/>
    <w:rsid w:val="00FB2B38"/>
    <w:rsid w:val="00FB61CE"/>
    <w:rsid w:val="00FB7A07"/>
    <w:rsid w:val="00FC04CC"/>
    <w:rsid w:val="00FC13F8"/>
    <w:rsid w:val="00FC2066"/>
    <w:rsid w:val="00FC4277"/>
    <w:rsid w:val="00FC6358"/>
    <w:rsid w:val="00FC6B34"/>
    <w:rsid w:val="00FD1381"/>
    <w:rsid w:val="00FD320D"/>
    <w:rsid w:val="00FD49AE"/>
    <w:rsid w:val="00FE1B98"/>
    <w:rsid w:val="00FE23DE"/>
    <w:rsid w:val="00FF1801"/>
    <w:rsid w:val="00FF6842"/>
    <w:rsid w:val="00FF69D8"/>
    <w:rsid w:val="00FF6D89"/>
    <w:rsid w:val="59D811AC"/>
    <w:rsid w:val="7F3B2CD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0" w:name="Normal Indent"/>
    <w:lsdException w:qFormat="1" w:unhideWhenUsed="0" w:uiPriority="0" w:semiHidden="0" w:name="footnote text"/>
    <w:lsdException w:uiPriority="0" w:name="annotation text"/>
    <w:lsdException w:unhideWhenUsed="0" w:uiPriority="0" w:semiHidden="0" w:name="header"/>
    <w:lsdException w:unhideWhenUsed="0" w:uiPriority="0"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uiPriority="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2">
    <w:name w:val="Default Paragraph Font"/>
    <w:semiHidden/>
    <w:unhideWhenUsed/>
    <w:uiPriority w:val="1"/>
  </w:style>
  <w:style w:type="table" w:default="1" w:styleId="30">
    <w:name w:val="Normal Table"/>
    <w:semiHidden/>
    <w:unhideWhenUsed/>
    <w:uiPriority w:val="99"/>
    <w:tblPr>
      <w:tblCellMar>
        <w:top w:w="0" w:type="dxa"/>
        <w:left w:w="108" w:type="dxa"/>
        <w:bottom w:w="0" w:type="dxa"/>
        <w:right w:w="108" w:type="dxa"/>
      </w:tblCellMar>
    </w:tblPr>
  </w:style>
  <w:style w:type="paragraph" w:styleId="2">
    <w:name w:val="toc 7"/>
    <w:basedOn w:val="1"/>
    <w:next w:val="1"/>
    <w:semiHidden/>
    <w:qFormat/>
    <w:uiPriority w:val="0"/>
    <w:pPr>
      <w:tabs>
        <w:tab w:val="right" w:leader="dot" w:pos="9241"/>
      </w:tabs>
      <w:ind w:firstLine="500" w:firstLineChars="500"/>
      <w:jc w:val="left"/>
    </w:pPr>
    <w:rPr>
      <w:rFonts w:ascii="宋体"/>
      <w:szCs w:val="21"/>
    </w:rPr>
  </w:style>
  <w:style w:type="paragraph" w:styleId="3">
    <w:name w:val="index 8"/>
    <w:basedOn w:val="1"/>
    <w:next w:val="1"/>
    <w:qFormat/>
    <w:uiPriority w:val="0"/>
    <w:pPr>
      <w:ind w:left="1680" w:hanging="210"/>
      <w:jc w:val="left"/>
    </w:pPr>
    <w:rPr>
      <w:rFonts w:ascii="Calibri" w:hAnsi="Calibri"/>
      <w:sz w:val="20"/>
      <w:szCs w:val="20"/>
    </w:rPr>
  </w:style>
  <w:style w:type="paragraph" w:styleId="4">
    <w:name w:val="caption"/>
    <w:basedOn w:val="1"/>
    <w:next w:val="1"/>
    <w:qFormat/>
    <w:uiPriority w:val="0"/>
    <w:pPr>
      <w:spacing w:before="152" w:after="160"/>
    </w:pPr>
    <w:rPr>
      <w:rFonts w:ascii="Arial" w:hAnsi="Arial" w:eastAsia="黑体" w:cs="Arial"/>
      <w:sz w:val="20"/>
      <w:szCs w:val="20"/>
    </w:rPr>
  </w:style>
  <w:style w:type="paragraph" w:styleId="5">
    <w:name w:val="index 5"/>
    <w:basedOn w:val="1"/>
    <w:next w:val="1"/>
    <w:qFormat/>
    <w:uiPriority w:val="0"/>
    <w:pPr>
      <w:ind w:left="1050" w:hanging="210"/>
      <w:jc w:val="left"/>
    </w:pPr>
    <w:rPr>
      <w:rFonts w:ascii="Calibri" w:hAnsi="Calibri"/>
      <w:sz w:val="20"/>
      <w:szCs w:val="20"/>
    </w:rPr>
  </w:style>
  <w:style w:type="paragraph" w:styleId="6">
    <w:name w:val="Document Map"/>
    <w:basedOn w:val="1"/>
    <w:semiHidden/>
    <w:qFormat/>
    <w:uiPriority w:val="0"/>
    <w:pPr>
      <w:shd w:val="clear" w:color="auto" w:fill="000080"/>
    </w:pPr>
  </w:style>
  <w:style w:type="paragraph" w:styleId="7">
    <w:name w:val="index 6"/>
    <w:basedOn w:val="1"/>
    <w:next w:val="1"/>
    <w:qFormat/>
    <w:uiPriority w:val="0"/>
    <w:pPr>
      <w:ind w:left="1260" w:hanging="210"/>
      <w:jc w:val="left"/>
    </w:pPr>
    <w:rPr>
      <w:rFonts w:ascii="Calibri" w:hAnsi="Calibri"/>
      <w:sz w:val="20"/>
      <w:szCs w:val="20"/>
    </w:rPr>
  </w:style>
  <w:style w:type="paragraph" w:styleId="8">
    <w:name w:val="Body Text"/>
    <w:basedOn w:val="1"/>
    <w:link w:val="139"/>
    <w:semiHidden/>
    <w:unhideWhenUsed/>
    <w:qFormat/>
    <w:uiPriority w:val="0"/>
    <w:pPr>
      <w:spacing w:after="120"/>
    </w:pPr>
  </w:style>
  <w:style w:type="paragraph" w:styleId="9">
    <w:name w:val="index 4"/>
    <w:basedOn w:val="1"/>
    <w:next w:val="1"/>
    <w:qFormat/>
    <w:uiPriority w:val="0"/>
    <w:pPr>
      <w:ind w:left="840" w:hanging="210"/>
      <w:jc w:val="left"/>
    </w:pPr>
    <w:rPr>
      <w:rFonts w:ascii="Calibri" w:hAnsi="Calibri"/>
      <w:sz w:val="20"/>
      <w:szCs w:val="20"/>
    </w:rPr>
  </w:style>
  <w:style w:type="paragraph" w:styleId="10">
    <w:name w:val="toc 5"/>
    <w:basedOn w:val="1"/>
    <w:next w:val="1"/>
    <w:semiHidden/>
    <w:qFormat/>
    <w:uiPriority w:val="0"/>
    <w:pPr>
      <w:tabs>
        <w:tab w:val="right" w:leader="dot" w:pos="9241"/>
      </w:tabs>
      <w:ind w:firstLine="300" w:firstLineChars="300"/>
      <w:jc w:val="left"/>
    </w:pPr>
    <w:rPr>
      <w:rFonts w:ascii="宋体"/>
      <w:szCs w:val="21"/>
    </w:rPr>
  </w:style>
  <w:style w:type="paragraph" w:styleId="11">
    <w:name w:val="toc 3"/>
    <w:basedOn w:val="1"/>
    <w:next w:val="1"/>
    <w:semiHidden/>
    <w:qFormat/>
    <w:uiPriority w:val="0"/>
    <w:pPr>
      <w:tabs>
        <w:tab w:val="right" w:leader="dot" w:pos="9241"/>
      </w:tabs>
      <w:ind w:firstLine="100" w:firstLineChars="100"/>
      <w:jc w:val="left"/>
    </w:pPr>
    <w:rPr>
      <w:rFonts w:ascii="宋体"/>
      <w:szCs w:val="21"/>
    </w:rPr>
  </w:style>
  <w:style w:type="paragraph" w:styleId="12">
    <w:name w:val="toc 8"/>
    <w:basedOn w:val="1"/>
    <w:next w:val="1"/>
    <w:semiHidden/>
    <w:qFormat/>
    <w:uiPriority w:val="0"/>
    <w:pPr>
      <w:tabs>
        <w:tab w:val="right" w:leader="dot" w:pos="9241"/>
      </w:tabs>
      <w:ind w:firstLine="607" w:firstLineChars="600"/>
      <w:jc w:val="left"/>
    </w:pPr>
    <w:rPr>
      <w:rFonts w:ascii="宋体"/>
      <w:szCs w:val="21"/>
    </w:rPr>
  </w:style>
  <w:style w:type="paragraph" w:styleId="13">
    <w:name w:val="index 3"/>
    <w:basedOn w:val="1"/>
    <w:next w:val="1"/>
    <w:qFormat/>
    <w:uiPriority w:val="0"/>
    <w:pPr>
      <w:ind w:left="630" w:hanging="210"/>
      <w:jc w:val="left"/>
    </w:pPr>
    <w:rPr>
      <w:rFonts w:ascii="Calibri" w:hAnsi="Calibri"/>
      <w:sz w:val="20"/>
      <w:szCs w:val="20"/>
    </w:rPr>
  </w:style>
  <w:style w:type="paragraph" w:styleId="14">
    <w:name w:val="endnote text"/>
    <w:basedOn w:val="1"/>
    <w:semiHidden/>
    <w:qFormat/>
    <w:uiPriority w:val="0"/>
    <w:pPr>
      <w:snapToGrid w:val="0"/>
      <w:jc w:val="left"/>
    </w:pPr>
  </w:style>
  <w:style w:type="paragraph" w:styleId="15">
    <w:name w:val="Balloon Text"/>
    <w:basedOn w:val="1"/>
    <w:link w:val="138"/>
    <w:qFormat/>
    <w:uiPriority w:val="0"/>
    <w:rPr>
      <w:sz w:val="18"/>
      <w:szCs w:val="18"/>
    </w:rPr>
  </w:style>
  <w:style w:type="paragraph" w:styleId="16">
    <w:name w:val="footer"/>
    <w:basedOn w:val="1"/>
    <w:uiPriority w:val="0"/>
    <w:pPr>
      <w:snapToGrid w:val="0"/>
      <w:ind w:right="210" w:rightChars="100"/>
      <w:jc w:val="right"/>
    </w:pPr>
    <w:rPr>
      <w:sz w:val="18"/>
      <w:szCs w:val="18"/>
    </w:rPr>
  </w:style>
  <w:style w:type="paragraph" w:styleId="17">
    <w:name w:val="header"/>
    <w:basedOn w:val="1"/>
    <w:link w:val="140"/>
    <w:uiPriority w:val="0"/>
    <w:pPr>
      <w:snapToGrid w:val="0"/>
      <w:jc w:val="left"/>
    </w:pPr>
    <w:rPr>
      <w:sz w:val="18"/>
      <w:szCs w:val="18"/>
    </w:rPr>
  </w:style>
  <w:style w:type="paragraph" w:styleId="18">
    <w:name w:val="toc 1"/>
    <w:basedOn w:val="1"/>
    <w:next w:val="1"/>
    <w:qFormat/>
    <w:uiPriority w:val="39"/>
    <w:pPr>
      <w:tabs>
        <w:tab w:val="right" w:leader="dot" w:pos="9242"/>
      </w:tabs>
      <w:spacing w:beforeLines="25" w:afterLines="25"/>
      <w:jc w:val="left"/>
    </w:pPr>
    <w:rPr>
      <w:rFonts w:ascii="宋体"/>
      <w:szCs w:val="21"/>
    </w:rPr>
  </w:style>
  <w:style w:type="paragraph" w:styleId="19">
    <w:name w:val="toc 4"/>
    <w:basedOn w:val="1"/>
    <w:next w:val="1"/>
    <w:semiHidden/>
    <w:qFormat/>
    <w:uiPriority w:val="0"/>
    <w:pPr>
      <w:tabs>
        <w:tab w:val="right" w:leader="dot" w:pos="9241"/>
      </w:tabs>
      <w:ind w:firstLine="200" w:firstLineChars="200"/>
      <w:jc w:val="left"/>
    </w:pPr>
    <w:rPr>
      <w:rFonts w:ascii="宋体"/>
      <w:szCs w:val="21"/>
    </w:rPr>
  </w:style>
  <w:style w:type="paragraph" w:styleId="20">
    <w:name w:val="index heading"/>
    <w:basedOn w:val="1"/>
    <w:next w:val="21"/>
    <w:qFormat/>
    <w:uiPriority w:val="0"/>
    <w:pPr>
      <w:spacing w:before="120" w:after="120"/>
      <w:jc w:val="center"/>
    </w:pPr>
    <w:rPr>
      <w:rFonts w:ascii="Calibri" w:hAnsi="Calibri"/>
      <w:b/>
      <w:bCs/>
      <w:iCs/>
      <w:szCs w:val="20"/>
    </w:rPr>
  </w:style>
  <w:style w:type="paragraph" w:styleId="21">
    <w:name w:val="index 1"/>
    <w:basedOn w:val="1"/>
    <w:next w:val="22"/>
    <w:qFormat/>
    <w:uiPriority w:val="0"/>
    <w:pPr>
      <w:tabs>
        <w:tab w:val="right" w:leader="dot" w:pos="9299"/>
      </w:tabs>
      <w:jc w:val="left"/>
    </w:pPr>
    <w:rPr>
      <w:rFonts w:ascii="宋体"/>
      <w:szCs w:val="21"/>
    </w:rPr>
  </w:style>
  <w:style w:type="paragraph" w:customStyle="1" w:styleId="22">
    <w:name w:val="段"/>
    <w:link w:val="38"/>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23">
    <w:name w:val="footnote text"/>
    <w:basedOn w:val="1"/>
    <w:qFormat/>
    <w:uiPriority w:val="0"/>
    <w:pPr>
      <w:numPr>
        <w:ilvl w:val="0"/>
        <w:numId w:val="1"/>
      </w:numPr>
      <w:snapToGrid w:val="0"/>
      <w:jc w:val="left"/>
    </w:pPr>
    <w:rPr>
      <w:rFonts w:ascii="宋体"/>
      <w:sz w:val="18"/>
      <w:szCs w:val="18"/>
    </w:rPr>
  </w:style>
  <w:style w:type="paragraph" w:styleId="24">
    <w:name w:val="toc 6"/>
    <w:basedOn w:val="1"/>
    <w:next w:val="1"/>
    <w:semiHidden/>
    <w:qFormat/>
    <w:uiPriority w:val="0"/>
    <w:pPr>
      <w:tabs>
        <w:tab w:val="right" w:leader="dot" w:pos="9241"/>
      </w:tabs>
      <w:ind w:firstLine="400" w:firstLineChars="400"/>
      <w:jc w:val="left"/>
    </w:pPr>
    <w:rPr>
      <w:rFonts w:ascii="宋体"/>
      <w:szCs w:val="21"/>
    </w:rPr>
  </w:style>
  <w:style w:type="paragraph" w:styleId="25">
    <w:name w:val="index 7"/>
    <w:basedOn w:val="1"/>
    <w:next w:val="1"/>
    <w:qFormat/>
    <w:uiPriority w:val="0"/>
    <w:pPr>
      <w:ind w:left="1470" w:hanging="210"/>
      <w:jc w:val="left"/>
    </w:pPr>
    <w:rPr>
      <w:rFonts w:ascii="Calibri" w:hAnsi="Calibri"/>
      <w:sz w:val="20"/>
      <w:szCs w:val="20"/>
    </w:rPr>
  </w:style>
  <w:style w:type="paragraph" w:styleId="26">
    <w:name w:val="index 9"/>
    <w:basedOn w:val="1"/>
    <w:next w:val="1"/>
    <w:qFormat/>
    <w:uiPriority w:val="0"/>
    <w:pPr>
      <w:ind w:left="1890" w:hanging="210"/>
      <w:jc w:val="left"/>
    </w:pPr>
    <w:rPr>
      <w:rFonts w:ascii="Calibri" w:hAnsi="Calibri"/>
      <w:sz w:val="20"/>
      <w:szCs w:val="20"/>
    </w:rPr>
  </w:style>
  <w:style w:type="paragraph" w:styleId="27">
    <w:name w:val="toc 2"/>
    <w:basedOn w:val="1"/>
    <w:next w:val="1"/>
    <w:semiHidden/>
    <w:qFormat/>
    <w:uiPriority w:val="0"/>
    <w:pPr>
      <w:tabs>
        <w:tab w:val="right" w:leader="dot" w:pos="9242"/>
      </w:tabs>
    </w:pPr>
    <w:rPr>
      <w:rFonts w:ascii="宋体"/>
      <w:szCs w:val="21"/>
    </w:rPr>
  </w:style>
  <w:style w:type="paragraph" w:styleId="28">
    <w:name w:val="toc 9"/>
    <w:basedOn w:val="1"/>
    <w:next w:val="1"/>
    <w:semiHidden/>
    <w:qFormat/>
    <w:uiPriority w:val="0"/>
    <w:pPr>
      <w:ind w:left="1470"/>
      <w:jc w:val="left"/>
    </w:pPr>
    <w:rPr>
      <w:sz w:val="20"/>
      <w:szCs w:val="20"/>
    </w:rPr>
  </w:style>
  <w:style w:type="paragraph" w:styleId="29">
    <w:name w:val="index 2"/>
    <w:basedOn w:val="1"/>
    <w:next w:val="1"/>
    <w:qFormat/>
    <w:uiPriority w:val="0"/>
    <w:pPr>
      <w:ind w:left="420" w:hanging="210"/>
      <w:jc w:val="left"/>
    </w:pPr>
    <w:rPr>
      <w:rFonts w:ascii="Calibri" w:hAnsi="Calibri"/>
      <w:sz w:val="20"/>
      <w:szCs w:val="20"/>
    </w:rPr>
  </w:style>
  <w:style w:type="table" w:styleId="31">
    <w:name w:val="Table Grid"/>
    <w:basedOn w:val="30"/>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endnote reference"/>
    <w:semiHidden/>
    <w:qFormat/>
    <w:uiPriority w:val="0"/>
    <w:rPr>
      <w:vertAlign w:val="superscript"/>
    </w:rPr>
  </w:style>
  <w:style w:type="character" w:styleId="34">
    <w:name w:val="page number"/>
    <w:qFormat/>
    <w:uiPriority w:val="0"/>
    <w:rPr>
      <w:rFonts w:ascii="Times New Roman" w:hAnsi="Times New Roman" w:eastAsia="宋体"/>
      <w:sz w:val="18"/>
    </w:rPr>
  </w:style>
  <w:style w:type="character" w:styleId="35">
    <w:name w:val="FollowedHyperlink"/>
    <w:qFormat/>
    <w:uiPriority w:val="0"/>
    <w:rPr>
      <w:color w:val="800080"/>
      <w:u w:val="single"/>
    </w:rPr>
  </w:style>
  <w:style w:type="character" w:styleId="36">
    <w:name w:val="Hyperlink"/>
    <w:qFormat/>
    <w:uiPriority w:val="99"/>
    <w:rPr>
      <w:color w:val="0000FF"/>
      <w:spacing w:val="0"/>
      <w:w w:val="100"/>
      <w:szCs w:val="21"/>
      <w:u w:val="single"/>
    </w:rPr>
  </w:style>
  <w:style w:type="character" w:styleId="37">
    <w:name w:val="footnote reference"/>
    <w:semiHidden/>
    <w:qFormat/>
    <w:uiPriority w:val="0"/>
    <w:rPr>
      <w:vertAlign w:val="superscript"/>
    </w:rPr>
  </w:style>
  <w:style w:type="character" w:customStyle="1" w:styleId="38">
    <w:name w:val="段 Char"/>
    <w:link w:val="22"/>
    <w:uiPriority w:val="0"/>
    <w:rPr>
      <w:rFonts w:ascii="宋体"/>
      <w:sz w:val="21"/>
      <w:lang w:val="en-US" w:eastAsia="zh-CN" w:bidi="ar-SA"/>
    </w:rPr>
  </w:style>
  <w:style w:type="paragraph" w:customStyle="1" w:styleId="39">
    <w:name w:val="一级条标题"/>
    <w:next w:val="22"/>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 w:type="paragraph" w:customStyle="1" w:styleId="40">
    <w:name w:val="标准书脚_奇数页"/>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41">
    <w:name w:val="标准书眉_奇数页"/>
    <w:next w:val="1"/>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42">
    <w:name w:val="章标题"/>
    <w:next w:val="22"/>
    <w:uiPriority w:val="0"/>
    <w:pPr>
      <w:numPr>
        <w:ilvl w:val="0"/>
        <w:numId w:val="2"/>
      </w:numPr>
      <w:spacing w:beforeLines="100" w:afterLines="100"/>
      <w:jc w:val="both"/>
      <w:outlineLvl w:val="1"/>
    </w:pPr>
    <w:rPr>
      <w:rFonts w:ascii="黑体" w:hAnsi="Times New Roman" w:eastAsia="黑体" w:cs="Times New Roman"/>
      <w:sz w:val="21"/>
      <w:lang w:val="en-US" w:eastAsia="zh-CN" w:bidi="ar-SA"/>
    </w:rPr>
  </w:style>
  <w:style w:type="paragraph" w:customStyle="1" w:styleId="43">
    <w:name w:val="二级条标题"/>
    <w:basedOn w:val="39"/>
    <w:next w:val="22"/>
    <w:uiPriority w:val="0"/>
    <w:pPr>
      <w:numPr>
        <w:ilvl w:val="2"/>
      </w:numPr>
      <w:spacing w:before="50" w:after="50"/>
      <w:outlineLvl w:val="3"/>
    </w:pPr>
  </w:style>
  <w:style w:type="paragraph" w:customStyle="1" w:styleId="44">
    <w:name w:val="封面标准号2"/>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45">
    <w:name w:val="列项——（一级）"/>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46">
    <w:name w:val="列项●（二级）"/>
    <w:uiPriority w:val="0"/>
    <w:pPr>
      <w:numPr>
        <w:ilvl w:val="1"/>
        <w:numId w:val="3"/>
      </w:numPr>
      <w:tabs>
        <w:tab w:val="left" w:pos="840"/>
      </w:tabs>
      <w:jc w:val="both"/>
    </w:pPr>
    <w:rPr>
      <w:rFonts w:ascii="宋体" w:hAnsi="Times New Roman" w:eastAsia="宋体" w:cs="Times New Roman"/>
      <w:sz w:val="21"/>
      <w:lang w:val="en-US" w:eastAsia="zh-CN" w:bidi="ar-SA"/>
    </w:rPr>
  </w:style>
  <w:style w:type="paragraph" w:customStyle="1" w:styleId="47">
    <w:name w:val="目次、标准名称标题"/>
    <w:basedOn w:val="1"/>
    <w:next w:val="22"/>
    <w:link w:val="136"/>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48">
    <w:name w:val="三级条标题"/>
    <w:basedOn w:val="43"/>
    <w:next w:val="22"/>
    <w:uiPriority w:val="0"/>
    <w:pPr>
      <w:numPr>
        <w:ilvl w:val="3"/>
      </w:numPr>
      <w:outlineLvl w:val="4"/>
    </w:pPr>
  </w:style>
  <w:style w:type="paragraph" w:customStyle="1" w:styleId="49">
    <w:name w:val="示例"/>
    <w:next w:val="50"/>
    <w:uiPriority w:val="0"/>
    <w:pPr>
      <w:widowControl w:val="0"/>
      <w:numPr>
        <w:ilvl w:val="0"/>
        <w:numId w:val="4"/>
      </w:numPr>
      <w:jc w:val="both"/>
    </w:pPr>
    <w:rPr>
      <w:rFonts w:ascii="宋体" w:hAnsi="Times New Roman" w:eastAsia="宋体" w:cs="Times New Roman"/>
      <w:sz w:val="18"/>
      <w:szCs w:val="18"/>
      <w:lang w:val="en-US" w:eastAsia="zh-CN" w:bidi="ar-SA"/>
    </w:rPr>
  </w:style>
  <w:style w:type="paragraph" w:customStyle="1" w:styleId="50">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51">
    <w:name w:val="数字编号列项（二级）"/>
    <w:uiPriority w:val="0"/>
    <w:pPr>
      <w:numPr>
        <w:ilvl w:val="1"/>
        <w:numId w:val="5"/>
      </w:numPr>
      <w:jc w:val="both"/>
    </w:pPr>
    <w:rPr>
      <w:rFonts w:ascii="宋体" w:hAnsi="Times New Roman" w:eastAsia="宋体" w:cs="Times New Roman"/>
      <w:sz w:val="21"/>
      <w:lang w:val="en-US" w:eastAsia="zh-CN" w:bidi="ar-SA"/>
    </w:rPr>
  </w:style>
  <w:style w:type="paragraph" w:customStyle="1" w:styleId="52">
    <w:name w:val="四级条标题"/>
    <w:basedOn w:val="48"/>
    <w:next w:val="22"/>
    <w:uiPriority w:val="0"/>
    <w:pPr>
      <w:numPr>
        <w:ilvl w:val="4"/>
      </w:numPr>
      <w:outlineLvl w:val="5"/>
    </w:pPr>
  </w:style>
  <w:style w:type="paragraph" w:customStyle="1" w:styleId="53">
    <w:name w:val="五级条标题"/>
    <w:basedOn w:val="52"/>
    <w:next w:val="22"/>
    <w:uiPriority w:val="0"/>
    <w:pPr>
      <w:numPr>
        <w:ilvl w:val="5"/>
      </w:numPr>
      <w:outlineLvl w:val="6"/>
    </w:pPr>
  </w:style>
  <w:style w:type="paragraph" w:customStyle="1" w:styleId="54">
    <w:name w:val="注："/>
    <w:next w:val="22"/>
    <w:uiPriority w:val="0"/>
    <w:pPr>
      <w:widowControl w:val="0"/>
      <w:numPr>
        <w:ilvl w:val="0"/>
        <w:numId w:val="6"/>
      </w:numPr>
      <w:autoSpaceDE w:val="0"/>
      <w:autoSpaceDN w:val="0"/>
      <w:ind w:left="726" w:hanging="363"/>
      <w:jc w:val="both"/>
    </w:pPr>
    <w:rPr>
      <w:rFonts w:ascii="宋体" w:hAnsi="Times New Roman" w:eastAsia="宋体" w:cs="Times New Roman"/>
      <w:sz w:val="18"/>
      <w:szCs w:val="18"/>
      <w:lang w:val="en-US" w:eastAsia="zh-CN" w:bidi="ar-SA"/>
    </w:rPr>
  </w:style>
  <w:style w:type="paragraph" w:customStyle="1" w:styleId="55">
    <w:name w:val="注×："/>
    <w:uiPriority w:val="0"/>
    <w:pPr>
      <w:widowControl w:val="0"/>
      <w:numPr>
        <w:ilvl w:val="0"/>
        <w:numId w:val="7"/>
      </w:numPr>
      <w:autoSpaceDE w:val="0"/>
      <w:autoSpaceDN w:val="0"/>
      <w:ind w:left="811" w:hanging="448"/>
      <w:jc w:val="both"/>
    </w:pPr>
    <w:rPr>
      <w:rFonts w:ascii="宋体" w:hAnsi="Times New Roman" w:eastAsia="宋体" w:cs="Times New Roman"/>
      <w:sz w:val="18"/>
      <w:szCs w:val="18"/>
      <w:lang w:val="en-US" w:eastAsia="zh-CN" w:bidi="ar-SA"/>
    </w:rPr>
  </w:style>
  <w:style w:type="paragraph" w:customStyle="1" w:styleId="56">
    <w:name w:val="字母编号列项（一级）"/>
    <w:qFormat/>
    <w:uiPriority w:val="0"/>
    <w:pPr>
      <w:numPr>
        <w:ilvl w:val="0"/>
        <w:numId w:val="5"/>
      </w:numPr>
      <w:jc w:val="both"/>
    </w:pPr>
    <w:rPr>
      <w:rFonts w:ascii="宋体" w:hAnsi="Times New Roman" w:eastAsia="宋体" w:cs="Times New Roman"/>
      <w:sz w:val="21"/>
      <w:lang w:val="en-US" w:eastAsia="zh-CN" w:bidi="ar-SA"/>
    </w:rPr>
  </w:style>
  <w:style w:type="paragraph" w:customStyle="1" w:styleId="57">
    <w:name w:val="列项◆（三级）"/>
    <w:basedOn w:val="1"/>
    <w:uiPriority w:val="0"/>
    <w:pPr>
      <w:numPr>
        <w:ilvl w:val="2"/>
        <w:numId w:val="3"/>
      </w:numPr>
    </w:pPr>
    <w:rPr>
      <w:rFonts w:ascii="宋体"/>
      <w:szCs w:val="21"/>
    </w:rPr>
  </w:style>
  <w:style w:type="paragraph" w:customStyle="1" w:styleId="58">
    <w:name w:val="编号列项（三级）"/>
    <w:uiPriority w:val="0"/>
    <w:pPr>
      <w:numPr>
        <w:ilvl w:val="2"/>
        <w:numId w:val="5"/>
      </w:numPr>
    </w:pPr>
    <w:rPr>
      <w:rFonts w:ascii="宋体" w:hAnsi="Times New Roman" w:eastAsia="宋体" w:cs="Times New Roman"/>
      <w:sz w:val="21"/>
      <w:lang w:val="en-US" w:eastAsia="zh-CN" w:bidi="ar-SA"/>
    </w:rPr>
  </w:style>
  <w:style w:type="paragraph" w:customStyle="1" w:styleId="59">
    <w:name w:val="示例×："/>
    <w:basedOn w:val="42"/>
    <w:qFormat/>
    <w:uiPriority w:val="0"/>
    <w:pPr>
      <w:numPr>
        <w:numId w:val="8"/>
      </w:numPr>
      <w:spacing w:beforeLines="0" w:afterLines="0"/>
      <w:outlineLvl w:val="9"/>
    </w:pPr>
    <w:rPr>
      <w:rFonts w:ascii="宋体" w:eastAsia="宋体"/>
      <w:sz w:val="18"/>
      <w:szCs w:val="18"/>
    </w:rPr>
  </w:style>
  <w:style w:type="paragraph" w:customStyle="1" w:styleId="60">
    <w:name w:val="二级无"/>
    <w:basedOn w:val="43"/>
    <w:uiPriority w:val="0"/>
    <w:pPr>
      <w:spacing w:beforeLines="0" w:afterLines="0"/>
    </w:pPr>
    <w:rPr>
      <w:rFonts w:ascii="宋体" w:eastAsia="宋体"/>
    </w:rPr>
  </w:style>
  <w:style w:type="paragraph" w:customStyle="1" w:styleId="61">
    <w:name w:val="注：（正文）"/>
    <w:basedOn w:val="54"/>
    <w:next w:val="22"/>
    <w:uiPriority w:val="0"/>
    <w:pPr>
      <w:numPr>
        <w:numId w:val="9"/>
      </w:numPr>
      <w:ind w:left="726" w:hanging="363"/>
    </w:pPr>
  </w:style>
  <w:style w:type="paragraph" w:customStyle="1" w:styleId="62">
    <w:name w:val="注×：（正文）"/>
    <w:qFormat/>
    <w:uiPriority w:val="0"/>
    <w:pPr>
      <w:numPr>
        <w:ilvl w:val="0"/>
        <w:numId w:val="10"/>
      </w:numPr>
      <w:ind w:left="811" w:hanging="448"/>
      <w:jc w:val="both"/>
    </w:pPr>
    <w:rPr>
      <w:rFonts w:ascii="宋体" w:hAnsi="Times New Roman" w:eastAsia="宋体" w:cs="Times New Roman"/>
      <w:sz w:val="18"/>
      <w:szCs w:val="18"/>
      <w:lang w:val="en-US" w:eastAsia="zh-CN" w:bidi="ar-SA"/>
    </w:rPr>
  </w:style>
  <w:style w:type="paragraph" w:customStyle="1" w:styleId="63">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64">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65">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66">
    <w:name w:val="标准书眉_偶数页"/>
    <w:basedOn w:val="41"/>
    <w:next w:val="1"/>
    <w:qFormat/>
    <w:uiPriority w:val="0"/>
    <w:pPr>
      <w:jc w:val="left"/>
    </w:pPr>
  </w:style>
  <w:style w:type="paragraph" w:customStyle="1" w:styleId="67">
    <w:name w:val="标准书眉一"/>
    <w:uiPriority w:val="0"/>
    <w:pPr>
      <w:jc w:val="both"/>
    </w:pPr>
    <w:rPr>
      <w:rFonts w:ascii="Times New Roman" w:hAnsi="Times New Roman" w:eastAsia="宋体" w:cs="Times New Roman"/>
      <w:lang w:val="en-US" w:eastAsia="zh-CN" w:bidi="ar-SA"/>
    </w:rPr>
  </w:style>
  <w:style w:type="paragraph" w:customStyle="1" w:styleId="68">
    <w:name w:val="参考文献"/>
    <w:basedOn w:val="1"/>
    <w:next w:val="22"/>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69">
    <w:name w:val="参考文献、索引标题"/>
    <w:basedOn w:val="1"/>
    <w:next w:val="22"/>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70">
    <w:name w:val="发布"/>
    <w:qFormat/>
    <w:uiPriority w:val="0"/>
    <w:rPr>
      <w:rFonts w:ascii="黑体" w:eastAsia="黑体"/>
      <w:spacing w:val="85"/>
      <w:w w:val="100"/>
      <w:position w:val="3"/>
      <w:sz w:val="28"/>
      <w:szCs w:val="28"/>
    </w:rPr>
  </w:style>
  <w:style w:type="paragraph" w:customStyle="1" w:styleId="71">
    <w:name w:val="发布部门"/>
    <w:next w:val="22"/>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72">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73">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74">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75">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76">
    <w:name w:val="封面标准英文名称"/>
    <w:basedOn w:val="75"/>
    <w:qFormat/>
    <w:uiPriority w:val="0"/>
    <w:pPr>
      <w:framePr w:wrap="around"/>
      <w:spacing w:before="370" w:line="400" w:lineRule="exact"/>
    </w:pPr>
    <w:rPr>
      <w:rFonts w:ascii="Times New Roman"/>
      <w:sz w:val="28"/>
      <w:szCs w:val="28"/>
    </w:rPr>
  </w:style>
  <w:style w:type="paragraph" w:customStyle="1" w:styleId="77">
    <w:name w:val="封面一致性程度标识"/>
    <w:basedOn w:val="76"/>
    <w:qFormat/>
    <w:uiPriority w:val="0"/>
    <w:pPr>
      <w:framePr w:wrap="around"/>
      <w:spacing w:before="440"/>
    </w:pPr>
    <w:rPr>
      <w:rFonts w:ascii="宋体" w:eastAsia="宋体"/>
    </w:rPr>
  </w:style>
  <w:style w:type="paragraph" w:customStyle="1" w:styleId="78">
    <w:name w:val="封面标准文稿类别"/>
    <w:basedOn w:val="77"/>
    <w:qFormat/>
    <w:uiPriority w:val="0"/>
    <w:pPr>
      <w:framePr w:wrap="around"/>
      <w:spacing w:after="160" w:line="240" w:lineRule="auto"/>
    </w:pPr>
    <w:rPr>
      <w:sz w:val="24"/>
    </w:rPr>
  </w:style>
  <w:style w:type="paragraph" w:customStyle="1" w:styleId="79">
    <w:name w:val="封面标准文稿编辑信息"/>
    <w:basedOn w:val="78"/>
    <w:qFormat/>
    <w:uiPriority w:val="0"/>
    <w:pPr>
      <w:framePr w:wrap="around"/>
      <w:spacing w:before="180" w:line="180" w:lineRule="exact"/>
    </w:pPr>
    <w:rPr>
      <w:sz w:val="21"/>
    </w:rPr>
  </w:style>
  <w:style w:type="paragraph" w:customStyle="1" w:styleId="80">
    <w:name w:val="封面正文"/>
    <w:qFormat/>
    <w:uiPriority w:val="0"/>
    <w:pPr>
      <w:jc w:val="both"/>
    </w:pPr>
    <w:rPr>
      <w:rFonts w:ascii="Times New Roman" w:hAnsi="Times New Roman" w:eastAsia="宋体" w:cs="Times New Roman"/>
      <w:lang w:val="en-US" w:eastAsia="zh-CN" w:bidi="ar-SA"/>
    </w:rPr>
  </w:style>
  <w:style w:type="paragraph" w:customStyle="1" w:styleId="81">
    <w:name w:val="附录标识"/>
    <w:basedOn w:val="1"/>
    <w:next w:val="22"/>
    <w:qFormat/>
    <w:uiPriority w:val="0"/>
    <w:pPr>
      <w:keepNext/>
      <w:widowControl/>
      <w:numPr>
        <w:ilvl w:val="0"/>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82">
    <w:name w:val="附录标题"/>
    <w:basedOn w:val="22"/>
    <w:next w:val="22"/>
    <w:qFormat/>
    <w:uiPriority w:val="0"/>
    <w:pPr>
      <w:ind w:firstLine="0" w:firstLineChars="0"/>
      <w:jc w:val="center"/>
    </w:pPr>
    <w:rPr>
      <w:rFonts w:ascii="黑体" w:eastAsia="黑体"/>
    </w:rPr>
  </w:style>
  <w:style w:type="paragraph" w:customStyle="1" w:styleId="83">
    <w:name w:val="附录表标号"/>
    <w:basedOn w:val="1"/>
    <w:next w:val="22"/>
    <w:uiPriority w:val="0"/>
    <w:pPr>
      <w:numPr>
        <w:ilvl w:val="0"/>
        <w:numId w:val="12"/>
      </w:numPr>
      <w:tabs>
        <w:tab w:val="clear" w:pos="0"/>
      </w:tabs>
      <w:spacing w:line="14" w:lineRule="exact"/>
      <w:ind w:left="811" w:hanging="448"/>
      <w:jc w:val="center"/>
      <w:outlineLvl w:val="0"/>
    </w:pPr>
    <w:rPr>
      <w:color w:val="FFFFFF"/>
    </w:rPr>
  </w:style>
  <w:style w:type="paragraph" w:customStyle="1" w:styleId="84">
    <w:name w:val="附录表标题"/>
    <w:basedOn w:val="1"/>
    <w:next w:val="22"/>
    <w:qFormat/>
    <w:uiPriority w:val="0"/>
    <w:pPr>
      <w:numPr>
        <w:ilvl w:val="1"/>
        <w:numId w:val="12"/>
      </w:numPr>
      <w:tabs>
        <w:tab w:val="left" w:pos="180"/>
      </w:tabs>
      <w:spacing w:beforeLines="50" w:afterLines="50"/>
      <w:ind w:left="0" w:firstLine="0"/>
      <w:jc w:val="center"/>
    </w:pPr>
    <w:rPr>
      <w:rFonts w:ascii="黑体" w:eastAsia="黑体"/>
      <w:szCs w:val="21"/>
    </w:rPr>
  </w:style>
  <w:style w:type="paragraph" w:customStyle="1" w:styleId="85">
    <w:name w:val="附录二级条标题"/>
    <w:basedOn w:val="1"/>
    <w:next w:val="22"/>
    <w:qFormat/>
    <w:uiPriority w:val="0"/>
    <w:pPr>
      <w:widowControl/>
      <w:numPr>
        <w:ilvl w:val="3"/>
        <w:numId w:val="11"/>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86">
    <w:name w:val="附录二级无"/>
    <w:basedOn w:val="85"/>
    <w:qFormat/>
    <w:uiPriority w:val="0"/>
    <w:pPr>
      <w:tabs>
        <w:tab w:val="clear" w:pos="360"/>
      </w:tabs>
      <w:spacing w:beforeLines="0" w:afterLines="0"/>
    </w:pPr>
    <w:rPr>
      <w:rFonts w:ascii="宋体" w:eastAsia="宋体"/>
      <w:szCs w:val="21"/>
    </w:rPr>
  </w:style>
  <w:style w:type="paragraph" w:customStyle="1" w:styleId="87">
    <w:name w:val="附录公式"/>
    <w:basedOn w:val="22"/>
    <w:next w:val="22"/>
    <w:link w:val="88"/>
    <w:qFormat/>
    <w:uiPriority w:val="0"/>
  </w:style>
  <w:style w:type="character" w:customStyle="1" w:styleId="88">
    <w:name w:val="附录公式 Char"/>
    <w:basedOn w:val="38"/>
    <w:link w:val="87"/>
    <w:qFormat/>
    <w:uiPriority w:val="0"/>
    <w:rPr>
      <w:rFonts w:ascii="宋体"/>
      <w:sz w:val="21"/>
      <w:lang w:val="en-US" w:eastAsia="zh-CN" w:bidi="ar-SA"/>
    </w:rPr>
  </w:style>
  <w:style w:type="paragraph" w:customStyle="1" w:styleId="89">
    <w:name w:val="附录公式编号制表符"/>
    <w:basedOn w:val="1"/>
    <w:next w:val="22"/>
    <w:qFormat/>
    <w:uiPriority w:val="0"/>
    <w:pPr>
      <w:widowControl/>
      <w:tabs>
        <w:tab w:val="center" w:pos="4201"/>
        <w:tab w:val="right" w:leader="dot" w:pos="9298"/>
      </w:tabs>
      <w:autoSpaceDE w:val="0"/>
      <w:autoSpaceDN w:val="0"/>
    </w:pPr>
    <w:rPr>
      <w:rFonts w:ascii="宋体"/>
      <w:kern w:val="0"/>
      <w:szCs w:val="20"/>
    </w:rPr>
  </w:style>
  <w:style w:type="paragraph" w:customStyle="1" w:styleId="90">
    <w:name w:val="附录三级条标题"/>
    <w:basedOn w:val="85"/>
    <w:next w:val="22"/>
    <w:qFormat/>
    <w:uiPriority w:val="0"/>
    <w:pPr>
      <w:numPr>
        <w:ilvl w:val="4"/>
      </w:numPr>
      <w:outlineLvl w:val="4"/>
    </w:pPr>
  </w:style>
  <w:style w:type="paragraph" w:customStyle="1" w:styleId="91">
    <w:name w:val="附录三级无"/>
    <w:basedOn w:val="90"/>
    <w:uiPriority w:val="0"/>
    <w:pPr>
      <w:tabs>
        <w:tab w:val="clear" w:pos="360"/>
      </w:tabs>
      <w:spacing w:beforeLines="0" w:afterLines="0"/>
    </w:pPr>
    <w:rPr>
      <w:rFonts w:ascii="宋体" w:eastAsia="宋体"/>
      <w:szCs w:val="21"/>
    </w:rPr>
  </w:style>
  <w:style w:type="paragraph" w:customStyle="1" w:styleId="92">
    <w:name w:val="附录数字编号列项（二级）"/>
    <w:qFormat/>
    <w:uiPriority w:val="0"/>
    <w:pPr>
      <w:numPr>
        <w:ilvl w:val="1"/>
        <w:numId w:val="13"/>
      </w:numPr>
    </w:pPr>
    <w:rPr>
      <w:rFonts w:ascii="宋体" w:hAnsi="Times New Roman" w:eastAsia="宋体" w:cs="Times New Roman"/>
      <w:sz w:val="21"/>
      <w:lang w:val="en-US" w:eastAsia="zh-CN" w:bidi="ar-SA"/>
    </w:rPr>
  </w:style>
  <w:style w:type="paragraph" w:customStyle="1" w:styleId="93">
    <w:name w:val="附录四级条标题"/>
    <w:basedOn w:val="90"/>
    <w:next w:val="22"/>
    <w:qFormat/>
    <w:uiPriority w:val="0"/>
    <w:pPr>
      <w:numPr>
        <w:ilvl w:val="5"/>
      </w:numPr>
      <w:outlineLvl w:val="5"/>
    </w:pPr>
  </w:style>
  <w:style w:type="paragraph" w:customStyle="1" w:styleId="94">
    <w:name w:val="附录四级无"/>
    <w:basedOn w:val="93"/>
    <w:qFormat/>
    <w:uiPriority w:val="0"/>
    <w:pPr>
      <w:tabs>
        <w:tab w:val="clear" w:pos="360"/>
      </w:tabs>
      <w:spacing w:beforeLines="0" w:afterLines="0"/>
    </w:pPr>
    <w:rPr>
      <w:rFonts w:ascii="宋体" w:eastAsia="宋体"/>
      <w:szCs w:val="21"/>
    </w:rPr>
  </w:style>
  <w:style w:type="paragraph" w:customStyle="1" w:styleId="95">
    <w:name w:val="附录图标号"/>
    <w:basedOn w:val="1"/>
    <w:qFormat/>
    <w:uiPriority w:val="0"/>
    <w:pPr>
      <w:keepNext/>
      <w:pageBreakBefore/>
      <w:widowControl/>
      <w:numPr>
        <w:ilvl w:val="0"/>
        <w:numId w:val="14"/>
      </w:numPr>
      <w:spacing w:line="14" w:lineRule="exact"/>
      <w:ind w:left="0" w:firstLine="363"/>
      <w:jc w:val="center"/>
      <w:outlineLvl w:val="0"/>
    </w:pPr>
    <w:rPr>
      <w:color w:val="FFFFFF"/>
    </w:rPr>
  </w:style>
  <w:style w:type="paragraph" w:customStyle="1" w:styleId="96">
    <w:name w:val="附录图标题"/>
    <w:basedOn w:val="1"/>
    <w:next w:val="22"/>
    <w:qFormat/>
    <w:uiPriority w:val="0"/>
    <w:pPr>
      <w:numPr>
        <w:ilvl w:val="1"/>
        <w:numId w:val="14"/>
      </w:numPr>
      <w:tabs>
        <w:tab w:val="left" w:pos="363"/>
      </w:tabs>
      <w:spacing w:beforeLines="50" w:afterLines="50"/>
      <w:ind w:left="0" w:firstLine="0"/>
      <w:jc w:val="center"/>
    </w:pPr>
    <w:rPr>
      <w:rFonts w:ascii="黑体" w:eastAsia="黑体"/>
      <w:szCs w:val="21"/>
    </w:rPr>
  </w:style>
  <w:style w:type="paragraph" w:customStyle="1" w:styleId="97">
    <w:name w:val="附录五级条标题"/>
    <w:basedOn w:val="93"/>
    <w:next w:val="22"/>
    <w:qFormat/>
    <w:uiPriority w:val="0"/>
    <w:pPr>
      <w:numPr>
        <w:ilvl w:val="6"/>
      </w:numPr>
      <w:outlineLvl w:val="6"/>
    </w:pPr>
  </w:style>
  <w:style w:type="paragraph" w:customStyle="1" w:styleId="98">
    <w:name w:val="附录五级无"/>
    <w:basedOn w:val="97"/>
    <w:qFormat/>
    <w:uiPriority w:val="0"/>
    <w:pPr>
      <w:tabs>
        <w:tab w:val="clear" w:pos="360"/>
      </w:tabs>
      <w:spacing w:beforeLines="0" w:afterLines="0"/>
    </w:pPr>
    <w:rPr>
      <w:rFonts w:ascii="宋体" w:eastAsia="宋体"/>
      <w:szCs w:val="21"/>
    </w:rPr>
  </w:style>
  <w:style w:type="paragraph" w:customStyle="1" w:styleId="99">
    <w:name w:val="附录章标题"/>
    <w:next w:val="22"/>
    <w:qFormat/>
    <w:uiPriority w:val="0"/>
    <w:pPr>
      <w:numPr>
        <w:ilvl w:val="1"/>
        <w:numId w:val="11"/>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100">
    <w:name w:val="附录一级条标题"/>
    <w:basedOn w:val="99"/>
    <w:next w:val="22"/>
    <w:qFormat/>
    <w:uiPriority w:val="0"/>
    <w:pPr>
      <w:numPr>
        <w:ilvl w:val="2"/>
      </w:numPr>
      <w:autoSpaceDN w:val="0"/>
      <w:spacing w:beforeLines="50" w:afterLines="50"/>
      <w:outlineLvl w:val="2"/>
    </w:pPr>
  </w:style>
  <w:style w:type="paragraph" w:customStyle="1" w:styleId="101">
    <w:name w:val="附录一级无"/>
    <w:basedOn w:val="100"/>
    <w:qFormat/>
    <w:uiPriority w:val="0"/>
    <w:pPr>
      <w:tabs>
        <w:tab w:val="clear" w:pos="360"/>
      </w:tabs>
      <w:spacing w:beforeLines="0" w:afterLines="0"/>
    </w:pPr>
    <w:rPr>
      <w:rFonts w:ascii="宋体" w:eastAsia="宋体"/>
      <w:szCs w:val="21"/>
    </w:rPr>
  </w:style>
  <w:style w:type="paragraph" w:customStyle="1" w:styleId="102">
    <w:name w:val="附录字母编号列项（一级）"/>
    <w:qFormat/>
    <w:uiPriority w:val="0"/>
    <w:pPr>
      <w:numPr>
        <w:ilvl w:val="0"/>
        <w:numId w:val="13"/>
      </w:numPr>
    </w:pPr>
    <w:rPr>
      <w:rFonts w:ascii="宋体" w:hAnsi="Times New Roman" w:eastAsia="宋体" w:cs="Times New Roman"/>
      <w:sz w:val="21"/>
      <w:lang w:val="en-US" w:eastAsia="zh-CN" w:bidi="ar-SA"/>
    </w:rPr>
  </w:style>
  <w:style w:type="paragraph" w:customStyle="1" w:styleId="103">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04">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05">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06">
    <w:name w:val="其他标准标志"/>
    <w:basedOn w:val="63"/>
    <w:qFormat/>
    <w:uiPriority w:val="0"/>
    <w:pPr>
      <w:framePr w:w="6101" w:wrap="around" w:vAnchor="page" w:hAnchor="page" w:x="4673" w:y="942"/>
    </w:pPr>
    <w:rPr>
      <w:w w:val="130"/>
    </w:rPr>
  </w:style>
  <w:style w:type="paragraph" w:customStyle="1" w:styleId="107">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08">
    <w:name w:val="其他发布部门"/>
    <w:basedOn w:val="71"/>
    <w:qFormat/>
    <w:uiPriority w:val="0"/>
    <w:pPr>
      <w:framePr w:wrap="around" w:y="15310"/>
      <w:spacing w:line="0" w:lineRule="atLeast"/>
    </w:pPr>
    <w:rPr>
      <w:rFonts w:ascii="黑体" w:eastAsia="黑体"/>
      <w:b w:val="0"/>
    </w:rPr>
  </w:style>
  <w:style w:type="paragraph" w:customStyle="1" w:styleId="109">
    <w:name w:val="前言、引言标题"/>
    <w:next w:val="22"/>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10">
    <w:name w:val="三级无"/>
    <w:basedOn w:val="48"/>
    <w:qFormat/>
    <w:uiPriority w:val="0"/>
    <w:pPr>
      <w:spacing w:beforeLines="0" w:afterLines="0"/>
    </w:pPr>
    <w:rPr>
      <w:rFonts w:ascii="宋体" w:eastAsia="宋体"/>
    </w:rPr>
  </w:style>
  <w:style w:type="paragraph" w:customStyle="1" w:styleId="111">
    <w:name w:val="实施日期"/>
    <w:qFormat/>
    <w:uiPriority w:val="0"/>
    <w:pPr>
      <w:framePr w:w="3997" w:h="471" w:hRule="exact" w:vSpace="181" w:wrap="around" w:vAnchor="page" w:hAnchor="page" w:x="7089" w:y="14097"/>
      <w:jc w:val="right"/>
    </w:pPr>
    <w:rPr>
      <w:rFonts w:ascii="Times New Roman" w:hAnsi="Times New Roman" w:eastAsia="黑体" w:cs="Times New Roman"/>
      <w:sz w:val="28"/>
      <w:lang w:val="en-US" w:eastAsia="zh-CN" w:bidi="ar-SA"/>
    </w:rPr>
  </w:style>
  <w:style w:type="paragraph" w:customStyle="1" w:styleId="112">
    <w:name w:val="示例后文字"/>
    <w:basedOn w:val="22"/>
    <w:next w:val="22"/>
    <w:qFormat/>
    <w:uiPriority w:val="0"/>
    <w:pPr>
      <w:ind w:firstLine="360"/>
    </w:pPr>
    <w:rPr>
      <w:sz w:val="18"/>
    </w:rPr>
  </w:style>
  <w:style w:type="paragraph" w:customStyle="1" w:styleId="113">
    <w:name w:val="首示例"/>
    <w:next w:val="22"/>
    <w:link w:val="114"/>
    <w:qFormat/>
    <w:uiPriority w:val="0"/>
    <w:pPr>
      <w:tabs>
        <w:tab w:val="left" w:pos="360"/>
      </w:tabs>
    </w:pPr>
    <w:rPr>
      <w:rFonts w:ascii="宋体" w:hAnsi="宋体" w:eastAsia="宋体" w:cs="Times New Roman"/>
      <w:kern w:val="2"/>
      <w:sz w:val="18"/>
      <w:szCs w:val="18"/>
      <w:lang w:val="en-US" w:eastAsia="zh-CN" w:bidi="ar-SA"/>
    </w:rPr>
  </w:style>
  <w:style w:type="character" w:customStyle="1" w:styleId="114">
    <w:name w:val="首示例 Char"/>
    <w:link w:val="113"/>
    <w:qFormat/>
    <w:uiPriority w:val="0"/>
    <w:rPr>
      <w:rFonts w:ascii="宋体" w:hAnsi="宋体"/>
      <w:kern w:val="2"/>
      <w:sz w:val="18"/>
      <w:szCs w:val="18"/>
    </w:rPr>
  </w:style>
  <w:style w:type="paragraph" w:customStyle="1" w:styleId="115">
    <w:name w:val="四级无"/>
    <w:basedOn w:val="52"/>
    <w:qFormat/>
    <w:uiPriority w:val="0"/>
    <w:pPr>
      <w:spacing w:beforeLines="0" w:afterLines="0"/>
    </w:pPr>
    <w:rPr>
      <w:rFonts w:ascii="宋体" w:eastAsia="宋体"/>
    </w:rPr>
  </w:style>
  <w:style w:type="paragraph" w:customStyle="1" w:styleId="116">
    <w:name w:val="条文脚注"/>
    <w:basedOn w:val="23"/>
    <w:qFormat/>
    <w:uiPriority w:val="0"/>
    <w:pPr>
      <w:numPr>
        <w:numId w:val="0"/>
      </w:numPr>
      <w:jc w:val="both"/>
    </w:pPr>
  </w:style>
  <w:style w:type="paragraph" w:customStyle="1" w:styleId="117">
    <w:name w:val="图标脚注说明"/>
    <w:basedOn w:val="22"/>
    <w:qFormat/>
    <w:uiPriority w:val="0"/>
    <w:pPr>
      <w:ind w:left="840" w:hanging="420" w:firstLineChars="0"/>
    </w:pPr>
    <w:rPr>
      <w:sz w:val="18"/>
      <w:szCs w:val="18"/>
    </w:rPr>
  </w:style>
  <w:style w:type="paragraph" w:customStyle="1" w:styleId="118">
    <w:name w:val="图表脚注说明"/>
    <w:basedOn w:val="1"/>
    <w:qFormat/>
    <w:uiPriority w:val="0"/>
    <w:pPr>
      <w:numPr>
        <w:ilvl w:val="0"/>
        <w:numId w:val="15"/>
      </w:numPr>
    </w:pPr>
    <w:rPr>
      <w:rFonts w:ascii="宋体"/>
      <w:sz w:val="18"/>
      <w:szCs w:val="18"/>
    </w:rPr>
  </w:style>
  <w:style w:type="paragraph" w:customStyle="1" w:styleId="119">
    <w:name w:val="图的脚注"/>
    <w:next w:val="22"/>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20">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21">
    <w:name w:val="五级无"/>
    <w:basedOn w:val="53"/>
    <w:qFormat/>
    <w:uiPriority w:val="0"/>
    <w:pPr>
      <w:spacing w:beforeLines="0" w:afterLines="0"/>
    </w:pPr>
    <w:rPr>
      <w:rFonts w:ascii="宋体" w:eastAsia="宋体"/>
    </w:rPr>
  </w:style>
  <w:style w:type="paragraph" w:customStyle="1" w:styleId="122">
    <w:name w:val="一级无"/>
    <w:basedOn w:val="39"/>
    <w:qFormat/>
    <w:uiPriority w:val="0"/>
    <w:pPr>
      <w:spacing w:beforeLines="0" w:afterLines="0"/>
    </w:pPr>
    <w:rPr>
      <w:rFonts w:ascii="宋体" w:eastAsia="宋体"/>
    </w:rPr>
  </w:style>
  <w:style w:type="paragraph" w:customStyle="1" w:styleId="123">
    <w:name w:val="正文表标题"/>
    <w:next w:val="22"/>
    <w:qFormat/>
    <w:uiPriority w:val="0"/>
    <w:pPr>
      <w:numPr>
        <w:ilvl w:val="0"/>
        <w:numId w:val="16"/>
      </w:numPr>
      <w:spacing w:beforeLines="50" w:afterLines="50"/>
      <w:jc w:val="center"/>
    </w:pPr>
    <w:rPr>
      <w:rFonts w:ascii="黑体" w:hAnsi="Times New Roman" w:eastAsia="黑体" w:cs="Times New Roman"/>
      <w:sz w:val="21"/>
      <w:lang w:val="en-US" w:eastAsia="zh-CN" w:bidi="ar-SA"/>
    </w:rPr>
  </w:style>
  <w:style w:type="paragraph" w:customStyle="1" w:styleId="124">
    <w:name w:val="正文公式编号制表符"/>
    <w:basedOn w:val="22"/>
    <w:next w:val="22"/>
    <w:qFormat/>
    <w:uiPriority w:val="0"/>
    <w:pPr>
      <w:ind w:firstLine="0" w:firstLineChars="0"/>
    </w:pPr>
  </w:style>
  <w:style w:type="paragraph" w:customStyle="1" w:styleId="125">
    <w:name w:val="正文图标题"/>
    <w:next w:val="22"/>
    <w:qFormat/>
    <w:uiPriority w:val="0"/>
    <w:pPr>
      <w:numPr>
        <w:ilvl w:val="0"/>
        <w:numId w:val="17"/>
      </w:numPr>
      <w:spacing w:beforeLines="50" w:afterLines="50"/>
      <w:jc w:val="center"/>
    </w:pPr>
    <w:rPr>
      <w:rFonts w:ascii="黑体" w:hAnsi="Times New Roman" w:eastAsia="黑体" w:cs="Times New Roman"/>
      <w:sz w:val="21"/>
      <w:lang w:val="en-US" w:eastAsia="zh-CN" w:bidi="ar-SA"/>
    </w:rPr>
  </w:style>
  <w:style w:type="paragraph" w:customStyle="1" w:styleId="126">
    <w:name w:val="终结线"/>
    <w:basedOn w:val="1"/>
    <w:qFormat/>
    <w:uiPriority w:val="0"/>
    <w:pPr>
      <w:framePr w:hSpace="181" w:vSpace="181" w:wrap="around" w:vAnchor="text" w:hAnchor="margin" w:xAlign="center" w:y="285"/>
    </w:pPr>
  </w:style>
  <w:style w:type="paragraph" w:customStyle="1" w:styleId="127">
    <w:name w:val="其他发布日期"/>
    <w:qFormat/>
    <w:uiPriority w:val="0"/>
    <w:pPr>
      <w:framePr w:w="3997" w:h="471" w:hRule="exact" w:vSpace="181" w:wrap="around" w:vAnchor="page" w:hAnchor="page" w:x="1419" w:y="14097" w:anchorLock="1"/>
    </w:pPr>
    <w:rPr>
      <w:rFonts w:ascii="Times New Roman" w:hAnsi="Times New Roman" w:eastAsia="黑体" w:cs="Times New Roman"/>
      <w:sz w:val="28"/>
      <w:lang w:val="en-US" w:eastAsia="zh-CN" w:bidi="ar-SA"/>
    </w:rPr>
  </w:style>
  <w:style w:type="paragraph" w:customStyle="1" w:styleId="128">
    <w:name w:val="其他实施日期"/>
    <w:basedOn w:val="111"/>
    <w:qFormat/>
    <w:uiPriority w:val="0"/>
    <w:pPr>
      <w:framePr w:wrap="around"/>
    </w:pPr>
  </w:style>
  <w:style w:type="paragraph" w:customStyle="1" w:styleId="129">
    <w:name w:val="封面标准名称2"/>
    <w:basedOn w:val="75"/>
    <w:qFormat/>
    <w:uiPriority w:val="0"/>
    <w:pPr>
      <w:framePr w:wrap="around" w:y="4469"/>
      <w:spacing w:beforeLines="630"/>
    </w:pPr>
  </w:style>
  <w:style w:type="paragraph" w:customStyle="1" w:styleId="130">
    <w:name w:val="封面标准英文名称2"/>
    <w:basedOn w:val="76"/>
    <w:qFormat/>
    <w:uiPriority w:val="0"/>
    <w:pPr>
      <w:framePr w:wrap="around" w:y="4469"/>
    </w:pPr>
  </w:style>
  <w:style w:type="paragraph" w:customStyle="1" w:styleId="131">
    <w:name w:val="封面一致性程度标识2"/>
    <w:basedOn w:val="77"/>
    <w:qFormat/>
    <w:uiPriority w:val="0"/>
    <w:pPr>
      <w:framePr w:wrap="around" w:y="4469"/>
    </w:pPr>
  </w:style>
  <w:style w:type="paragraph" w:customStyle="1" w:styleId="132">
    <w:name w:val="封面标准文稿类别2"/>
    <w:basedOn w:val="78"/>
    <w:qFormat/>
    <w:uiPriority w:val="0"/>
    <w:pPr>
      <w:framePr w:wrap="around" w:y="4469"/>
    </w:pPr>
  </w:style>
  <w:style w:type="paragraph" w:customStyle="1" w:styleId="133">
    <w:name w:val="封面标准文稿编辑信息2"/>
    <w:basedOn w:val="79"/>
    <w:qFormat/>
    <w:uiPriority w:val="0"/>
    <w:pPr>
      <w:framePr w:wrap="around" w:y="4469"/>
    </w:pPr>
  </w:style>
  <w:style w:type="paragraph" w:customStyle="1" w:styleId="134">
    <w:name w:val="标准名称"/>
    <w:basedOn w:val="47"/>
    <w:link w:val="137"/>
    <w:qFormat/>
    <w:uiPriority w:val="0"/>
  </w:style>
  <w:style w:type="character" w:styleId="135">
    <w:name w:val="Placeholder Text"/>
    <w:basedOn w:val="32"/>
    <w:semiHidden/>
    <w:qFormat/>
    <w:uiPriority w:val="99"/>
    <w:rPr>
      <w:color w:val="808080"/>
    </w:rPr>
  </w:style>
  <w:style w:type="character" w:customStyle="1" w:styleId="136">
    <w:name w:val="目次、标准名称标题 Char"/>
    <w:basedOn w:val="32"/>
    <w:link w:val="47"/>
    <w:qFormat/>
    <w:uiPriority w:val="0"/>
    <w:rPr>
      <w:rFonts w:ascii="黑体" w:eastAsia="黑体"/>
      <w:sz w:val="32"/>
      <w:shd w:val="clear" w:color="FFFFFF" w:fill="FFFFFF"/>
    </w:rPr>
  </w:style>
  <w:style w:type="character" w:customStyle="1" w:styleId="137">
    <w:name w:val="标准名称 Char"/>
    <w:basedOn w:val="136"/>
    <w:link w:val="134"/>
    <w:qFormat/>
    <w:uiPriority w:val="0"/>
    <w:rPr>
      <w:rFonts w:ascii="黑体" w:eastAsia="黑体"/>
      <w:sz w:val="32"/>
      <w:shd w:val="clear" w:color="FFFFFF" w:fill="FFFFFF"/>
    </w:rPr>
  </w:style>
  <w:style w:type="character" w:customStyle="1" w:styleId="138">
    <w:name w:val="批注框文本 字符"/>
    <w:basedOn w:val="32"/>
    <w:link w:val="15"/>
    <w:qFormat/>
    <w:uiPriority w:val="0"/>
    <w:rPr>
      <w:kern w:val="2"/>
      <w:sz w:val="18"/>
      <w:szCs w:val="18"/>
    </w:rPr>
  </w:style>
  <w:style w:type="character" w:customStyle="1" w:styleId="139">
    <w:name w:val="正文文本 字符"/>
    <w:basedOn w:val="32"/>
    <w:link w:val="8"/>
    <w:semiHidden/>
    <w:qFormat/>
    <w:uiPriority w:val="0"/>
    <w:rPr>
      <w:kern w:val="2"/>
      <w:sz w:val="21"/>
      <w:szCs w:val="24"/>
    </w:rPr>
  </w:style>
  <w:style w:type="character" w:customStyle="1" w:styleId="140">
    <w:name w:val="页眉 字符"/>
    <w:basedOn w:val="32"/>
    <w:link w:val="17"/>
    <w:qFormat/>
    <w:uiPriority w:val="0"/>
    <w:rPr>
      <w:kern w:val="2"/>
      <w:sz w:val="18"/>
      <w:szCs w:val="18"/>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microsoft.com/office/2006/relationships/keyMapCustomizations" Target="customizations.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11"/>
        <w:style w:val=""/>
        <w:category>
          <w:name w:val="常规"/>
          <w:gallery w:val="placeholder"/>
        </w:category>
        <w:types>
          <w:type w:val="bbPlcHdr"/>
        </w:types>
        <w:behaviors>
          <w:behavior w:val="content"/>
        </w:behaviors>
        <w:description w:val=""/>
        <w:guid w:val="{028989F2-0355-49D4-BDA6-4D56B5D374C0}"/>
      </w:docPartPr>
      <w:docPartBody>
        <w:p>
          <w:pPr>
            <w:pStyle w:val="5"/>
          </w:pPr>
          <w:r>
            <w:rPr>
              <w:rStyle w:val="4"/>
              <w:rFonts w:hint="eastAsia"/>
            </w:rPr>
            <w:t>标准名称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13A"/>
    <w:rsid w:val="00016CB3"/>
    <w:rsid w:val="0002647A"/>
    <w:rsid w:val="0002653F"/>
    <w:rsid w:val="00066ED4"/>
    <w:rsid w:val="00080DE3"/>
    <w:rsid w:val="00087E40"/>
    <w:rsid w:val="000C73CF"/>
    <w:rsid w:val="00104F02"/>
    <w:rsid w:val="001132F9"/>
    <w:rsid w:val="00114ABC"/>
    <w:rsid w:val="00175B21"/>
    <w:rsid w:val="001C16E0"/>
    <w:rsid w:val="001F51DF"/>
    <w:rsid w:val="002068C7"/>
    <w:rsid w:val="00237F8D"/>
    <w:rsid w:val="00323E80"/>
    <w:rsid w:val="003372E5"/>
    <w:rsid w:val="003750AF"/>
    <w:rsid w:val="003D30D4"/>
    <w:rsid w:val="003E1FD9"/>
    <w:rsid w:val="00430F92"/>
    <w:rsid w:val="004678E1"/>
    <w:rsid w:val="004F113A"/>
    <w:rsid w:val="004F1EC5"/>
    <w:rsid w:val="00515A81"/>
    <w:rsid w:val="005335DD"/>
    <w:rsid w:val="00595D5B"/>
    <w:rsid w:val="00595E09"/>
    <w:rsid w:val="005D4753"/>
    <w:rsid w:val="005F0DFA"/>
    <w:rsid w:val="005F1F82"/>
    <w:rsid w:val="0063324F"/>
    <w:rsid w:val="00654B72"/>
    <w:rsid w:val="00674FBA"/>
    <w:rsid w:val="006D02E4"/>
    <w:rsid w:val="007216E9"/>
    <w:rsid w:val="007C6ACB"/>
    <w:rsid w:val="007E2797"/>
    <w:rsid w:val="00800293"/>
    <w:rsid w:val="00820E7E"/>
    <w:rsid w:val="00880ACD"/>
    <w:rsid w:val="008A651C"/>
    <w:rsid w:val="008B7504"/>
    <w:rsid w:val="008E024D"/>
    <w:rsid w:val="008E21B2"/>
    <w:rsid w:val="008F0268"/>
    <w:rsid w:val="00902EF8"/>
    <w:rsid w:val="00966413"/>
    <w:rsid w:val="00982DAC"/>
    <w:rsid w:val="009B16B1"/>
    <w:rsid w:val="00A14521"/>
    <w:rsid w:val="00A654D4"/>
    <w:rsid w:val="00A94E45"/>
    <w:rsid w:val="00AC12E9"/>
    <w:rsid w:val="00AD6808"/>
    <w:rsid w:val="00B05A72"/>
    <w:rsid w:val="00B17BF4"/>
    <w:rsid w:val="00B717AC"/>
    <w:rsid w:val="00BA22F2"/>
    <w:rsid w:val="00BC67AA"/>
    <w:rsid w:val="00C019D6"/>
    <w:rsid w:val="00C4537A"/>
    <w:rsid w:val="00C875D2"/>
    <w:rsid w:val="00CB0B2B"/>
    <w:rsid w:val="00CD083C"/>
    <w:rsid w:val="00D4454B"/>
    <w:rsid w:val="00D65BC7"/>
    <w:rsid w:val="00D65DD7"/>
    <w:rsid w:val="00D76176"/>
    <w:rsid w:val="00DA4409"/>
    <w:rsid w:val="00E33916"/>
    <w:rsid w:val="00E95A08"/>
    <w:rsid w:val="00EA15BD"/>
    <w:rsid w:val="00EA32AC"/>
    <w:rsid w:val="00ED7FE0"/>
    <w:rsid w:val="00EF3CE1"/>
    <w:rsid w:val="00F15D73"/>
    <w:rsid w:val="00F93653"/>
    <w:rsid w:val="00FE0380"/>
    <w:rsid w:val="00FF0B73"/>
    <w:rsid w:val="00FF0EC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cs="Times New Roman" w:asciiTheme="minorHAnsi" w:hAnsiTheme="minorHAnsi" w:eastAsiaTheme="minorEastAsia"/>
      <w:kern w:val="2"/>
      <w:sz w:val="3276"/>
      <w:szCs w:val="3276"/>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1112"/>
    <w:qFormat/>
    <w:uiPriority w:val="0"/>
    <w:pPr>
      <w:keepNext/>
      <w:pageBreakBefore/>
      <w:shd w:val="clear" w:color="FFFFFF" w:fill="FFFFFF"/>
      <w:spacing w:before="640" w:after="560" w:line="460" w:lineRule="exact"/>
      <w:jc w:val="center"/>
      <w:outlineLvl w:val="0"/>
    </w:pPr>
    <w:rPr>
      <w:rFonts w:ascii="黑体" w:hAnsi="Times New Roman" w:eastAsia="黑体" w:cs="Times New Roman"/>
      <w:kern w:val="0"/>
      <w:sz w:val="32"/>
      <w:szCs w:val="20"/>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BD3C57-2187-4C7F-A4B2-5E611889E975}">
  <ds:schemaRefs/>
</ds:datastoreItem>
</file>

<file path=docProps/app.xml><?xml version="1.0" encoding="utf-8"?>
<Properties xmlns="http://schemas.openxmlformats.org/officeDocument/2006/extended-properties" xmlns:vt="http://schemas.openxmlformats.org/officeDocument/2006/docPropsVTypes">
  <Template>Normal.dotm</Template>
  <Company>zle</Company>
  <Pages>21</Pages>
  <Words>2659</Words>
  <Characters>15162</Characters>
  <Lines>126</Lines>
  <Paragraphs>35</Paragraphs>
  <TotalTime>159</TotalTime>
  <ScaleCrop>false</ScaleCrop>
  <LinksUpToDate>false</LinksUpToDate>
  <CharactersWithSpaces>17786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2022-06-05T14:35:00Z</dcterms:created>
  <dc:creator>CNIS</dc:creator>
  <cp:lastModifiedBy>馨竹磐麒麟</cp:lastModifiedBy>
  <dcterms:modified xsi:type="dcterms:W3CDTF">2022-10-25T06:52:44Z</dcterms:modified>
  <dc:title>标准名称</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AD7376B5E40C4E339482960A0E09732D</vt:lpwstr>
  </property>
</Properties>
</file>