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4"/>
        <w:framePr w:vAnchor="margin" w:hAnchor="page" w:x="1404"/>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cs="黑体"/>
          <w:color w:val="000000" w:themeColor="text1"/>
          <w:sz w:val="32"/>
          <w:szCs w:val="32"/>
          <w:lang w:val="en-US" w:eastAsia="zh-CN"/>
          <w14:textFill>
            <w14:solidFill>
              <w14:schemeClr w14:val="tx1"/>
            </w14:solidFill>
          </w14:textFill>
        </w:rPr>
        <w:t>附件2</w:t>
      </w:r>
    </w:p>
    <w:p>
      <w:pPr>
        <w:pStyle w:val="124"/>
        <w:framePr w:vAnchor="margin" w:hAnchor="page" w:x="1404"/>
        <w:rPr>
          <w:rFonts w:ascii="黑体" w:hAnsi="黑体" w:cs="黑体"/>
          <w:color w:val="000000" w:themeColor="text1"/>
          <w:szCs w:val="21"/>
          <w14:textFill>
            <w14:solidFill>
              <w14:schemeClr w14:val="tx1"/>
            </w14:solidFill>
          </w14:textFill>
        </w:rPr>
      </w:pPr>
      <w:r>
        <w:rPr>
          <w:rFonts w:hint="eastAsia" w:ascii="黑体" w:hAnsi="黑体" w:cs="黑体"/>
          <w:color w:val="000000" w:themeColor="text1"/>
          <w:szCs w:val="21"/>
          <w14:textFill>
            <w14:solidFill>
              <w14:schemeClr w14:val="tx1"/>
            </w14:solidFill>
          </w14:textFill>
        </w:rPr>
        <w:t>ICS 13.100</w:t>
      </w:r>
    </w:p>
    <w:p>
      <w:pPr>
        <w:pStyle w:val="124"/>
        <w:framePr w:vAnchor="margin" w:hAnchor="page" w:x="1404"/>
        <w:rPr>
          <w:rFonts w:ascii="黑体" w:hAnsi="黑体" w:cs="黑体"/>
          <w:color w:val="000000" w:themeColor="text1"/>
          <w:szCs w:val="21"/>
          <w14:textFill>
            <w14:solidFill>
              <w14:schemeClr w14:val="tx1"/>
            </w14:solidFill>
          </w14:textFill>
        </w:rPr>
      </w:pPr>
      <w:r>
        <w:rPr>
          <w:rFonts w:hint="eastAsia" w:ascii="黑体" w:hAnsi="黑体" w:cs="黑体"/>
          <w:color w:val="000000" w:themeColor="text1"/>
          <w:szCs w:val="21"/>
          <w14:textFill>
            <w14:solidFill>
              <w14:schemeClr w14:val="tx1"/>
            </w14:solidFill>
          </w14:textFill>
        </w:rPr>
        <w:t>CCS B 09</w:t>
      </w:r>
    </w:p>
    <w:p>
      <w:pPr>
        <w:pStyle w:val="124"/>
        <w:framePr w:vAnchor="margin" w:hAnchor="page" w:x="1404"/>
        <w:rPr>
          <w:rFonts w:ascii="黑体" w:hAnsi="黑体" w:cs="黑体"/>
          <w:color w:val="000000" w:themeColor="text1"/>
          <w:szCs w:val="21"/>
          <w14:textFill>
            <w14:solidFill>
              <w14:schemeClr w14:val="tx1"/>
            </w14:solidFill>
          </w14:textFill>
        </w:rPr>
      </w:pPr>
      <w:r>
        <w:rPr>
          <w:rFonts w:hint="eastAsia" w:ascii="黑体" w:hAnsi="黑体" w:cs="黑体"/>
          <w:color w:val="000000" w:themeColor="text1"/>
          <w14:textFill>
            <w14:solidFill>
              <w14:schemeClr w14:val="tx1"/>
            </w14:solidFill>
          </w14:textFill>
        </w:rPr>
        <mc:AlternateContent>
          <mc:Choice Requires="wps">
            <w:drawing>
              <wp:anchor distT="0" distB="0" distL="114300" distR="114300" simplePos="0" relativeHeight="251667456" behindDoc="1" locked="0" layoutInCell="1" allowOverlap="1">
                <wp:simplePos x="0" y="0"/>
                <wp:positionH relativeFrom="page">
                  <wp:posOffset>789305</wp:posOffset>
                </wp:positionH>
                <wp:positionV relativeFrom="page">
                  <wp:posOffset>1357630</wp:posOffset>
                </wp:positionV>
                <wp:extent cx="866775" cy="198120"/>
                <wp:effectExtent l="0" t="0" r="0" b="0"/>
                <wp:wrapNone/>
                <wp:docPr id="21" name="矩形 21"/>
                <wp:cNvGraphicFramePr/>
                <a:graphic xmlns:a="http://schemas.openxmlformats.org/drawingml/2006/main">
                  <a:graphicData uri="http://schemas.microsoft.com/office/word/2010/wordprocessingShape">
                    <wps:wsp>
                      <wps:cNvSpPr>
                        <a:spLocks noChangeArrowheads="true"/>
                      </wps:cNvSpPr>
                      <wps:spPr bwMode="auto">
                        <a:xfrm>
                          <a:off x="0" y="0"/>
                          <a:ext cx="866775" cy="198120"/>
                        </a:xfrm>
                        <a:prstGeom prst="rect">
                          <a:avLst/>
                        </a:prstGeom>
                        <a:solidFill>
                          <a:srgbClr val="FFFFFF"/>
                        </a:solidFill>
                        <a:ln>
                          <a:noFill/>
                        </a:ln>
                      </wps:spPr>
                      <wps:txbx>
                        <w:txbxContent>
                          <w:p/>
                        </w:txbxContent>
                      </wps:txbx>
                      <wps:bodyPr rot="0" vert="horz" wrap="square" lIns="91440" tIns="45720" rIns="91440" bIns="45720" anchor="t" anchorCtr="false" upright="true">
                        <a:noAutofit/>
                      </wps:bodyPr>
                    </wps:wsp>
                  </a:graphicData>
                </a:graphic>
              </wp:anchor>
            </w:drawing>
          </mc:Choice>
          <mc:Fallback>
            <w:pict>
              <v:rect id="_x0000_s1026" o:spid="_x0000_s1026" o:spt="1" style="position:absolute;left:0pt;margin-left:62.15pt;margin-top:106.9pt;height:15.6pt;width:68.25pt;mso-position-horizontal-relative:page;mso-position-vertical-relative:page;z-index:-251649024;mso-width-relative:page;mso-height-relative:page;" fillcolor="#FFFFFF" filled="t" stroked="f" coordsize="21600,21600" o:gfxdata="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AfjRDH&#10;1wAAAAsBAAAPAAAAAAAAAAEAIAAAADgAAABkcnMvZG93bnJldi54bWxQSwECFAAUAAAACACHTuJA&#10;0X3o6gwCAADuAwAADgAAAAAAAAABACAAAAA8AQAAZHJzL2Uyb0RvYy54bWxQSwUGAAAAAAYABgBZ&#10;AQAAugUAAAAA&#10;">
                <v:fill on="t" focussize="0,0"/>
                <v:stroke on="f"/>
                <v:imagedata o:title=""/>
                <o:lock v:ext="edit" aspectratio="f"/>
                <v:textbox>
                  <w:txbxContent>
                    <w:p/>
                  </w:txbxContent>
                </v:textbox>
              </v:rect>
            </w:pict>
          </mc:Fallback>
        </mc:AlternateContent>
      </w:r>
      <w:r>
        <w:rPr>
          <w:rFonts w:hint="eastAsia" w:ascii="黑体" w:hAnsi="黑体" w:cs="黑体"/>
          <w:color w:val="000000" w:themeColor="text1"/>
          <w:szCs w:val="21"/>
          <w14:textFill>
            <w14:solidFill>
              <w14:schemeClr w14:val="tx1"/>
            </w14:solidFill>
          </w14:textFill>
        </w:rPr>
        <w:t>备案号:</w:t>
      </w:r>
    </w:p>
    <w:p>
      <w:pPr>
        <w:pStyle w:val="162"/>
        <w:framePr w:vAnchor="page" w:hAnchor="page" w:x="8139" w:y="1263"/>
      </w:pPr>
      <w:r>
        <w:rPr>
          <w:rFonts w:hint="eastAsia"/>
        </w:rPr>
        <w:t>AQ</w:t>
      </w:r>
    </w:p>
    <w:p>
      <w:pPr>
        <w:pStyle w:val="111"/>
        <w:spacing w:before="156" w:beforeLines="50"/>
        <w:rPr>
          <w:rFonts w:ascii="宋体"/>
          <w:color w:val="000000" w:themeColor="text1"/>
          <w:szCs w:val="56"/>
          <w14:textFill>
            <w14:solidFill>
              <w14:schemeClr w14:val="tx1"/>
            </w14:solidFill>
          </w14:textFill>
        </w:rPr>
      </w:pPr>
      <w:r>
        <w:rPr>
          <w:rFonts w:hint="eastAsia" w:ascii="宋体"/>
          <w:color w:val="000000" w:themeColor="text1"/>
          <w:szCs w:val="56"/>
          <w14:textFill>
            <w14:solidFill>
              <w14:schemeClr w14:val="tx1"/>
            </w14:solidFill>
          </w14:textFill>
        </w:rPr>
        <w:t>中华人民共和国安全生产行业标准</w:t>
      </w:r>
    </w:p>
    <w:p>
      <w:pPr>
        <w:pStyle w:val="122"/>
        <w:tabs>
          <w:tab w:val="left" w:pos="5459"/>
          <w:tab w:val="right" w:pos="9638"/>
        </w:tabs>
        <w:wordWrap w:val="0"/>
        <w:adjustRightInd w:val="0"/>
        <w:spacing w:before="510"/>
        <w:jc w:val="left"/>
        <w:rPr>
          <w:rFonts w:ascii="黑体" w:hAnsi="黑体" w:eastAsia="黑体" w:cs="黑体"/>
          <w:color w:val="000000" w:themeColor="text1"/>
          <w14:textFill>
            <w14:solidFill>
              <w14:schemeClr w14:val="tx1"/>
            </w14:solidFill>
          </w14:textFill>
        </w:rPr>
      </w:pPr>
      <w:r>
        <w:rPr>
          <w:rFonts w:ascii="宋体" w:hAnsi="宋体"/>
          <w:color w:val="000000" w:themeColor="text1"/>
          <w14:textFill>
            <w14:solidFill>
              <w14:schemeClr w14:val="tx1"/>
            </w14:solidFill>
          </w14:textFill>
        </w:rPr>
        <w:tab/>
      </w:r>
      <w:r>
        <w:rPr>
          <w:rFonts w:ascii="宋体" w:hAnsi="宋体"/>
          <w:color w:val="000000" w:themeColor="text1"/>
          <w14:textFill>
            <w14:solidFill>
              <w14:schemeClr w14:val="tx1"/>
            </w14:solidFill>
          </w14:textFill>
        </w:rPr>
        <w:tab/>
      </w:r>
      <w:r>
        <w:rPr>
          <w:rFonts w:ascii="宋体" w:hAnsi="宋体"/>
          <w:color w:val="000000" w:themeColor="text1"/>
          <w14:textFill>
            <w14:solidFill>
              <w14:schemeClr w14:val="tx1"/>
            </w14:solidFill>
          </w14:textFill>
        </w:rPr>
        <w:t xml:space="preserve"> </w:t>
      </w:r>
      <w:r>
        <w:rPr>
          <w:rFonts w:hint="eastAsia" w:ascii="黑体" w:hAnsi="黑体" w:eastAsia="黑体" w:cs="黑体"/>
          <w:color w:val="000000" w:themeColor="text1"/>
          <w14:textFill>
            <w14:solidFill>
              <w14:schemeClr w14:val="tx1"/>
            </w14:solidFill>
          </w14:textFill>
        </w:rPr>
        <w:t>AQ XXXX—202X</w:t>
      </w:r>
    </w:p>
    <w:p>
      <w:pPr>
        <w:pStyle w:val="135"/>
        <w:framePr w:h="762" w:hRule="exact" w:vAnchor="page" w:hAnchor="page" w:x="1132" w:y="6361"/>
        <w:ind w:left="840" w:hanging="420"/>
        <w:rPr>
          <w:rFonts w:hAnsi="黑体" w:cs="黑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化工企业液化烃储罐区安全管理规范</w:t>
      </w:r>
    </w:p>
    <w:p>
      <w:pPr>
        <w:pStyle w:val="71"/>
        <w:ind w:firstLine="800"/>
        <w:rPr>
          <w:rFonts w:ascii="黑体" w:hAnsi="黑体" w:eastAsia="黑体" w:cs="黑体"/>
          <w:color w:val="000000" w:themeColor="text1"/>
          <w:sz w:val="28"/>
          <w:szCs w:val="24"/>
          <w14:textFill>
            <w14:solidFill>
              <w14:schemeClr w14:val="tx1"/>
            </w14:solidFill>
          </w14:textFill>
        </w:rPr>
      </w:pPr>
      <w:r>
        <w:rPr>
          <w:rFonts w:hint="eastAsia" w:ascii="黑体" w:hAnsi="黑体" w:eastAsia="黑体" w:cs="黑体"/>
          <w:color w:val="000000" w:themeColor="text1"/>
          <w:sz w:val="40"/>
          <w:szCs w:val="40"/>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-33020</wp:posOffset>
                </wp:positionH>
                <wp:positionV relativeFrom="paragraph">
                  <wp:posOffset>62865</wp:posOffset>
                </wp:positionV>
                <wp:extent cx="6172200" cy="635"/>
                <wp:effectExtent l="0" t="0" r="0" b="18415"/>
                <wp:wrapNone/>
                <wp:docPr id="19" name="直接连接符 19"/>
                <wp:cNvGraphicFramePr/>
                <a:graphic xmlns:a="http://schemas.openxmlformats.org/drawingml/2006/main">
                  <a:graphicData uri="http://schemas.microsoft.com/office/word/2010/wordprocessingShape">
                    <wps:wsp>
                      <wps:cNvCnPr>
                        <a:cxnSpLocks noChangeShapeType="true"/>
                      </wps:cNvCnPr>
                      <wps:spPr bwMode="auto">
                        <a:xfrm>
                          <a:off x="0" y="0"/>
                          <a:ext cx="61722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2.6pt;margin-top:4.95pt;height:0.05pt;width:486pt;z-index:251665408;mso-width-relative:page;mso-height-relative:page;" filled="f" stroked="t" coordsize="21600,21600" o:gfxdata="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CEepLtUAAAAHAQAA&#10;DwAAAAAAAAABACAAAAA4AAAAZHJzL2Rvd25yZXYueG1sUEsBAhQAFAAAAAgAh07iQGlewqzNAQAA&#10;YwMAAA4AAAAAAAAAAQAgAAAAOgEAAGRycy9lMm9Eb2MueG1sUEsFBgAAAAAGAAYAWQEAAHkFAAAA&#10;AA==&#10;">
                <v:fill on="f" focussize="0,0"/>
                <v:stroke color="#000000" joinstyle="round"/>
                <v:imagedata o:title=""/>
                <o:lock v:ext="edit" aspectratio="f"/>
              </v:line>
            </w:pict>
          </mc:Fallback>
        </mc:AlternateContent>
      </w:r>
    </w:p>
    <w:p>
      <w:pPr>
        <w:widowControl w:val="0"/>
        <w:autoSpaceDE w:val="0"/>
        <w:autoSpaceDN w:val="0"/>
        <w:adjustRightInd w:val="0"/>
        <w:spacing w:line="240" w:lineRule="auto"/>
        <w:textAlignment w:val="auto"/>
        <w:rPr>
          <w:rFonts w:ascii="黑体" w:hAnsi="黑体" w:eastAsia="黑体" w:cs="黑体"/>
          <w:b/>
          <w:color w:val="000000" w:themeColor="text1"/>
          <w:sz w:val="36"/>
          <w:szCs w:val="36"/>
          <w14:textFill>
            <w14:solidFill>
              <w14:schemeClr w14:val="tx1"/>
            </w14:solidFill>
          </w14:textFill>
        </w:rPr>
      </w:pPr>
    </w:p>
    <w:p>
      <w:pPr>
        <w:widowControl w:val="0"/>
        <w:autoSpaceDE w:val="0"/>
        <w:autoSpaceDN w:val="0"/>
        <w:adjustRightInd w:val="0"/>
        <w:spacing w:line="240" w:lineRule="auto"/>
        <w:ind w:left="420"/>
        <w:textAlignment w:val="auto"/>
        <w:rPr>
          <w:rFonts w:ascii="宋体" w:hAnsi="Calibri" w:cs="宋体"/>
          <w:b/>
          <w:color w:val="000000" w:themeColor="text1"/>
          <w:sz w:val="36"/>
          <w:szCs w:val="36"/>
          <w14:textFill>
            <w14:solidFill>
              <w14:schemeClr w14:val="tx1"/>
            </w14:solidFill>
          </w14:textFill>
        </w:rPr>
      </w:pPr>
    </w:p>
    <w:p>
      <w:pPr>
        <w:pStyle w:val="109"/>
        <w:framePr w:w="9549" w:vAnchor="page" w:hAnchor="page" w:x="1269" w:y="14249"/>
        <w:rPr>
          <w:rFonts w:ascii="黑体" w:hAnsi="黑体"/>
          <w:color w:val="000000" w:themeColor="text1"/>
          <w14:textFill>
            <w14:solidFill>
              <w14:schemeClr w14:val="tx1"/>
            </w14:solidFill>
          </w14:textFill>
        </w:rPr>
      </w:pPr>
      <w:r>
        <w:rPr>
          <w:rFonts w:hint="eastAsia" w:ascii="黑体" w:hAnsi="黑体" w:cs="黑体"/>
          <w:color w:val="000000" w:themeColor="text1"/>
          <w14:textFill>
            <w14:solidFill>
              <w14:schemeClr w14:val="tx1"/>
            </w14:solidFill>
          </w14:textFill>
        </w:rPr>
        <w:t>202X</w:t>
      </w:r>
      <w:r>
        <w:rPr>
          <w:rFonts w:hint="eastAsia" w:ascii="黑体" w:hAnsi="黑体"/>
          <w:color w:val="000000" w:themeColor="text1"/>
          <w14:textFill>
            <w14:solidFill>
              <w14:schemeClr w14:val="tx1"/>
            </w14:solidFill>
          </w14:textFill>
        </w:rPr>
        <w:t>-XX-XX 发布                                     202</w:t>
      </w:r>
      <w:r>
        <w:rPr>
          <w:rFonts w:hint="eastAsia" w:ascii="黑体" w:hAnsi="黑体" w:cs="黑体"/>
          <w:color w:val="000000" w:themeColor="text1"/>
          <w14:textFill>
            <w14:solidFill>
              <w14:schemeClr w14:val="tx1"/>
            </w14:solidFill>
          </w14:textFill>
        </w:rPr>
        <w:t>X</w:t>
      </w:r>
      <w:r>
        <w:rPr>
          <w:rFonts w:hint="eastAsia" w:ascii="黑体" w:hAnsi="黑体"/>
          <w:color w:val="000000" w:themeColor="text1"/>
          <w14:textFill>
            <w14:solidFill>
              <w14:schemeClr w14:val="tx1"/>
            </w14:solidFill>
          </w14:textFill>
        </w:rPr>
        <w:t>-XX-XX 实施</w:t>
      </w:r>
    </w:p>
    <w:p>
      <w:pPr>
        <w:pStyle w:val="140"/>
        <w:spacing w:before="567" w:line="0" w:lineRule="atLeast"/>
        <w:rPr>
          <w:rFonts w:ascii="黑体" w:hAnsi="黑体" w:eastAsia="黑体"/>
          <w:color w:val="000000" w:themeColor="text1"/>
          <w:szCs w:val="28"/>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75648" behindDoc="0" locked="0" layoutInCell="1" allowOverlap="1">
                <wp:simplePos x="0" y="0"/>
                <wp:positionH relativeFrom="column">
                  <wp:posOffset>768350</wp:posOffset>
                </wp:positionH>
                <wp:positionV relativeFrom="paragraph">
                  <wp:posOffset>9178925</wp:posOffset>
                </wp:positionV>
                <wp:extent cx="6120130" cy="0"/>
                <wp:effectExtent l="0" t="0" r="0" b="0"/>
                <wp:wrapNone/>
                <wp:docPr id="24" name="直接连接符 24"/>
                <wp:cNvGraphicFramePr/>
                <a:graphic xmlns:a="http://schemas.openxmlformats.org/drawingml/2006/main">
                  <a:graphicData uri="http://schemas.microsoft.com/office/word/2010/wordprocessingShape">
                    <wps:wsp>
                      <wps:cNvCnPr/>
                      <wps:spPr>
                        <a:xfrm>
                          <a:off x="0" y="0"/>
                          <a:ext cx="612013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60.5pt;margin-top:722.75pt;height:0pt;width:481.9pt;z-index:251675648;mso-width-relative:page;mso-height-relative:page;" filled="f" stroked="t" coordsize="21600,21600" o:gfxdata="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AUvXzL&#10;2QAAAA4BAAAPAAAAAAAAAAEAIAAAADgAAABkcnMvZG93bnJldi54bWxQSwECFAAUAAAACACHTuJA&#10;YM35q9EBAACNAwAADgAAAAAAAAABACAAAAA+AQAAZHJzL2Uyb0RvYy54bWxQSwUGAAAAAAYABgBZ&#10;AQAAgQUAAAAA&#10;">
                <v:fill on="f" focussize="0,0"/>
                <v:stroke weight="1pt" color="#000000" joinstyle="round"/>
                <v:imagedata o:title=""/>
                <o:lock v:ext="edit" aspectratio="f"/>
              </v:line>
            </w:pict>
          </mc:Fallback>
        </mc:AlternateContent>
      </w:r>
      <w:r>
        <w:rPr>
          <w:rFonts w:ascii="黑体" w:hAnsi="黑体" w:eastAsia="黑体"/>
          <w:color w:val="000000" w:themeColor="text1"/>
          <w:szCs w:val="28"/>
          <w14:textFill>
            <w14:solidFill>
              <w14:schemeClr w14:val="tx1"/>
            </w14:solidFill>
          </w14:textFill>
        </w:rPr>
        <w:t>C</w:t>
      </w:r>
      <w:r>
        <w:rPr>
          <w:rFonts w:hint="eastAsia" w:ascii="黑体" w:hAnsi="黑体" w:eastAsia="黑体"/>
          <w:color w:val="000000" w:themeColor="text1"/>
          <w:szCs w:val="28"/>
          <w14:textFill>
            <w14:solidFill>
              <w14:schemeClr w14:val="tx1"/>
            </w14:solidFill>
          </w14:textFill>
        </w:rPr>
        <w:t>ode</w:t>
      </w:r>
      <w:r>
        <w:rPr>
          <w:rFonts w:ascii="黑体" w:hAnsi="黑体" w:eastAsia="黑体"/>
          <w:color w:val="000000" w:themeColor="text1"/>
          <w:szCs w:val="28"/>
          <w14:textFill>
            <w14:solidFill>
              <w14:schemeClr w14:val="tx1"/>
            </w14:solidFill>
          </w14:textFill>
        </w:rPr>
        <w:t xml:space="preserve"> for safety management of liquefied hydrocarbon storage tank farm</w:t>
      </w:r>
      <w:r>
        <w:rPr>
          <w:rFonts w:hint="eastAsia" w:ascii="黑体" w:hAnsi="黑体" w:eastAsia="黑体"/>
          <w:color w:val="000000" w:themeColor="text1"/>
          <w:szCs w:val="28"/>
          <w14:textFill>
            <w14:solidFill>
              <w14:schemeClr w14:val="tx1"/>
            </w14:solidFill>
          </w14:textFill>
        </w:rPr>
        <w:t xml:space="preserve"> of</w:t>
      </w:r>
      <w:r>
        <w:rPr>
          <w:rFonts w:ascii="黑体" w:hAnsi="黑体" w:eastAsia="黑体"/>
          <w:color w:val="000000" w:themeColor="text1"/>
          <w:szCs w:val="28"/>
          <w14:textFill>
            <w14:solidFill>
              <w14:schemeClr w14:val="tx1"/>
            </w14:solidFill>
          </w14:textFill>
        </w:rPr>
        <w:t xml:space="preserve"> chemical industrial enterprises</w:t>
      </w:r>
    </w:p>
    <w:p>
      <w:pPr>
        <w:pStyle w:val="106"/>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int="eastAsia" w:hAnsi="宋体"/>
          <w:color w:val="000000" w:themeColor="text1"/>
          <w:lang w:eastAsia="zh-CN"/>
          <w14:textFill>
            <w14:solidFill>
              <w14:schemeClr w14:val="tx1"/>
            </w14:solidFill>
          </w14:textFill>
        </w:rPr>
        <w:t>征求意见</w:t>
      </w:r>
      <w:r>
        <w:rPr>
          <w:rFonts w:hint="eastAsia" w:hAnsi="宋体"/>
          <w:color w:val="000000" w:themeColor="text1"/>
          <w14:textFill>
            <w14:solidFill>
              <w14:schemeClr w14:val="tx1"/>
            </w14:solidFill>
          </w14:textFill>
        </w:rPr>
        <w:t>稿）</w:t>
      </w:r>
    </w:p>
    <w:p>
      <w:pPr>
        <w:pStyle w:val="154"/>
        <w:framePr w:w="8409" w:vAnchor="page" w:hAnchor="page" w:x="1919" w:y="15255"/>
        <w:rPr>
          <w:rFonts w:ascii="宋体" w:hAnsi="宋体"/>
          <w:b/>
          <w:color w:val="000000" w:themeColor="text1"/>
          <w14:textFill>
            <w14:solidFill>
              <w14:schemeClr w14:val="tx1"/>
            </w14:solidFill>
          </w14:textFill>
        </w:rPr>
      </w:pPr>
      <w:r>
        <w:rPr>
          <w:rFonts w:hint="eastAsia" w:ascii="宋体" w:hAnsi="宋体"/>
          <w:color w:val="000000" w:themeColor="text1"/>
          <w:sz w:val="28"/>
          <w:szCs w:val="28"/>
          <w14:textFill>
            <w14:solidFill>
              <w14:schemeClr w14:val="tx1"/>
            </w14:solidFill>
          </w14:textFill>
        </w:rPr>
        <w:t>中华人民共和国应急管理部</w:t>
      </w:r>
      <w:r>
        <w:rPr>
          <w:rFonts w:hint="eastAsia" w:ascii="宋体" w:hAnsi="宋体"/>
          <w:color w:val="000000" w:themeColor="text1"/>
          <w14:textFill>
            <w14:solidFill>
              <w14:schemeClr w14:val="tx1"/>
            </w14:solidFill>
          </w14:textFill>
        </w:rPr>
        <w:t xml:space="preserve"> </w:t>
      </w:r>
      <w:r>
        <w:rPr>
          <w:rFonts w:hint="eastAsia" w:ascii="宋体" w:hAnsi="宋体"/>
          <w:b/>
          <w:color w:val="000000" w:themeColor="text1"/>
          <w14:textFill>
            <w14:solidFill>
              <w14:schemeClr w14:val="tx1"/>
            </w14:solidFill>
          </w14:textFill>
        </w:rPr>
        <w:t xml:space="preserve"> </w:t>
      </w:r>
      <w:r>
        <w:rPr>
          <w:rStyle w:val="69"/>
          <w:rFonts w:hint="eastAsia" w:ascii="宋体" w:hAnsi="宋体"/>
          <w:b/>
          <w:color w:val="000000" w:themeColor="text1"/>
          <w14:textFill>
            <w14:solidFill>
              <w14:schemeClr w14:val="tx1"/>
            </w14:solidFill>
          </w14:textFill>
        </w:rPr>
        <w:t>发布</w:t>
      </w:r>
    </w:p>
    <w:p>
      <w:pPr>
        <w:widowControl w:val="0"/>
        <w:autoSpaceDE w:val="0"/>
        <w:autoSpaceDN w:val="0"/>
        <w:adjustRightInd w:val="0"/>
        <w:spacing w:line="240" w:lineRule="auto"/>
        <w:ind w:left="420"/>
        <w:jc w:val="center"/>
        <w:textAlignment w:val="auto"/>
        <w:rPr>
          <w:rFonts w:ascii="宋体" w:hAnsi="Calibri" w:cs="宋体"/>
          <w:b/>
          <w:color w:val="000000" w:themeColor="text1"/>
          <w:sz w:val="40"/>
          <w:szCs w:val="40"/>
          <w:lang w:val="zh-CN"/>
          <w14:textFill>
            <w14:solidFill>
              <w14:schemeClr w14:val="tx1"/>
            </w14:solidFill>
          </w14:textFill>
        </w:rPr>
        <w:sectPr>
          <w:headerReference r:id="rId7" w:type="first"/>
          <w:headerReference r:id="rId5" w:type="default"/>
          <w:headerReference r:id="rId6" w:type="even"/>
          <w:pgSz w:w="11907" w:h="16839"/>
          <w:pgMar w:top="1417" w:right="1134" w:bottom="1134" w:left="1418" w:header="1418" w:footer="851" w:gutter="0"/>
          <w:pgNumType w:fmt="upperRoman" w:start="1"/>
          <w:cols w:space="720" w:num="1"/>
          <w:titlePg/>
          <w:docGrid w:type="lines" w:linePitch="312" w:charSpace="0"/>
        </w:sectPr>
      </w:pPr>
      <w:r>
        <w:rPr>
          <w:color w:val="000000" w:themeColor="text1"/>
          <w14:textFill>
            <w14:solidFill>
              <w14:schemeClr w14:val="tx1"/>
            </w14:solidFill>
          </w14:textFill>
        </w:rPr>
        <mc:AlternateContent>
          <mc:Choice Requires="wps">
            <w:drawing>
              <wp:anchor distT="0" distB="0" distL="114300" distR="114300" simplePos="0" relativeHeight="251674624" behindDoc="0" locked="0" layoutInCell="1" allowOverlap="1">
                <wp:simplePos x="0" y="0"/>
                <wp:positionH relativeFrom="column">
                  <wp:posOffset>-53975</wp:posOffset>
                </wp:positionH>
                <wp:positionV relativeFrom="paragraph">
                  <wp:posOffset>3642360</wp:posOffset>
                </wp:positionV>
                <wp:extent cx="5976620" cy="0"/>
                <wp:effectExtent l="10795" t="10795" r="13335" b="8255"/>
                <wp:wrapNone/>
                <wp:docPr id="15" name="AutoShape 25"/>
                <wp:cNvGraphicFramePr/>
                <a:graphic xmlns:a="http://schemas.openxmlformats.org/drawingml/2006/main">
                  <a:graphicData uri="http://schemas.microsoft.com/office/word/2010/wordprocessingShape">
                    <wps:wsp>
                      <wps:cNvCnPr>
                        <a:cxnSpLocks noChangeShapeType="true"/>
                      </wps:cNvCnPr>
                      <wps:spPr bwMode="auto">
                        <a:xfrm>
                          <a:off x="0" y="0"/>
                          <a:ext cx="5976620" cy="0"/>
                        </a:xfrm>
                        <a:prstGeom prst="straightConnector1">
                          <a:avLst/>
                        </a:prstGeom>
                        <a:noFill/>
                        <a:ln w="9525">
                          <a:solidFill>
                            <a:srgbClr val="000000"/>
                          </a:solidFill>
                          <a:round/>
                        </a:ln>
                      </wps:spPr>
                      <wps:bodyPr/>
                    </wps:wsp>
                  </a:graphicData>
                </a:graphic>
              </wp:anchor>
            </w:drawing>
          </mc:Choice>
          <mc:Fallback>
            <w:pict>
              <v:shape id="AutoShape 25" o:spid="_x0000_s1026" o:spt="32" type="#_x0000_t32" style="position:absolute;left:0pt;margin-left:-4.25pt;margin-top:286.8pt;height:0pt;width:470.6pt;z-index:251674624;mso-width-relative:page;mso-height-relative:page;" filled="f" stroked="t" coordsize="21600,21600" o:gfxdata="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DCv+qfYAAAACgEAAA8AAAAAAAAAAQAgAAAAOAAA&#10;AGRycy9kb3ducmV2LnhtbFBLAQIUABQAAAAIAIdO4kCDKmgluQEAAGkDAAAOAAAAAAAAAAEAIAAA&#10;AD0BAABkcnMvZTJvRG9jLnhtbFBLBQYAAAAABgAGAFkBAABoBQAAAAA=&#10;">
                <v:fill on="f" focussize="0,0"/>
                <v:stroke color="#000000" joinstyle="round"/>
                <v:imagedata o:title=""/>
                <o:lock v:ext="edit" aspectratio="f"/>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768350</wp:posOffset>
                </wp:positionH>
                <wp:positionV relativeFrom="paragraph">
                  <wp:posOffset>9178925</wp:posOffset>
                </wp:positionV>
                <wp:extent cx="6120130" cy="0"/>
                <wp:effectExtent l="0" t="0" r="0" b="0"/>
                <wp:wrapNone/>
                <wp:docPr id="14" name="直接连接符 14"/>
                <wp:cNvGraphicFramePr/>
                <a:graphic xmlns:a="http://schemas.openxmlformats.org/drawingml/2006/main">
                  <a:graphicData uri="http://schemas.microsoft.com/office/word/2010/wordprocessingShape">
                    <wps:wsp>
                      <wps:cNvCnPr/>
                      <wps:spPr>
                        <a:xfrm>
                          <a:off x="0" y="0"/>
                          <a:ext cx="612013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60.5pt;margin-top:722.75pt;height:0pt;width:481.9pt;z-index:251673600;mso-width-relative:page;mso-height-relative:page;" filled="f" stroked="t" coordsize="21600,21600" o:gfxdata="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BYAAABkcnMvUEsBAhQAFAAAAAgAh07iQBS9fMvZ&#10;AAAADgEAAA8AAAAAAAAAAQAgAAAAOAAAAGRycy9kb3ducmV2LnhtbFBLAQIUABQAAAAIAIdO4kCK&#10;KzL00AEAAI0DAAAOAAAAAAAAAAEAIAAAAD4BAABkcnMvZTJvRG9jLnhtbFBLBQYAAAAABgAGAFkB&#10;AACABQAAAAA=&#10;">
                <v:fill on="f" focussize="0,0"/>
                <v:stroke weight="1pt" color="#000000" joinstyle="round"/>
                <v:imagedata o:title=""/>
                <o:lock v:ext="edit" aspectratio="f"/>
              </v:lin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768350</wp:posOffset>
                </wp:positionH>
                <wp:positionV relativeFrom="paragraph">
                  <wp:posOffset>9178925</wp:posOffset>
                </wp:positionV>
                <wp:extent cx="6120130" cy="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612013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60.5pt;margin-top:722.75pt;height:0pt;width:481.9pt;z-index:251672576;mso-width-relative:page;mso-height-relative:page;" filled="f" stroked="t" coordsize="21600,21600" o:gfxdata="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BYAAABkcnMvUEsBAhQAFAAAAAgAh07iQBS9fMvZ&#10;AAAADgEAAA8AAAAAAAAAAQAgAAAAOAAAAGRycy9kb3ducmV2LnhtbFBLAQIUABQAAAAIAIdO4kCu&#10;t0T20AEAAI0DAAAOAAAAAAAAAAEAIAAAAD4BAABkcnMvZTJvRG9jLnhtbFBLBQYAAAAABgAGAFkB&#10;AACABQAAAAA=&#10;">
                <v:fill on="f" focussize="0,0"/>
                <v:stroke weight="1pt" color="#000000" joinstyle="round"/>
                <v:imagedata o:title=""/>
                <o:lock v:ext="edit" aspectratio="f"/>
              </v:lin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768350</wp:posOffset>
                </wp:positionH>
                <wp:positionV relativeFrom="paragraph">
                  <wp:posOffset>9178925</wp:posOffset>
                </wp:positionV>
                <wp:extent cx="6120130" cy="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612013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60.5pt;margin-top:722.75pt;height:0pt;width:481.9pt;z-index:251671552;mso-width-relative:page;mso-height-relative:page;" filled="f" stroked="t" coordsize="21600,21600" o:gfxdata="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FL18y9kA&#10;AAAOAQAADwAAAAAAAAABACAAAAA4AAAAZHJzL2Rvd25yZXYueG1sUEsBAhQAFAAAAAgAh07iQLnp&#10;nrPPAQAAjQMAAA4AAAAAAAAAAQAgAAAAPgEAAGRycy9lMm9Eb2MueG1sUEsFBgAAAAAGAAYAWQEA&#10;AH8FAAAAAA==&#10;">
                <v:fill on="f" focussize="0,0"/>
                <v:stroke weight="1pt" color="#000000" joinstyle="round"/>
                <v:imagedata o:title=""/>
                <o:lock v:ext="edit" aspectratio="f"/>
              </v:lin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768350</wp:posOffset>
                </wp:positionH>
                <wp:positionV relativeFrom="paragraph">
                  <wp:posOffset>9178925</wp:posOffset>
                </wp:positionV>
                <wp:extent cx="612013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612013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60.5pt;margin-top:722.75pt;height:0pt;width:481.9pt;z-index:251670528;mso-width-relative:page;mso-height-relative:page;" filled="f" stroked="t" coordsize="21600,21600" o:gfxdata="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BYAAABkcnMvUEsBAhQAFAAAAAgAh07iQBS9fMvZ&#10;AAAADgEAAA8AAAAAAAAAAQAgAAAAOAAAAGRycy9kb3ducmV2LnhtbFBLAQIUABQAAAAIAIdO4kCA&#10;C/B90AEAAI0DAAAOAAAAAAAAAAEAIAAAAD4BAABkcnMvZTJvRG9jLnhtbFBLBQYAAAAABgAGAFkB&#10;AACABQAAAAA=&#10;">
                <v:fill on="f" focussize="0,0"/>
                <v:stroke weight="1pt" color="#000000" joinstyle="round"/>
                <v:imagedata o:title=""/>
                <o:lock v:ext="edit" aspectratio="f"/>
              </v:lin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768350</wp:posOffset>
                </wp:positionH>
                <wp:positionV relativeFrom="paragraph">
                  <wp:posOffset>9178925</wp:posOffset>
                </wp:positionV>
                <wp:extent cx="6120130" cy="0"/>
                <wp:effectExtent l="0" t="0" r="0" b="0"/>
                <wp:wrapNone/>
                <wp:docPr id="10" name="直接连接符 10"/>
                <wp:cNvGraphicFramePr/>
                <a:graphic xmlns:a="http://schemas.openxmlformats.org/drawingml/2006/main">
                  <a:graphicData uri="http://schemas.microsoft.com/office/word/2010/wordprocessingShape">
                    <wps:wsp>
                      <wps:cNvCnPr/>
                      <wps:spPr>
                        <a:xfrm>
                          <a:off x="0" y="0"/>
                          <a:ext cx="612013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60.5pt;margin-top:722.75pt;height:0pt;width:481.9pt;z-index:251669504;mso-width-relative:page;mso-height-relative:page;" filled="f" stroked="t" coordsize="21600,21600" o:gfxdata="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FL18y9kA&#10;AAAOAQAADwAAAAAAAAABACAAAAA4AAAAZHJzL2Rvd25yZXYueG1sUEsBAhQAFAAAAAgAh07iQJdV&#10;KjjPAQAAjQMAAA4AAAAAAAAAAQAgAAAAPgEAAGRycy9lMm9Eb2MueG1sUEsFBgAAAAAGAAYAWQEA&#10;AH8FAAAAAA==&#10;">
                <v:fill on="f" focussize="0,0"/>
                <v:stroke weight="1pt" color="#000000" joinstyle="round"/>
                <v:imagedata o:title=""/>
                <o:lock v:ext="edit" aspectratio="f"/>
              </v:lin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768350</wp:posOffset>
                </wp:positionH>
                <wp:positionV relativeFrom="paragraph">
                  <wp:posOffset>9178925</wp:posOffset>
                </wp:positionV>
                <wp:extent cx="6120130" cy="0"/>
                <wp:effectExtent l="0" t="0" r="0" b="0"/>
                <wp:wrapNone/>
                <wp:docPr id="9" name="直接连接符 9"/>
                <wp:cNvGraphicFramePr/>
                <a:graphic xmlns:a="http://schemas.openxmlformats.org/drawingml/2006/main">
                  <a:graphicData uri="http://schemas.microsoft.com/office/word/2010/wordprocessingShape">
                    <wps:wsp>
                      <wps:cNvCnPr/>
                      <wps:spPr>
                        <a:xfrm>
                          <a:off x="0" y="0"/>
                          <a:ext cx="612013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60.5pt;margin-top:722.75pt;height:0pt;width:481.9pt;z-index:251668480;mso-width-relative:page;mso-height-relative:page;" filled="f" stroked="t" coordsize="21600,21600" o:gfxdata="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AUvXzL&#10;2QAAAA4BAAAPAAAAAAAAAAEAIAAAADgAAABkcnMvZG93bnJldi54bWxQSwECFAAUAAAACACHTuJA&#10;OzhD39EBAACLAwAADgAAAAAAAAABACAAAAA+AQAAZHJzL2Uyb0RvYy54bWxQSwUGAAAAAAYABgBZ&#10;AQAAgQUAAAAA&#10;">
                <v:fill on="f" focussize="0,0"/>
                <v:stroke weight="1pt" color="#000000" joinstyle="round"/>
                <v:imagedata o:title=""/>
                <o:lock v:ext="edit" aspectratio="f"/>
              </v:line>
            </w:pict>
          </mc:Fallback>
        </mc:AlternateContent>
      </w:r>
    </w:p>
    <w:p>
      <w:pPr>
        <w:keepNext w:val="0"/>
        <w:keepLines w:val="0"/>
        <w:pageBreakBefore w:val="0"/>
        <w:widowControl/>
        <w:kinsoku/>
        <w:wordWrap/>
        <w:overflowPunct/>
        <w:topLinePunct w:val="0"/>
        <w:autoSpaceDE/>
        <w:autoSpaceDN/>
        <w:bidi w:val="0"/>
        <w:adjustRightInd/>
        <w:snapToGrid/>
        <w:spacing w:before="860" w:after="680"/>
        <w:jc w:val="center"/>
        <w:textAlignment w:val="baseline"/>
        <w:rPr>
          <w:rFonts w:ascii="黑体" w:hAnsi="黑体" w:eastAsia="黑体"/>
          <w:color w:val="000000" w:themeColor="text1"/>
          <w:sz w:val="32"/>
          <w:szCs w:val="32"/>
          <w:lang w:val="zh-CN"/>
          <w14:textFill>
            <w14:solidFill>
              <w14:schemeClr w14:val="tx1"/>
            </w14:solidFill>
          </w14:textFill>
        </w:rPr>
      </w:pPr>
      <w:bookmarkStart w:id="0" w:name="_Toc114410189"/>
      <w:bookmarkStart w:id="1" w:name="_Toc109423891"/>
      <w:bookmarkStart w:id="2" w:name="_Toc64899284"/>
      <w:bookmarkStart w:id="3" w:name="_Toc109824173"/>
      <w:bookmarkStart w:id="4" w:name="_Toc69721319"/>
      <w:r>
        <w:rPr>
          <w:rFonts w:hint="eastAsia" w:ascii="黑体" w:hAnsi="黑体" w:eastAsia="黑体"/>
          <w:color w:val="000000" w:themeColor="text1"/>
          <w:sz w:val="32"/>
          <w:szCs w:val="32"/>
          <w:lang w:val="zh-CN"/>
          <w14:textFill>
            <w14:solidFill>
              <w14:schemeClr w14:val="tx1"/>
            </w14:solidFill>
          </w14:textFill>
        </w:rPr>
        <w:t>目   次</w:t>
      </w:r>
      <w:bookmarkEnd w:id="0"/>
      <w:bookmarkEnd w:id="1"/>
      <w:bookmarkEnd w:id="2"/>
      <w:bookmarkEnd w:id="3"/>
      <w:bookmarkEnd w:id="4"/>
    </w:p>
    <w:p>
      <w:pPr>
        <w:pStyle w:val="19"/>
        <w:rPr>
          <w:rFonts w:hAnsi="宋体" w:cstheme="minorBidi"/>
          <w:kern w:val="2"/>
          <w:szCs w:val="22"/>
        </w:rPr>
      </w:pPr>
      <w:r>
        <w:rPr>
          <w:rStyle w:val="59"/>
          <w:rFonts w:ascii="宋体" w:hAnsi="宋体"/>
          <w:color w:val="000000" w:themeColor="text1"/>
          <w:kern w:val="2"/>
          <w:u w:val="single"/>
          <w14:textFill>
            <w14:solidFill>
              <w14:schemeClr w14:val="tx1"/>
            </w14:solidFill>
          </w14:textFill>
        </w:rPr>
        <w:fldChar w:fldCharType="begin"/>
      </w:r>
      <w:r>
        <w:rPr>
          <w:rStyle w:val="59"/>
          <w:rFonts w:ascii="宋体" w:hAnsi="宋体"/>
          <w:color w:val="000000" w:themeColor="text1"/>
          <w:kern w:val="2"/>
          <w:u w:val="single"/>
          <w14:textFill>
            <w14:solidFill>
              <w14:schemeClr w14:val="tx1"/>
            </w14:solidFill>
          </w14:textFill>
        </w:rPr>
        <w:instrText xml:space="preserve"> </w:instrText>
      </w:r>
      <w:r>
        <w:rPr>
          <w:rStyle w:val="59"/>
          <w:rFonts w:hint="eastAsia" w:ascii="宋体" w:hAnsi="宋体"/>
          <w:color w:val="000000" w:themeColor="text1"/>
          <w:kern w:val="2"/>
          <w:u w:val="single"/>
          <w14:textFill>
            <w14:solidFill>
              <w14:schemeClr w14:val="tx1"/>
            </w14:solidFill>
          </w14:textFill>
        </w:rPr>
        <w:instrText xml:space="preserve">TOC \o "1-2" \h \z \u</w:instrText>
      </w:r>
      <w:r>
        <w:rPr>
          <w:rStyle w:val="59"/>
          <w:rFonts w:ascii="宋体" w:hAnsi="宋体"/>
          <w:color w:val="000000" w:themeColor="text1"/>
          <w:kern w:val="2"/>
          <w:u w:val="single"/>
          <w14:textFill>
            <w14:solidFill>
              <w14:schemeClr w14:val="tx1"/>
            </w14:solidFill>
          </w14:textFill>
        </w:rPr>
        <w:instrText xml:space="preserve"> </w:instrText>
      </w:r>
      <w:r>
        <w:rPr>
          <w:rStyle w:val="59"/>
          <w:rFonts w:ascii="宋体" w:hAnsi="宋体"/>
          <w:color w:val="000000" w:themeColor="text1"/>
          <w:kern w:val="2"/>
          <w:u w:val="single"/>
          <w14:textFill>
            <w14:solidFill>
              <w14:schemeClr w14:val="tx1"/>
            </w14:solidFill>
          </w14:textFill>
        </w:rPr>
        <w:fldChar w:fldCharType="separate"/>
      </w:r>
      <w:r>
        <w:fldChar w:fldCharType="begin"/>
      </w:r>
      <w:r>
        <w:instrText xml:space="preserve"> HYPERLINK \l "_Toc118962007" </w:instrText>
      </w:r>
      <w:r>
        <w:fldChar w:fldCharType="separate"/>
      </w:r>
      <w:r>
        <w:rPr>
          <w:rStyle w:val="59"/>
          <w:rFonts w:ascii="宋体" w:hAnsi="宋体" w:cs="宋体"/>
          <w:lang w:val="zh-CN"/>
        </w:rPr>
        <w:t>前    言</w:t>
      </w:r>
      <w:r>
        <w:rPr>
          <w:rFonts w:hAnsi="宋体"/>
        </w:rPr>
        <w:tab/>
      </w:r>
      <w:r>
        <w:rPr>
          <w:rFonts w:hAnsi="宋体"/>
        </w:rPr>
        <w:fldChar w:fldCharType="begin"/>
      </w:r>
      <w:r>
        <w:rPr>
          <w:rFonts w:hAnsi="宋体"/>
        </w:rPr>
        <w:instrText xml:space="preserve"> PAGEREF _Toc118962007 \h </w:instrText>
      </w:r>
      <w:r>
        <w:rPr>
          <w:rFonts w:hAnsi="宋体"/>
        </w:rPr>
        <w:fldChar w:fldCharType="separate"/>
      </w:r>
      <w:r>
        <w:rPr>
          <w:rFonts w:hAnsi="宋体"/>
        </w:rPr>
        <w:t>III</w:t>
      </w:r>
      <w:r>
        <w:rPr>
          <w:rFonts w:hAnsi="宋体"/>
        </w:rPr>
        <w:fldChar w:fldCharType="end"/>
      </w:r>
      <w:r>
        <w:rPr>
          <w:rFonts w:hAnsi="宋体"/>
        </w:rPr>
        <w:fldChar w:fldCharType="end"/>
      </w:r>
    </w:p>
    <w:p>
      <w:pPr>
        <w:pStyle w:val="19"/>
        <w:rPr>
          <w:rFonts w:hAnsi="宋体" w:cstheme="minorBidi"/>
          <w:kern w:val="2"/>
          <w:szCs w:val="22"/>
        </w:rPr>
      </w:pPr>
      <w:r>
        <w:fldChar w:fldCharType="begin"/>
      </w:r>
      <w:r>
        <w:instrText xml:space="preserve"> HYPERLINK \l "_Toc118962008" </w:instrText>
      </w:r>
      <w:r>
        <w:fldChar w:fldCharType="separate"/>
      </w:r>
      <w:r>
        <w:rPr>
          <w:rStyle w:val="59"/>
          <w:rFonts w:ascii="宋体" w:hAnsi="宋体"/>
        </w:rPr>
        <w:t>1  范围</w:t>
      </w:r>
      <w:r>
        <w:rPr>
          <w:rFonts w:hAnsi="宋体"/>
        </w:rPr>
        <w:tab/>
      </w:r>
      <w:r>
        <w:rPr>
          <w:rFonts w:hAnsi="宋体"/>
        </w:rPr>
        <w:fldChar w:fldCharType="begin"/>
      </w:r>
      <w:r>
        <w:rPr>
          <w:rFonts w:hAnsi="宋体"/>
        </w:rPr>
        <w:instrText xml:space="preserve"> PAGEREF _Toc118962008 \h </w:instrText>
      </w:r>
      <w:r>
        <w:rPr>
          <w:rFonts w:hAnsi="宋体"/>
        </w:rPr>
        <w:fldChar w:fldCharType="separate"/>
      </w:r>
      <w:r>
        <w:rPr>
          <w:rFonts w:hAnsi="宋体"/>
        </w:rPr>
        <w:t>1</w:t>
      </w:r>
      <w:r>
        <w:rPr>
          <w:rFonts w:hAnsi="宋体"/>
        </w:rPr>
        <w:fldChar w:fldCharType="end"/>
      </w:r>
      <w:r>
        <w:rPr>
          <w:rFonts w:hAnsi="宋体"/>
        </w:rPr>
        <w:fldChar w:fldCharType="end"/>
      </w:r>
    </w:p>
    <w:p>
      <w:pPr>
        <w:pStyle w:val="19"/>
        <w:rPr>
          <w:rFonts w:hAnsi="宋体" w:cstheme="minorBidi"/>
          <w:kern w:val="2"/>
          <w:szCs w:val="22"/>
        </w:rPr>
      </w:pPr>
      <w:r>
        <w:fldChar w:fldCharType="begin"/>
      </w:r>
      <w:r>
        <w:instrText xml:space="preserve"> HYPERLINK \l "_Toc118962009" </w:instrText>
      </w:r>
      <w:r>
        <w:fldChar w:fldCharType="separate"/>
      </w:r>
      <w:r>
        <w:rPr>
          <w:rStyle w:val="59"/>
          <w:rFonts w:ascii="宋体" w:hAnsi="宋体"/>
        </w:rPr>
        <w:t>2  规范性引用文件</w:t>
      </w:r>
      <w:r>
        <w:rPr>
          <w:rFonts w:hAnsi="宋体"/>
        </w:rPr>
        <w:tab/>
      </w:r>
      <w:r>
        <w:rPr>
          <w:rFonts w:hAnsi="宋体"/>
        </w:rPr>
        <w:fldChar w:fldCharType="begin"/>
      </w:r>
      <w:r>
        <w:rPr>
          <w:rFonts w:hAnsi="宋体"/>
        </w:rPr>
        <w:instrText xml:space="preserve"> PAGEREF _Toc118962009 \h </w:instrText>
      </w:r>
      <w:r>
        <w:rPr>
          <w:rFonts w:hAnsi="宋体"/>
        </w:rPr>
        <w:fldChar w:fldCharType="separate"/>
      </w:r>
      <w:r>
        <w:rPr>
          <w:rFonts w:hAnsi="宋体"/>
        </w:rPr>
        <w:t>1</w:t>
      </w:r>
      <w:r>
        <w:rPr>
          <w:rFonts w:hAnsi="宋体"/>
        </w:rPr>
        <w:fldChar w:fldCharType="end"/>
      </w:r>
      <w:r>
        <w:rPr>
          <w:rFonts w:hAnsi="宋体"/>
        </w:rPr>
        <w:fldChar w:fldCharType="end"/>
      </w:r>
    </w:p>
    <w:p>
      <w:pPr>
        <w:pStyle w:val="19"/>
        <w:rPr>
          <w:rFonts w:hAnsi="宋体" w:cstheme="minorBidi"/>
          <w:kern w:val="2"/>
          <w:szCs w:val="22"/>
        </w:rPr>
      </w:pPr>
      <w:r>
        <w:fldChar w:fldCharType="begin"/>
      </w:r>
      <w:r>
        <w:instrText xml:space="preserve"> HYPERLINK \l "_Toc118962010" </w:instrText>
      </w:r>
      <w:r>
        <w:fldChar w:fldCharType="separate"/>
      </w:r>
      <w:r>
        <w:rPr>
          <w:rStyle w:val="59"/>
          <w:rFonts w:ascii="宋体" w:hAnsi="宋体"/>
        </w:rPr>
        <w:t>3  术语和定义</w:t>
      </w:r>
      <w:r>
        <w:rPr>
          <w:rFonts w:hAnsi="宋体"/>
        </w:rPr>
        <w:tab/>
      </w:r>
      <w:r>
        <w:rPr>
          <w:rFonts w:hAnsi="宋体"/>
        </w:rPr>
        <w:fldChar w:fldCharType="begin"/>
      </w:r>
      <w:r>
        <w:rPr>
          <w:rFonts w:hAnsi="宋体"/>
        </w:rPr>
        <w:instrText xml:space="preserve"> PAGEREF _Toc118962010 \h </w:instrText>
      </w:r>
      <w:r>
        <w:rPr>
          <w:rFonts w:hAnsi="宋体"/>
        </w:rPr>
        <w:fldChar w:fldCharType="separate"/>
      </w:r>
      <w:r>
        <w:rPr>
          <w:rFonts w:hAnsi="宋体"/>
        </w:rPr>
        <w:t>2</w:t>
      </w:r>
      <w:r>
        <w:rPr>
          <w:rFonts w:hAnsi="宋体"/>
        </w:rPr>
        <w:fldChar w:fldCharType="end"/>
      </w:r>
      <w:r>
        <w:rPr>
          <w:rFonts w:hAnsi="宋体"/>
        </w:rPr>
        <w:fldChar w:fldCharType="end"/>
      </w:r>
    </w:p>
    <w:p>
      <w:pPr>
        <w:pStyle w:val="19"/>
        <w:rPr>
          <w:rFonts w:hAnsi="宋体" w:cstheme="minorBidi"/>
          <w:kern w:val="2"/>
          <w:szCs w:val="22"/>
        </w:rPr>
      </w:pPr>
      <w:r>
        <w:fldChar w:fldCharType="begin"/>
      </w:r>
      <w:r>
        <w:instrText xml:space="preserve"> HYPERLINK \l "_Toc118962011" </w:instrText>
      </w:r>
      <w:r>
        <w:fldChar w:fldCharType="separate"/>
      </w:r>
      <w:r>
        <w:rPr>
          <w:rStyle w:val="59"/>
          <w:rFonts w:ascii="宋体" w:hAnsi="宋体"/>
        </w:rPr>
        <w:t>4  总体要求</w:t>
      </w:r>
      <w:r>
        <w:rPr>
          <w:rFonts w:hAnsi="宋体"/>
        </w:rPr>
        <w:tab/>
      </w:r>
      <w:r>
        <w:rPr>
          <w:rFonts w:hAnsi="宋体"/>
        </w:rPr>
        <w:fldChar w:fldCharType="begin"/>
      </w:r>
      <w:r>
        <w:rPr>
          <w:rFonts w:hAnsi="宋体"/>
        </w:rPr>
        <w:instrText xml:space="preserve"> PAGEREF _Toc118962011 \h </w:instrText>
      </w:r>
      <w:r>
        <w:rPr>
          <w:rFonts w:hAnsi="宋体"/>
        </w:rPr>
        <w:fldChar w:fldCharType="separate"/>
      </w:r>
      <w:r>
        <w:rPr>
          <w:rFonts w:hAnsi="宋体"/>
        </w:rPr>
        <w:t>4</w:t>
      </w:r>
      <w:r>
        <w:rPr>
          <w:rFonts w:hAnsi="宋体"/>
        </w:rPr>
        <w:fldChar w:fldCharType="end"/>
      </w:r>
      <w:r>
        <w:rPr>
          <w:rFonts w:hAnsi="宋体"/>
        </w:rPr>
        <w:fldChar w:fldCharType="end"/>
      </w:r>
    </w:p>
    <w:p>
      <w:pPr>
        <w:pStyle w:val="19"/>
        <w:rPr>
          <w:rFonts w:hAnsi="宋体" w:cstheme="minorBidi"/>
          <w:kern w:val="2"/>
          <w:szCs w:val="22"/>
        </w:rPr>
      </w:pPr>
      <w:r>
        <w:fldChar w:fldCharType="begin"/>
      </w:r>
      <w:r>
        <w:instrText xml:space="preserve"> HYPERLINK \l "_Toc118962012" </w:instrText>
      </w:r>
      <w:r>
        <w:fldChar w:fldCharType="separate"/>
      </w:r>
      <w:r>
        <w:rPr>
          <w:rStyle w:val="59"/>
          <w:rFonts w:ascii="宋体" w:hAnsi="宋体"/>
        </w:rPr>
        <w:t>5  规划布局与总图布置</w:t>
      </w:r>
      <w:r>
        <w:rPr>
          <w:rFonts w:hAnsi="宋体"/>
        </w:rPr>
        <w:tab/>
      </w:r>
      <w:r>
        <w:rPr>
          <w:rFonts w:hAnsi="宋体"/>
        </w:rPr>
        <w:fldChar w:fldCharType="begin"/>
      </w:r>
      <w:r>
        <w:rPr>
          <w:rFonts w:hAnsi="宋体"/>
        </w:rPr>
        <w:instrText xml:space="preserve"> PAGEREF _Toc118962012 \h </w:instrText>
      </w:r>
      <w:r>
        <w:rPr>
          <w:rFonts w:hAnsi="宋体"/>
        </w:rPr>
        <w:fldChar w:fldCharType="separate"/>
      </w:r>
      <w:r>
        <w:rPr>
          <w:rFonts w:hAnsi="宋体"/>
        </w:rPr>
        <w:t>4</w:t>
      </w:r>
      <w:r>
        <w:rPr>
          <w:rFonts w:hAnsi="宋体"/>
        </w:rPr>
        <w:fldChar w:fldCharType="end"/>
      </w:r>
      <w:r>
        <w:rPr>
          <w:rFonts w:hAnsi="宋体"/>
        </w:rPr>
        <w:fldChar w:fldCharType="end"/>
      </w:r>
    </w:p>
    <w:p>
      <w:pPr>
        <w:pStyle w:val="19"/>
        <w:rPr>
          <w:rFonts w:hAnsi="宋体" w:cstheme="minorBidi"/>
          <w:kern w:val="2"/>
          <w:szCs w:val="22"/>
        </w:rPr>
      </w:pPr>
      <w:r>
        <w:fldChar w:fldCharType="begin"/>
      </w:r>
      <w:r>
        <w:instrText xml:space="preserve"> HYPERLINK \l "_Toc118962013" </w:instrText>
      </w:r>
      <w:r>
        <w:fldChar w:fldCharType="separate"/>
      </w:r>
      <w:r>
        <w:rPr>
          <w:rStyle w:val="59"/>
          <w:rFonts w:ascii="宋体" w:hAnsi="宋体"/>
        </w:rPr>
        <w:t>6  设计要求</w:t>
      </w:r>
      <w:r>
        <w:rPr>
          <w:rFonts w:hAnsi="宋体"/>
        </w:rPr>
        <w:tab/>
      </w:r>
      <w:r>
        <w:rPr>
          <w:rFonts w:hAnsi="宋体"/>
        </w:rPr>
        <w:fldChar w:fldCharType="begin"/>
      </w:r>
      <w:r>
        <w:rPr>
          <w:rFonts w:hAnsi="宋体"/>
        </w:rPr>
        <w:instrText xml:space="preserve"> PAGEREF _Toc118962013 \h </w:instrText>
      </w:r>
      <w:r>
        <w:rPr>
          <w:rFonts w:hAnsi="宋体"/>
        </w:rPr>
        <w:fldChar w:fldCharType="separate"/>
      </w:r>
      <w:r>
        <w:rPr>
          <w:rFonts w:hAnsi="宋体"/>
        </w:rPr>
        <w:t>5</w:t>
      </w:r>
      <w:r>
        <w:rPr>
          <w:rFonts w:hAnsi="宋体"/>
        </w:rPr>
        <w:fldChar w:fldCharType="end"/>
      </w:r>
      <w:r>
        <w:rPr>
          <w:rFonts w:hAnsi="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"_Toc118962014" </w:instrText>
      </w:r>
      <w:r>
        <w:fldChar w:fldCharType="separate"/>
      </w:r>
      <w:r>
        <w:rPr>
          <w:rStyle w:val="59"/>
          <w:rFonts w:ascii="宋体" w:hAnsi="宋体"/>
        </w:rPr>
        <w:t>6.1  工艺</w:t>
      </w:r>
      <w:r>
        <w:rPr>
          <w:rFonts w:ascii="宋体" w:eastAsia="宋体"/>
        </w:rPr>
        <w:tab/>
      </w:r>
      <w:r>
        <w:rPr>
          <w:rFonts w:ascii="宋体" w:eastAsia="宋体"/>
        </w:rPr>
        <w:fldChar w:fldCharType="begin"/>
      </w:r>
      <w:r>
        <w:rPr>
          <w:rFonts w:ascii="宋体" w:eastAsia="宋体"/>
        </w:rPr>
        <w:instrText xml:space="preserve"> PAGEREF _Toc118962014 \h </w:instrText>
      </w:r>
      <w:r>
        <w:rPr>
          <w:rFonts w:ascii="宋体" w:eastAsia="宋体"/>
        </w:rPr>
        <w:fldChar w:fldCharType="separate"/>
      </w:r>
      <w:r>
        <w:rPr>
          <w:rFonts w:ascii="宋体" w:eastAsia="宋体"/>
        </w:rPr>
        <w:t>5</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"_Toc118962015" </w:instrText>
      </w:r>
      <w:r>
        <w:fldChar w:fldCharType="separate"/>
      </w:r>
      <w:r>
        <w:rPr>
          <w:rStyle w:val="59"/>
          <w:rFonts w:ascii="宋体" w:hAnsi="宋体"/>
        </w:rPr>
        <w:t>6.2  设备</w:t>
      </w:r>
      <w:r>
        <w:rPr>
          <w:rFonts w:ascii="宋体" w:eastAsia="宋体"/>
        </w:rPr>
        <w:tab/>
      </w:r>
      <w:r>
        <w:rPr>
          <w:rFonts w:ascii="宋体" w:eastAsia="宋体"/>
        </w:rPr>
        <w:fldChar w:fldCharType="begin"/>
      </w:r>
      <w:r>
        <w:rPr>
          <w:rFonts w:ascii="宋体" w:eastAsia="宋体"/>
        </w:rPr>
        <w:instrText xml:space="preserve"> PAGEREF _Toc118962015 \h </w:instrText>
      </w:r>
      <w:r>
        <w:rPr>
          <w:rFonts w:ascii="宋体" w:eastAsia="宋体"/>
        </w:rPr>
        <w:fldChar w:fldCharType="separate"/>
      </w:r>
      <w:r>
        <w:rPr>
          <w:rFonts w:ascii="宋体" w:eastAsia="宋体"/>
        </w:rPr>
        <w:t>6</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"_Toc118962016" </w:instrText>
      </w:r>
      <w:r>
        <w:fldChar w:fldCharType="separate"/>
      </w:r>
      <w:r>
        <w:rPr>
          <w:rStyle w:val="59"/>
          <w:rFonts w:ascii="宋体" w:hAnsi="宋体"/>
        </w:rPr>
        <w:t>6.3  罐区布置</w:t>
      </w:r>
      <w:r>
        <w:rPr>
          <w:rFonts w:ascii="宋体" w:eastAsia="宋体"/>
        </w:rPr>
        <w:tab/>
      </w:r>
      <w:r>
        <w:rPr>
          <w:rFonts w:ascii="宋体" w:eastAsia="宋体"/>
        </w:rPr>
        <w:fldChar w:fldCharType="begin"/>
      </w:r>
      <w:r>
        <w:rPr>
          <w:rFonts w:ascii="宋体" w:eastAsia="宋体"/>
        </w:rPr>
        <w:instrText xml:space="preserve"> PAGEREF _Toc118962016 \h </w:instrText>
      </w:r>
      <w:r>
        <w:rPr>
          <w:rFonts w:ascii="宋体" w:eastAsia="宋体"/>
        </w:rPr>
        <w:fldChar w:fldCharType="separate"/>
      </w:r>
      <w:r>
        <w:rPr>
          <w:rFonts w:ascii="宋体" w:eastAsia="宋体"/>
        </w:rPr>
        <w:t>8</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"_Toc118962017" </w:instrText>
      </w:r>
      <w:r>
        <w:fldChar w:fldCharType="separate"/>
      </w:r>
      <w:r>
        <w:rPr>
          <w:rStyle w:val="59"/>
          <w:rFonts w:ascii="宋体" w:hAnsi="宋体"/>
        </w:rPr>
        <w:t>6.4  结构及耐火保护</w:t>
      </w:r>
      <w:r>
        <w:rPr>
          <w:rFonts w:ascii="宋体" w:eastAsia="宋体"/>
        </w:rPr>
        <w:tab/>
      </w:r>
      <w:r>
        <w:rPr>
          <w:rFonts w:ascii="宋体" w:eastAsia="宋体"/>
        </w:rPr>
        <w:fldChar w:fldCharType="begin"/>
      </w:r>
      <w:r>
        <w:rPr>
          <w:rFonts w:ascii="宋体" w:eastAsia="宋体"/>
        </w:rPr>
        <w:instrText xml:space="preserve"> PAGEREF _Toc118962017 \h </w:instrText>
      </w:r>
      <w:r>
        <w:rPr>
          <w:rFonts w:ascii="宋体" w:eastAsia="宋体"/>
        </w:rPr>
        <w:fldChar w:fldCharType="separate"/>
      </w:r>
      <w:r>
        <w:rPr>
          <w:rFonts w:ascii="宋体" w:eastAsia="宋体"/>
        </w:rPr>
        <w:t>9</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"_Toc118962018" </w:instrText>
      </w:r>
      <w:r>
        <w:fldChar w:fldCharType="separate"/>
      </w:r>
      <w:r>
        <w:rPr>
          <w:rStyle w:val="59"/>
          <w:rFonts w:ascii="宋体" w:hAnsi="宋体"/>
        </w:rPr>
        <w:t>6.5  供电安全及防雷防静电接地</w:t>
      </w:r>
      <w:r>
        <w:rPr>
          <w:rFonts w:ascii="宋体" w:eastAsia="宋体"/>
        </w:rPr>
        <w:tab/>
      </w:r>
      <w:r>
        <w:rPr>
          <w:rFonts w:ascii="宋体" w:eastAsia="宋体"/>
        </w:rPr>
        <w:fldChar w:fldCharType="begin"/>
      </w:r>
      <w:r>
        <w:rPr>
          <w:rFonts w:ascii="宋体" w:eastAsia="宋体"/>
        </w:rPr>
        <w:instrText xml:space="preserve"> PAGEREF _Toc118962018 \h </w:instrText>
      </w:r>
      <w:r>
        <w:rPr>
          <w:rFonts w:ascii="宋体" w:eastAsia="宋体"/>
        </w:rPr>
        <w:fldChar w:fldCharType="separate"/>
      </w:r>
      <w:r>
        <w:rPr>
          <w:rFonts w:ascii="宋体" w:eastAsia="宋体"/>
        </w:rPr>
        <w:t>9</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"_Toc118962019" </w:instrText>
      </w:r>
      <w:r>
        <w:fldChar w:fldCharType="separate"/>
      </w:r>
      <w:r>
        <w:rPr>
          <w:rStyle w:val="59"/>
          <w:rFonts w:ascii="宋体" w:hAnsi="宋体"/>
        </w:rPr>
        <w:t>6.6  自动控制</w:t>
      </w:r>
      <w:r>
        <w:rPr>
          <w:rFonts w:ascii="宋体" w:eastAsia="宋体"/>
        </w:rPr>
        <w:tab/>
      </w:r>
      <w:r>
        <w:rPr>
          <w:rFonts w:ascii="宋体" w:eastAsia="宋体"/>
        </w:rPr>
        <w:fldChar w:fldCharType="begin"/>
      </w:r>
      <w:r>
        <w:rPr>
          <w:rFonts w:ascii="宋体" w:eastAsia="宋体"/>
        </w:rPr>
        <w:instrText xml:space="preserve"> PAGEREF _Toc118962019 \h </w:instrText>
      </w:r>
      <w:r>
        <w:rPr>
          <w:rFonts w:ascii="宋体" w:eastAsia="宋体"/>
        </w:rPr>
        <w:fldChar w:fldCharType="separate"/>
      </w:r>
      <w:r>
        <w:rPr>
          <w:rFonts w:ascii="宋体" w:eastAsia="宋体"/>
        </w:rPr>
        <w:t>10</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"_Toc118962020" </w:instrText>
      </w:r>
      <w:r>
        <w:fldChar w:fldCharType="separate"/>
      </w:r>
      <w:r>
        <w:rPr>
          <w:rStyle w:val="59"/>
          <w:rFonts w:ascii="宋体" w:hAnsi="宋体"/>
        </w:rPr>
        <w:t>6.7  消防</w:t>
      </w:r>
      <w:r>
        <w:rPr>
          <w:rFonts w:ascii="宋体" w:eastAsia="宋体"/>
        </w:rPr>
        <w:tab/>
      </w:r>
      <w:r>
        <w:rPr>
          <w:rFonts w:ascii="宋体" w:eastAsia="宋体"/>
        </w:rPr>
        <w:fldChar w:fldCharType="begin"/>
      </w:r>
      <w:r>
        <w:rPr>
          <w:rFonts w:ascii="宋体" w:eastAsia="宋体"/>
        </w:rPr>
        <w:instrText xml:space="preserve"> PAGEREF _Toc118962020 \h </w:instrText>
      </w:r>
      <w:r>
        <w:rPr>
          <w:rFonts w:ascii="宋体" w:eastAsia="宋体"/>
        </w:rPr>
        <w:fldChar w:fldCharType="separate"/>
      </w:r>
      <w:r>
        <w:rPr>
          <w:rFonts w:ascii="宋体" w:eastAsia="宋体"/>
        </w:rPr>
        <w:t>10</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"_Toc118962021" </w:instrText>
      </w:r>
      <w:r>
        <w:fldChar w:fldCharType="separate"/>
      </w:r>
      <w:r>
        <w:rPr>
          <w:rStyle w:val="59"/>
          <w:rFonts w:ascii="宋体" w:hAnsi="宋体"/>
        </w:rPr>
        <w:t>6.8  数字化管理和智慧消防</w:t>
      </w:r>
      <w:r>
        <w:rPr>
          <w:rFonts w:ascii="宋体" w:eastAsia="宋体"/>
        </w:rPr>
        <w:tab/>
      </w:r>
      <w:r>
        <w:rPr>
          <w:rFonts w:ascii="宋体" w:eastAsia="宋体"/>
        </w:rPr>
        <w:fldChar w:fldCharType="begin"/>
      </w:r>
      <w:r>
        <w:rPr>
          <w:rFonts w:ascii="宋体" w:eastAsia="宋体"/>
        </w:rPr>
        <w:instrText xml:space="preserve"> PAGEREF _Toc118962021 \h </w:instrText>
      </w:r>
      <w:r>
        <w:rPr>
          <w:rFonts w:ascii="宋体" w:eastAsia="宋体"/>
        </w:rPr>
        <w:fldChar w:fldCharType="separate"/>
      </w:r>
      <w:r>
        <w:rPr>
          <w:rFonts w:ascii="宋体" w:eastAsia="宋体"/>
        </w:rPr>
        <w:t>11</w:t>
      </w:r>
      <w:r>
        <w:rPr>
          <w:rFonts w:ascii="宋体" w:eastAsia="宋体"/>
        </w:rPr>
        <w:fldChar w:fldCharType="end"/>
      </w:r>
      <w:r>
        <w:rPr>
          <w:rFonts w:ascii="宋体" w:eastAsia="宋体"/>
        </w:rPr>
        <w:fldChar w:fldCharType="end"/>
      </w:r>
    </w:p>
    <w:p>
      <w:pPr>
        <w:pStyle w:val="19"/>
        <w:rPr>
          <w:rFonts w:hAnsi="宋体" w:cstheme="minorBidi"/>
          <w:kern w:val="2"/>
          <w:szCs w:val="22"/>
        </w:rPr>
      </w:pPr>
      <w:r>
        <w:fldChar w:fldCharType="begin"/>
      </w:r>
      <w:r>
        <w:instrText xml:space="preserve"> HYPERLINK \l "_Toc118962022" </w:instrText>
      </w:r>
      <w:r>
        <w:fldChar w:fldCharType="separate"/>
      </w:r>
      <w:r>
        <w:rPr>
          <w:rStyle w:val="59"/>
          <w:rFonts w:ascii="宋体" w:hAnsi="宋体"/>
        </w:rPr>
        <w:t>7  关键设备及材料采购</w:t>
      </w:r>
      <w:r>
        <w:rPr>
          <w:rFonts w:hAnsi="宋体"/>
        </w:rPr>
        <w:tab/>
      </w:r>
      <w:r>
        <w:rPr>
          <w:rFonts w:hAnsi="宋体"/>
        </w:rPr>
        <w:fldChar w:fldCharType="begin"/>
      </w:r>
      <w:r>
        <w:rPr>
          <w:rFonts w:hAnsi="宋体"/>
        </w:rPr>
        <w:instrText xml:space="preserve"> PAGEREF _Toc118962022 \h </w:instrText>
      </w:r>
      <w:r>
        <w:rPr>
          <w:rFonts w:hAnsi="宋体"/>
        </w:rPr>
        <w:fldChar w:fldCharType="separate"/>
      </w:r>
      <w:r>
        <w:rPr>
          <w:rFonts w:hAnsi="宋体"/>
        </w:rPr>
        <w:t>11</w:t>
      </w:r>
      <w:r>
        <w:rPr>
          <w:rFonts w:hAnsi="宋体"/>
        </w:rPr>
        <w:fldChar w:fldCharType="end"/>
      </w:r>
      <w:r>
        <w:rPr>
          <w:rFonts w:hAnsi="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"_Toc118962023" </w:instrText>
      </w:r>
      <w:r>
        <w:fldChar w:fldCharType="separate"/>
      </w:r>
      <w:r>
        <w:rPr>
          <w:rStyle w:val="59"/>
          <w:rFonts w:ascii="宋体" w:hAnsi="宋体"/>
        </w:rPr>
        <w:t>7.1  采购过程要求</w:t>
      </w:r>
      <w:r>
        <w:rPr>
          <w:rFonts w:ascii="宋体" w:eastAsia="宋体"/>
        </w:rPr>
        <w:tab/>
      </w:r>
      <w:r>
        <w:rPr>
          <w:rFonts w:ascii="宋体" w:eastAsia="宋体"/>
        </w:rPr>
        <w:fldChar w:fldCharType="begin"/>
      </w:r>
      <w:r>
        <w:rPr>
          <w:rFonts w:ascii="宋体" w:eastAsia="宋体"/>
        </w:rPr>
        <w:instrText xml:space="preserve"> PAGEREF _Toc118962023 \h </w:instrText>
      </w:r>
      <w:r>
        <w:rPr>
          <w:rFonts w:ascii="宋体" w:eastAsia="宋体"/>
        </w:rPr>
        <w:fldChar w:fldCharType="separate"/>
      </w:r>
      <w:r>
        <w:rPr>
          <w:rFonts w:ascii="宋体" w:eastAsia="宋体"/>
        </w:rPr>
        <w:t>11</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"_Toc118962024" </w:instrText>
      </w:r>
      <w:r>
        <w:fldChar w:fldCharType="separate"/>
      </w:r>
      <w:r>
        <w:rPr>
          <w:rStyle w:val="59"/>
          <w:rFonts w:ascii="宋体" w:hAnsi="宋体"/>
        </w:rPr>
        <w:t>7.2  物资检验及监造</w:t>
      </w:r>
      <w:r>
        <w:rPr>
          <w:rFonts w:ascii="宋体" w:eastAsia="宋体"/>
        </w:rPr>
        <w:tab/>
      </w:r>
      <w:r>
        <w:rPr>
          <w:rFonts w:ascii="宋体" w:eastAsia="宋体"/>
        </w:rPr>
        <w:fldChar w:fldCharType="begin"/>
      </w:r>
      <w:r>
        <w:rPr>
          <w:rFonts w:ascii="宋体" w:eastAsia="宋体"/>
        </w:rPr>
        <w:instrText xml:space="preserve"> PAGEREF _Toc118962024 \h </w:instrText>
      </w:r>
      <w:r>
        <w:rPr>
          <w:rFonts w:ascii="宋体" w:eastAsia="宋体"/>
        </w:rPr>
        <w:fldChar w:fldCharType="separate"/>
      </w:r>
      <w:r>
        <w:rPr>
          <w:rFonts w:ascii="宋体" w:eastAsia="宋体"/>
        </w:rPr>
        <w:t>11</w:t>
      </w:r>
      <w:r>
        <w:rPr>
          <w:rFonts w:ascii="宋体" w:eastAsia="宋体"/>
        </w:rPr>
        <w:fldChar w:fldCharType="end"/>
      </w:r>
      <w:r>
        <w:rPr>
          <w:rFonts w:ascii="宋体" w:eastAsia="宋体"/>
        </w:rPr>
        <w:fldChar w:fldCharType="end"/>
      </w:r>
    </w:p>
    <w:p>
      <w:pPr>
        <w:pStyle w:val="19"/>
        <w:rPr>
          <w:rFonts w:hAnsi="宋体" w:cstheme="minorBidi"/>
          <w:kern w:val="2"/>
          <w:szCs w:val="22"/>
        </w:rPr>
      </w:pPr>
      <w:r>
        <w:fldChar w:fldCharType="begin"/>
      </w:r>
      <w:r>
        <w:instrText xml:space="preserve"> HYPERLINK \l "_Toc118962025" </w:instrText>
      </w:r>
      <w:r>
        <w:fldChar w:fldCharType="separate"/>
      </w:r>
      <w:r>
        <w:rPr>
          <w:rStyle w:val="59"/>
          <w:rFonts w:ascii="宋体" w:hAnsi="宋体"/>
        </w:rPr>
        <w:t>8  施工管理</w:t>
      </w:r>
      <w:r>
        <w:rPr>
          <w:rFonts w:hAnsi="宋体"/>
        </w:rPr>
        <w:tab/>
      </w:r>
      <w:r>
        <w:rPr>
          <w:rFonts w:hAnsi="宋体"/>
        </w:rPr>
        <w:fldChar w:fldCharType="begin"/>
      </w:r>
      <w:r>
        <w:rPr>
          <w:rFonts w:hAnsi="宋体"/>
        </w:rPr>
        <w:instrText xml:space="preserve"> PAGEREF _Toc118962025 \h </w:instrText>
      </w:r>
      <w:r>
        <w:rPr>
          <w:rFonts w:hAnsi="宋体"/>
        </w:rPr>
        <w:fldChar w:fldCharType="separate"/>
      </w:r>
      <w:r>
        <w:rPr>
          <w:rFonts w:hAnsi="宋体"/>
        </w:rPr>
        <w:t>12</w:t>
      </w:r>
      <w:r>
        <w:rPr>
          <w:rFonts w:hAnsi="宋体"/>
        </w:rPr>
        <w:fldChar w:fldCharType="end"/>
      </w:r>
      <w:r>
        <w:rPr>
          <w:rFonts w:hAnsi="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"_Toc118962026" </w:instrText>
      </w:r>
      <w:r>
        <w:fldChar w:fldCharType="separate"/>
      </w:r>
      <w:r>
        <w:rPr>
          <w:rStyle w:val="59"/>
          <w:rFonts w:ascii="宋体" w:hAnsi="宋体"/>
        </w:rPr>
        <w:t>8.1  基本要求</w:t>
      </w:r>
      <w:r>
        <w:rPr>
          <w:rFonts w:ascii="宋体" w:eastAsia="宋体"/>
        </w:rPr>
        <w:tab/>
      </w:r>
      <w:r>
        <w:rPr>
          <w:rFonts w:ascii="宋体" w:eastAsia="宋体"/>
        </w:rPr>
        <w:fldChar w:fldCharType="begin"/>
      </w:r>
      <w:r>
        <w:rPr>
          <w:rFonts w:ascii="宋体" w:eastAsia="宋体"/>
        </w:rPr>
        <w:instrText xml:space="preserve"> PAGEREF _Toc118962026 \h </w:instrText>
      </w:r>
      <w:r>
        <w:rPr>
          <w:rFonts w:ascii="宋体" w:eastAsia="宋体"/>
        </w:rPr>
        <w:fldChar w:fldCharType="separate"/>
      </w:r>
      <w:r>
        <w:rPr>
          <w:rFonts w:ascii="宋体" w:eastAsia="宋体"/>
        </w:rPr>
        <w:t>12</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"_Toc118962027" </w:instrText>
      </w:r>
      <w:r>
        <w:fldChar w:fldCharType="separate"/>
      </w:r>
      <w:r>
        <w:rPr>
          <w:rStyle w:val="59"/>
          <w:rFonts w:ascii="宋体" w:hAnsi="宋体"/>
        </w:rPr>
        <w:t>8.2  技术准备</w:t>
      </w:r>
      <w:r>
        <w:rPr>
          <w:rFonts w:ascii="宋体" w:eastAsia="宋体"/>
        </w:rPr>
        <w:tab/>
      </w:r>
      <w:r>
        <w:rPr>
          <w:rFonts w:ascii="宋体" w:eastAsia="宋体"/>
        </w:rPr>
        <w:fldChar w:fldCharType="begin"/>
      </w:r>
      <w:r>
        <w:rPr>
          <w:rFonts w:ascii="宋体" w:eastAsia="宋体"/>
        </w:rPr>
        <w:instrText xml:space="preserve"> PAGEREF _Toc118962027 \h </w:instrText>
      </w:r>
      <w:r>
        <w:rPr>
          <w:rFonts w:ascii="宋体" w:eastAsia="宋体"/>
        </w:rPr>
        <w:fldChar w:fldCharType="separate"/>
      </w:r>
      <w:r>
        <w:rPr>
          <w:rFonts w:ascii="宋体" w:eastAsia="宋体"/>
        </w:rPr>
        <w:t>12</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"_Toc118962028" </w:instrText>
      </w:r>
      <w:r>
        <w:fldChar w:fldCharType="separate"/>
      </w:r>
      <w:r>
        <w:rPr>
          <w:rStyle w:val="59"/>
          <w:rFonts w:ascii="宋体" w:hAnsi="宋体"/>
        </w:rPr>
        <w:t>8.3  材料和设备验收</w:t>
      </w:r>
      <w:r>
        <w:rPr>
          <w:rFonts w:ascii="宋体" w:eastAsia="宋体"/>
        </w:rPr>
        <w:tab/>
      </w:r>
      <w:r>
        <w:rPr>
          <w:rFonts w:ascii="宋体" w:eastAsia="宋体"/>
        </w:rPr>
        <w:fldChar w:fldCharType="begin"/>
      </w:r>
      <w:r>
        <w:rPr>
          <w:rFonts w:ascii="宋体" w:eastAsia="宋体"/>
        </w:rPr>
        <w:instrText xml:space="preserve"> PAGEREF _Toc118962028 \h </w:instrText>
      </w:r>
      <w:r>
        <w:rPr>
          <w:rFonts w:ascii="宋体" w:eastAsia="宋体"/>
        </w:rPr>
        <w:fldChar w:fldCharType="separate"/>
      </w:r>
      <w:r>
        <w:rPr>
          <w:rFonts w:ascii="宋体" w:eastAsia="宋体"/>
        </w:rPr>
        <w:t>13</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"_Toc118962030" </w:instrText>
      </w:r>
      <w:r>
        <w:fldChar w:fldCharType="separate"/>
      </w:r>
      <w:r>
        <w:rPr>
          <w:rStyle w:val="59"/>
          <w:rFonts w:ascii="宋体" w:hAnsi="宋体"/>
        </w:rPr>
        <w:t>8.</w:t>
      </w:r>
      <w:r>
        <w:rPr>
          <w:rStyle w:val="59"/>
          <w:rFonts w:hint="eastAsia" w:ascii="宋体" w:eastAsia="宋体"/>
          <w:lang w:val="en-US" w:eastAsia="zh-CN"/>
        </w:rPr>
        <w:t>4</w:t>
      </w:r>
      <w:r>
        <w:rPr>
          <w:rStyle w:val="59"/>
          <w:rFonts w:ascii="宋体" w:hAnsi="宋体"/>
        </w:rPr>
        <w:t xml:space="preserve">  施工质量及验收</w:t>
      </w:r>
      <w:r>
        <w:rPr>
          <w:rFonts w:ascii="宋体" w:eastAsia="宋体"/>
        </w:rPr>
        <w:tab/>
      </w:r>
      <w:r>
        <w:rPr>
          <w:rFonts w:ascii="宋体" w:eastAsia="宋体"/>
        </w:rPr>
        <w:fldChar w:fldCharType="begin"/>
      </w:r>
      <w:r>
        <w:rPr>
          <w:rFonts w:ascii="宋体" w:eastAsia="宋体"/>
        </w:rPr>
        <w:instrText xml:space="preserve"> PAGEREF _Toc118962030 \h </w:instrText>
      </w:r>
      <w:r>
        <w:rPr>
          <w:rFonts w:ascii="宋体" w:eastAsia="宋体"/>
        </w:rPr>
        <w:fldChar w:fldCharType="separate"/>
      </w:r>
      <w:r>
        <w:rPr>
          <w:rFonts w:ascii="宋体" w:eastAsia="宋体"/>
        </w:rPr>
        <w:t>13</w:t>
      </w:r>
      <w:r>
        <w:rPr>
          <w:rFonts w:ascii="宋体" w:eastAsia="宋体"/>
        </w:rPr>
        <w:fldChar w:fldCharType="end"/>
      </w:r>
      <w:r>
        <w:rPr>
          <w:rFonts w:ascii="宋体" w:eastAsia="宋体"/>
        </w:rPr>
        <w:fldChar w:fldCharType="end"/>
      </w:r>
    </w:p>
    <w:p>
      <w:pPr>
        <w:pStyle w:val="19"/>
        <w:rPr>
          <w:rFonts w:hAnsi="宋体" w:cstheme="minorBidi"/>
          <w:kern w:val="2"/>
          <w:szCs w:val="22"/>
        </w:rPr>
      </w:pPr>
      <w:r>
        <w:fldChar w:fldCharType="begin"/>
      </w:r>
      <w:r>
        <w:instrText xml:space="preserve"> HYPERLINK \l "_Toc118962031" </w:instrText>
      </w:r>
      <w:r>
        <w:fldChar w:fldCharType="separate"/>
      </w:r>
      <w:r>
        <w:rPr>
          <w:rStyle w:val="59"/>
          <w:rFonts w:ascii="宋体" w:hAnsi="宋体"/>
        </w:rPr>
        <w:t>9  试车投用</w:t>
      </w:r>
      <w:r>
        <w:rPr>
          <w:rFonts w:hAnsi="宋体"/>
        </w:rPr>
        <w:tab/>
      </w:r>
      <w:r>
        <w:rPr>
          <w:rFonts w:hAnsi="宋体"/>
        </w:rPr>
        <w:fldChar w:fldCharType="begin"/>
      </w:r>
      <w:r>
        <w:rPr>
          <w:rFonts w:hAnsi="宋体"/>
        </w:rPr>
        <w:instrText xml:space="preserve"> PAGEREF _Toc118962031 \h </w:instrText>
      </w:r>
      <w:r>
        <w:rPr>
          <w:rFonts w:hAnsi="宋体"/>
        </w:rPr>
        <w:fldChar w:fldCharType="separate"/>
      </w:r>
      <w:r>
        <w:rPr>
          <w:rFonts w:hAnsi="宋体"/>
        </w:rPr>
        <w:t>14</w:t>
      </w:r>
      <w:r>
        <w:rPr>
          <w:rFonts w:hAnsi="宋体"/>
        </w:rPr>
        <w:fldChar w:fldCharType="end"/>
      </w:r>
      <w:r>
        <w:rPr>
          <w:rFonts w:hAnsi="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"_Toc118962032" </w:instrText>
      </w:r>
      <w:r>
        <w:fldChar w:fldCharType="separate"/>
      </w:r>
      <w:r>
        <w:rPr>
          <w:rStyle w:val="59"/>
          <w:rFonts w:ascii="宋体" w:hAnsi="宋体"/>
        </w:rPr>
        <w:t>9.1  生产准备</w:t>
      </w:r>
      <w:r>
        <w:rPr>
          <w:rFonts w:ascii="宋体" w:eastAsia="宋体"/>
        </w:rPr>
        <w:tab/>
      </w:r>
      <w:r>
        <w:rPr>
          <w:rFonts w:ascii="宋体" w:eastAsia="宋体"/>
        </w:rPr>
        <w:fldChar w:fldCharType="begin"/>
      </w:r>
      <w:r>
        <w:rPr>
          <w:rFonts w:ascii="宋体" w:eastAsia="宋体"/>
        </w:rPr>
        <w:instrText xml:space="preserve"> PAGEREF _Toc118962032 \h </w:instrText>
      </w:r>
      <w:r>
        <w:rPr>
          <w:rFonts w:ascii="宋体" w:eastAsia="宋体"/>
        </w:rPr>
        <w:fldChar w:fldCharType="separate"/>
      </w:r>
      <w:r>
        <w:rPr>
          <w:rFonts w:ascii="宋体" w:eastAsia="宋体"/>
        </w:rPr>
        <w:t>14</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"_Toc118962033" </w:instrText>
      </w:r>
      <w:r>
        <w:fldChar w:fldCharType="separate"/>
      </w:r>
      <w:r>
        <w:rPr>
          <w:rStyle w:val="59"/>
          <w:rFonts w:ascii="宋体" w:hAnsi="宋体"/>
        </w:rPr>
        <w:t>9.2  试车投用前安全检查</w:t>
      </w:r>
      <w:r>
        <w:rPr>
          <w:rFonts w:ascii="宋体" w:eastAsia="宋体"/>
        </w:rPr>
        <w:tab/>
      </w:r>
      <w:r>
        <w:rPr>
          <w:rFonts w:ascii="宋体" w:eastAsia="宋体"/>
        </w:rPr>
        <w:fldChar w:fldCharType="begin"/>
      </w:r>
      <w:r>
        <w:rPr>
          <w:rFonts w:ascii="宋体" w:eastAsia="宋体"/>
        </w:rPr>
        <w:instrText xml:space="preserve"> PAGEREF _Toc118962033 \h </w:instrText>
      </w:r>
      <w:r>
        <w:rPr>
          <w:rFonts w:ascii="宋体" w:eastAsia="宋体"/>
        </w:rPr>
        <w:fldChar w:fldCharType="separate"/>
      </w:r>
      <w:r>
        <w:rPr>
          <w:rFonts w:ascii="宋体" w:eastAsia="宋体"/>
        </w:rPr>
        <w:t>15</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"_Toc118962034" </w:instrText>
      </w:r>
      <w:r>
        <w:fldChar w:fldCharType="separate"/>
      </w:r>
      <w:r>
        <w:rPr>
          <w:rStyle w:val="59"/>
          <w:rFonts w:ascii="宋体" w:hAnsi="宋体"/>
        </w:rPr>
        <w:t>9.3  试车投用前检测分析</w:t>
      </w:r>
      <w:r>
        <w:rPr>
          <w:rFonts w:ascii="宋体" w:eastAsia="宋体"/>
        </w:rPr>
        <w:tab/>
      </w:r>
      <w:r>
        <w:rPr>
          <w:rFonts w:ascii="宋体" w:eastAsia="宋体"/>
        </w:rPr>
        <w:fldChar w:fldCharType="begin"/>
      </w:r>
      <w:r>
        <w:rPr>
          <w:rFonts w:ascii="宋体" w:eastAsia="宋体"/>
        </w:rPr>
        <w:instrText xml:space="preserve"> PAGEREF _Toc118962034 \h </w:instrText>
      </w:r>
      <w:r>
        <w:rPr>
          <w:rFonts w:ascii="宋体" w:eastAsia="宋体"/>
        </w:rPr>
        <w:fldChar w:fldCharType="separate"/>
      </w:r>
      <w:r>
        <w:rPr>
          <w:rFonts w:ascii="宋体" w:eastAsia="宋体"/>
        </w:rPr>
        <w:t>15</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"_Toc118962035" </w:instrText>
      </w:r>
      <w:r>
        <w:fldChar w:fldCharType="separate"/>
      </w:r>
      <w:r>
        <w:rPr>
          <w:rStyle w:val="59"/>
          <w:rFonts w:ascii="宋体" w:hAnsi="宋体"/>
        </w:rPr>
        <w:t>9.4  单机试车</w:t>
      </w:r>
      <w:r>
        <w:rPr>
          <w:rFonts w:ascii="宋体" w:eastAsia="宋体"/>
        </w:rPr>
        <w:tab/>
      </w:r>
      <w:r>
        <w:rPr>
          <w:rFonts w:ascii="宋体" w:eastAsia="宋体"/>
        </w:rPr>
        <w:fldChar w:fldCharType="begin"/>
      </w:r>
      <w:r>
        <w:rPr>
          <w:rFonts w:ascii="宋体" w:eastAsia="宋体"/>
        </w:rPr>
        <w:instrText xml:space="preserve"> PAGEREF _Toc118962035 \h </w:instrText>
      </w:r>
      <w:r>
        <w:rPr>
          <w:rFonts w:ascii="宋体" w:eastAsia="宋体"/>
        </w:rPr>
        <w:fldChar w:fldCharType="separate"/>
      </w:r>
      <w:r>
        <w:rPr>
          <w:rFonts w:ascii="宋体" w:eastAsia="宋体"/>
        </w:rPr>
        <w:t>15</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"_Toc118962036" </w:instrText>
      </w:r>
      <w:r>
        <w:fldChar w:fldCharType="separate"/>
      </w:r>
      <w:r>
        <w:rPr>
          <w:rStyle w:val="59"/>
          <w:rFonts w:ascii="宋体" w:hAnsi="宋体"/>
        </w:rPr>
        <w:t>9.5  联动试车</w:t>
      </w:r>
      <w:r>
        <w:rPr>
          <w:rFonts w:ascii="宋体" w:eastAsia="宋体"/>
        </w:rPr>
        <w:tab/>
      </w:r>
      <w:r>
        <w:rPr>
          <w:rFonts w:ascii="宋体" w:eastAsia="宋体"/>
        </w:rPr>
        <w:fldChar w:fldCharType="begin"/>
      </w:r>
      <w:r>
        <w:rPr>
          <w:rFonts w:ascii="宋体" w:eastAsia="宋体"/>
        </w:rPr>
        <w:instrText xml:space="preserve"> PAGEREF _Toc118962036 \h </w:instrText>
      </w:r>
      <w:r>
        <w:rPr>
          <w:rFonts w:ascii="宋体" w:eastAsia="宋体"/>
        </w:rPr>
        <w:fldChar w:fldCharType="separate"/>
      </w:r>
      <w:r>
        <w:rPr>
          <w:rFonts w:ascii="宋体" w:eastAsia="宋体"/>
        </w:rPr>
        <w:t>15</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"_Toc118962037" </w:instrText>
      </w:r>
      <w:r>
        <w:fldChar w:fldCharType="separate"/>
      </w:r>
      <w:r>
        <w:rPr>
          <w:rStyle w:val="59"/>
          <w:rFonts w:ascii="宋体" w:hAnsi="宋体"/>
        </w:rPr>
        <w:t>9.6  投料试车</w:t>
      </w:r>
      <w:r>
        <w:rPr>
          <w:rFonts w:ascii="宋体" w:eastAsia="宋体"/>
        </w:rPr>
        <w:tab/>
      </w:r>
      <w:r>
        <w:rPr>
          <w:rFonts w:ascii="宋体" w:eastAsia="宋体"/>
        </w:rPr>
        <w:fldChar w:fldCharType="begin"/>
      </w:r>
      <w:r>
        <w:rPr>
          <w:rFonts w:ascii="宋体" w:eastAsia="宋体"/>
        </w:rPr>
        <w:instrText xml:space="preserve"> PAGEREF _Toc118962037 \h </w:instrText>
      </w:r>
      <w:r>
        <w:rPr>
          <w:rFonts w:ascii="宋体" w:eastAsia="宋体"/>
        </w:rPr>
        <w:fldChar w:fldCharType="separate"/>
      </w:r>
      <w:r>
        <w:rPr>
          <w:rFonts w:ascii="宋体" w:eastAsia="宋体"/>
        </w:rPr>
        <w:t>15</w:t>
      </w:r>
      <w:r>
        <w:rPr>
          <w:rFonts w:ascii="宋体" w:eastAsia="宋体"/>
        </w:rPr>
        <w:fldChar w:fldCharType="end"/>
      </w:r>
      <w:r>
        <w:rPr>
          <w:rFonts w:ascii="宋体" w:eastAsia="宋体"/>
        </w:rPr>
        <w:fldChar w:fldCharType="end"/>
      </w:r>
    </w:p>
    <w:p>
      <w:pPr>
        <w:pStyle w:val="19"/>
        <w:rPr>
          <w:rFonts w:hAnsi="宋体" w:cstheme="minorBidi"/>
          <w:kern w:val="2"/>
          <w:szCs w:val="22"/>
        </w:rPr>
      </w:pPr>
      <w:r>
        <w:fldChar w:fldCharType="begin"/>
      </w:r>
      <w:r>
        <w:instrText xml:space="preserve"> HYPERLINK \l "_Toc118962038" </w:instrText>
      </w:r>
      <w:r>
        <w:fldChar w:fldCharType="separate"/>
      </w:r>
      <w:r>
        <w:rPr>
          <w:rStyle w:val="59"/>
          <w:rFonts w:ascii="宋体" w:hAnsi="宋体"/>
        </w:rPr>
        <w:t>10  运行管理</w:t>
      </w:r>
      <w:r>
        <w:rPr>
          <w:rFonts w:hAnsi="宋体"/>
        </w:rPr>
        <w:tab/>
      </w:r>
      <w:r>
        <w:rPr>
          <w:rFonts w:hAnsi="宋体"/>
        </w:rPr>
        <w:fldChar w:fldCharType="begin"/>
      </w:r>
      <w:r>
        <w:rPr>
          <w:rFonts w:hAnsi="宋体"/>
        </w:rPr>
        <w:instrText xml:space="preserve"> PAGEREF _Toc118962038 \h </w:instrText>
      </w:r>
      <w:r>
        <w:rPr>
          <w:rFonts w:hAnsi="宋体"/>
        </w:rPr>
        <w:fldChar w:fldCharType="separate"/>
      </w:r>
      <w:r>
        <w:rPr>
          <w:rFonts w:hAnsi="宋体"/>
        </w:rPr>
        <w:t>15</w:t>
      </w:r>
      <w:r>
        <w:rPr>
          <w:rFonts w:hAnsi="宋体"/>
        </w:rPr>
        <w:fldChar w:fldCharType="end"/>
      </w:r>
      <w:r>
        <w:rPr>
          <w:rFonts w:hAnsi="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"_Toc118962039" </w:instrText>
      </w:r>
      <w:r>
        <w:fldChar w:fldCharType="separate"/>
      </w:r>
      <w:r>
        <w:rPr>
          <w:rStyle w:val="59"/>
          <w:rFonts w:ascii="宋体" w:hAnsi="宋体"/>
        </w:rPr>
        <w:t>10.1  一般要求</w:t>
      </w:r>
      <w:r>
        <w:rPr>
          <w:rFonts w:ascii="宋体" w:eastAsia="宋体"/>
        </w:rPr>
        <w:tab/>
      </w:r>
      <w:r>
        <w:rPr>
          <w:rFonts w:ascii="宋体" w:eastAsia="宋体"/>
        </w:rPr>
        <w:fldChar w:fldCharType="begin"/>
      </w:r>
      <w:r>
        <w:rPr>
          <w:rFonts w:ascii="宋体" w:eastAsia="宋体"/>
        </w:rPr>
        <w:instrText xml:space="preserve"> PAGEREF _Toc118962039 \h </w:instrText>
      </w:r>
      <w:r>
        <w:rPr>
          <w:rFonts w:ascii="宋体" w:eastAsia="宋体"/>
        </w:rPr>
        <w:fldChar w:fldCharType="separate"/>
      </w:r>
      <w:r>
        <w:rPr>
          <w:rFonts w:ascii="宋体" w:eastAsia="宋体"/>
        </w:rPr>
        <w:t>15</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"_Toc118962040" </w:instrText>
      </w:r>
      <w:r>
        <w:fldChar w:fldCharType="separate"/>
      </w:r>
      <w:r>
        <w:rPr>
          <w:rStyle w:val="59"/>
          <w:rFonts w:ascii="宋体" w:hAnsi="宋体"/>
        </w:rPr>
        <w:t>10.2  物料性质指标与控制</w:t>
      </w:r>
      <w:r>
        <w:rPr>
          <w:rFonts w:ascii="宋体" w:eastAsia="宋体"/>
        </w:rPr>
        <w:tab/>
      </w:r>
      <w:r>
        <w:rPr>
          <w:rFonts w:ascii="宋体" w:eastAsia="宋体"/>
        </w:rPr>
        <w:fldChar w:fldCharType="begin"/>
      </w:r>
      <w:r>
        <w:rPr>
          <w:rFonts w:ascii="宋体" w:eastAsia="宋体"/>
        </w:rPr>
        <w:instrText xml:space="preserve"> PAGEREF _Toc118962040 \h </w:instrText>
      </w:r>
      <w:r>
        <w:rPr>
          <w:rFonts w:ascii="宋体" w:eastAsia="宋体"/>
        </w:rPr>
        <w:fldChar w:fldCharType="separate"/>
      </w:r>
      <w:r>
        <w:rPr>
          <w:rFonts w:ascii="宋体" w:eastAsia="宋体"/>
        </w:rPr>
        <w:t>16</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"_Toc118962041" </w:instrText>
      </w:r>
      <w:r>
        <w:fldChar w:fldCharType="separate"/>
      </w:r>
      <w:r>
        <w:rPr>
          <w:rStyle w:val="59"/>
          <w:rFonts w:ascii="宋体" w:hAnsi="宋体"/>
        </w:rPr>
        <w:t>10.3  运行维护</w:t>
      </w:r>
      <w:r>
        <w:rPr>
          <w:rFonts w:ascii="宋体" w:eastAsia="宋体"/>
        </w:rPr>
        <w:tab/>
      </w:r>
      <w:r>
        <w:rPr>
          <w:rFonts w:ascii="宋体" w:eastAsia="宋体"/>
        </w:rPr>
        <w:fldChar w:fldCharType="begin"/>
      </w:r>
      <w:r>
        <w:rPr>
          <w:rFonts w:ascii="宋体" w:eastAsia="宋体"/>
        </w:rPr>
        <w:instrText xml:space="preserve"> PAGEREF _Toc118962041 \h </w:instrText>
      </w:r>
      <w:r>
        <w:rPr>
          <w:rFonts w:ascii="宋体" w:eastAsia="宋体"/>
        </w:rPr>
        <w:fldChar w:fldCharType="separate"/>
      </w:r>
      <w:r>
        <w:rPr>
          <w:rFonts w:ascii="宋体" w:eastAsia="宋体"/>
        </w:rPr>
        <w:t>16</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"_Toc118962042" </w:instrText>
      </w:r>
      <w:r>
        <w:fldChar w:fldCharType="separate"/>
      </w:r>
      <w:r>
        <w:rPr>
          <w:rStyle w:val="59"/>
          <w:rFonts w:ascii="宋体" w:hAnsi="宋体"/>
        </w:rPr>
        <w:t>10.4  检验检测</w:t>
      </w:r>
      <w:r>
        <w:rPr>
          <w:rFonts w:ascii="宋体" w:eastAsia="宋体"/>
        </w:rPr>
        <w:tab/>
      </w:r>
      <w:r>
        <w:rPr>
          <w:rFonts w:ascii="宋体" w:eastAsia="宋体"/>
        </w:rPr>
        <w:fldChar w:fldCharType="begin"/>
      </w:r>
      <w:r>
        <w:rPr>
          <w:rFonts w:ascii="宋体" w:eastAsia="宋体"/>
        </w:rPr>
        <w:instrText xml:space="preserve"> PAGEREF _Toc118962042 \h </w:instrText>
      </w:r>
      <w:r>
        <w:rPr>
          <w:rFonts w:ascii="宋体" w:eastAsia="宋体"/>
        </w:rPr>
        <w:fldChar w:fldCharType="separate"/>
      </w:r>
      <w:r>
        <w:rPr>
          <w:rFonts w:ascii="宋体" w:eastAsia="宋体"/>
        </w:rPr>
        <w:t>17</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"_Toc118962043" </w:instrText>
      </w:r>
      <w:r>
        <w:fldChar w:fldCharType="separate"/>
      </w:r>
      <w:r>
        <w:rPr>
          <w:rStyle w:val="59"/>
          <w:rFonts w:ascii="宋体" w:hAnsi="宋体"/>
        </w:rPr>
        <w:t>10.5  其它操作要求</w:t>
      </w:r>
      <w:r>
        <w:rPr>
          <w:rFonts w:ascii="宋体" w:eastAsia="宋体"/>
        </w:rPr>
        <w:tab/>
      </w:r>
      <w:r>
        <w:rPr>
          <w:rFonts w:ascii="宋体" w:eastAsia="宋体"/>
        </w:rPr>
        <w:fldChar w:fldCharType="begin"/>
      </w:r>
      <w:r>
        <w:rPr>
          <w:rFonts w:ascii="宋体" w:eastAsia="宋体"/>
        </w:rPr>
        <w:instrText xml:space="preserve"> PAGEREF _Toc118962043 \h </w:instrText>
      </w:r>
      <w:r>
        <w:rPr>
          <w:rFonts w:ascii="宋体" w:eastAsia="宋体"/>
        </w:rPr>
        <w:fldChar w:fldCharType="separate"/>
      </w:r>
      <w:r>
        <w:rPr>
          <w:rFonts w:ascii="宋体" w:eastAsia="宋体"/>
        </w:rPr>
        <w:t>17</w:t>
      </w:r>
      <w:r>
        <w:rPr>
          <w:rFonts w:ascii="宋体" w:eastAsia="宋体"/>
        </w:rPr>
        <w:fldChar w:fldCharType="end"/>
      </w:r>
      <w:r>
        <w:rPr>
          <w:rFonts w:ascii="宋体" w:eastAsia="宋体"/>
        </w:rPr>
        <w:fldChar w:fldCharType="end"/>
      </w:r>
    </w:p>
    <w:p>
      <w:pPr>
        <w:pStyle w:val="19"/>
        <w:rPr>
          <w:rFonts w:hAnsi="宋体" w:cstheme="minorBidi"/>
          <w:kern w:val="2"/>
          <w:szCs w:val="22"/>
        </w:rPr>
      </w:pPr>
      <w:r>
        <w:fldChar w:fldCharType="begin"/>
      </w:r>
      <w:r>
        <w:instrText xml:space="preserve"> HYPERLINK \l "_Toc118962044" </w:instrText>
      </w:r>
      <w:r>
        <w:fldChar w:fldCharType="separate"/>
      </w:r>
      <w:r>
        <w:rPr>
          <w:rStyle w:val="59"/>
          <w:rFonts w:ascii="宋体" w:hAnsi="宋体"/>
        </w:rPr>
        <w:t>11  检维修管理</w:t>
      </w:r>
      <w:r>
        <w:rPr>
          <w:rFonts w:hAnsi="宋体"/>
        </w:rPr>
        <w:tab/>
      </w:r>
      <w:r>
        <w:rPr>
          <w:rFonts w:hAnsi="宋体"/>
        </w:rPr>
        <w:fldChar w:fldCharType="begin"/>
      </w:r>
      <w:r>
        <w:rPr>
          <w:rFonts w:hAnsi="宋体"/>
        </w:rPr>
        <w:instrText xml:space="preserve"> PAGEREF _Toc118962044 \h </w:instrText>
      </w:r>
      <w:r>
        <w:rPr>
          <w:rFonts w:hAnsi="宋体"/>
        </w:rPr>
        <w:fldChar w:fldCharType="separate"/>
      </w:r>
      <w:r>
        <w:rPr>
          <w:rFonts w:hAnsi="宋体"/>
        </w:rPr>
        <w:t>17</w:t>
      </w:r>
      <w:r>
        <w:rPr>
          <w:rFonts w:hAnsi="宋体"/>
        </w:rPr>
        <w:fldChar w:fldCharType="end"/>
      </w:r>
      <w:r>
        <w:rPr>
          <w:rFonts w:hAnsi="宋体"/>
        </w:rPr>
        <w:fldChar w:fldCharType="end"/>
      </w:r>
    </w:p>
    <w:p>
      <w:pPr>
        <w:pStyle w:val="19"/>
        <w:rPr>
          <w:rFonts w:hAnsi="宋体" w:cstheme="minorBidi"/>
          <w:kern w:val="2"/>
          <w:szCs w:val="22"/>
        </w:rPr>
      </w:pPr>
      <w:r>
        <w:fldChar w:fldCharType="begin"/>
      </w:r>
      <w:r>
        <w:instrText xml:space="preserve"> HYPERLINK \l "_Toc118962045" </w:instrText>
      </w:r>
      <w:r>
        <w:fldChar w:fldCharType="separate"/>
      </w:r>
      <w:r>
        <w:rPr>
          <w:rStyle w:val="59"/>
          <w:rFonts w:ascii="宋体" w:hAnsi="宋体"/>
        </w:rPr>
        <w:t>12  应急管理</w:t>
      </w:r>
      <w:r>
        <w:rPr>
          <w:rFonts w:hAnsi="宋体"/>
        </w:rPr>
        <w:tab/>
      </w:r>
      <w:r>
        <w:rPr>
          <w:rFonts w:hAnsi="宋体"/>
        </w:rPr>
        <w:fldChar w:fldCharType="begin"/>
      </w:r>
      <w:r>
        <w:rPr>
          <w:rFonts w:hAnsi="宋体"/>
        </w:rPr>
        <w:instrText xml:space="preserve"> PAGEREF _Toc118962045 \h </w:instrText>
      </w:r>
      <w:r>
        <w:rPr>
          <w:rFonts w:hAnsi="宋体"/>
        </w:rPr>
        <w:fldChar w:fldCharType="separate"/>
      </w:r>
      <w:r>
        <w:rPr>
          <w:rFonts w:hAnsi="宋体"/>
        </w:rPr>
        <w:t>18</w:t>
      </w:r>
      <w:r>
        <w:rPr>
          <w:rFonts w:hAnsi="宋体"/>
        </w:rPr>
        <w:fldChar w:fldCharType="end"/>
      </w:r>
      <w:r>
        <w:rPr>
          <w:rFonts w:hAnsi="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"_Toc118962046" </w:instrText>
      </w:r>
      <w:r>
        <w:fldChar w:fldCharType="separate"/>
      </w:r>
      <w:r>
        <w:rPr>
          <w:rStyle w:val="59"/>
          <w:rFonts w:ascii="宋体" w:hAnsi="宋体"/>
        </w:rPr>
        <w:t>12.1  总体要求</w:t>
      </w:r>
      <w:r>
        <w:rPr>
          <w:rFonts w:ascii="宋体" w:eastAsia="宋体"/>
        </w:rPr>
        <w:tab/>
      </w:r>
      <w:r>
        <w:rPr>
          <w:rFonts w:ascii="宋体" w:eastAsia="宋体"/>
        </w:rPr>
        <w:fldChar w:fldCharType="begin"/>
      </w:r>
      <w:r>
        <w:rPr>
          <w:rFonts w:ascii="宋体" w:eastAsia="宋体"/>
        </w:rPr>
        <w:instrText xml:space="preserve"> PAGEREF _Toc118962046 \h </w:instrText>
      </w:r>
      <w:r>
        <w:rPr>
          <w:rFonts w:ascii="宋体" w:eastAsia="宋体"/>
        </w:rPr>
        <w:fldChar w:fldCharType="separate"/>
      </w:r>
      <w:r>
        <w:rPr>
          <w:rFonts w:ascii="宋体" w:eastAsia="宋体"/>
        </w:rPr>
        <w:t>18</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"_Toc118962047" </w:instrText>
      </w:r>
      <w:r>
        <w:fldChar w:fldCharType="separate"/>
      </w:r>
      <w:r>
        <w:rPr>
          <w:rStyle w:val="59"/>
          <w:rFonts w:ascii="宋体" w:hAnsi="宋体"/>
        </w:rPr>
        <w:t>12.2  火灾报警系统、应急广播、消防喷淋系统管理</w:t>
      </w:r>
      <w:r>
        <w:rPr>
          <w:rFonts w:ascii="宋体" w:eastAsia="宋体"/>
        </w:rPr>
        <w:tab/>
      </w:r>
      <w:r>
        <w:rPr>
          <w:rFonts w:ascii="宋体" w:eastAsia="宋体"/>
        </w:rPr>
        <w:fldChar w:fldCharType="begin"/>
      </w:r>
      <w:r>
        <w:rPr>
          <w:rFonts w:ascii="宋体" w:eastAsia="宋体"/>
        </w:rPr>
        <w:instrText xml:space="preserve"> PAGEREF _Toc118962047 \h </w:instrText>
      </w:r>
      <w:r>
        <w:rPr>
          <w:rFonts w:ascii="宋体" w:eastAsia="宋体"/>
        </w:rPr>
        <w:fldChar w:fldCharType="separate"/>
      </w:r>
      <w:r>
        <w:rPr>
          <w:rFonts w:ascii="宋体" w:eastAsia="宋体"/>
        </w:rPr>
        <w:t>18</w:t>
      </w:r>
      <w:r>
        <w:rPr>
          <w:rFonts w:ascii="宋体" w:eastAsia="宋体"/>
        </w:rPr>
        <w:fldChar w:fldCharType="end"/>
      </w:r>
      <w:r>
        <w:rPr>
          <w:rFonts w:ascii="宋体" w:eastAsia="宋体"/>
        </w:rPr>
        <w:fldChar w:fldCharType="end"/>
      </w:r>
    </w:p>
    <w:p>
      <w:pPr>
        <w:pStyle w:val="18"/>
        <w:ind w:firstLine="420" w:firstLineChars="200"/>
        <w:rPr>
          <w:rFonts w:ascii="宋体" w:eastAsia="宋体" w:cstheme="minorBidi"/>
          <w:kern w:val="2"/>
          <w:szCs w:val="22"/>
        </w:rPr>
      </w:pPr>
      <w:r>
        <w:fldChar w:fldCharType="begin"/>
      </w:r>
      <w:r>
        <w:instrText xml:space="preserve"> HYPERLINK \l "_Toc118962048" </w:instrText>
      </w:r>
      <w:r>
        <w:fldChar w:fldCharType="separate"/>
      </w:r>
      <w:r>
        <w:rPr>
          <w:rStyle w:val="59"/>
          <w:rFonts w:ascii="宋体" w:hAnsi="宋体"/>
        </w:rPr>
        <w:t>12.3  应急响应</w:t>
      </w:r>
      <w:r>
        <w:rPr>
          <w:rFonts w:ascii="宋体" w:eastAsia="宋体"/>
        </w:rPr>
        <w:tab/>
      </w:r>
      <w:r>
        <w:rPr>
          <w:rFonts w:ascii="宋体" w:eastAsia="宋体"/>
        </w:rPr>
        <w:fldChar w:fldCharType="begin"/>
      </w:r>
      <w:r>
        <w:rPr>
          <w:rFonts w:ascii="宋体" w:eastAsia="宋体"/>
        </w:rPr>
        <w:instrText xml:space="preserve"> PAGEREF _Toc118962048 \h </w:instrText>
      </w:r>
      <w:r>
        <w:rPr>
          <w:rFonts w:ascii="宋体" w:eastAsia="宋体"/>
        </w:rPr>
        <w:fldChar w:fldCharType="separate"/>
      </w:r>
      <w:r>
        <w:rPr>
          <w:rFonts w:ascii="宋体" w:eastAsia="宋体"/>
        </w:rPr>
        <w:t>19</w:t>
      </w:r>
      <w:r>
        <w:rPr>
          <w:rFonts w:ascii="宋体" w:eastAsia="宋体"/>
        </w:rPr>
        <w:fldChar w:fldCharType="end"/>
      </w:r>
      <w:r>
        <w:rPr>
          <w:rFonts w:ascii="宋体" w:eastAsia="宋体"/>
        </w:rPr>
        <w:fldChar w:fldCharType="end"/>
      </w:r>
    </w:p>
    <w:p>
      <w:pPr>
        <w:pStyle w:val="19"/>
        <w:rPr>
          <w:rFonts w:hAnsi="宋体" w:cstheme="minorBidi"/>
          <w:kern w:val="2"/>
          <w:szCs w:val="22"/>
        </w:rPr>
      </w:pPr>
      <w:r>
        <w:fldChar w:fldCharType="begin"/>
      </w:r>
      <w:r>
        <w:instrText xml:space="preserve"> HYPERLINK \l "_Toc118962049" </w:instrText>
      </w:r>
      <w:r>
        <w:fldChar w:fldCharType="separate"/>
      </w:r>
      <w:r>
        <w:rPr>
          <w:rStyle w:val="59"/>
          <w:rFonts w:ascii="宋体" w:hAnsi="宋体"/>
        </w:rPr>
        <w:t>附 录 A （资料性） 规划选址</w:t>
      </w:r>
      <w:r>
        <w:rPr>
          <w:rFonts w:hAnsi="宋体"/>
        </w:rPr>
        <w:tab/>
      </w:r>
      <w:r>
        <w:rPr>
          <w:rFonts w:hAnsi="宋体"/>
        </w:rPr>
        <w:fldChar w:fldCharType="begin"/>
      </w:r>
      <w:r>
        <w:rPr>
          <w:rFonts w:hAnsi="宋体"/>
        </w:rPr>
        <w:instrText xml:space="preserve"> PAGEREF _Toc118962049 \h </w:instrText>
      </w:r>
      <w:r>
        <w:rPr>
          <w:rFonts w:hAnsi="宋体"/>
        </w:rPr>
        <w:fldChar w:fldCharType="separate"/>
      </w:r>
      <w:r>
        <w:rPr>
          <w:rFonts w:hAnsi="宋体"/>
        </w:rPr>
        <w:t>20</w:t>
      </w:r>
      <w:r>
        <w:rPr>
          <w:rFonts w:hAnsi="宋体"/>
        </w:rPr>
        <w:fldChar w:fldCharType="end"/>
      </w:r>
      <w:r>
        <w:rPr>
          <w:rFonts w:hAnsi="宋体"/>
        </w:rPr>
        <w:fldChar w:fldCharType="end"/>
      </w:r>
    </w:p>
    <w:p>
      <w:pPr>
        <w:pStyle w:val="19"/>
        <w:rPr>
          <w:rFonts w:hAnsi="宋体" w:cstheme="minorBidi"/>
          <w:kern w:val="2"/>
          <w:szCs w:val="22"/>
        </w:rPr>
      </w:pPr>
      <w:r>
        <w:fldChar w:fldCharType="begin"/>
      </w:r>
      <w:r>
        <w:instrText xml:space="preserve"> HYPERLINK \l "_Toc118962050" </w:instrText>
      </w:r>
      <w:r>
        <w:fldChar w:fldCharType="separate"/>
      </w:r>
      <w:r>
        <w:rPr>
          <w:rStyle w:val="59"/>
          <w:rFonts w:ascii="宋体" w:hAnsi="宋体"/>
        </w:rPr>
        <w:t>附 录 B （规范性） 全压力式液化烃储罐区注水系统设计规定</w:t>
      </w:r>
      <w:r>
        <w:rPr>
          <w:rFonts w:hAnsi="宋体"/>
        </w:rPr>
        <w:tab/>
      </w:r>
      <w:r>
        <w:rPr>
          <w:rFonts w:hAnsi="宋体"/>
        </w:rPr>
        <w:fldChar w:fldCharType="begin"/>
      </w:r>
      <w:r>
        <w:rPr>
          <w:rFonts w:hAnsi="宋体"/>
        </w:rPr>
        <w:instrText xml:space="preserve"> PAGEREF _Toc118962050 \h </w:instrText>
      </w:r>
      <w:r>
        <w:rPr>
          <w:rFonts w:hAnsi="宋体"/>
        </w:rPr>
        <w:fldChar w:fldCharType="separate"/>
      </w:r>
      <w:r>
        <w:rPr>
          <w:rFonts w:hAnsi="宋体"/>
        </w:rPr>
        <w:t>21</w:t>
      </w:r>
      <w:r>
        <w:rPr>
          <w:rFonts w:hAnsi="宋体"/>
        </w:rPr>
        <w:fldChar w:fldCharType="end"/>
      </w:r>
      <w:r>
        <w:rPr>
          <w:rFonts w:hAnsi="宋体"/>
        </w:rPr>
        <w:fldChar w:fldCharType="end"/>
      </w:r>
    </w:p>
    <w:p>
      <w:pPr>
        <w:pStyle w:val="19"/>
        <w:rPr>
          <w:rFonts w:hAnsi="宋体" w:cstheme="minorBidi"/>
          <w:kern w:val="2"/>
          <w:szCs w:val="22"/>
        </w:rPr>
      </w:pPr>
      <w:r>
        <w:fldChar w:fldCharType="begin"/>
      </w:r>
      <w:r>
        <w:instrText xml:space="preserve"> HYPERLINK \l "_Toc118962051" </w:instrText>
      </w:r>
      <w:r>
        <w:fldChar w:fldCharType="separate"/>
      </w:r>
      <w:r>
        <w:rPr>
          <w:rStyle w:val="59"/>
          <w:rFonts w:ascii="宋体" w:hAnsi="宋体"/>
        </w:rPr>
        <w:t>参考文献</w:t>
      </w:r>
      <w:r>
        <w:rPr>
          <w:rFonts w:hAnsi="宋体"/>
        </w:rPr>
        <w:tab/>
      </w:r>
      <w:r>
        <w:rPr>
          <w:rFonts w:hAnsi="宋体"/>
        </w:rPr>
        <w:fldChar w:fldCharType="begin"/>
      </w:r>
      <w:r>
        <w:rPr>
          <w:rFonts w:hAnsi="宋体"/>
        </w:rPr>
        <w:instrText xml:space="preserve"> PAGEREF _Toc118962051 \h </w:instrText>
      </w:r>
      <w:r>
        <w:rPr>
          <w:rFonts w:hAnsi="宋体"/>
        </w:rPr>
        <w:fldChar w:fldCharType="separate"/>
      </w:r>
      <w:r>
        <w:rPr>
          <w:rFonts w:hAnsi="宋体"/>
        </w:rPr>
        <w:t>27</w:t>
      </w:r>
      <w:r>
        <w:rPr>
          <w:rFonts w:hAnsi="宋体"/>
        </w:rPr>
        <w:fldChar w:fldCharType="end"/>
      </w:r>
      <w:r>
        <w:rPr>
          <w:rFonts w:hAnsi="宋体"/>
        </w:rPr>
        <w:fldChar w:fldCharType="end"/>
      </w:r>
    </w:p>
    <w:p>
      <w:pPr>
        <w:pStyle w:val="19"/>
        <w:widowControl w:val="0"/>
        <w:tabs>
          <w:tab w:val="clear" w:pos="210"/>
        </w:tabs>
        <w:spacing w:line="240" w:lineRule="auto"/>
        <w:rPr>
          <w:rStyle w:val="59"/>
          <w:rFonts w:ascii="宋体" w:hAnsi="宋体"/>
          <w:color w:val="000000" w:themeColor="text1"/>
          <w:kern w:val="2"/>
          <w:szCs w:val="24"/>
          <w:u w:val="single"/>
          <w14:textFill>
            <w14:solidFill>
              <w14:schemeClr w14:val="tx1"/>
            </w14:solidFill>
          </w14:textFill>
        </w:rPr>
      </w:pPr>
      <w:r>
        <w:rPr>
          <w:rStyle w:val="59"/>
          <w:rFonts w:ascii="宋体" w:hAnsi="宋体"/>
          <w:color w:val="000000" w:themeColor="text1"/>
          <w:kern w:val="2"/>
          <w:u w:val="single"/>
          <w14:textFill>
            <w14:solidFill>
              <w14:schemeClr w14:val="tx1"/>
            </w14:solidFill>
          </w14:textFill>
        </w:rPr>
        <w:fldChar w:fldCharType="end"/>
      </w:r>
    </w:p>
    <w:p>
      <w:pPr>
        <w:pStyle w:val="71"/>
        <w:ind w:firstLine="420" w:firstLineChars="150"/>
        <w:rPr>
          <w:rFonts w:hAnsi="宋体" w:cs="宋体"/>
          <w:color w:val="000000" w:themeColor="text1"/>
          <w:sz w:val="28"/>
          <w:szCs w:val="28"/>
          <w14:textFill>
            <w14:solidFill>
              <w14:schemeClr w14:val="tx1"/>
            </w14:solidFill>
          </w14:textFill>
        </w:rPr>
        <w:sectPr>
          <w:headerReference r:id="rId10" w:type="first"/>
          <w:footerReference r:id="rId13" w:type="first"/>
          <w:headerReference r:id="rId8" w:type="default"/>
          <w:footerReference r:id="rId11" w:type="default"/>
          <w:headerReference r:id="rId9" w:type="even"/>
          <w:footerReference r:id="rId12" w:type="even"/>
          <w:pgSz w:w="11907" w:h="16839"/>
          <w:pgMar w:top="1417" w:right="1134" w:bottom="1134" w:left="1418" w:header="1418" w:footer="851" w:gutter="0"/>
          <w:pgNumType w:fmt="upperRoman" w:start="1"/>
          <w:cols w:space="720" w:num="1"/>
          <w:titlePg/>
          <w:docGrid w:type="lines" w:linePitch="312" w:charSpace="0"/>
        </w:sectPr>
      </w:pPr>
    </w:p>
    <w:p>
      <w:pPr>
        <w:pStyle w:val="96"/>
        <w:keepNext/>
        <w:pageBreakBefore/>
        <w:numPr>
          <w:ilvl w:val="0"/>
          <w:numId w:val="19"/>
        </w:numPr>
        <w:spacing w:before="851" w:after="680"/>
        <w:rPr>
          <w:rFonts w:ascii="宋体" w:hAnsi="宋体" w:cs="宋体"/>
          <w:color w:val="000000" w:themeColor="text1"/>
          <w:szCs w:val="32"/>
          <w:lang w:val="zh-CN"/>
          <w14:textFill>
            <w14:solidFill>
              <w14:schemeClr w14:val="tx1"/>
            </w14:solidFill>
          </w14:textFill>
        </w:rPr>
      </w:pPr>
      <w:bookmarkStart w:id="5" w:name="_Toc118962007"/>
      <w:bookmarkStart w:id="6" w:name="_Toc519870029"/>
      <w:bookmarkStart w:id="7" w:name="_Toc240954301"/>
      <w:bookmarkStart w:id="8" w:name="_Toc241380181"/>
      <w:bookmarkStart w:id="9" w:name="_Toc240888593"/>
      <w:bookmarkStart w:id="10" w:name="_Toc234919573"/>
      <w:bookmarkStart w:id="11" w:name="_Toc234922977"/>
      <w:bookmarkStart w:id="12" w:name="SectionMark4"/>
      <w:bookmarkStart w:id="13" w:name="_Toc234919196"/>
      <w:r>
        <w:rPr>
          <w:rFonts w:hint="eastAsia" w:ascii="宋体" w:hAnsi="宋体" w:cs="宋体"/>
          <w:color w:val="000000" w:themeColor="text1"/>
          <w:szCs w:val="32"/>
          <w:lang w:val="zh-CN"/>
          <w14:textFill>
            <w14:solidFill>
              <w14:schemeClr w14:val="tx1"/>
            </w14:solidFill>
          </w14:textFill>
        </w:rPr>
        <w:t>前</w:t>
      </w:r>
      <w:bookmarkStart w:id="14" w:name="BKQY"/>
      <w:r>
        <w:rPr>
          <w:rFonts w:ascii="宋体" w:hAnsi="宋体" w:cs="宋体"/>
          <w:color w:val="000000" w:themeColor="text1"/>
          <w:szCs w:val="32"/>
          <w:lang w:val="zh-CN"/>
          <w14:textFill>
            <w14:solidFill>
              <w14:schemeClr w14:val="tx1"/>
            </w14:solidFill>
          </w14:textFill>
        </w:rPr>
        <w:t xml:space="preserve">    </w:t>
      </w:r>
      <w:r>
        <w:rPr>
          <w:rFonts w:hint="eastAsia" w:ascii="宋体" w:hAnsi="宋体" w:cs="宋体"/>
          <w:color w:val="000000" w:themeColor="text1"/>
          <w:szCs w:val="32"/>
          <w:lang w:val="zh-CN"/>
          <w14:textFill>
            <w14:solidFill>
              <w14:schemeClr w14:val="tx1"/>
            </w14:solidFill>
          </w14:textFill>
        </w:rPr>
        <w:t>言</w:t>
      </w:r>
      <w:bookmarkEnd w:id="5"/>
      <w:bookmarkEnd w:id="6"/>
      <w:bookmarkEnd w:id="14"/>
    </w:p>
    <w:p>
      <w:pPr>
        <w:widowControl w:val="0"/>
        <w:spacing w:line="240" w:lineRule="auto"/>
        <w:ind w:firstLine="420" w:firstLineChars="200"/>
        <w:textAlignment w:val="auto"/>
        <w:rPr>
          <w:color w:val="000000" w:themeColor="text1"/>
          <w:kern w:val="2"/>
          <w:szCs w:val="21"/>
          <w14:textFill>
            <w14:solidFill>
              <w14:schemeClr w14:val="tx1"/>
            </w14:solidFill>
          </w14:textFill>
        </w:rPr>
      </w:pPr>
      <w:r>
        <w:rPr>
          <w:rFonts w:hint="eastAsia"/>
          <w:color w:val="000000" w:themeColor="text1"/>
          <w:kern w:val="2"/>
          <w:szCs w:val="21"/>
          <w14:textFill>
            <w14:solidFill>
              <w14:schemeClr w14:val="tx1"/>
            </w14:solidFill>
          </w14:textFill>
        </w:rPr>
        <w:t>本文件按</w:t>
      </w:r>
      <w:r>
        <w:rPr>
          <w:color w:val="000000" w:themeColor="text1"/>
          <w:kern w:val="2"/>
          <w:szCs w:val="21"/>
          <w14:textFill>
            <w14:solidFill>
              <w14:schemeClr w14:val="tx1"/>
            </w14:solidFill>
          </w14:textFill>
        </w:rPr>
        <w:t>照GB/T 1.1</w:t>
      </w:r>
      <w:r>
        <w:rPr>
          <w:rFonts w:hint="eastAsia"/>
          <w:color w:val="000000" w:themeColor="text1"/>
          <w:kern w:val="2"/>
          <w:szCs w:val="21"/>
          <w14:textFill>
            <w14:solidFill>
              <w14:schemeClr w14:val="tx1"/>
            </w14:solidFill>
          </w14:textFill>
        </w:rPr>
        <w:t>－</w:t>
      </w:r>
      <w:r>
        <w:rPr>
          <w:color w:val="000000" w:themeColor="text1"/>
          <w:kern w:val="2"/>
          <w:szCs w:val="21"/>
          <w14:textFill>
            <w14:solidFill>
              <w14:schemeClr w14:val="tx1"/>
            </w14:solidFill>
          </w14:textFill>
        </w:rPr>
        <w:t>20</w:t>
      </w:r>
      <w:r>
        <w:rPr>
          <w:rFonts w:hint="eastAsia"/>
          <w:color w:val="000000" w:themeColor="text1"/>
          <w:kern w:val="2"/>
          <w:szCs w:val="21"/>
          <w14:textFill>
            <w14:solidFill>
              <w14:schemeClr w14:val="tx1"/>
            </w14:solidFill>
          </w14:textFill>
        </w:rPr>
        <w:t>20《标准化工作导则第1部分：标准化文件的结构和起草规则》的规定起草。</w:t>
      </w:r>
    </w:p>
    <w:p>
      <w:pPr>
        <w:widowControl w:val="0"/>
        <w:spacing w:line="240" w:lineRule="auto"/>
        <w:ind w:firstLine="420" w:firstLineChars="200"/>
        <w:textAlignment w:val="auto"/>
        <w:rPr>
          <w:color w:val="000000" w:themeColor="text1"/>
          <w:kern w:val="2"/>
          <w:szCs w:val="21"/>
          <w14:textFill>
            <w14:solidFill>
              <w14:schemeClr w14:val="tx1"/>
            </w14:solidFill>
          </w14:textFill>
        </w:rPr>
      </w:pPr>
      <w:r>
        <w:rPr>
          <w:rFonts w:hint="eastAsia"/>
          <w:color w:val="000000" w:themeColor="text1"/>
          <w:kern w:val="2"/>
          <w:szCs w:val="21"/>
          <w14:textFill>
            <w14:solidFill>
              <w14:schemeClr w14:val="tx1"/>
            </w14:solidFill>
          </w14:textFill>
        </w:rPr>
        <w:t>请注意本文件的某些内容可能涉及专利。本文件的发布机构不承担识别专利的责任。</w:t>
      </w:r>
    </w:p>
    <w:p>
      <w:pPr>
        <w:widowControl w:val="0"/>
        <w:spacing w:line="240" w:lineRule="auto"/>
        <w:ind w:firstLine="420" w:firstLineChars="200"/>
        <w:textAlignment w:val="auto"/>
        <w:rPr>
          <w:color w:val="000000" w:themeColor="text1"/>
          <w:kern w:val="2"/>
          <w:szCs w:val="21"/>
          <w14:textFill>
            <w14:solidFill>
              <w14:schemeClr w14:val="tx1"/>
            </w14:solidFill>
          </w14:textFill>
        </w:rPr>
      </w:pPr>
      <w:r>
        <w:rPr>
          <w:rFonts w:hint="eastAsia"/>
          <w:color w:val="000000" w:themeColor="text1"/>
          <w:kern w:val="2"/>
          <w:szCs w:val="21"/>
          <w14:textFill>
            <w14:solidFill>
              <w14:schemeClr w14:val="tx1"/>
            </w14:solidFill>
          </w14:textFill>
        </w:rPr>
        <w:t>本文件由中华人民共和国应急管理部提出。</w:t>
      </w:r>
    </w:p>
    <w:p>
      <w:pPr>
        <w:widowControl w:val="0"/>
        <w:spacing w:line="240" w:lineRule="auto"/>
        <w:ind w:firstLine="420" w:firstLineChars="200"/>
        <w:textAlignment w:val="auto"/>
        <w:rPr>
          <w:color w:val="000000" w:themeColor="text1"/>
          <w:kern w:val="2"/>
          <w:szCs w:val="21"/>
          <w14:textFill>
            <w14:solidFill>
              <w14:schemeClr w14:val="tx1"/>
            </w14:solidFill>
          </w14:textFill>
        </w:rPr>
      </w:pPr>
      <w:r>
        <w:rPr>
          <w:rFonts w:hint="eastAsia"/>
          <w:color w:val="000000" w:themeColor="text1"/>
          <w:kern w:val="2"/>
          <w:szCs w:val="21"/>
          <w14:textFill>
            <w14:solidFill>
              <w14:schemeClr w14:val="tx1"/>
            </w14:solidFill>
          </w14:textFill>
        </w:rPr>
        <w:t>本文件由全国安全生产标准化技术委员会化学品安全分技术委</w:t>
      </w:r>
      <w:r>
        <w:rPr>
          <w:color w:val="000000" w:themeColor="text1"/>
          <w:kern w:val="2"/>
          <w:szCs w:val="21"/>
          <w14:textFill>
            <w14:solidFill>
              <w14:schemeClr w14:val="tx1"/>
            </w14:solidFill>
          </w14:textFill>
        </w:rPr>
        <w:t>员会（SAC/TC 288</w:t>
      </w:r>
      <w:r>
        <w:rPr>
          <w:rFonts w:hint="eastAsia"/>
          <w:color w:val="000000" w:themeColor="text1"/>
          <w:kern w:val="2"/>
          <w:szCs w:val="21"/>
          <w14:textFill>
            <w14:solidFill>
              <w14:schemeClr w14:val="tx1"/>
            </w14:solidFill>
          </w14:textFill>
        </w:rPr>
        <w:t>/</w:t>
      </w:r>
      <w:r>
        <w:rPr>
          <w:color w:val="000000" w:themeColor="text1"/>
          <w:kern w:val="2"/>
          <w:szCs w:val="21"/>
          <w14:textFill>
            <w14:solidFill>
              <w14:schemeClr w14:val="tx1"/>
            </w14:solidFill>
          </w14:textFill>
        </w:rPr>
        <w:t>SC</w:t>
      </w:r>
      <w:r>
        <w:rPr>
          <w:rFonts w:hint="eastAsia"/>
          <w:color w:val="000000" w:themeColor="text1"/>
          <w:kern w:val="2"/>
          <w:szCs w:val="21"/>
          <w14:textFill>
            <w14:solidFill>
              <w14:schemeClr w14:val="tx1"/>
            </w14:solidFill>
          </w14:textFill>
        </w:rPr>
        <w:t>3</w:t>
      </w:r>
      <w:r>
        <w:rPr>
          <w:color w:val="000000" w:themeColor="text1"/>
          <w:kern w:val="2"/>
          <w:szCs w:val="21"/>
          <w14:textFill>
            <w14:solidFill>
              <w14:schemeClr w14:val="tx1"/>
            </w14:solidFill>
          </w14:textFill>
        </w:rPr>
        <w:t>）</w:t>
      </w:r>
      <w:r>
        <w:rPr>
          <w:rFonts w:hint="eastAsia"/>
          <w:color w:val="000000" w:themeColor="text1"/>
          <w:kern w:val="2"/>
          <w:szCs w:val="21"/>
          <w14:textFill>
            <w14:solidFill>
              <w14:schemeClr w14:val="tx1"/>
            </w14:solidFill>
          </w14:textFill>
        </w:rPr>
        <w:t>归口。</w:t>
      </w:r>
    </w:p>
    <w:p>
      <w:pPr>
        <w:widowControl w:val="0"/>
        <w:spacing w:line="240" w:lineRule="auto"/>
        <w:ind w:firstLine="420" w:firstLineChars="200"/>
        <w:textAlignment w:val="auto"/>
        <w:rPr>
          <w:color w:val="000000" w:themeColor="text1"/>
          <w:kern w:val="2"/>
          <w:szCs w:val="21"/>
          <w14:textFill>
            <w14:solidFill>
              <w14:schemeClr w14:val="tx1"/>
            </w14:solidFill>
          </w14:textFill>
        </w:rPr>
      </w:pPr>
      <w:r>
        <w:rPr>
          <w:rFonts w:hint="eastAsia"/>
          <w:color w:val="000000" w:themeColor="text1"/>
          <w:kern w:val="2"/>
          <w:szCs w:val="21"/>
          <w14:textFill>
            <w14:solidFill>
              <w14:schemeClr w14:val="tx1"/>
            </w14:solidFill>
          </w14:textFill>
        </w:rPr>
        <w:t>本文件起草单位：。</w:t>
      </w:r>
    </w:p>
    <w:p>
      <w:pPr>
        <w:widowControl w:val="0"/>
        <w:spacing w:line="240" w:lineRule="auto"/>
        <w:ind w:firstLine="420" w:firstLineChars="200"/>
        <w:textAlignment w:val="auto"/>
        <w:rPr>
          <w:color w:val="000000" w:themeColor="text1"/>
          <w:kern w:val="2"/>
          <w:szCs w:val="21"/>
          <w14:textFill>
            <w14:solidFill>
              <w14:schemeClr w14:val="tx1"/>
            </w14:solidFill>
          </w14:textFill>
        </w:rPr>
      </w:pPr>
      <w:r>
        <w:rPr>
          <w:rFonts w:hint="eastAsia"/>
          <w:color w:val="000000" w:themeColor="text1"/>
          <w:kern w:val="2"/>
          <w:szCs w:val="21"/>
          <w14:textFill>
            <w14:solidFill>
              <w14:schemeClr w14:val="tx1"/>
            </w14:solidFill>
          </w14:textFill>
        </w:rPr>
        <w:t>本文件主要起草人：。</w:t>
      </w:r>
    </w:p>
    <w:p>
      <w:pPr>
        <w:widowControl w:val="0"/>
        <w:spacing w:line="240" w:lineRule="auto"/>
        <w:ind w:firstLine="420" w:firstLineChars="200"/>
        <w:textAlignment w:val="auto"/>
        <w:rPr>
          <w:color w:val="000000" w:themeColor="text1"/>
          <w:kern w:val="2"/>
          <w:szCs w:val="21"/>
          <w14:textFill>
            <w14:solidFill>
              <w14:schemeClr w14:val="tx1"/>
            </w14:solidFill>
          </w14:textFill>
        </w:rPr>
      </w:pPr>
      <w:r>
        <w:rPr>
          <w:rFonts w:hint="eastAsia"/>
          <w:color w:val="000000" w:themeColor="text1"/>
          <w:kern w:val="2"/>
          <w:szCs w:val="21"/>
          <w14:textFill>
            <w14:solidFill>
              <w14:schemeClr w14:val="tx1"/>
            </w14:solidFill>
          </w14:textFill>
        </w:rPr>
        <w:t>本文件首次发布。</w:t>
      </w:r>
    </w:p>
    <w:p>
      <w:pPr>
        <w:pStyle w:val="71"/>
        <w:ind w:firstLine="557" w:firstLineChars="199"/>
        <w:rPr>
          <w:rFonts w:hAnsi="宋体"/>
          <w:color w:val="000000" w:themeColor="text1"/>
          <w:sz w:val="28"/>
          <w:szCs w:val="28"/>
          <w14:textFill>
            <w14:solidFill>
              <w14:schemeClr w14:val="tx1"/>
            </w14:solidFill>
          </w14:textFill>
        </w:rPr>
      </w:pPr>
    </w:p>
    <w:p>
      <w:pPr>
        <w:pStyle w:val="21"/>
        <w:ind w:firstLine="880" w:firstLineChars="200"/>
        <w:jc w:val="center"/>
        <w:rPr>
          <w:rFonts w:ascii="黑体" w:hAnsi="黑体" w:eastAsia="黑体"/>
          <w:color w:val="000000" w:themeColor="text1"/>
          <w:sz w:val="44"/>
          <w:szCs w:val="44"/>
          <w14:textFill>
            <w14:solidFill>
              <w14:schemeClr w14:val="tx1"/>
            </w14:solidFill>
          </w14:textFill>
        </w:rPr>
        <w:sectPr>
          <w:headerReference r:id="rId16" w:type="first"/>
          <w:headerReference r:id="rId14" w:type="default"/>
          <w:headerReference r:id="rId15" w:type="even"/>
          <w:pgSz w:w="11907" w:h="16839"/>
          <w:pgMar w:top="1418" w:right="1134" w:bottom="1134" w:left="1985" w:header="1418" w:footer="851" w:gutter="0"/>
          <w:pgNumType w:fmt="upperRoman"/>
          <w:cols w:space="720" w:num="1"/>
          <w:docGrid w:type="lines" w:linePitch="317" w:charSpace="0"/>
        </w:sectPr>
      </w:pPr>
    </w:p>
    <w:bookmarkEnd w:id="7"/>
    <w:bookmarkEnd w:id="8"/>
    <w:bookmarkEnd w:id="9"/>
    <w:p>
      <w:pPr>
        <w:pStyle w:val="21"/>
        <w:ind w:firstLine="0"/>
        <w:jc w:val="center"/>
        <w:rPr>
          <w:rFonts w:ascii="宋体" w:hAnsi="宋体" w:eastAsia="黑体"/>
          <w:color w:val="000000" w:themeColor="text1"/>
          <w:sz w:val="32"/>
          <w:szCs w:val="32"/>
          <w14:textFill>
            <w14:solidFill>
              <w14:schemeClr w14:val="tx1"/>
            </w14:solidFill>
          </w14:textFill>
        </w:rPr>
      </w:pPr>
      <w:r>
        <w:rPr>
          <w:rFonts w:hint="eastAsia" w:ascii="宋体" w:hAnsi="宋体" w:eastAsia="黑体"/>
          <w:color w:val="000000" w:themeColor="text1"/>
          <w:sz w:val="32"/>
          <w:szCs w:val="32"/>
          <w:lang w:eastAsia="zh-CN"/>
          <w14:textFill>
            <w14:solidFill>
              <w14:schemeClr w14:val="tx1"/>
            </w14:solidFill>
          </w14:textFill>
        </w:rPr>
        <w:t>化工企业</w:t>
      </w:r>
      <w:r>
        <w:rPr>
          <w:rFonts w:hint="eastAsia" w:ascii="宋体" w:hAnsi="宋体" w:eastAsia="黑体"/>
          <w:color w:val="000000" w:themeColor="text1"/>
          <w:sz w:val="32"/>
          <w:szCs w:val="32"/>
          <w14:textFill>
            <w14:solidFill>
              <w14:schemeClr w14:val="tx1"/>
            </w14:solidFill>
          </w14:textFill>
        </w:rPr>
        <w:t>液化烃储罐区安全管理规范</w:t>
      </w:r>
    </w:p>
    <w:p>
      <w:pPr>
        <w:widowControl w:val="0"/>
        <w:spacing w:before="317" w:beforeLines="100" w:after="317" w:afterLines="100" w:line="240" w:lineRule="auto"/>
        <w:jc w:val="left"/>
        <w:textAlignment w:val="auto"/>
        <w:outlineLvl w:val="0"/>
        <w:rPr>
          <w:rFonts w:ascii="宋体" w:hAnsi="宋体" w:eastAsia="黑体"/>
          <w:color w:val="000000" w:themeColor="text1"/>
          <w:kern w:val="2"/>
          <w:szCs w:val="21"/>
          <w14:textFill>
            <w14:solidFill>
              <w14:schemeClr w14:val="tx1"/>
            </w14:solidFill>
          </w14:textFill>
        </w:rPr>
      </w:pPr>
      <w:bookmarkStart w:id="15" w:name="_Toc240888594"/>
      <w:bookmarkStart w:id="16" w:name="_Toc118962008"/>
      <w:r>
        <w:rPr>
          <w:rFonts w:hint="eastAsia" w:ascii="黑体" w:hAnsi="黑体" w:eastAsia="黑体"/>
          <w:color w:val="000000" w:themeColor="text1"/>
          <w:kern w:val="2"/>
          <w:szCs w:val="21"/>
          <w14:textFill>
            <w14:solidFill>
              <w14:schemeClr w14:val="tx1"/>
            </w14:solidFill>
          </w14:textFill>
        </w:rPr>
        <w:t>1</w:t>
      </w:r>
      <w:r>
        <w:rPr>
          <w:rFonts w:hint="eastAsia" w:ascii="宋体" w:hAnsi="宋体" w:eastAsia="黑体"/>
          <w:color w:val="000000" w:themeColor="text1"/>
          <w:kern w:val="2"/>
          <w:szCs w:val="21"/>
          <w14:textFill>
            <w14:solidFill>
              <w14:schemeClr w14:val="tx1"/>
            </w14:solidFill>
          </w14:textFill>
        </w:rPr>
        <w:t xml:space="preserve">  范围</w:t>
      </w:r>
      <w:bookmarkEnd w:id="15"/>
      <w:bookmarkEnd w:id="16"/>
    </w:p>
    <w:p>
      <w:pPr>
        <w:widowControl w:val="0"/>
        <w:spacing w:line="240" w:lineRule="auto"/>
        <w:ind w:firstLine="420" w:firstLineChars="200"/>
        <w:textAlignment w:val="auto"/>
        <w:rPr>
          <w:rFonts w:ascii="宋体" w:hAnsi="宋体"/>
          <w:color w:val="000000" w:themeColor="text1"/>
          <w:kern w:val="2"/>
          <w:szCs w:val="21"/>
          <w14:textFill>
            <w14:solidFill>
              <w14:schemeClr w14:val="tx1"/>
            </w14:solidFill>
          </w14:textFill>
        </w:rPr>
      </w:pPr>
      <w:r>
        <w:rPr>
          <w:rFonts w:hint="eastAsia" w:ascii="宋体" w:hAnsi="宋体"/>
          <w:color w:val="000000" w:themeColor="text1"/>
          <w:kern w:val="2"/>
          <w:szCs w:val="21"/>
          <w14:textFill>
            <w14:solidFill>
              <w14:schemeClr w14:val="tx1"/>
            </w14:solidFill>
          </w14:textFill>
        </w:rPr>
        <w:t>本文件规定了化工企业厂区内液化烃储罐区总体</w:t>
      </w:r>
      <w:r>
        <w:rPr>
          <w:rFonts w:ascii="宋体" w:hAnsi="宋体"/>
          <w:color w:val="000000" w:themeColor="text1"/>
          <w:kern w:val="2"/>
          <w:szCs w:val="21"/>
          <w14:textFill>
            <w14:solidFill>
              <w14:schemeClr w14:val="tx1"/>
            </w14:solidFill>
          </w14:textFill>
        </w:rPr>
        <w:t>要求、</w:t>
      </w:r>
      <w:r>
        <w:rPr>
          <w:rFonts w:hint="eastAsia" w:ascii="宋体" w:hAnsi="宋体"/>
          <w:color w:val="000000" w:themeColor="text1"/>
          <w:kern w:val="2"/>
          <w:szCs w:val="21"/>
          <w14:textFill>
            <w14:solidFill>
              <w14:schemeClr w14:val="tx1"/>
            </w14:solidFill>
          </w14:textFill>
        </w:rPr>
        <w:t>规划布局与</w:t>
      </w:r>
      <w:r>
        <w:rPr>
          <w:rFonts w:ascii="宋体" w:hAnsi="宋体"/>
          <w:color w:val="000000" w:themeColor="text1"/>
          <w:kern w:val="2"/>
          <w:szCs w:val="21"/>
          <w14:textFill>
            <w14:solidFill>
              <w14:schemeClr w14:val="tx1"/>
            </w14:solidFill>
          </w14:textFill>
        </w:rPr>
        <w:t>总图布置</w:t>
      </w:r>
      <w:r>
        <w:rPr>
          <w:rFonts w:hint="eastAsia" w:ascii="宋体" w:hAnsi="宋体"/>
          <w:color w:val="000000" w:themeColor="text1"/>
          <w:kern w:val="2"/>
          <w:szCs w:val="21"/>
          <w14:textFill>
            <w14:solidFill>
              <w14:schemeClr w14:val="tx1"/>
            </w14:solidFill>
          </w14:textFill>
        </w:rPr>
        <w:t>、设计要求、关键设备</w:t>
      </w:r>
      <w:r>
        <w:rPr>
          <w:rFonts w:ascii="宋体" w:hAnsi="宋体"/>
          <w:color w:val="000000" w:themeColor="text1"/>
          <w:kern w:val="2"/>
          <w:szCs w:val="21"/>
          <w14:textFill>
            <w14:solidFill>
              <w14:schemeClr w14:val="tx1"/>
            </w14:solidFill>
          </w14:textFill>
        </w:rPr>
        <w:t>及材料采购、施工</w:t>
      </w:r>
      <w:r>
        <w:rPr>
          <w:rFonts w:hint="eastAsia" w:ascii="宋体" w:hAnsi="宋体"/>
          <w:color w:val="000000" w:themeColor="text1"/>
          <w:kern w:val="2"/>
          <w:szCs w:val="21"/>
          <w14:textFill>
            <w14:solidFill>
              <w14:schemeClr w14:val="tx1"/>
            </w14:solidFill>
          </w14:textFill>
        </w:rPr>
        <w:t>质量</w:t>
      </w:r>
      <w:r>
        <w:rPr>
          <w:rFonts w:ascii="宋体" w:hAnsi="宋体"/>
          <w:color w:val="000000" w:themeColor="text1"/>
          <w:kern w:val="2"/>
          <w:szCs w:val="21"/>
          <w14:textFill>
            <w14:solidFill>
              <w14:schemeClr w14:val="tx1"/>
            </w14:solidFill>
          </w14:textFill>
        </w:rPr>
        <w:t>管理、</w:t>
      </w:r>
      <w:r>
        <w:rPr>
          <w:rFonts w:hint="eastAsia" w:ascii="宋体" w:hAnsi="宋体"/>
          <w:color w:val="000000" w:themeColor="text1"/>
          <w:kern w:val="2"/>
          <w:szCs w:val="21"/>
          <w14:textFill>
            <w14:solidFill>
              <w14:schemeClr w14:val="tx1"/>
            </w14:solidFill>
          </w14:textFill>
        </w:rPr>
        <w:t>试车投用</w:t>
      </w:r>
      <w:r>
        <w:rPr>
          <w:rFonts w:ascii="宋体" w:hAnsi="宋体"/>
          <w:color w:val="000000" w:themeColor="text1"/>
          <w:kern w:val="2"/>
          <w:szCs w:val="21"/>
          <w14:textFill>
            <w14:solidFill>
              <w14:schemeClr w14:val="tx1"/>
            </w14:solidFill>
          </w14:textFill>
        </w:rPr>
        <w:t>、</w:t>
      </w:r>
      <w:r>
        <w:rPr>
          <w:rFonts w:hint="eastAsia" w:ascii="宋体" w:hAnsi="宋体"/>
          <w:color w:val="000000" w:themeColor="text1"/>
          <w:kern w:val="2"/>
          <w:szCs w:val="21"/>
          <w14:textFill>
            <w14:solidFill>
              <w14:schemeClr w14:val="tx1"/>
            </w14:solidFill>
          </w14:textFill>
        </w:rPr>
        <w:t>运行</w:t>
      </w:r>
      <w:r>
        <w:rPr>
          <w:rFonts w:ascii="宋体" w:hAnsi="宋体"/>
          <w:color w:val="000000" w:themeColor="text1"/>
          <w:kern w:val="2"/>
          <w:szCs w:val="21"/>
          <w14:textFill>
            <w14:solidFill>
              <w14:schemeClr w14:val="tx1"/>
            </w14:solidFill>
          </w14:textFill>
        </w:rPr>
        <w:t>管理、检维修管理、应急管理</w:t>
      </w:r>
      <w:r>
        <w:rPr>
          <w:rFonts w:hint="eastAsia" w:ascii="宋体" w:hAnsi="宋体"/>
          <w:color w:val="000000" w:themeColor="text1"/>
          <w:kern w:val="2"/>
          <w:szCs w:val="21"/>
          <w14:textFill>
            <w14:solidFill>
              <w14:schemeClr w14:val="tx1"/>
            </w14:solidFill>
          </w14:textFill>
        </w:rPr>
        <w:t>的要求。</w:t>
      </w:r>
    </w:p>
    <w:p>
      <w:pPr>
        <w:widowControl w:val="0"/>
        <w:spacing w:line="240" w:lineRule="auto"/>
        <w:ind w:firstLine="420" w:firstLineChars="200"/>
        <w:textAlignment w:val="auto"/>
        <w:rPr>
          <w:color w:val="000000" w:themeColor="text1"/>
          <w14:textFill>
            <w14:solidFill>
              <w14:schemeClr w14:val="tx1"/>
            </w14:solidFill>
          </w14:textFill>
        </w:rPr>
      </w:pPr>
      <w:r>
        <w:rPr>
          <w:rFonts w:hint="eastAsia" w:ascii="宋体" w:hAnsi="宋体"/>
          <w:color w:val="000000" w:themeColor="text1"/>
          <w:kern w:val="2"/>
          <w:szCs w:val="21"/>
          <w14:textFill>
            <w14:solidFill>
              <w14:schemeClr w14:val="tx1"/>
            </w14:solidFill>
          </w14:textFill>
        </w:rPr>
        <w:t>本文件适用于新建、改建和扩建石油化工、煤化工、精细化工等生产建设项目厂区内的液化烃储罐区，及其提升改造的在役液化烃储罐区。</w:t>
      </w:r>
    </w:p>
    <w:p>
      <w:pPr>
        <w:widowControl w:val="0"/>
        <w:spacing w:line="240" w:lineRule="auto"/>
        <w:ind w:firstLine="420" w:firstLineChars="200"/>
        <w:textAlignment w:val="auto"/>
        <w:rPr>
          <w:rFonts w:ascii="宋体" w:hAnsi="宋体"/>
          <w:color w:val="000000" w:themeColor="text1"/>
          <w:kern w:val="2"/>
          <w:szCs w:val="21"/>
          <w14:textFill>
            <w14:solidFill>
              <w14:schemeClr w14:val="tx1"/>
            </w14:solidFill>
          </w14:textFill>
        </w:rPr>
      </w:pPr>
      <w:r>
        <w:rPr>
          <w:rFonts w:hint="eastAsia" w:ascii="宋体" w:hAnsi="宋体"/>
          <w:color w:val="000000" w:themeColor="text1"/>
          <w:kern w:val="2"/>
          <w:szCs w:val="21"/>
          <w14:textFill>
            <w14:solidFill>
              <w14:schemeClr w14:val="tx1"/>
            </w14:solidFill>
          </w14:textFill>
        </w:rPr>
        <w:t>本文件不适用于</w:t>
      </w:r>
      <w:bookmarkStart w:id="17" w:name="_Toc240888595"/>
      <w:r>
        <w:rPr>
          <w:rFonts w:hint="eastAsia" w:ascii="宋体" w:hAnsi="宋体"/>
          <w:color w:val="000000" w:themeColor="text1"/>
          <w:kern w:val="2"/>
          <w:szCs w:val="21"/>
          <w14:textFill>
            <w14:solidFill>
              <w14:schemeClr w14:val="tx1"/>
            </w14:solidFill>
          </w14:textFill>
        </w:rPr>
        <w:t>液化天然气接收站、地下水封石洞液化烃储存区、油气田液化烃储罐区、港口液化烃储罐区，以及城镇燃气供应站、</w:t>
      </w:r>
      <w:r>
        <w:rPr>
          <w:rFonts w:ascii="宋体" w:hAnsi="宋体"/>
          <w:color w:val="000000" w:themeColor="text1"/>
          <w:kern w:val="2"/>
          <w:szCs w:val="21"/>
          <w14:textFill>
            <w14:solidFill>
              <w14:schemeClr w14:val="tx1"/>
            </w14:solidFill>
          </w14:textFill>
        </w:rPr>
        <w:t>LPG</w:t>
      </w:r>
      <w:r>
        <w:rPr>
          <w:rFonts w:hint="eastAsia" w:ascii="宋体" w:hAnsi="宋体"/>
          <w:color w:val="000000" w:themeColor="text1"/>
          <w:kern w:val="2"/>
          <w:szCs w:val="21"/>
          <w14:textFill>
            <w14:solidFill>
              <w14:schemeClr w14:val="tx1"/>
            </w14:solidFill>
          </w14:textFill>
        </w:rPr>
        <w:t>/LNG加气站等液化烃储存区。</w:t>
      </w:r>
    </w:p>
    <w:p>
      <w:pPr>
        <w:widowControl w:val="0"/>
        <w:spacing w:before="317" w:beforeLines="100" w:after="317" w:afterLines="100" w:line="240" w:lineRule="auto"/>
        <w:jc w:val="left"/>
        <w:textAlignment w:val="auto"/>
        <w:outlineLvl w:val="0"/>
        <w:rPr>
          <w:rFonts w:ascii="黑体" w:hAnsi="黑体" w:eastAsia="黑体"/>
          <w:color w:val="000000" w:themeColor="text1"/>
          <w:kern w:val="2"/>
          <w:szCs w:val="21"/>
          <w14:textFill>
            <w14:solidFill>
              <w14:schemeClr w14:val="tx1"/>
            </w14:solidFill>
          </w14:textFill>
        </w:rPr>
      </w:pPr>
      <w:bookmarkStart w:id="18" w:name="_Toc118962009"/>
      <w:r>
        <w:rPr>
          <w:rFonts w:hint="eastAsia" w:ascii="黑体" w:hAnsi="黑体" w:eastAsia="黑体"/>
          <w:color w:val="000000" w:themeColor="text1"/>
          <w:kern w:val="2"/>
          <w:szCs w:val="21"/>
          <w14:textFill>
            <w14:solidFill>
              <w14:schemeClr w14:val="tx1"/>
            </w14:solidFill>
          </w14:textFill>
        </w:rPr>
        <w:t>2  规范性引用文件</w:t>
      </w:r>
      <w:bookmarkEnd w:id="18"/>
    </w:p>
    <w:p>
      <w:pPr>
        <w:pStyle w:val="71"/>
        <w:ind w:firstLine="420" w:firstLineChars="0"/>
        <w:rPr>
          <w:rFonts w:ascii="Times New Roman" w:cs="CG Times"/>
          <w:color w:val="000000" w:themeColor="text1"/>
          <w14:textFill>
            <w14:solidFill>
              <w14:schemeClr w14:val="tx1"/>
            </w14:solidFill>
          </w14:textFill>
        </w:rPr>
      </w:pPr>
      <w:r>
        <w:rPr>
          <w:rFonts w:hint="eastAsia" w:ascii="Times New Roman" w:cs="CG Times"/>
          <w:color w:val="000000" w:themeColor="text1"/>
          <w14:textFill>
            <w14:solidFill>
              <w14:schemeClr w14:val="tx1"/>
            </w14:solidFill>
          </w14:textFill>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71"/>
        <w:tabs>
          <w:tab w:val="left" w:pos="2100"/>
        </w:tabs>
        <w:ind w:firstLine="420"/>
        <w:rPr>
          <w:rFonts w:ascii="Times New Roman" w:cs="CG Times"/>
          <w:color w:val="000000" w:themeColor="text1"/>
          <w14:textFill>
            <w14:solidFill>
              <w14:schemeClr w14:val="tx1"/>
            </w14:solidFill>
          </w14:textFill>
        </w:rPr>
      </w:pPr>
      <w:r>
        <w:rPr>
          <w:rFonts w:ascii="Times New Roman" w:cs="CG Times"/>
          <w:color w:val="000000" w:themeColor="text1"/>
          <w14:textFill>
            <w14:solidFill>
              <w14:schemeClr w14:val="tx1"/>
            </w14:solidFill>
          </w14:textFill>
        </w:rPr>
        <w:t>GB/T 150</w:t>
      </w:r>
      <w:r>
        <w:rPr>
          <w:rFonts w:ascii="Times New Roman" w:cs="CG Times"/>
          <w:color w:val="000000" w:themeColor="text1"/>
          <w14:textFill>
            <w14:solidFill>
              <w14:schemeClr w14:val="tx1"/>
            </w14:solidFill>
          </w14:textFill>
        </w:rPr>
        <w:tab/>
      </w:r>
      <w:r>
        <w:rPr>
          <w:rFonts w:hint="eastAsia" w:ascii="Times New Roman" w:cs="CG Times"/>
          <w:color w:val="000000" w:themeColor="text1"/>
          <w14:textFill>
            <w14:solidFill>
              <w14:schemeClr w14:val="tx1"/>
            </w14:solidFill>
          </w14:textFill>
        </w:rPr>
        <w:t>压力容器</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GB/T 3215</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石油、石化和天然气工业用离心泵</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GB/T 3965</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熔敷金属中扩散氢测定方法</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GB/T 4213</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气动调节阀</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GB/T 12337</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钢制球形储罐</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GB/T 13927</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工业阀门 压力试验</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GB/T 20322</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石油及天然气工业用往复压缩机</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GB/T 20801</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压力管道规范</w:t>
      </w:r>
      <w:r>
        <w:rPr>
          <w:rFonts w:hint="eastAsia" w:ascii="Times New Roman" w:cs="Arial" w:eastAsiaTheme="minorEastAsia"/>
          <w:color w:val="000000" w:themeColor="text1"/>
          <w:szCs w:val="21"/>
          <w14:textFill>
            <w14:solidFill>
              <w14:schemeClr w14:val="tx1"/>
            </w14:solidFill>
          </w14:textFill>
        </w:rPr>
        <w:t xml:space="preserve"> </w:t>
      </w:r>
      <w:r>
        <w:rPr>
          <w:rFonts w:ascii="Times New Roman" w:cs="Arial" w:eastAsiaTheme="minorEastAsia"/>
          <w:color w:val="000000" w:themeColor="text1"/>
          <w:szCs w:val="21"/>
          <w14:textFill>
            <w14:solidFill>
              <w14:schemeClr w14:val="tx1"/>
            </w14:solidFill>
          </w14:textFill>
        </w:rPr>
        <w:t>工业管道</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GB/T 25140</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无轴封回转动力泵技术条件（II类）</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GB/T 25357</w:t>
      </w:r>
      <w:r>
        <w:rPr>
          <w:rFonts w:ascii="Times New Roman" w:cs="Arial" w:eastAsiaTheme="minorEastAsia"/>
          <w:color w:val="000000" w:themeColor="text1"/>
          <w:szCs w:val="21"/>
          <w14:textFill>
            <w14:solidFill>
              <w14:schemeClr w14:val="tx1"/>
            </w14:solidFill>
          </w14:textFill>
        </w:rPr>
        <w:tab/>
      </w:r>
      <w:r>
        <w:rPr>
          <w:rFonts w:hint="eastAsia" w:ascii="Times New Roman" w:cs="Arial" w:eastAsiaTheme="minorEastAsia"/>
          <w:color w:val="000000" w:themeColor="text1"/>
          <w:szCs w:val="21"/>
          <w14:textFill>
            <w14:solidFill>
              <w14:schemeClr w14:val="tx1"/>
            </w14:solidFill>
          </w14:textFill>
        </w:rPr>
        <w:t>石油、石化及天然气工业流程用容积式回转压缩机</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GB/T 26978</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现场组装立式圆筒平底钢质低温液化气储罐的设计与建造</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GB/T 29639</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生产经营单位生产安全事故应急预案编制导则</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 30077</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危险化学品单位应急救援物资配备要求</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GB/T 30578</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常压储罐基于风险的检验及评价</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 30871</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危险化学品企业特殊作业安全规范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hint="eastAsia" w:ascii="Times New Roman" w:cs="Arial" w:eastAsiaTheme="minorEastAsia"/>
          <w:color w:val="000000" w:themeColor="text1"/>
          <w:szCs w:val="21"/>
          <w14:textFill>
            <w14:solidFill>
              <w14:schemeClr w14:val="tx1"/>
            </w14:solidFill>
          </w14:textFill>
        </w:rPr>
        <w:t>GB 31570</w:t>
      </w:r>
      <w:r>
        <w:rPr>
          <w:rFonts w:ascii="Times New Roman" w:cs="Arial" w:eastAsiaTheme="minorEastAsia"/>
          <w:color w:val="000000" w:themeColor="text1"/>
          <w:szCs w:val="21"/>
          <w14:textFill>
            <w14:solidFill>
              <w14:schemeClr w14:val="tx1"/>
            </w14:solidFill>
          </w14:textFill>
        </w:rPr>
        <w:tab/>
      </w:r>
      <w:r>
        <w:rPr>
          <w:rFonts w:hint="eastAsia" w:ascii="Times New Roman" w:cs="Arial" w:eastAsiaTheme="minorEastAsia"/>
          <w:color w:val="000000" w:themeColor="text1"/>
          <w:szCs w:val="21"/>
          <w14:textFill>
            <w14:solidFill>
              <w14:schemeClr w14:val="tx1"/>
            </w14:solidFill>
          </w14:textFill>
        </w:rPr>
        <w:t>石油炼制工业污染物排放标准</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hint="eastAsia" w:ascii="Times New Roman" w:cs="Arial" w:eastAsiaTheme="minorEastAsia"/>
          <w:color w:val="000000" w:themeColor="text1"/>
          <w:szCs w:val="21"/>
          <w14:textFill>
            <w14:solidFill>
              <w14:schemeClr w14:val="tx1"/>
            </w14:solidFill>
          </w14:textFill>
        </w:rPr>
        <w:t>GB 31571</w:t>
      </w:r>
      <w:r>
        <w:rPr>
          <w:rFonts w:ascii="Times New Roman" w:cs="Arial" w:eastAsiaTheme="minorEastAsia"/>
          <w:color w:val="000000" w:themeColor="text1"/>
          <w:szCs w:val="21"/>
          <w14:textFill>
            <w14:solidFill>
              <w14:schemeClr w14:val="tx1"/>
            </w14:solidFill>
          </w14:textFill>
        </w:rPr>
        <w:tab/>
      </w:r>
      <w:r>
        <w:rPr>
          <w:rFonts w:hint="eastAsia" w:ascii="Times New Roman" w:cs="Arial" w:eastAsiaTheme="minorEastAsia"/>
          <w:color w:val="000000" w:themeColor="text1"/>
          <w:szCs w:val="21"/>
          <w14:textFill>
            <w14:solidFill>
              <w14:schemeClr w14:val="tx1"/>
            </w14:solidFill>
          </w14:textFill>
        </w:rPr>
        <w:t>石油化学工业污染物排放标准</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GB/T 34875</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离心泵和转子泵</w:t>
      </w:r>
      <w:r>
        <w:rPr>
          <w:rFonts w:hint="eastAsia" w:ascii="Times New Roman" w:cs="Arial" w:eastAsiaTheme="minorEastAsia"/>
          <w:color w:val="000000" w:themeColor="text1"/>
          <w:szCs w:val="21"/>
          <w14:textFill>
            <w14:solidFill>
              <w14:schemeClr w14:val="tx1"/>
            </w14:solidFill>
          </w14:textFill>
        </w:rPr>
        <w:t>用</w:t>
      </w:r>
      <w:r>
        <w:rPr>
          <w:rFonts w:ascii="Times New Roman" w:cs="Arial" w:eastAsiaTheme="minorEastAsia"/>
          <w:color w:val="000000" w:themeColor="text1"/>
          <w:szCs w:val="21"/>
          <w14:textFill>
            <w14:solidFill>
              <w14:schemeClr w14:val="tx1"/>
            </w14:solidFill>
          </w14:textFill>
        </w:rPr>
        <w:t>轴封系统</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 36894</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危险化学品生产装置和储存设施风险基准</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GB/T 37243</w:t>
      </w:r>
      <w:r>
        <w:rPr>
          <w:color w:val="000000" w:themeColor="text1"/>
          <w:szCs w:val="21"/>
          <w14:textFill>
            <w14:solidFill>
              <w14:schemeClr w14:val="tx1"/>
            </w14:solidFill>
          </w14:textFill>
        </w:rPr>
        <w:tab/>
      </w:r>
      <w:r>
        <w:rPr>
          <w:rFonts w:hint="eastAsia"/>
          <w:color w:val="000000" w:themeColor="text1"/>
          <w:szCs w:val="21"/>
          <w14:textFill>
            <w14:solidFill>
              <w14:schemeClr w14:val="tx1"/>
            </w14:solidFill>
          </w14:textFill>
        </w:rPr>
        <w:t>危险化学品生产装置和储存设施外部安全防护距离确定方法</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 50011</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建筑抗震设计规范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 50058</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爆炸危险环境电力装置设计规范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hint="eastAsia" w:ascii="Times New Roman" w:cs="Arial" w:eastAsiaTheme="minorEastAsia"/>
          <w:color w:val="000000" w:themeColor="text1"/>
          <w:szCs w:val="21"/>
          <w14:textFill>
            <w14:solidFill>
              <w14:schemeClr w14:val="tx1"/>
            </w14:solidFill>
          </w14:textFill>
        </w:rPr>
        <w:t>G</w:t>
      </w:r>
      <w:r>
        <w:rPr>
          <w:rFonts w:ascii="Times New Roman" w:cs="Arial" w:eastAsiaTheme="minorEastAsia"/>
          <w:color w:val="000000" w:themeColor="text1"/>
          <w:szCs w:val="21"/>
          <w14:textFill>
            <w14:solidFill>
              <w14:schemeClr w14:val="tx1"/>
            </w14:solidFill>
          </w14:textFill>
        </w:rPr>
        <w:t>B 50094</w:t>
      </w:r>
      <w:r>
        <w:rPr>
          <w:rFonts w:ascii="Times New Roman" w:cs="Arial" w:eastAsiaTheme="minorEastAsia"/>
          <w:color w:val="000000" w:themeColor="text1"/>
          <w:szCs w:val="21"/>
          <w14:textFill>
            <w14:solidFill>
              <w14:schemeClr w14:val="tx1"/>
            </w14:solidFill>
          </w14:textFill>
        </w:rPr>
        <w:tab/>
      </w:r>
      <w:r>
        <w:rPr>
          <w:rFonts w:hint="eastAsia" w:ascii="Times New Roman" w:cs="Arial" w:eastAsiaTheme="minorEastAsia"/>
          <w:color w:val="000000" w:themeColor="text1"/>
          <w:szCs w:val="21"/>
          <w14:textFill>
            <w14:solidFill>
              <w14:schemeClr w14:val="tx1"/>
            </w14:solidFill>
          </w14:textFill>
        </w:rPr>
        <w:t>球形储罐施工规范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 50116</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火灾自动报警系统设计规范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 50160</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石油化工企业设计防火标准</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olor w:val="000000" w:themeColor="text1"/>
          <w:szCs w:val="24"/>
          <w14:textFill>
            <w14:solidFill>
              <w14:schemeClr w14:val="tx1"/>
            </w14:solidFill>
          </w14:textFill>
        </w:rPr>
        <w:t>GB 50170</w:t>
      </w:r>
      <w:r>
        <w:rPr>
          <w:rFonts w:ascii="Times New Roman"/>
          <w:color w:val="000000" w:themeColor="text1"/>
          <w:szCs w:val="24"/>
          <w14:textFill>
            <w14:solidFill>
              <w14:schemeClr w14:val="tx1"/>
            </w14:solidFill>
          </w14:textFill>
        </w:rPr>
        <w:tab/>
      </w:r>
      <w:r>
        <w:rPr>
          <w:rFonts w:hint="eastAsia" w:ascii="Times New Roman"/>
          <w:color w:val="000000" w:themeColor="text1"/>
          <w:szCs w:val="24"/>
          <w14:textFill>
            <w14:solidFill>
              <w14:schemeClr w14:val="tx1"/>
            </w14:solidFill>
          </w14:textFill>
        </w:rPr>
        <w:t>电气装置安装工程旋转电机施工及验收标准</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olor w:val="000000" w:themeColor="text1"/>
          <w:szCs w:val="24"/>
          <w14:textFill>
            <w14:solidFill>
              <w14:schemeClr w14:val="tx1"/>
            </w14:solidFill>
          </w14:textFill>
        </w:rPr>
        <w:t>GB 50275</w:t>
      </w:r>
      <w:r>
        <w:rPr>
          <w:rFonts w:ascii="Times New Roman"/>
          <w:color w:val="000000" w:themeColor="text1"/>
          <w:szCs w:val="24"/>
          <w14:textFill>
            <w14:solidFill>
              <w14:schemeClr w14:val="tx1"/>
            </w14:solidFill>
          </w14:textFill>
        </w:rPr>
        <w:tab/>
      </w:r>
      <w:r>
        <w:rPr>
          <w:rFonts w:hint="eastAsia" w:ascii="Times New Roman"/>
          <w:color w:val="000000" w:themeColor="text1"/>
          <w:szCs w:val="24"/>
          <w14:textFill>
            <w14:solidFill>
              <w14:schemeClr w14:val="tx1"/>
            </w14:solidFill>
          </w14:textFill>
        </w:rPr>
        <w:t>风机、压缩机、泵安装工程施工及验收规范</w:t>
      </w:r>
    </w:p>
    <w:p>
      <w:pPr>
        <w:pStyle w:val="71"/>
        <w:tabs>
          <w:tab w:val="left" w:pos="2100"/>
        </w:tabs>
        <w:ind w:firstLine="420"/>
      </w:pPr>
      <w:r>
        <w:rPr>
          <w:rFonts w:hint="eastAsia" w:ascii="Times New Roman" w:cs="Arial" w:eastAsiaTheme="minorEastAsia"/>
          <w:color w:val="000000" w:themeColor="text1"/>
          <w:szCs w:val="21"/>
          <w14:textFill>
            <w14:solidFill>
              <w14:schemeClr w14:val="tx1"/>
            </w14:solidFill>
          </w14:textFill>
        </w:rPr>
        <w:t>GB/T</w:t>
      </w:r>
      <w:r>
        <w:rPr>
          <w:rFonts w:ascii="Times New Roman" w:cs="Arial" w:eastAsiaTheme="minorEastAsia"/>
          <w:color w:val="000000" w:themeColor="text1"/>
          <w:szCs w:val="21"/>
          <w14:textFill>
            <w14:solidFill>
              <w14:schemeClr w14:val="tx1"/>
            </w14:solidFill>
          </w14:textFill>
        </w:rPr>
        <w:t xml:space="preserve"> </w:t>
      </w:r>
      <w:r>
        <w:rPr>
          <w:rFonts w:hint="eastAsia" w:ascii="Times New Roman" w:cs="Arial" w:eastAsiaTheme="minorEastAsia"/>
          <w:color w:val="000000" w:themeColor="text1"/>
          <w:szCs w:val="21"/>
          <w14:textFill>
            <w14:solidFill>
              <w14:schemeClr w14:val="tx1"/>
            </w14:solidFill>
          </w14:textFill>
        </w:rPr>
        <w:t>50493</w:t>
      </w:r>
      <w:bookmarkStart w:id="19" w:name="_Hlk128141398"/>
      <w:r>
        <w:tab/>
      </w:r>
      <w:bookmarkEnd w:id="19"/>
      <w:r>
        <w:rPr>
          <w:rFonts w:hint="eastAsia"/>
        </w:rPr>
        <w:t>石油化工可燃气体和有毒气体检测报警设计标准</w:t>
      </w:r>
    </w:p>
    <w:p>
      <w:pPr>
        <w:pStyle w:val="71"/>
        <w:tabs>
          <w:tab w:val="left" w:pos="2100"/>
        </w:tabs>
        <w:ind w:firstLine="420"/>
      </w:pPr>
      <w:r>
        <w:rPr>
          <w:rFonts w:ascii="Times New Roman" w:cs="Arial" w:eastAsiaTheme="minorEastAsia"/>
          <w:color w:val="000000" w:themeColor="text1"/>
          <w:szCs w:val="21"/>
          <w14:textFill>
            <w14:solidFill>
              <w14:schemeClr w14:val="tx1"/>
            </w14:solidFill>
          </w14:textFill>
        </w:rPr>
        <w:t>GB</w:t>
      </w:r>
      <w:r>
        <w:t xml:space="preserve"> </w:t>
      </w:r>
      <w:r>
        <w:rPr>
          <w:rFonts w:ascii="Times New Roman" w:cs="Arial" w:eastAsiaTheme="minorEastAsia"/>
          <w:color w:val="000000" w:themeColor="text1"/>
          <w:szCs w:val="21"/>
          <w14:textFill>
            <w14:solidFill>
              <w14:schemeClr w14:val="tx1"/>
            </w14:solidFill>
          </w14:textFill>
        </w:rPr>
        <w:t>50650</w:t>
      </w:r>
      <w:r>
        <w:rPr>
          <w:rFonts w:ascii="Times New Roman" w:cs="Arial" w:eastAsiaTheme="minorEastAsia"/>
          <w:color w:val="000000" w:themeColor="text1"/>
          <w:szCs w:val="21"/>
          <w14:textFill>
            <w14:solidFill>
              <w14:schemeClr w14:val="tx1"/>
            </w14:solidFill>
          </w14:textFill>
        </w:rPr>
        <w:tab/>
      </w:r>
      <w:r>
        <w:rPr>
          <w:rFonts w:hint="eastAsia" w:ascii="Times New Roman" w:cs="Arial" w:eastAsiaTheme="minorEastAsia"/>
          <w:color w:val="000000" w:themeColor="text1"/>
          <w:szCs w:val="21"/>
          <w14:textFill>
            <w14:solidFill>
              <w14:schemeClr w14:val="tx1"/>
            </w14:solidFill>
          </w14:textFill>
        </w:rPr>
        <w:t>石油化工装置防雷设计规范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 50770</w:t>
      </w:r>
      <w:r>
        <w:tab/>
      </w:r>
      <w:r>
        <w:rPr>
          <w:rFonts w:hint="eastAsia" w:ascii="Times New Roman" w:cs="Arial" w:eastAsiaTheme="minorEastAsia"/>
          <w:color w:val="000000" w:themeColor="text1"/>
          <w:szCs w:val="21"/>
          <w14:textFill>
            <w14:solidFill>
              <w14:schemeClr w14:val="tx1"/>
            </w14:solidFill>
          </w14:textFill>
        </w:rPr>
        <w:t>石油化工安全仪表系统设计规范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hint="eastAsia" w:ascii="Times New Roman" w:cs="Arial" w:eastAsiaTheme="minorEastAsia"/>
          <w:color w:val="000000" w:themeColor="text1"/>
          <w:szCs w:val="21"/>
          <w14:textFill>
            <w14:solidFill>
              <w14:schemeClr w14:val="tx1"/>
            </w14:solidFill>
          </w14:textFill>
        </w:rPr>
        <w:t>GB/T</w:t>
      </w:r>
      <w:r>
        <w:rPr>
          <w:rFonts w:ascii="Times New Roman" w:cs="Arial" w:eastAsiaTheme="minorEastAsia"/>
          <w:color w:val="000000" w:themeColor="text1"/>
          <w:szCs w:val="21"/>
          <w14:textFill>
            <w14:solidFill>
              <w14:schemeClr w14:val="tx1"/>
            </w14:solidFill>
          </w14:textFill>
        </w:rPr>
        <w:t xml:space="preserve"> </w:t>
      </w:r>
      <w:r>
        <w:rPr>
          <w:rFonts w:hint="eastAsia" w:ascii="Times New Roman" w:cs="Arial" w:eastAsiaTheme="minorEastAsia"/>
          <w:color w:val="000000" w:themeColor="text1"/>
          <w:szCs w:val="21"/>
          <w14:textFill>
            <w14:solidFill>
              <w14:schemeClr w14:val="tx1"/>
            </w14:solidFill>
          </w14:textFill>
        </w:rPr>
        <w:t>50779</w:t>
      </w:r>
      <w:r>
        <w:rPr>
          <w:rFonts w:ascii="Times New Roman" w:cs="Arial" w:eastAsiaTheme="minorEastAsia"/>
          <w:color w:val="000000" w:themeColor="text1"/>
          <w:szCs w:val="21"/>
          <w14:textFill>
            <w14:solidFill>
              <w14:schemeClr w14:val="tx1"/>
            </w14:solidFill>
          </w14:textFill>
        </w:rPr>
        <w:tab/>
      </w:r>
      <w:r>
        <w:rPr>
          <w:rFonts w:hint="eastAsia" w:ascii="Times New Roman" w:cs="Arial" w:eastAsiaTheme="minorEastAsia"/>
          <w:color w:val="000000" w:themeColor="text1"/>
          <w:szCs w:val="21"/>
          <w14:textFill>
            <w14:solidFill>
              <w14:schemeClr w14:val="tx1"/>
            </w14:solidFill>
          </w14:textFill>
        </w:rPr>
        <w:t>石油化工建筑物抗爆设计标准</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GB/T 50938</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石油化工钢制低温储罐技术规范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hint="eastAsia" w:ascii="Times New Roman" w:cs="Arial" w:eastAsiaTheme="minorEastAsia"/>
          <w:color w:val="000000" w:themeColor="text1"/>
          <w:szCs w:val="21"/>
          <w14:textFill>
            <w14:solidFill>
              <w14:schemeClr w14:val="tx1"/>
            </w14:solidFill>
          </w14:textFill>
        </w:rPr>
        <w:t>GB 50974</w:t>
      </w:r>
      <w:r>
        <w:rPr>
          <w:rFonts w:ascii="Times New Roman" w:cs="Arial" w:eastAsiaTheme="minorEastAsia"/>
          <w:color w:val="000000" w:themeColor="text1"/>
          <w:szCs w:val="21"/>
          <w14:textFill>
            <w14:solidFill>
              <w14:schemeClr w14:val="tx1"/>
            </w14:solidFill>
          </w14:textFill>
        </w:rPr>
        <w:tab/>
      </w:r>
      <w:r>
        <w:rPr>
          <w:rFonts w:hint="eastAsia" w:ascii="Times New Roman" w:cs="Arial" w:eastAsiaTheme="minorEastAsia"/>
          <w:color w:val="000000" w:themeColor="text1"/>
          <w:szCs w:val="21"/>
          <w14:textFill>
            <w14:solidFill>
              <w14:schemeClr w14:val="tx1"/>
            </w14:solidFill>
          </w14:textFill>
        </w:rPr>
        <w:t>消防给水及消火栓系统技术规范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 50984</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石油化工工厂布置设计规范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bCs/>
          <w:color w:val="000000" w:themeColor="text1"/>
          <w:szCs w:val="24"/>
          <w:u w:color="000000"/>
          <w14:textFill>
            <w14:solidFill>
              <w14:schemeClr w14:val="tx1"/>
            </w14:solidFill>
          </w14:textFill>
        </w:rPr>
        <w:t>GB 51156</w:t>
      </w:r>
      <w:r>
        <w:rPr>
          <w:rFonts w:ascii="Times New Roman"/>
          <w:bCs/>
          <w:color w:val="000000" w:themeColor="text1"/>
          <w:szCs w:val="24"/>
          <w:u w:color="000000"/>
          <w14:textFill>
            <w14:solidFill>
              <w14:schemeClr w14:val="tx1"/>
            </w14:solidFill>
          </w14:textFill>
        </w:rPr>
        <w:tab/>
      </w:r>
      <w:r>
        <w:rPr>
          <w:rFonts w:hint="eastAsia" w:ascii="Times New Roman"/>
          <w:bCs/>
          <w:color w:val="000000" w:themeColor="text1"/>
          <w:szCs w:val="24"/>
          <w:u w:color="000000"/>
          <w14:textFill>
            <w14:solidFill>
              <w14:schemeClr w14:val="tx1"/>
            </w14:solidFill>
          </w14:textFill>
        </w:rPr>
        <w:t>液化天然气接收站工程设计规范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GB/T 51296</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石油化工工程数字化交付标准</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bookmarkStart w:id="20" w:name="_Hlk128154984"/>
      <w:r>
        <w:rPr>
          <w:rFonts w:hint="eastAsia" w:ascii="Times New Roman" w:cs="Arial" w:eastAsiaTheme="minorEastAsia"/>
          <w:color w:val="000000" w:themeColor="text1"/>
          <w:szCs w:val="21"/>
          <w14:textFill>
            <w14:solidFill>
              <w14:schemeClr w14:val="tx1"/>
            </w14:solidFill>
          </w14:textFill>
        </w:rPr>
        <w:t>GB 55003</w:t>
      </w:r>
      <w:bookmarkEnd w:id="20"/>
      <w:r>
        <w:rPr>
          <w:rFonts w:hint="eastAsia" w:ascii="Times New Roman" w:cs="Arial" w:eastAsiaTheme="minorEastAsia"/>
          <w:color w:val="000000" w:themeColor="text1"/>
          <w:szCs w:val="21"/>
          <w14:textFill>
            <w14:solidFill>
              <w14:schemeClr w14:val="tx1"/>
            </w14:solidFill>
          </w14:textFill>
        </w:rPr>
        <w:t>-2021</w:t>
      </w:r>
      <w:r>
        <w:rPr>
          <w:rFonts w:ascii="Times New Roman" w:cs="Arial" w:eastAsiaTheme="minorEastAsia"/>
          <w:color w:val="000000" w:themeColor="text1"/>
          <w:szCs w:val="21"/>
          <w14:textFill>
            <w14:solidFill>
              <w14:schemeClr w14:val="tx1"/>
            </w14:solidFill>
          </w14:textFill>
        </w:rPr>
        <w:tab/>
      </w:r>
      <w:r>
        <w:rPr>
          <w:rFonts w:hint="eastAsia" w:ascii="Times New Roman" w:cs="Arial" w:eastAsiaTheme="minorEastAsia"/>
          <w:color w:val="000000" w:themeColor="text1"/>
          <w:szCs w:val="21"/>
          <w14:textFill>
            <w14:solidFill>
              <w14:schemeClr w14:val="tx1"/>
            </w14:solidFill>
          </w14:textFill>
        </w:rPr>
        <w:t>建筑与市政地基基础通用规范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HJ 853</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排污许可证申请与核发技术规范 石化工业</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HJ 880</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排污单位自行监测技术指南 石油炼制工业</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hint="eastAsia" w:ascii="Times New Roman" w:cs="Arial" w:eastAsiaTheme="minorEastAsia"/>
          <w:color w:val="000000" w:themeColor="text1"/>
          <w:szCs w:val="21"/>
          <w14:textFill>
            <w14:solidFill>
              <w14:schemeClr w14:val="tx1"/>
            </w14:solidFill>
          </w14:textFill>
        </w:rPr>
        <w:t>HG 20231</w:t>
      </w:r>
      <w:r>
        <w:rPr>
          <w:rFonts w:ascii="Times New Roman" w:cs="Arial" w:eastAsiaTheme="minorEastAsia"/>
          <w:color w:val="000000" w:themeColor="text1"/>
          <w:szCs w:val="21"/>
          <w14:textFill>
            <w14:solidFill>
              <w14:schemeClr w14:val="tx1"/>
            </w14:solidFill>
          </w14:textFill>
        </w:rPr>
        <w:tab/>
      </w:r>
      <w:r>
        <w:rPr>
          <w:rFonts w:hint="eastAsia" w:ascii="Times New Roman" w:cs="Arial" w:eastAsiaTheme="minorEastAsia"/>
          <w:color w:val="000000" w:themeColor="text1"/>
          <w:szCs w:val="21"/>
          <w14:textFill>
            <w14:solidFill>
              <w14:schemeClr w14:val="tx1"/>
            </w14:solidFill>
          </w14:textFill>
        </w:rPr>
        <w:t>化学工业建设项目试车规范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NB/T 47018.2</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承压设备用焊接材料订货技术条件第2部分:钢焊条</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NB/T 47042</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卧式容器</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SH/T 3005</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石油化工自动化仪表选型设计规范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hint="eastAsia" w:ascii="Times New Roman" w:cs="Arial" w:eastAsiaTheme="minorEastAsia"/>
          <w:color w:val="000000" w:themeColor="text1"/>
          <w:szCs w:val="21"/>
          <w14:textFill>
            <w14:solidFill>
              <w14:schemeClr w14:val="tx1"/>
            </w14:solidFill>
          </w14:textFill>
        </w:rPr>
        <w:t>SH/T</w:t>
      </w:r>
      <w:r>
        <w:rPr>
          <w:rFonts w:ascii="Times New Roman" w:cs="Arial" w:eastAsiaTheme="minorEastAsia"/>
          <w:color w:val="000000" w:themeColor="text1"/>
          <w:szCs w:val="21"/>
          <w14:textFill>
            <w14:solidFill>
              <w14:schemeClr w14:val="tx1"/>
            </w14:solidFill>
          </w14:textFill>
        </w:rPr>
        <w:t xml:space="preserve"> </w:t>
      </w:r>
      <w:r>
        <w:rPr>
          <w:rFonts w:hint="eastAsia" w:ascii="Times New Roman" w:cs="Arial" w:eastAsiaTheme="minorEastAsia"/>
          <w:color w:val="000000" w:themeColor="text1"/>
          <w:szCs w:val="21"/>
          <w14:textFill>
            <w14:solidFill>
              <w14:schemeClr w14:val="tx1"/>
            </w14:solidFill>
          </w14:textFill>
        </w:rPr>
        <w:t>3006</w:t>
      </w:r>
      <w:r>
        <w:rPr>
          <w:rFonts w:ascii="Times New Roman" w:cs="Arial" w:eastAsiaTheme="minorEastAsia"/>
          <w:color w:val="000000" w:themeColor="text1"/>
          <w:szCs w:val="21"/>
          <w14:textFill>
            <w14:solidFill>
              <w14:schemeClr w14:val="tx1"/>
            </w14:solidFill>
          </w14:textFill>
        </w:rPr>
        <w:tab/>
      </w:r>
      <w:r>
        <w:rPr>
          <w:rFonts w:hint="eastAsia" w:ascii="Times New Roman" w:cs="Arial" w:eastAsiaTheme="minorEastAsia"/>
          <w:color w:val="000000" w:themeColor="text1"/>
          <w:szCs w:val="21"/>
          <w14:textFill>
            <w14:solidFill>
              <w14:schemeClr w14:val="tx1"/>
            </w14:solidFill>
          </w14:textFill>
        </w:rPr>
        <w:t>石油化工控制室设计规范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SH/T 3007</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石油化工储运系统罐区设计规范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hint="eastAsia" w:ascii="Times New Roman" w:cs="Arial" w:eastAsiaTheme="minorEastAsia"/>
          <w:color w:val="000000" w:themeColor="text1"/>
          <w:szCs w:val="21"/>
          <w14:textFill>
            <w14:solidFill>
              <w14:schemeClr w14:val="tx1"/>
            </w14:solidFill>
          </w14:textFill>
        </w:rPr>
        <w:t>SH 3009</w:t>
      </w:r>
      <w:r>
        <w:rPr>
          <w:rFonts w:ascii="Times New Roman" w:cs="Arial" w:eastAsiaTheme="minorEastAsia"/>
          <w:color w:val="000000" w:themeColor="text1"/>
          <w:szCs w:val="21"/>
          <w14:textFill>
            <w14:solidFill>
              <w14:schemeClr w14:val="tx1"/>
            </w14:solidFill>
          </w14:textFill>
        </w:rPr>
        <w:tab/>
      </w:r>
      <w:r>
        <w:rPr>
          <w:rFonts w:hint="eastAsia" w:ascii="Times New Roman" w:cs="Arial" w:eastAsiaTheme="minorEastAsia"/>
          <w:color w:val="000000" w:themeColor="text1"/>
          <w:szCs w:val="21"/>
          <w14:textFill>
            <w14:solidFill>
              <w14:schemeClr w14:val="tx1"/>
            </w14:solidFill>
          </w14:textFill>
        </w:rPr>
        <w:t>石油化工可燃性气体排放系统设计规范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hint="eastAsia" w:ascii="Times New Roman"/>
          <w:color w:val="000000" w:themeColor="text1"/>
          <w:kern w:val="2"/>
          <w:szCs w:val="24"/>
          <w14:textFill>
            <w14:solidFill>
              <w14:schemeClr w14:val="tx1"/>
            </w14:solidFill>
          </w14:textFill>
        </w:rPr>
        <w:t>SH/T 3059</w:t>
      </w:r>
      <w:r>
        <w:rPr>
          <w:rFonts w:ascii="Times New Roman"/>
          <w:color w:val="000000" w:themeColor="text1"/>
          <w:kern w:val="2"/>
          <w:szCs w:val="24"/>
          <w14:textFill>
            <w14:solidFill>
              <w14:schemeClr w14:val="tx1"/>
            </w14:solidFill>
          </w14:textFill>
        </w:rPr>
        <w:tab/>
      </w:r>
      <w:r>
        <w:rPr>
          <w:rFonts w:hint="eastAsia" w:ascii="Times New Roman"/>
          <w:color w:val="000000" w:themeColor="text1"/>
          <w:kern w:val="2"/>
          <w:szCs w:val="24"/>
          <w14:textFill>
            <w14:solidFill>
              <w14:schemeClr w14:val="tx1"/>
            </w14:solidFill>
          </w14:textFill>
        </w:rPr>
        <w:t>石油化工管道设计器材选用规范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SH 3012</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石油化工金属管道布置设计规范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SH/T 3108</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石油化工全厂性工艺及热力管道设计规范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SH 3136</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液化烃球形储罐安全设计规范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SH 3137</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石油化工钢结构防火保护技术规范</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TSG 08</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特种设备使用管理规则</w:t>
      </w:r>
    </w:p>
    <w:p>
      <w:pPr>
        <w:pStyle w:val="71"/>
        <w:tabs>
          <w:tab w:val="left" w:pos="2100"/>
        </w:tabs>
        <w:ind w:firstLine="420"/>
        <w:rPr>
          <w:rFonts w:ascii="Times New Roman"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TSG 21</w:t>
      </w:r>
      <w:r>
        <w:rPr>
          <w:rFonts w:ascii="Times New Roman" w:cs="Arial" w:eastAsiaTheme="minorEastAsia"/>
          <w:color w:val="000000" w:themeColor="text1"/>
          <w:szCs w:val="21"/>
          <w14:textFill>
            <w14:solidFill>
              <w14:schemeClr w14:val="tx1"/>
            </w14:solidFill>
          </w14:textFill>
        </w:rPr>
        <w:tab/>
      </w:r>
      <w:r>
        <w:rPr>
          <w:rFonts w:ascii="Times New Roman" w:cs="Arial" w:eastAsiaTheme="minorEastAsia"/>
          <w:color w:val="000000" w:themeColor="text1"/>
          <w:szCs w:val="21"/>
          <w14:textFill>
            <w14:solidFill>
              <w14:schemeClr w14:val="tx1"/>
            </w14:solidFill>
          </w14:textFill>
        </w:rPr>
        <w:t>固定式压力容器安全技术监察规程</w:t>
      </w:r>
    </w:p>
    <w:p>
      <w:pPr>
        <w:pStyle w:val="71"/>
        <w:tabs>
          <w:tab w:val="left" w:pos="2100"/>
        </w:tabs>
        <w:ind w:firstLine="420"/>
        <w:rPr>
          <w:rFonts w:cs="Arial" w:eastAsiaTheme="minorEastAsia"/>
          <w:color w:val="000000" w:themeColor="text1"/>
          <w:szCs w:val="21"/>
          <w14:textFill>
            <w14:solidFill>
              <w14:schemeClr w14:val="tx1"/>
            </w14:solidFill>
          </w14:textFill>
        </w:rPr>
      </w:pPr>
      <w:r>
        <w:rPr>
          <w:rFonts w:ascii="Times New Roman" w:cs="Arial" w:eastAsiaTheme="minorEastAsia"/>
          <w:color w:val="000000" w:themeColor="text1"/>
          <w:szCs w:val="21"/>
          <w14:textFill>
            <w14:solidFill>
              <w14:schemeClr w14:val="tx1"/>
            </w14:solidFill>
          </w14:textFill>
        </w:rPr>
        <w:t>TSG D7005</w:t>
      </w:r>
      <w:r>
        <w:rPr>
          <w:rFonts w:cs="Arial" w:eastAsiaTheme="minorEastAsia"/>
          <w:color w:val="000000" w:themeColor="text1"/>
          <w:szCs w:val="21"/>
          <w14:textFill>
            <w14:solidFill>
              <w14:schemeClr w14:val="tx1"/>
            </w14:solidFill>
          </w14:textFill>
        </w:rPr>
        <w:tab/>
      </w:r>
      <w:r>
        <w:rPr>
          <w:rFonts w:cs="Arial" w:eastAsiaTheme="minorEastAsia"/>
          <w:color w:val="000000" w:themeColor="text1"/>
          <w:szCs w:val="21"/>
          <w14:textFill>
            <w14:solidFill>
              <w14:schemeClr w14:val="tx1"/>
            </w14:solidFill>
          </w14:textFill>
        </w:rPr>
        <w:t>压力管道定期检验规则</w:t>
      </w:r>
      <w:r>
        <w:rPr>
          <w:rFonts w:hint="eastAsia" w:cs="Arial" w:eastAsiaTheme="minorEastAsia"/>
          <w:color w:val="000000" w:themeColor="text1"/>
          <w:szCs w:val="21"/>
          <w14:textFill>
            <w14:solidFill>
              <w14:schemeClr w14:val="tx1"/>
            </w14:solidFill>
          </w14:textFill>
        </w:rPr>
        <w:t>-工业管道</w:t>
      </w:r>
      <w:bookmarkStart w:id="21" w:name="_Toc118962010"/>
    </w:p>
    <w:p>
      <w:pPr>
        <w:widowControl w:val="0"/>
        <w:spacing w:before="317" w:beforeLines="100" w:after="317" w:afterLines="100" w:line="240" w:lineRule="auto"/>
        <w:jc w:val="left"/>
        <w:textAlignment w:val="auto"/>
        <w:outlineLvl w:val="0"/>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3  术语和定义</w:t>
      </w:r>
      <w:bookmarkEnd w:id="17"/>
      <w:bookmarkEnd w:id="21"/>
    </w:p>
    <w:p>
      <w:pPr>
        <w:pStyle w:val="71"/>
        <w:ind w:firstLine="420" w:firstLineChars="0"/>
        <w:rPr>
          <w:rFonts w:ascii="Times New Roman" w:cs="CG Times"/>
          <w:color w:val="000000" w:themeColor="text1"/>
          <w14:textFill>
            <w14:solidFill>
              <w14:schemeClr w14:val="tx1"/>
            </w14:solidFill>
          </w14:textFill>
        </w:rPr>
      </w:pPr>
      <w:r>
        <w:rPr>
          <w:rFonts w:hint="eastAsia" w:ascii="Times New Roman" w:cs="CG Times"/>
          <w:color w:val="000000" w:themeColor="text1"/>
          <w14:textFill>
            <w14:solidFill>
              <w14:schemeClr w14:val="tx1"/>
            </w14:solidFill>
          </w14:textFill>
        </w:rPr>
        <w:t>下列术语和定义适用于本文件。</w:t>
      </w:r>
    </w:p>
    <w:p>
      <w:pPr>
        <w:widowControl w:val="0"/>
        <w:spacing w:before="158" w:beforeLines="50" w:line="240" w:lineRule="auto"/>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3</w:t>
      </w:r>
      <w:r>
        <w:rPr>
          <w:rFonts w:ascii="黑体" w:hAnsi="黑体" w:eastAsia="黑体"/>
          <w:color w:val="000000" w:themeColor="text1"/>
          <w:kern w:val="2"/>
          <w:szCs w:val="21"/>
          <w14:textFill>
            <w14:solidFill>
              <w14:schemeClr w14:val="tx1"/>
            </w14:solidFill>
          </w14:textFill>
        </w:rPr>
        <w:t>.1</w:t>
      </w:r>
    </w:p>
    <w:p>
      <w:pPr>
        <w:widowControl w:val="0"/>
        <w:spacing w:line="240" w:lineRule="auto"/>
        <w:ind w:firstLine="420" w:firstLineChars="200"/>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 xml:space="preserve">液化烃 </w:t>
      </w:r>
      <w:r>
        <w:rPr>
          <w:rFonts w:ascii="黑体" w:hAnsi="黑体" w:eastAsia="黑体"/>
          <w:color w:val="000000" w:themeColor="text1"/>
          <w:kern w:val="2"/>
          <w:szCs w:val="21"/>
          <w14:textFill>
            <w14:solidFill>
              <w14:schemeClr w14:val="tx1"/>
            </w14:solidFill>
          </w14:textFill>
        </w:rPr>
        <w:t>liquefied hydrocarbon</w:t>
      </w:r>
    </w:p>
    <w:p>
      <w:pPr>
        <w:widowControl w:val="0"/>
        <w:spacing w:line="240" w:lineRule="auto"/>
        <w:ind w:firstLine="420" w:firstLineChars="200"/>
        <w:textAlignment w:val="auto"/>
        <w:rPr>
          <w:rFonts w:cs="宋体"/>
          <w:color w:val="000000" w:themeColor="text1"/>
          <w:kern w:val="2"/>
          <w:szCs w:val="21"/>
          <w14:textFill>
            <w14:solidFill>
              <w14:schemeClr w14:val="tx1"/>
            </w14:solidFill>
          </w14:textFill>
        </w:rPr>
      </w:pPr>
      <w:r>
        <w:rPr>
          <w:rFonts w:hint="eastAsia" w:cs="宋体"/>
          <w:color w:val="000000" w:themeColor="text1"/>
          <w:kern w:val="2"/>
          <w:szCs w:val="21"/>
          <w14:textFill>
            <w14:solidFill>
              <w14:schemeClr w14:val="tx1"/>
            </w14:solidFill>
          </w14:textFill>
        </w:rPr>
        <w:t>在</w:t>
      </w:r>
      <w:r>
        <w:rPr>
          <w:rFonts w:cs="宋体"/>
          <w:color w:val="000000" w:themeColor="text1"/>
          <w:kern w:val="2"/>
          <w:szCs w:val="21"/>
          <w14:textFill>
            <w14:solidFill>
              <w14:schemeClr w14:val="tx1"/>
            </w14:solidFill>
          </w14:textFill>
        </w:rPr>
        <w:t>15</w:t>
      </w:r>
      <w:r>
        <w:rPr>
          <w:rFonts w:hint="eastAsia" w:cs="宋体"/>
          <w:color w:val="000000" w:themeColor="text1"/>
          <w:kern w:val="2"/>
          <w:szCs w:val="21"/>
          <w14:textFill>
            <w14:solidFill>
              <w14:schemeClr w14:val="tx1"/>
            </w14:solidFill>
          </w14:textFill>
        </w:rPr>
        <w:t>℃时，蒸气压大于</w:t>
      </w:r>
      <w:r>
        <w:rPr>
          <w:rFonts w:cs="宋体"/>
          <w:color w:val="000000" w:themeColor="text1"/>
          <w:kern w:val="2"/>
          <w:szCs w:val="21"/>
          <w14:textFill>
            <w14:solidFill>
              <w14:schemeClr w14:val="tx1"/>
            </w14:solidFill>
          </w14:textFill>
        </w:rPr>
        <w:t>0.1MPa</w:t>
      </w:r>
      <w:r>
        <w:rPr>
          <w:rFonts w:hint="eastAsia" w:cs="宋体"/>
          <w:color w:val="000000" w:themeColor="text1"/>
          <w:kern w:val="2"/>
          <w:szCs w:val="21"/>
          <w14:textFill>
            <w14:solidFill>
              <w14:schemeClr w14:val="tx1"/>
            </w14:solidFill>
          </w14:textFill>
        </w:rPr>
        <w:t>的烃类液体及其他类似的液体。</w:t>
      </w:r>
    </w:p>
    <w:p>
      <w:pPr>
        <w:widowControl w:val="0"/>
        <w:spacing w:before="158" w:beforeLines="50" w:line="240" w:lineRule="auto"/>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3.</w:t>
      </w:r>
      <w:r>
        <w:rPr>
          <w:rFonts w:ascii="黑体" w:hAnsi="黑体" w:eastAsia="黑体"/>
          <w:color w:val="000000" w:themeColor="text1"/>
          <w:kern w:val="2"/>
          <w:szCs w:val="21"/>
          <w14:textFill>
            <w14:solidFill>
              <w14:schemeClr w14:val="tx1"/>
            </w14:solidFill>
          </w14:textFill>
        </w:rPr>
        <w:t>2</w:t>
      </w:r>
    </w:p>
    <w:p>
      <w:pPr>
        <w:widowControl w:val="0"/>
        <w:spacing w:line="240" w:lineRule="auto"/>
        <w:ind w:firstLine="420" w:firstLineChars="200"/>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液化石油气</w:t>
      </w:r>
      <w:r>
        <w:rPr>
          <w:rFonts w:ascii="黑体" w:hAnsi="黑体" w:eastAsia="黑体"/>
          <w:color w:val="000000" w:themeColor="text1"/>
          <w:kern w:val="2"/>
          <w:szCs w:val="21"/>
          <w14:textFill>
            <w14:solidFill>
              <w14:schemeClr w14:val="tx1"/>
            </w14:solidFill>
          </w14:textFill>
        </w:rPr>
        <w:t xml:space="preserve"> liquefied petroleum gas (LPG)</w:t>
      </w:r>
    </w:p>
    <w:p>
      <w:pPr>
        <w:widowControl w:val="0"/>
        <w:spacing w:line="240" w:lineRule="auto"/>
        <w:ind w:firstLine="420" w:firstLineChars="200"/>
        <w:textAlignment w:val="auto"/>
        <w:rPr>
          <w:rFonts w:cs="宋体"/>
          <w:color w:val="000000" w:themeColor="text1"/>
          <w:kern w:val="2"/>
          <w:szCs w:val="21"/>
          <w14:textFill>
            <w14:solidFill>
              <w14:schemeClr w14:val="tx1"/>
            </w14:solidFill>
          </w14:textFill>
        </w:rPr>
      </w:pPr>
      <w:r>
        <w:rPr>
          <w:rFonts w:hint="eastAsia" w:cs="宋体"/>
          <w:color w:val="000000" w:themeColor="text1"/>
          <w:kern w:val="2"/>
          <w:szCs w:val="21"/>
          <w14:textFill>
            <w14:solidFill>
              <w14:schemeClr w14:val="tx1"/>
            </w14:solidFill>
          </w14:textFill>
        </w:rPr>
        <w:t>在常温常压下为气态，经压缩或冷却后为液态的</w:t>
      </w:r>
      <w:r>
        <w:rPr>
          <w:rFonts w:cs="宋体"/>
          <w:color w:val="000000" w:themeColor="text1"/>
          <w:kern w:val="2"/>
          <w:szCs w:val="21"/>
          <w14:textFill>
            <w14:solidFill>
              <w14:schemeClr w14:val="tx1"/>
            </w14:solidFill>
          </w14:textFill>
        </w:rPr>
        <w:t>C</w:t>
      </w:r>
      <w:r>
        <w:rPr>
          <w:rFonts w:cs="宋体"/>
          <w:color w:val="000000" w:themeColor="text1"/>
          <w:kern w:val="2"/>
          <w:szCs w:val="21"/>
          <w:vertAlign w:val="subscript"/>
          <w14:textFill>
            <w14:solidFill>
              <w14:schemeClr w14:val="tx1"/>
            </w14:solidFill>
          </w14:textFill>
        </w:rPr>
        <w:t>3</w:t>
      </w:r>
      <w:r>
        <w:rPr>
          <w:rFonts w:hint="eastAsia" w:cs="宋体"/>
          <w:color w:val="000000" w:themeColor="text1"/>
          <w:kern w:val="2"/>
          <w:szCs w:val="21"/>
          <w14:textFill>
            <w14:solidFill>
              <w14:schemeClr w14:val="tx1"/>
            </w14:solidFill>
          </w14:textFill>
        </w:rPr>
        <w:t>、</w:t>
      </w:r>
      <w:r>
        <w:rPr>
          <w:rFonts w:cs="宋体"/>
          <w:color w:val="000000" w:themeColor="text1"/>
          <w:kern w:val="2"/>
          <w:szCs w:val="21"/>
          <w14:textFill>
            <w14:solidFill>
              <w14:schemeClr w14:val="tx1"/>
            </w14:solidFill>
          </w14:textFill>
        </w:rPr>
        <w:t>C</w:t>
      </w:r>
      <w:r>
        <w:rPr>
          <w:rFonts w:cs="宋体"/>
          <w:color w:val="000000" w:themeColor="text1"/>
          <w:kern w:val="2"/>
          <w:szCs w:val="21"/>
          <w:vertAlign w:val="subscript"/>
          <w14:textFill>
            <w14:solidFill>
              <w14:schemeClr w14:val="tx1"/>
            </w14:solidFill>
          </w14:textFill>
        </w:rPr>
        <w:t>4</w:t>
      </w:r>
      <w:r>
        <w:rPr>
          <w:rFonts w:hint="eastAsia" w:cs="宋体"/>
          <w:color w:val="000000" w:themeColor="text1"/>
          <w:kern w:val="2"/>
          <w:szCs w:val="21"/>
          <w14:textFill>
            <w14:solidFill>
              <w14:schemeClr w14:val="tx1"/>
            </w14:solidFill>
          </w14:textFill>
        </w:rPr>
        <w:t>及其混合物。</w:t>
      </w:r>
    </w:p>
    <w:p>
      <w:pPr>
        <w:widowControl w:val="0"/>
        <w:spacing w:before="158" w:beforeLines="50" w:line="240" w:lineRule="auto"/>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3</w:t>
      </w:r>
      <w:r>
        <w:rPr>
          <w:rFonts w:ascii="黑体" w:hAnsi="黑体" w:eastAsia="黑体"/>
          <w:color w:val="000000" w:themeColor="text1"/>
          <w:kern w:val="2"/>
          <w:szCs w:val="21"/>
          <w14:textFill>
            <w14:solidFill>
              <w14:schemeClr w14:val="tx1"/>
            </w14:solidFill>
          </w14:textFill>
        </w:rPr>
        <w:t xml:space="preserve">.3 </w:t>
      </w:r>
    </w:p>
    <w:p>
      <w:pPr>
        <w:widowControl w:val="0"/>
        <w:spacing w:line="240" w:lineRule="auto"/>
        <w:ind w:firstLine="420" w:firstLineChars="200"/>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 xml:space="preserve">厂区 </w:t>
      </w:r>
      <w:r>
        <w:rPr>
          <w:rFonts w:ascii="黑体" w:hAnsi="黑体" w:eastAsia="黑体"/>
          <w:color w:val="000000" w:themeColor="text1"/>
          <w:kern w:val="2"/>
          <w:szCs w:val="21"/>
          <w14:textFill>
            <w14:solidFill>
              <w14:schemeClr w14:val="tx1"/>
            </w14:solidFill>
          </w14:textFill>
        </w:rPr>
        <w:t>plant area</w:t>
      </w:r>
    </w:p>
    <w:p>
      <w:pPr>
        <w:widowControl w:val="0"/>
        <w:spacing w:line="240" w:lineRule="auto"/>
        <w:ind w:firstLine="420" w:firstLineChars="200"/>
        <w:textAlignment w:val="auto"/>
        <w:rPr>
          <w:rFonts w:cs="宋体"/>
          <w:color w:val="000000" w:themeColor="text1"/>
          <w:kern w:val="2"/>
          <w:szCs w:val="21"/>
          <w14:textFill>
            <w14:solidFill>
              <w14:schemeClr w14:val="tx1"/>
            </w14:solidFill>
          </w14:textFill>
        </w:rPr>
      </w:pPr>
      <w:r>
        <w:rPr>
          <w:rFonts w:hint="eastAsia" w:cs="宋体"/>
          <w:color w:val="000000" w:themeColor="text1"/>
          <w:kern w:val="2"/>
          <w:szCs w:val="21"/>
          <w14:textFill>
            <w14:solidFill>
              <w14:schemeClr w14:val="tx1"/>
            </w14:solidFill>
          </w14:textFill>
        </w:rPr>
        <w:t>工厂围墙或边界内由生产区、公用和辅助生产设施区及生产管理区组成的区域。</w:t>
      </w:r>
    </w:p>
    <w:p>
      <w:pPr>
        <w:widowControl w:val="0"/>
        <w:spacing w:before="158" w:beforeLines="50" w:line="240" w:lineRule="auto"/>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3.</w:t>
      </w:r>
      <w:r>
        <w:rPr>
          <w:rFonts w:ascii="黑体" w:hAnsi="黑体" w:eastAsia="黑体"/>
          <w:color w:val="000000" w:themeColor="text1"/>
          <w:kern w:val="2"/>
          <w:szCs w:val="21"/>
          <w14:textFill>
            <w14:solidFill>
              <w14:schemeClr w14:val="tx1"/>
            </w14:solidFill>
          </w14:textFill>
        </w:rPr>
        <w:t>4</w:t>
      </w:r>
    </w:p>
    <w:p>
      <w:pPr>
        <w:widowControl w:val="0"/>
        <w:spacing w:line="240" w:lineRule="auto"/>
        <w:ind w:firstLine="420" w:firstLineChars="200"/>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防火堤  fire</w:t>
      </w:r>
      <w:r>
        <w:rPr>
          <w:rFonts w:ascii="黑体" w:hAnsi="黑体" w:eastAsia="黑体"/>
          <w:color w:val="000000" w:themeColor="text1"/>
          <w:kern w:val="2"/>
          <w:szCs w:val="21"/>
          <w14:textFill>
            <w14:solidFill>
              <w14:schemeClr w14:val="tx1"/>
            </w14:solidFill>
          </w14:textFill>
        </w:rPr>
        <w:t xml:space="preserve"> </w:t>
      </w:r>
      <w:r>
        <w:rPr>
          <w:rFonts w:hint="eastAsia" w:ascii="黑体" w:hAnsi="黑体" w:eastAsia="黑体"/>
          <w:color w:val="000000" w:themeColor="text1"/>
          <w:kern w:val="2"/>
          <w:szCs w:val="21"/>
          <w14:textFill>
            <w14:solidFill>
              <w14:schemeClr w14:val="tx1"/>
            </w14:solidFill>
          </w14:textFill>
        </w:rPr>
        <w:t xml:space="preserve">dike </w:t>
      </w:r>
    </w:p>
    <w:p>
      <w:pPr>
        <w:widowControl w:val="0"/>
        <w:spacing w:line="240" w:lineRule="auto"/>
        <w:ind w:firstLine="420" w:firstLineChars="200"/>
        <w:textAlignment w:val="auto"/>
        <w:rPr>
          <w:rFonts w:cs="宋体"/>
          <w:color w:val="000000" w:themeColor="text1"/>
          <w:kern w:val="2"/>
          <w:szCs w:val="21"/>
          <w14:textFill>
            <w14:solidFill>
              <w14:schemeClr w14:val="tx1"/>
            </w14:solidFill>
          </w14:textFill>
        </w:rPr>
      </w:pPr>
      <w:r>
        <w:rPr>
          <w:rFonts w:hint="eastAsia" w:cs="宋体"/>
          <w:color w:val="000000" w:themeColor="text1"/>
          <w:kern w:val="2"/>
          <w:szCs w:val="21"/>
          <w14:textFill>
            <w14:solidFill>
              <w14:schemeClr w14:val="tx1"/>
            </w14:solidFill>
          </w14:textFill>
        </w:rPr>
        <w:t>用于常压易燃和可燃液体储罐组、常压条件下通过低温使气态变成液态的储罐组或其他液体危险品储罐组发生泄漏事故时，防止液体外流和火灾蔓延的构筑物。</w:t>
      </w:r>
    </w:p>
    <w:p>
      <w:pPr>
        <w:widowControl w:val="0"/>
        <w:spacing w:before="158" w:beforeLines="50" w:line="240" w:lineRule="auto"/>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3.</w:t>
      </w:r>
      <w:r>
        <w:rPr>
          <w:rFonts w:ascii="黑体" w:hAnsi="黑体" w:eastAsia="黑体"/>
          <w:color w:val="000000" w:themeColor="text1"/>
          <w:kern w:val="2"/>
          <w:szCs w:val="21"/>
          <w14:textFill>
            <w14:solidFill>
              <w14:schemeClr w14:val="tx1"/>
            </w14:solidFill>
          </w14:textFill>
        </w:rPr>
        <w:t>5</w:t>
      </w:r>
    </w:p>
    <w:p>
      <w:pPr>
        <w:widowControl w:val="0"/>
        <w:spacing w:line="240" w:lineRule="auto"/>
        <w:ind w:firstLine="420" w:firstLineChars="200"/>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罐组  a</w:t>
      </w:r>
      <w:r>
        <w:rPr>
          <w:rFonts w:ascii="黑体" w:hAnsi="黑体" w:eastAsia="黑体"/>
          <w:color w:val="000000" w:themeColor="text1"/>
          <w:kern w:val="2"/>
          <w:szCs w:val="21"/>
          <w14:textFill>
            <w14:solidFill>
              <w14:schemeClr w14:val="tx1"/>
            </w14:solidFill>
          </w14:textFill>
        </w:rPr>
        <w:t xml:space="preserve"> </w:t>
      </w:r>
      <w:r>
        <w:rPr>
          <w:rFonts w:hint="eastAsia" w:ascii="黑体" w:hAnsi="黑体" w:eastAsia="黑体"/>
          <w:color w:val="000000" w:themeColor="text1"/>
          <w:kern w:val="2"/>
          <w:szCs w:val="21"/>
          <w14:textFill>
            <w14:solidFill>
              <w14:schemeClr w14:val="tx1"/>
            </w14:solidFill>
          </w14:textFill>
        </w:rPr>
        <w:t>group</w:t>
      </w:r>
      <w:r>
        <w:rPr>
          <w:rFonts w:ascii="黑体" w:hAnsi="黑体" w:eastAsia="黑体"/>
          <w:color w:val="000000" w:themeColor="text1"/>
          <w:kern w:val="2"/>
          <w:szCs w:val="21"/>
          <w14:textFill>
            <w14:solidFill>
              <w14:schemeClr w14:val="tx1"/>
            </w14:solidFill>
          </w14:textFill>
        </w:rPr>
        <w:t xml:space="preserve"> </w:t>
      </w:r>
      <w:r>
        <w:rPr>
          <w:rFonts w:hint="eastAsia" w:ascii="黑体" w:hAnsi="黑体" w:eastAsia="黑体"/>
          <w:color w:val="000000" w:themeColor="text1"/>
          <w:kern w:val="2"/>
          <w:szCs w:val="21"/>
          <w14:textFill>
            <w14:solidFill>
              <w14:schemeClr w14:val="tx1"/>
            </w14:solidFill>
          </w14:textFill>
        </w:rPr>
        <w:t>of</w:t>
      </w:r>
      <w:r>
        <w:rPr>
          <w:rFonts w:ascii="黑体" w:hAnsi="黑体" w:eastAsia="黑体"/>
          <w:color w:val="000000" w:themeColor="text1"/>
          <w:kern w:val="2"/>
          <w:szCs w:val="21"/>
          <w14:textFill>
            <w14:solidFill>
              <w14:schemeClr w14:val="tx1"/>
            </w14:solidFill>
          </w14:textFill>
        </w:rPr>
        <w:t xml:space="preserve"> </w:t>
      </w:r>
      <w:r>
        <w:rPr>
          <w:rFonts w:hint="eastAsia" w:ascii="黑体" w:hAnsi="黑体" w:eastAsia="黑体"/>
          <w:color w:val="000000" w:themeColor="text1"/>
          <w:kern w:val="2"/>
          <w:szCs w:val="21"/>
          <w14:textFill>
            <w14:solidFill>
              <w14:schemeClr w14:val="tx1"/>
            </w14:solidFill>
          </w14:textFill>
        </w:rPr>
        <w:t>storage</w:t>
      </w:r>
      <w:r>
        <w:rPr>
          <w:rFonts w:ascii="黑体" w:hAnsi="黑体" w:eastAsia="黑体"/>
          <w:color w:val="000000" w:themeColor="text1"/>
          <w:kern w:val="2"/>
          <w:szCs w:val="21"/>
          <w14:textFill>
            <w14:solidFill>
              <w14:schemeClr w14:val="tx1"/>
            </w14:solidFill>
          </w14:textFill>
        </w:rPr>
        <w:t xml:space="preserve"> </w:t>
      </w:r>
      <w:r>
        <w:rPr>
          <w:rFonts w:hint="eastAsia" w:ascii="黑体" w:hAnsi="黑体" w:eastAsia="黑体"/>
          <w:color w:val="000000" w:themeColor="text1"/>
          <w:kern w:val="2"/>
          <w:szCs w:val="21"/>
          <w14:textFill>
            <w14:solidFill>
              <w14:schemeClr w14:val="tx1"/>
            </w14:solidFill>
          </w14:textFill>
        </w:rPr>
        <w:t>tanks</w:t>
      </w:r>
    </w:p>
    <w:p>
      <w:pPr>
        <w:widowControl w:val="0"/>
        <w:spacing w:line="240" w:lineRule="auto"/>
        <w:ind w:firstLine="420" w:firstLineChars="200"/>
        <w:textAlignment w:val="auto"/>
        <w:rPr>
          <w:rFonts w:cs="宋体"/>
          <w:color w:val="000000" w:themeColor="text1"/>
          <w:kern w:val="2"/>
          <w:szCs w:val="21"/>
          <w14:textFill>
            <w14:solidFill>
              <w14:schemeClr w14:val="tx1"/>
            </w14:solidFill>
          </w14:textFill>
        </w:rPr>
      </w:pPr>
      <w:r>
        <w:rPr>
          <w:rFonts w:hint="eastAsia" w:cs="宋体"/>
          <w:color w:val="000000" w:themeColor="text1"/>
          <w:kern w:val="2"/>
          <w:szCs w:val="21"/>
          <w14:textFill>
            <w14:solidFill>
              <w14:schemeClr w14:val="tx1"/>
            </w14:solidFill>
          </w14:textFill>
        </w:rPr>
        <w:t>布置在一个防火堤内的一个或多个储罐。</w:t>
      </w:r>
    </w:p>
    <w:p>
      <w:pPr>
        <w:widowControl w:val="0"/>
        <w:spacing w:before="158" w:beforeLines="50" w:line="240" w:lineRule="auto"/>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3.</w:t>
      </w:r>
      <w:r>
        <w:rPr>
          <w:rFonts w:ascii="黑体" w:hAnsi="黑体" w:eastAsia="黑体"/>
          <w:color w:val="000000" w:themeColor="text1"/>
          <w:kern w:val="2"/>
          <w:szCs w:val="21"/>
          <w14:textFill>
            <w14:solidFill>
              <w14:schemeClr w14:val="tx1"/>
            </w14:solidFill>
          </w14:textFill>
        </w:rPr>
        <w:t>6</w:t>
      </w:r>
    </w:p>
    <w:p>
      <w:pPr>
        <w:widowControl w:val="0"/>
        <w:spacing w:line="240" w:lineRule="auto"/>
        <w:ind w:firstLine="420" w:firstLineChars="200"/>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罐区  tank</w:t>
      </w:r>
      <w:r>
        <w:rPr>
          <w:rFonts w:ascii="黑体" w:hAnsi="黑体" w:eastAsia="黑体"/>
          <w:color w:val="000000" w:themeColor="text1"/>
          <w:kern w:val="2"/>
          <w:szCs w:val="21"/>
          <w14:textFill>
            <w14:solidFill>
              <w14:schemeClr w14:val="tx1"/>
            </w14:solidFill>
          </w14:textFill>
        </w:rPr>
        <w:t xml:space="preserve"> </w:t>
      </w:r>
      <w:r>
        <w:rPr>
          <w:rFonts w:hint="eastAsia" w:ascii="黑体" w:hAnsi="黑体" w:eastAsia="黑体"/>
          <w:color w:val="000000" w:themeColor="text1"/>
          <w:kern w:val="2"/>
          <w:szCs w:val="21"/>
          <w14:textFill>
            <w14:solidFill>
              <w14:schemeClr w14:val="tx1"/>
            </w14:solidFill>
          </w14:textFill>
        </w:rPr>
        <w:t xml:space="preserve">farm </w:t>
      </w:r>
    </w:p>
    <w:p>
      <w:pPr>
        <w:widowControl w:val="0"/>
        <w:spacing w:line="240" w:lineRule="auto"/>
        <w:ind w:firstLine="420" w:firstLineChars="200"/>
        <w:textAlignment w:val="auto"/>
        <w:rPr>
          <w:rFonts w:cs="宋体"/>
          <w:color w:val="000000" w:themeColor="text1"/>
          <w:kern w:val="2"/>
          <w:szCs w:val="21"/>
          <w14:textFill>
            <w14:solidFill>
              <w14:schemeClr w14:val="tx1"/>
            </w14:solidFill>
          </w14:textFill>
        </w:rPr>
      </w:pPr>
      <w:r>
        <w:rPr>
          <w:rFonts w:hint="eastAsia" w:cs="宋体"/>
          <w:color w:val="000000" w:themeColor="text1"/>
          <w:kern w:val="2"/>
          <w:szCs w:val="21"/>
          <w14:textFill>
            <w14:solidFill>
              <w14:schemeClr w14:val="tx1"/>
            </w14:solidFill>
          </w14:textFill>
        </w:rPr>
        <w:t>一个或多个罐组构成的区域。</w:t>
      </w:r>
    </w:p>
    <w:p>
      <w:pPr>
        <w:widowControl w:val="0"/>
        <w:spacing w:before="158" w:beforeLines="50" w:line="240" w:lineRule="auto"/>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3.</w:t>
      </w:r>
      <w:r>
        <w:rPr>
          <w:rFonts w:ascii="黑体" w:hAnsi="黑体" w:eastAsia="黑体"/>
          <w:color w:val="000000" w:themeColor="text1"/>
          <w:kern w:val="2"/>
          <w:szCs w:val="21"/>
          <w14:textFill>
            <w14:solidFill>
              <w14:schemeClr w14:val="tx1"/>
            </w14:solidFill>
          </w14:textFill>
        </w:rPr>
        <w:t>7</w:t>
      </w:r>
    </w:p>
    <w:p>
      <w:pPr>
        <w:widowControl w:val="0"/>
        <w:spacing w:line="240" w:lineRule="auto"/>
        <w:ind w:firstLine="420" w:firstLineChars="200"/>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液化烃储罐区  Liquefied hydrocarbon tank</w:t>
      </w:r>
      <w:r>
        <w:rPr>
          <w:rFonts w:ascii="黑体" w:hAnsi="黑体" w:eastAsia="黑体"/>
          <w:color w:val="000000" w:themeColor="text1"/>
          <w:kern w:val="2"/>
          <w:szCs w:val="21"/>
          <w14:textFill>
            <w14:solidFill>
              <w14:schemeClr w14:val="tx1"/>
            </w14:solidFill>
          </w14:textFill>
        </w:rPr>
        <w:t xml:space="preserve"> </w:t>
      </w:r>
      <w:r>
        <w:rPr>
          <w:rFonts w:hint="eastAsia" w:ascii="黑体" w:hAnsi="黑体" w:eastAsia="黑体"/>
          <w:color w:val="000000" w:themeColor="text1"/>
          <w:kern w:val="2"/>
          <w:szCs w:val="21"/>
          <w14:textFill>
            <w14:solidFill>
              <w14:schemeClr w14:val="tx1"/>
            </w14:solidFill>
          </w14:textFill>
        </w:rPr>
        <w:t>farm</w:t>
      </w:r>
      <w:r>
        <w:rPr>
          <w:rFonts w:ascii="黑体" w:hAnsi="黑体" w:eastAsia="黑体"/>
          <w:color w:val="000000" w:themeColor="text1"/>
          <w:kern w:val="2"/>
          <w:szCs w:val="21"/>
          <w14:textFill>
            <w14:solidFill>
              <w14:schemeClr w14:val="tx1"/>
            </w14:solidFill>
          </w14:textFill>
        </w:rPr>
        <w:t xml:space="preserve"> </w:t>
      </w:r>
    </w:p>
    <w:p>
      <w:pPr>
        <w:widowControl w:val="0"/>
        <w:spacing w:line="240" w:lineRule="auto"/>
        <w:ind w:firstLine="420" w:firstLineChars="200"/>
        <w:textAlignment w:val="auto"/>
        <w:rPr>
          <w:rFonts w:cs="宋体"/>
          <w:color w:val="000000" w:themeColor="text1"/>
          <w:kern w:val="2"/>
          <w:szCs w:val="21"/>
          <w14:textFill>
            <w14:solidFill>
              <w14:schemeClr w14:val="tx1"/>
            </w14:solidFill>
          </w14:textFill>
        </w:rPr>
      </w:pPr>
      <w:r>
        <w:rPr>
          <w:rFonts w:hint="eastAsia" w:cs="宋体"/>
          <w:color w:val="000000" w:themeColor="text1"/>
          <w:kern w:val="2"/>
          <w:szCs w:val="21"/>
          <w14:textFill>
            <w14:solidFill>
              <w14:schemeClr w14:val="tx1"/>
            </w14:solidFill>
          </w14:textFill>
        </w:rPr>
        <w:t>企业内由液化烃储罐及其泵组、压缩机等配套设施构成的区域。</w:t>
      </w:r>
    </w:p>
    <w:p>
      <w:pPr>
        <w:widowControl w:val="0"/>
        <w:spacing w:before="158" w:beforeLines="50" w:line="240" w:lineRule="auto"/>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3.</w:t>
      </w:r>
      <w:r>
        <w:rPr>
          <w:rFonts w:ascii="黑体" w:hAnsi="黑体" w:eastAsia="黑体"/>
          <w:color w:val="000000" w:themeColor="text1"/>
          <w:kern w:val="2"/>
          <w:szCs w:val="21"/>
          <w14:textFill>
            <w14:solidFill>
              <w14:schemeClr w14:val="tx1"/>
            </w14:solidFill>
          </w14:textFill>
        </w:rPr>
        <w:t>8</w:t>
      </w:r>
    </w:p>
    <w:p>
      <w:pPr>
        <w:widowControl w:val="0"/>
        <w:spacing w:line="240" w:lineRule="auto"/>
        <w:ind w:firstLine="420" w:firstLineChars="200"/>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 xml:space="preserve">压力式储罐 </w:t>
      </w:r>
      <w:r>
        <w:rPr>
          <w:rFonts w:ascii="黑体" w:hAnsi="黑体" w:eastAsia="黑体"/>
          <w:color w:val="000000" w:themeColor="text1"/>
          <w:kern w:val="2"/>
          <w:szCs w:val="21"/>
          <w14:textFill>
            <w14:solidFill>
              <w14:schemeClr w14:val="tx1"/>
            </w14:solidFill>
          </w14:textFill>
        </w:rPr>
        <w:t>P</w:t>
      </w:r>
      <w:r>
        <w:rPr>
          <w:rFonts w:hint="eastAsia" w:ascii="黑体" w:hAnsi="黑体" w:eastAsia="黑体"/>
          <w:color w:val="000000" w:themeColor="text1"/>
          <w:kern w:val="2"/>
          <w:szCs w:val="21"/>
          <w14:textFill>
            <w14:solidFill>
              <w14:schemeClr w14:val="tx1"/>
            </w14:solidFill>
          </w14:textFill>
        </w:rPr>
        <w:t>ressurized</w:t>
      </w:r>
      <w:r>
        <w:rPr>
          <w:rFonts w:ascii="黑体" w:hAnsi="黑体" w:eastAsia="黑体"/>
          <w:color w:val="000000" w:themeColor="text1"/>
          <w:kern w:val="2"/>
          <w:szCs w:val="21"/>
          <w14:textFill>
            <w14:solidFill>
              <w14:schemeClr w14:val="tx1"/>
            </w14:solidFill>
          </w14:textFill>
        </w:rPr>
        <w:t xml:space="preserve"> storage </w:t>
      </w:r>
      <w:r>
        <w:rPr>
          <w:rFonts w:hint="eastAsia" w:ascii="黑体" w:hAnsi="黑体" w:eastAsia="黑体"/>
          <w:color w:val="000000" w:themeColor="text1"/>
          <w:kern w:val="2"/>
          <w:szCs w:val="21"/>
          <w14:textFill>
            <w14:solidFill>
              <w14:schemeClr w14:val="tx1"/>
            </w14:solidFill>
          </w14:textFill>
        </w:rPr>
        <w:t>tank</w:t>
      </w:r>
    </w:p>
    <w:p>
      <w:pPr>
        <w:widowControl w:val="0"/>
        <w:spacing w:line="240" w:lineRule="auto"/>
        <w:ind w:firstLine="420" w:firstLineChars="200"/>
        <w:textAlignment w:val="auto"/>
        <w:rPr>
          <w:rFonts w:cs="宋体"/>
          <w:color w:val="000000" w:themeColor="text1"/>
          <w:kern w:val="2"/>
          <w:szCs w:val="21"/>
          <w14:textFill>
            <w14:solidFill>
              <w14:schemeClr w14:val="tx1"/>
            </w14:solidFill>
          </w14:textFill>
        </w:rPr>
      </w:pPr>
      <w:r>
        <w:rPr>
          <w:rFonts w:hint="eastAsia" w:cs="宋体"/>
          <w:color w:val="000000" w:themeColor="text1"/>
          <w:kern w:val="2"/>
          <w:szCs w:val="21"/>
          <w14:textFill>
            <w14:solidFill>
              <w14:schemeClr w14:val="tx1"/>
            </w14:solidFill>
          </w14:textFill>
        </w:rPr>
        <w:t>在一定压力下，盛装液化烃的储罐，</w:t>
      </w:r>
      <w:r>
        <w:rPr>
          <w:rFonts w:cs="宋体"/>
          <w:color w:val="000000" w:themeColor="text1"/>
          <w:kern w:val="2"/>
          <w:szCs w:val="21"/>
          <w14:textFill>
            <w14:solidFill>
              <w14:schemeClr w14:val="tx1"/>
            </w14:solidFill>
          </w14:textFill>
        </w:rPr>
        <w:t>包括全压力式储罐和半冷冻式储罐</w:t>
      </w:r>
      <w:r>
        <w:rPr>
          <w:rFonts w:hint="eastAsia" w:cs="宋体"/>
          <w:color w:val="000000" w:themeColor="text1"/>
          <w:kern w:val="2"/>
          <w:szCs w:val="21"/>
          <w14:textFill>
            <w14:solidFill>
              <w14:schemeClr w14:val="tx1"/>
            </w14:solidFill>
          </w14:textFill>
        </w:rPr>
        <w:t>。本文件所涉及的压力式储罐不包含覆土式储罐。</w:t>
      </w:r>
    </w:p>
    <w:p>
      <w:pPr>
        <w:widowControl w:val="0"/>
        <w:spacing w:before="158" w:beforeLines="50" w:line="240" w:lineRule="auto"/>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3.</w:t>
      </w:r>
      <w:r>
        <w:rPr>
          <w:rFonts w:ascii="黑体" w:hAnsi="黑体" w:eastAsia="黑体"/>
          <w:color w:val="000000" w:themeColor="text1"/>
          <w:kern w:val="2"/>
          <w:szCs w:val="21"/>
          <w14:textFill>
            <w14:solidFill>
              <w14:schemeClr w14:val="tx1"/>
            </w14:solidFill>
          </w14:textFill>
        </w:rPr>
        <w:t>9</w:t>
      </w:r>
    </w:p>
    <w:p>
      <w:pPr>
        <w:widowControl w:val="0"/>
        <w:spacing w:line="240" w:lineRule="auto"/>
        <w:ind w:firstLine="420" w:firstLineChars="200"/>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 xml:space="preserve">覆土式储罐  </w:t>
      </w:r>
      <w:r>
        <w:rPr>
          <w:rFonts w:ascii="黑体" w:hAnsi="黑体" w:eastAsia="黑体"/>
          <w:color w:val="000000" w:themeColor="text1"/>
          <w:kern w:val="2"/>
          <w:szCs w:val="21"/>
          <w14:textFill>
            <w14:solidFill>
              <w14:schemeClr w14:val="tx1"/>
            </w14:solidFill>
          </w14:textFill>
        </w:rPr>
        <w:t>Mounded</w:t>
      </w:r>
      <w:r>
        <w:rPr>
          <w:rFonts w:hint="eastAsia" w:ascii="黑体" w:hAnsi="黑体" w:eastAsia="黑体"/>
          <w:color w:val="000000" w:themeColor="text1"/>
          <w:kern w:val="2"/>
          <w:szCs w:val="21"/>
          <w14:textFill>
            <w14:solidFill>
              <w14:schemeClr w14:val="tx1"/>
            </w14:solidFill>
          </w14:textFill>
        </w:rPr>
        <w:t xml:space="preserve"> h</w:t>
      </w:r>
      <w:r>
        <w:rPr>
          <w:rFonts w:ascii="黑体" w:hAnsi="黑体" w:eastAsia="黑体"/>
          <w:color w:val="000000" w:themeColor="text1"/>
          <w:kern w:val="2"/>
          <w:szCs w:val="21"/>
          <w14:textFill>
            <w14:solidFill>
              <w14:schemeClr w14:val="tx1"/>
            </w14:solidFill>
          </w14:textFill>
        </w:rPr>
        <w:t>orizontal</w:t>
      </w:r>
      <w:r>
        <w:rPr>
          <w:rFonts w:hint="eastAsia" w:ascii="黑体" w:hAnsi="黑体" w:eastAsia="黑体"/>
          <w:color w:val="000000" w:themeColor="text1"/>
          <w:kern w:val="2"/>
          <w:szCs w:val="21"/>
          <w14:textFill>
            <w14:solidFill>
              <w14:schemeClr w14:val="tx1"/>
            </w14:solidFill>
          </w14:textFill>
        </w:rPr>
        <w:t xml:space="preserve"> c</w:t>
      </w:r>
      <w:r>
        <w:rPr>
          <w:rFonts w:ascii="黑体" w:hAnsi="黑体" w:eastAsia="黑体"/>
          <w:color w:val="000000" w:themeColor="text1"/>
          <w:kern w:val="2"/>
          <w:szCs w:val="21"/>
          <w14:textFill>
            <w14:solidFill>
              <w14:schemeClr w14:val="tx1"/>
            </w14:solidFill>
          </w14:textFill>
        </w:rPr>
        <w:t>ylindrical</w:t>
      </w:r>
      <w:r>
        <w:rPr>
          <w:rFonts w:hint="eastAsia" w:ascii="黑体" w:hAnsi="黑体" w:eastAsia="黑体"/>
          <w:color w:val="000000" w:themeColor="text1"/>
          <w:kern w:val="2"/>
          <w:szCs w:val="21"/>
          <w14:textFill>
            <w14:solidFill>
              <w14:schemeClr w14:val="tx1"/>
            </w14:solidFill>
          </w14:textFill>
        </w:rPr>
        <w:t xml:space="preserve"> v</w:t>
      </w:r>
      <w:r>
        <w:rPr>
          <w:rFonts w:ascii="黑体" w:hAnsi="黑体" w:eastAsia="黑体"/>
          <w:color w:val="000000" w:themeColor="text1"/>
          <w:kern w:val="2"/>
          <w:szCs w:val="21"/>
          <w14:textFill>
            <w14:solidFill>
              <w14:schemeClr w14:val="tx1"/>
            </w14:solidFill>
          </w14:textFill>
        </w:rPr>
        <w:t xml:space="preserve">essels </w:t>
      </w:r>
    </w:p>
    <w:p>
      <w:pPr>
        <w:widowControl w:val="0"/>
        <w:spacing w:line="240" w:lineRule="auto"/>
        <w:ind w:firstLine="420" w:firstLineChars="200"/>
        <w:textAlignment w:val="auto"/>
        <w:rPr>
          <w:color w:val="000000" w:themeColor="text1"/>
          <w14:textFill>
            <w14:solidFill>
              <w14:schemeClr w14:val="tx1"/>
            </w14:solidFill>
          </w14:textFill>
        </w:rPr>
      </w:pPr>
      <w:r>
        <w:rPr>
          <w:rFonts w:hint="eastAsia" w:cs="宋体"/>
          <w:color w:val="000000" w:themeColor="text1"/>
          <w:kern w:val="2"/>
          <w:szCs w:val="21"/>
          <w14:textFill>
            <w14:solidFill>
              <w14:schemeClr w14:val="tx1"/>
            </w14:solidFill>
          </w14:textFill>
        </w:rPr>
        <w:t>罐本体采用砂土等材料完全覆盖，罐壁管口法兰、人孔法兰和储罐检测仪表等集中布置且不被覆土层覆盖的储罐。</w:t>
      </w:r>
    </w:p>
    <w:p>
      <w:pPr>
        <w:widowControl w:val="0"/>
        <w:spacing w:before="158" w:beforeLines="50" w:line="240" w:lineRule="auto"/>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3.</w:t>
      </w:r>
      <w:r>
        <w:rPr>
          <w:rFonts w:ascii="黑体" w:hAnsi="黑体" w:eastAsia="黑体"/>
          <w:color w:val="000000" w:themeColor="text1"/>
          <w:kern w:val="2"/>
          <w:szCs w:val="21"/>
          <w14:textFill>
            <w14:solidFill>
              <w14:schemeClr w14:val="tx1"/>
            </w14:solidFill>
          </w14:textFill>
        </w:rPr>
        <w:t>10</w:t>
      </w:r>
    </w:p>
    <w:p>
      <w:pPr>
        <w:widowControl w:val="0"/>
        <w:spacing w:line="240" w:lineRule="auto"/>
        <w:ind w:firstLine="420" w:firstLineChars="200"/>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全压力式储罐 Fully pressurized</w:t>
      </w:r>
      <w:r>
        <w:rPr>
          <w:rFonts w:ascii="黑体" w:hAnsi="黑体" w:eastAsia="黑体"/>
          <w:color w:val="000000" w:themeColor="text1"/>
          <w:kern w:val="2"/>
          <w:szCs w:val="21"/>
          <w14:textFill>
            <w14:solidFill>
              <w14:schemeClr w14:val="tx1"/>
            </w14:solidFill>
          </w14:textFill>
        </w:rPr>
        <w:t xml:space="preserve"> storage </w:t>
      </w:r>
      <w:r>
        <w:rPr>
          <w:rFonts w:hint="eastAsia" w:ascii="黑体" w:hAnsi="黑体" w:eastAsia="黑体"/>
          <w:color w:val="000000" w:themeColor="text1"/>
          <w:kern w:val="2"/>
          <w:szCs w:val="21"/>
          <w14:textFill>
            <w14:solidFill>
              <w14:schemeClr w14:val="tx1"/>
            </w14:solidFill>
          </w14:textFill>
        </w:rPr>
        <w:t>tank</w:t>
      </w:r>
    </w:p>
    <w:p>
      <w:pPr>
        <w:widowControl w:val="0"/>
        <w:spacing w:line="240" w:lineRule="auto"/>
        <w:ind w:firstLine="420" w:firstLineChars="200"/>
        <w:textAlignment w:val="auto"/>
        <w:rPr>
          <w:rFonts w:cs="宋体"/>
          <w:color w:val="000000" w:themeColor="text1"/>
          <w:kern w:val="2"/>
          <w:szCs w:val="21"/>
          <w14:textFill>
            <w14:solidFill>
              <w14:schemeClr w14:val="tx1"/>
            </w14:solidFill>
          </w14:textFill>
        </w:rPr>
      </w:pPr>
      <w:r>
        <w:rPr>
          <w:rFonts w:hint="eastAsia" w:cs="宋体"/>
          <w:color w:val="000000" w:themeColor="text1"/>
          <w:kern w:val="2"/>
          <w:szCs w:val="21"/>
          <w14:textFill>
            <w14:solidFill>
              <w14:schemeClr w14:val="tx1"/>
            </w14:solidFill>
          </w14:textFill>
        </w:rPr>
        <w:t>在常温和较高压力下盛装液化烃的储罐。</w:t>
      </w:r>
    </w:p>
    <w:p>
      <w:pPr>
        <w:widowControl w:val="0"/>
        <w:spacing w:before="158" w:beforeLines="50" w:line="240" w:lineRule="auto"/>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3.</w:t>
      </w:r>
      <w:r>
        <w:rPr>
          <w:rFonts w:ascii="黑体" w:hAnsi="黑体" w:eastAsia="黑体"/>
          <w:color w:val="000000" w:themeColor="text1"/>
          <w:kern w:val="2"/>
          <w:szCs w:val="21"/>
          <w14:textFill>
            <w14:solidFill>
              <w14:schemeClr w14:val="tx1"/>
            </w14:solidFill>
          </w14:textFill>
        </w:rPr>
        <w:t>11</w:t>
      </w:r>
    </w:p>
    <w:p>
      <w:pPr>
        <w:widowControl w:val="0"/>
        <w:spacing w:line="240" w:lineRule="auto"/>
        <w:ind w:firstLine="420" w:firstLineChars="200"/>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半冷冻式储罐 Semi-refrigerated</w:t>
      </w:r>
      <w:r>
        <w:rPr>
          <w:rFonts w:ascii="黑体" w:hAnsi="黑体" w:eastAsia="黑体"/>
          <w:color w:val="000000" w:themeColor="text1"/>
          <w:kern w:val="2"/>
          <w:szCs w:val="21"/>
          <w14:textFill>
            <w14:solidFill>
              <w14:schemeClr w14:val="tx1"/>
            </w14:solidFill>
          </w14:textFill>
        </w:rPr>
        <w:t xml:space="preserve"> storage </w:t>
      </w:r>
      <w:r>
        <w:rPr>
          <w:rFonts w:hint="eastAsia" w:ascii="黑体" w:hAnsi="黑体" w:eastAsia="黑体"/>
          <w:color w:val="000000" w:themeColor="text1"/>
          <w:kern w:val="2"/>
          <w:szCs w:val="21"/>
          <w14:textFill>
            <w14:solidFill>
              <w14:schemeClr w14:val="tx1"/>
            </w14:solidFill>
          </w14:textFill>
        </w:rPr>
        <w:t>tank</w:t>
      </w:r>
    </w:p>
    <w:p>
      <w:pPr>
        <w:widowControl w:val="0"/>
        <w:spacing w:line="240" w:lineRule="auto"/>
        <w:ind w:firstLine="420" w:firstLineChars="200"/>
        <w:textAlignment w:val="auto"/>
        <w:rPr>
          <w:rFonts w:cs="宋体"/>
          <w:color w:val="000000" w:themeColor="text1"/>
          <w:kern w:val="2"/>
          <w:szCs w:val="21"/>
          <w14:textFill>
            <w14:solidFill>
              <w14:schemeClr w14:val="tx1"/>
            </w14:solidFill>
          </w14:textFill>
        </w:rPr>
      </w:pPr>
      <w:r>
        <w:rPr>
          <w:rFonts w:hint="eastAsia" w:cs="宋体"/>
          <w:color w:val="000000" w:themeColor="text1"/>
          <w:kern w:val="2"/>
          <w:szCs w:val="21"/>
          <w14:textFill>
            <w14:solidFill>
              <w14:schemeClr w14:val="tx1"/>
            </w14:solidFill>
          </w14:textFill>
        </w:rPr>
        <w:t>在较低温度和较低压力下盛装液化烃的储罐。</w:t>
      </w:r>
    </w:p>
    <w:p>
      <w:pPr>
        <w:widowControl w:val="0"/>
        <w:spacing w:before="158" w:beforeLines="50" w:line="240" w:lineRule="auto"/>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3.</w:t>
      </w:r>
      <w:r>
        <w:rPr>
          <w:rFonts w:ascii="黑体" w:hAnsi="黑体" w:eastAsia="黑体"/>
          <w:color w:val="000000" w:themeColor="text1"/>
          <w:kern w:val="2"/>
          <w:szCs w:val="21"/>
          <w14:textFill>
            <w14:solidFill>
              <w14:schemeClr w14:val="tx1"/>
            </w14:solidFill>
          </w14:textFill>
        </w:rPr>
        <w:t>12</w:t>
      </w:r>
    </w:p>
    <w:p>
      <w:pPr>
        <w:widowControl w:val="0"/>
        <w:spacing w:line="240" w:lineRule="auto"/>
        <w:ind w:firstLine="420" w:firstLineChars="200"/>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全冷冻式储罐 Fully refrigerated</w:t>
      </w:r>
      <w:r>
        <w:rPr>
          <w:rFonts w:ascii="黑体" w:hAnsi="黑体" w:eastAsia="黑体"/>
          <w:color w:val="000000" w:themeColor="text1"/>
          <w:kern w:val="2"/>
          <w:szCs w:val="21"/>
          <w14:textFill>
            <w14:solidFill>
              <w14:schemeClr w14:val="tx1"/>
            </w14:solidFill>
          </w14:textFill>
        </w:rPr>
        <w:t xml:space="preserve"> storage </w:t>
      </w:r>
      <w:r>
        <w:rPr>
          <w:rFonts w:hint="eastAsia" w:ascii="黑体" w:hAnsi="黑体" w:eastAsia="黑体"/>
          <w:color w:val="000000" w:themeColor="text1"/>
          <w:kern w:val="2"/>
          <w:szCs w:val="21"/>
          <w14:textFill>
            <w14:solidFill>
              <w14:schemeClr w14:val="tx1"/>
            </w14:solidFill>
          </w14:textFill>
        </w:rPr>
        <w:t>tank</w:t>
      </w:r>
    </w:p>
    <w:p>
      <w:pPr>
        <w:widowControl w:val="0"/>
        <w:spacing w:line="240" w:lineRule="auto"/>
        <w:ind w:firstLine="420" w:firstLineChars="200"/>
        <w:textAlignment w:val="auto"/>
        <w:rPr>
          <w:rFonts w:cs="宋体"/>
          <w:color w:val="000000" w:themeColor="text1"/>
          <w:kern w:val="2"/>
          <w:szCs w:val="21"/>
          <w14:textFill>
            <w14:solidFill>
              <w14:schemeClr w14:val="tx1"/>
            </w14:solidFill>
          </w14:textFill>
        </w:rPr>
      </w:pPr>
      <w:r>
        <w:rPr>
          <w:rFonts w:hint="eastAsia" w:cs="宋体"/>
          <w:color w:val="000000" w:themeColor="text1"/>
          <w:kern w:val="2"/>
          <w:szCs w:val="21"/>
          <w14:textFill>
            <w14:solidFill>
              <w14:schemeClr w14:val="tx1"/>
            </w14:solidFill>
          </w14:textFill>
        </w:rPr>
        <w:t>在低温常压下盛装液化烃的储罐，本文件仅指全容罐和薄膜罐。</w:t>
      </w:r>
    </w:p>
    <w:p>
      <w:pPr>
        <w:widowControl w:val="0"/>
        <w:spacing w:before="158" w:beforeLines="50" w:line="240" w:lineRule="auto"/>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3.</w:t>
      </w:r>
      <w:r>
        <w:rPr>
          <w:rFonts w:ascii="黑体" w:hAnsi="黑体" w:eastAsia="黑体"/>
          <w:color w:val="000000" w:themeColor="text1"/>
          <w:kern w:val="2"/>
          <w:szCs w:val="21"/>
          <w14:textFill>
            <w14:solidFill>
              <w14:schemeClr w14:val="tx1"/>
            </w14:solidFill>
          </w14:textFill>
        </w:rPr>
        <w:t>13</w:t>
      </w:r>
    </w:p>
    <w:p>
      <w:pPr>
        <w:widowControl w:val="0"/>
        <w:spacing w:line="240" w:lineRule="auto"/>
        <w:ind w:firstLine="420" w:firstLineChars="200"/>
        <w:jc w:val="left"/>
        <w:textAlignment w:val="auto"/>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全容罐</w:t>
      </w:r>
      <w:r>
        <w:rPr>
          <w:rFonts w:ascii="黑体" w:hAnsi="黑体" w:eastAsia="黑体"/>
          <w:color w:val="000000" w:themeColor="text1"/>
          <w:kern w:val="2"/>
          <w:szCs w:val="21"/>
          <w14:textFill>
            <w14:solidFill>
              <w14:schemeClr w14:val="tx1"/>
            </w14:solidFill>
          </w14:textFill>
        </w:rPr>
        <w:t>F</w:t>
      </w:r>
      <w:r>
        <w:rPr>
          <w:rFonts w:hint="eastAsia" w:ascii="黑体" w:hAnsi="黑体" w:eastAsia="黑体"/>
          <w:color w:val="000000" w:themeColor="text1"/>
          <w:kern w:val="2"/>
          <w:szCs w:val="21"/>
          <w14:textFill>
            <w14:solidFill>
              <w14:schemeClr w14:val="tx1"/>
            </w14:solidFill>
          </w14:textFill>
        </w:rPr>
        <w:t>ull containment storage tank</w:t>
      </w:r>
    </w:p>
    <w:p>
      <w:pPr>
        <w:widowControl w:val="0"/>
        <w:spacing w:line="240" w:lineRule="auto"/>
        <w:ind w:firstLine="420" w:firstLineChars="200"/>
        <w:textAlignment w:val="auto"/>
        <w:rPr>
          <w:rFonts w:cs="宋体"/>
          <w:color w:val="000000" w:themeColor="text1"/>
          <w:kern w:val="2"/>
          <w:szCs w:val="21"/>
          <w14:textFill>
            <w14:solidFill>
              <w14:schemeClr w14:val="tx1"/>
            </w14:solidFill>
          </w14:textFill>
        </w:rPr>
      </w:pPr>
      <w:r>
        <w:rPr>
          <w:rFonts w:hint="eastAsia" w:cs="宋体"/>
          <w:color w:val="000000" w:themeColor="text1"/>
          <w:kern w:val="2"/>
          <w:szCs w:val="21"/>
          <w14:textFill>
            <w14:solidFill>
              <w14:schemeClr w14:val="tx1"/>
            </w14:solidFill>
          </w14:textFill>
        </w:rPr>
        <w:t>由内罐和外罐组成的储罐。其内罐和外罐都能适应储存低温冷冻液体，内外罐之间的距离为1~2m，罐顶由外罐支撑，在正常操作条件下内罐储存低温冷冻液体，外罐既能储存冷冻液体，又能限制内罐泄漏液体所产生的气体排放。</w:t>
      </w:r>
    </w:p>
    <w:p>
      <w:pPr>
        <w:widowControl w:val="0"/>
        <w:spacing w:before="158" w:beforeLines="50" w:line="240" w:lineRule="auto"/>
        <w:jc w:val="left"/>
        <w:textAlignment w:val="auto"/>
        <w:rPr>
          <w:rFonts w:ascii="黑体" w:hAnsi="黑体" w:eastAsia="黑体"/>
          <w:color w:val="000000" w:themeColor="text1"/>
          <w:kern w:val="2"/>
          <w:szCs w:val="21"/>
          <w14:textFill>
            <w14:solidFill>
              <w14:schemeClr w14:val="tx1"/>
            </w14:solidFill>
          </w14:textFill>
        </w:rPr>
      </w:pPr>
      <w:r>
        <w:rPr>
          <w:rFonts w:ascii="黑体" w:hAnsi="黑体" w:eastAsia="黑体"/>
          <w:color w:val="000000" w:themeColor="text1"/>
          <w:kern w:val="2"/>
          <w:szCs w:val="21"/>
          <w14:textFill>
            <w14:solidFill>
              <w14:schemeClr w14:val="tx1"/>
            </w14:solidFill>
          </w14:textFill>
        </w:rPr>
        <w:t>3.14</w:t>
      </w:r>
    </w:p>
    <w:p>
      <w:pPr>
        <w:widowControl w:val="0"/>
        <w:spacing w:line="240" w:lineRule="auto"/>
        <w:ind w:firstLine="420" w:firstLineChars="200"/>
        <w:jc w:val="left"/>
        <w:textAlignment w:val="auto"/>
        <w:rPr>
          <w:rFonts w:ascii="黑体" w:hAnsi="黑体" w:eastAsia="黑体"/>
          <w:color w:val="auto"/>
          <w:kern w:val="2"/>
          <w:szCs w:val="21"/>
        </w:rPr>
      </w:pPr>
      <w:r>
        <w:rPr>
          <w:rFonts w:hint="eastAsia" w:ascii="黑体" w:hAnsi="黑体" w:eastAsia="黑体"/>
          <w:color w:val="auto"/>
          <w:kern w:val="2"/>
          <w:szCs w:val="21"/>
        </w:rPr>
        <w:t>薄膜罐</w:t>
      </w:r>
      <w:r>
        <w:rPr>
          <w:rFonts w:ascii="黑体" w:hAnsi="黑体" w:eastAsia="黑体"/>
          <w:color w:val="auto"/>
          <w:kern w:val="2"/>
          <w:szCs w:val="21"/>
        </w:rPr>
        <w:t xml:space="preserve"> Membrane tank</w:t>
      </w:r>
    </w:p>
    <w:p>
      <w:pPr>
        <w:widowControl w:val="0"/>
        <w:spacing w:line="240" w:lineRule="auto"/>
        <w:ind w:firstLine="420" w:firstLineChars="200"/>
        <w:textAlignment w:val="auto"/>
        <w:rPr>
          <w:rFonts w:cs="宋体"/>
          <w:color w:val="000000" w:themeColor="text1"/>
          <w:kern w:val="2"/>
          <w:szCs w:val="21"/>
          <w14:textFill>
            <w14:solidFill>
              <w14:schemeClr w14:val="tx1"/>
            </w14:solidFill>
          </w14:textFill>
        </w:rPr>
      </w:pPr>
      <w:r>
        <w:rPr>
          <w:rFonts w:hint="eastAsia" w:cs="宋体"/>
          <w:color w:val="000000" w:themeColor="text1"/>
          <w:kern w:val="2"/>
          <w:szCs w:val="21"/>
          <w14:textFill>
            <w14:solidFill>
              <w14:schemeClr w14:val="tx1"/>
            </w14:solidFill>
          </w14:textFill>
        </w:rPr>
        <w:t>金属薄膜内罐、绝热层及混凝土外罐共同形成的复合结构。金属薄膜内罐为非自支撑式结构，用于储存低温冷冻液体，其液相荷载和其他施加在金属薄膜上的荷载通过可承受荷载的绝热层全部传递到混凝土外罐上，其气相压力由储罐的顶部承受。</w:t>
      </w:r>
    </w:p>
    <w:p>
      <w:pPr>
        <w:widowControl w:val="0"/>
        <w:spacing w:before="317" w:beforeLines="100" w:after="317" w:afterLines="100" w:line="240" w:lineRule="auto"/>
        <w:jc w:val="left"/>
        <w:textAlignment w:val="auto"/>
        <w:outlineLvl w:val="0"/>
        <w:rPr>
          <w:rFonts w:ascii="黑体" w:hAnsi="黑体" w:eastAsia="黑体"/>
          <w:color w:val="000000" w:themeColor="text1"/>
          <w:kern w:val="2"/>
          <w:szCs w:val="21"/>
          <w14:textFill>
            <w14:solidFill>
              <w14:schemeClr w14:val="tx1"/>
            </w14:solidFill>
          </w14:textFill>
        </w:rPr>
      </w:pPr>
      <w:bookmarkStart w:id="22" w:name="_Toc118962011"/>
      <w:r>
        <w:rPr>
          <w:rFonts w:hint="eastAsia" w:ascii="黑体" w:hAnsi="黑体" w:eastAsia="黑体"/>
          <w:color w:val="000000" w:themeColor="text1"/>
          <w:kern w:val="2"/>
          <w:szCs w:val="21"/>
          <w14:textFill>
            <w14:solidFill>
              <w14:schemeClr w14:val="tx1"/>
            </w14:solidFill>
          </w14:textFill>
        </w:rPr>
        <w:t>4  总体要求</w:t>
      </w:r>
      <w:bookmarkEnd w:id="22"/>
    </w:p>
    <w:p>
      <w:pPr>
        <w:pStyle w:val="71"/>
        <w:ind w:left="6" w:firstLine="0" w:firstLineChars="0"/>
        <w:rPr>
          <w:rFonts w:ascii="Times New Roman"/>
          <w:color w:val="000000" w:themeColor="text1"/>
          <w:kern w:val="2"/>
          <w:szCs w:val="24"/>
          <w14:textFill>
            <w14:solidFill>
              <w14:schemeClr w14:val="tx1"/>
            </w14:solidFill>
          </w14:textFill>
        </w:rPr>
      </w:pPr>
      <w:r>
        <w:rPr>
          <w:rFonts w:hint="eastAsia" w:ascii="黑体" w:hAnsi="黑体" w:eastAsia="黑体"/>
          <w:color w:val="000000" w:themeColor="text1"/>
          <w:kern w:val="2"/>
          <w:szCs w:val="24"/>
          <w14:textFill>
            <w14:solidFill>
              <w14:schemeClr w14:val="tx1"/>
            </w14:solidFill>
          </w14:textFill>
        </w:rPr>
        <w:t>4</w:t>
      </w:r>
      <w:r>
        <w:rPr>
          <w:rFonts w:ascii="黑体" w:hAnsi="黑体" w:eastAsia="黑体"/>
          <w:color w:val="000000" w:themeColor="text1"/>
          <w:kern w:val="2"/>
          <w:szCs w:val="24"/>
          <w14:textFill>
            <w14:solidFill>
              <w14:schemeClr w14:val="tx1"/>
            </w14:solidFill>
          </w14:textFill>
        </w:rPr>
        <w:t xml:space="preserve">.1  </w:t>
      </w:r>
      <w:r>
        <w:rPr>
          <w:rFonts w:hint="eastAsia" w:ascii="Times New Roman"/>
          <w:color w:val="000000" w:themeColor="text1"/>
          <w:kern w:val="2"/>
          <w:szCs w:val="24"/>
          <w14:textFill>
            <w14:solidFill>
              <w14:schemeClr w14:val="tx1"/>
            </w14:solidFill>
          </w14:textFill>
        </w:rPr>
        <w:t>液化烃储罐区应实施全过程安全风险管理。开展液化烃储罐区各阶段风险分析，基于风险分析结果和本质安全的策略制定有效防控措施，确保液化烃储罐区运行安全。</w:t>
      </w:r>
    </w:p>
    <w:p>
      <w:pPr>
        <w:pStyle w:val="71"/>
        <w:ind w:firstLine="0" w:firstLineChars="0"/>
        <w:rPr>
          <w:rFonts w:ascii="Times New Roman"/>
          <w:color w:val="000000" w:themeColor="text1"/>
          <w:kern w:val="2"/>
          <w:szCs w:val="24"/>
          <w14:textFill>
            <w14:solidFill>
              <w14:schemeClr w14:val="tx1"/>
            </w14:solidFill>
          </w14:textFill>
        </w:rPr>
      </w:pPr>
      <w:r>
        <w:rPr>
          <w:rFonts w:ascii="黑体" w:hAnsi="黑体" w:eastAsia="黑体"/>
          <w:color w:val="000000" w:themeColor="text1"/>
          <w:kern w:val="2"/>
          <w:szCs w:val="24"/>
          <w14:textFill>
            <w14:solidFill>
              <w14:schemeClr w14:val="tx1"/>
            </w14:solidFill>
          </w14:textFill>
        </w:rPr>
        <w:t xml:space="preserve">4.2  </w:t>
      </w:r>
      <w:r>
        <w:rPr>
          <w:rFonts w:hint="eastAsia" w:ascii="Times New Roman"/>
          <w:color w:val="000000" w:themeColor="text1"/>
          <w:kern w:val="2"/>
          <w:szCs w:val="24"/>
          <w14:textFill>
            <w14:solidFill>
              <w14:schemeClr w14:val="tx1"/>
            </w14:solidFill>
          </w14:textFill>
        </w:rPr>
        <w:t>液化烃储罐区工程设计除应执行本文件外，尚应符合G</w:t>
      </w:r>
      <w:r>
        <w:rPr>
          <w:rFonts w:ascii="Times New Roman"/>
          <w:color w:val="000000" w:themeColor="text1"/>
          <w:kern w:val="2"/>
          <w:szCs w:val="24"/>
          <w14:textFill>
            <w14:solidFill>
              <w14:schemeClr w14:val="tx1"/>
            </w14:solidFill>
          </w14:textFill>
        </w:rPr>
        <w:t>B/T 20801</w:t>
      </w:r>
      <w:r>
        <w:rPr>
          <w:rFonts w:hint="eastAsia" w:ascii="Times New Roman"/>
          <w:color w:val="000000" w:themeColor="text1"/>
          <w:kern w:val="2"/>
          <w:szCs w:val="24"/>
          <w14:textFill>
            <w14:solidFill>
              <w14:schemeClr w14:val="tx1"/>
            </w14:solidFill>
          </w14:textFill>
        </w:rPr>
        <w:t>、GB 50160、GB 50984、GB 50058、SH/T 3007、SH 3009、SH 3012、SH/T 3059、SH/T 3108、SH 3136及其他有关现行国家和行业标准的规定。</w:t>
      </w:r>
    </w:p>
    <w:p>
      <w:pPr>
        <w:pStyle w:val="71"/>
        <w:ind w:firstLine="0" w:firstLineChars="0"/>
        <w:rPr>
          <w:rFonts w:hAnsi="宋体"/>
          <w:color w:val="000000" w:themeColor="text1"/>
          <w:sz w:val="28"/>
          <w:szCs w:val="28"/>
          <w14:textFill>
            <w14:solidFill>
              <w14:schemeClr w14:val="tx1"/>
            </w14:solidFill>
          </w14:textFill>
        </w:rPr>
      </w:pPr>
      <w:r>
        <w:rPr>
          <w:rFonts w:ascii="黑体" w:hAnsi="黑体" w:eastAsia="黑体"/>
          <w:color w:val="000000" w:themeColor="text1"/>
          <w:kern w:val="2"/>
          <w:szCs w:val="24"/>
          <w14:textFill>
            <w14:solidFill>
              <w14:schemeClr w14:val="tx1"/>
            </w14:solidFill>
          </w14:textFill>
        </w:rPr>
        <w:t xml:space="preserve">4.3  </w:t>
      </w:r>
      <w:r>
        <w:rPr>
          <w:rFonts w:hint="eastAsia" w:ascii="Times New Roman"/>
          <w:color w:val="000000" w:themeColor="text1"/>
          <w:kern w:val="2"/>
          <w:szCs w:val="24"/>
          <w14:textFill>
            <w14:solidFill>
              <w14:schemeClr w14:val="tx1"/>
            </w14:solidFill>
          </w14:textFill>
        </w:rPr>
        <w:t>液化烃储罐区的外部安全防护距离应满足GB 36894、G</w:t>
      </w:r>
      <w:r>
        <w:rPr>
          <w:rFonts w:ascii="Times New Roman"/>
          <w:color w:val="000000" w:themeColor="text1"/>
          <w:kern w:val="2"/>
          <w:szCs w:val="24"/>
          <w14:textFill>
            <w14:solidFill>
              <w14:schemeClr w14:val="tx1"/>
            </w14:solidFill>
          </w14:textFill>
        </w:rPr>
        <w:t>B</w:t>
      </w:r>
      <w:r>
        <w:rPr>
          <w:rFonts w:hint="eastAsia" w:ascii="Times New Roman"/>
          <w:color w:val="000000" w:themeColor="text1"/>
          <w:kern w:val="2"/>
          <w:szCs w:val="24"/>
          <w14:textFill>
            <w14:solidFill>
              <w14:schemeClr w14:val="tx1"/>
            </w14:solidFill>
          </w14:textFill>
        </w:rPr>
        <w:t>/</w:t>
      </w:r>
      <w:r>
        <w:rPr>
          <w:rFonts w:ascii="Times New Roman"/>
          <w:color w:val="000000" w:themeColor="text1"/>
          <w:kern w:val="2"/>
          <w:szCs w:val="24"/>
          <w14:textFill>
            <w14:solidFill>
              <w14:schemeClr w14:val="tx1"/>
            </w14:solidFill>
          </w14:textFill>
        </w:rPr>
        <w:t xml:space="preserve">T </w:t>
      </w:r>
      <w:bookmarkStart w:id="23" w:name="_Hlk128145597"/>
      <w:r>
        <w:rPr>
          <w:rFonts w:ascii="Times New Roman"/>
          <w:color w:val="000000" w:themeColor="text1"/>
          <w:kern w:val="2"/>
          <w:szCs w:val="24"/>
          <w14:textFill>
            <w14:solidFill>
              <w14:schemeClr w14:val="tx1"/>
            </w14:solidFill>
          </w14:textFill>
        </w:rPr>
        <w:t>37243</w:t>
      </w:r>
      <w:bookmarkEnd w:id="23"/>
      <w:r>
        <w:rPr>
          <w:rFonts w:hint="eastAsia" w:ascii="Times New Roman"/>
          <w:color w:val="000000" w:themeColor="text1"/>
          <w:kern w:val="2"/>
          <w:szCs w:val="24"/>
          <w14:textFill>
            <w14:solidFill>
              <w14:schemeClr w14:val="tx1"/>
            </w14:solidFill>
          </w14:textFill>
        </w:rPr>
        <w:t>中规定的个人风险及社会风险的要求。</w:t>
      </w:r>
    </w:p>
    <w:p>
      <w:pPr>
        <w:pStyle w:val="71"/>
        <w:ind w:left="6" w:firstLine="0" w:firstLineChars="0"/>
        <w:rPr>
          <w:rFonts w:ascii="Times New Roman"/>
          <w:color w:val="000000" w:themeColor="text1"/>
          <w:kern w:val="2"/>
          <w:szCs w:val="24"/>
          <w14:textFill>
            <w14:solidFill>
              <w14:schemeClr w14:val="tx1"/>
            </w14:solidFill>
          </w14:textFill>
        </w:rPr>
      </w:pPr>
      <w:r>
        <w:rPr>
          <w:rFonts w:ascii="黑体" w:hAnsi="黑体" w:eastAsia="黑体"/>
          <w:color w:val="000000" w:themeColor="text1"/>
          <w:kern w:val="2"/>
          <w:szCs w:val="24"/>
          <w14:textFill>
            <w14:solidFill>
              <w14:schemeClr w14:val="tx1"/>
            </w14:solidFill>
          </w14:textFill>
        </w:rPr>
        <w:t xml:space="preserve">4.4  </w:t>
      </w:r>
      <w:r>
        <w:rPr>
          <w:rFonts w:hint="eastAsia" w:hAnsi="宋体"/>
          <w:color w:val="000000" w:themeColor="text1"/>
          <w14:textFill>
            <w14:solidFill>
              <w14:schemeClr w14:val="tx1"/>
            </w14:solidFill>
          </w14:textFill>
        </w:rPr>
        <w:t>新建</w:t>
      </w:r>
      <w:r>
        <w:rPr>
          <w:rFonts w:hint="eastAsia" w:ascii="Times New Roman"/>
          <w:color w:val="000000" w:themeColor="text1"/>
          <w:kern w:val="2"/>
          <w:szCs w:val="24"/>
          <w14:textFill>
            <w14:solidFill>
              <w14:schemeClr w14:val="tx1"/>
            </w14:solidFill>
          </w14:textFill>
        </w:rPr>
        <w:t>液化烃储罐应根据生产需要和风险评估，确定液化烃储</w:t>
      </w:r>
      <w:r>
        <w:rPr>
          <w:rFonts w:ascii="Times New Roman"/>
          <w:color w:val="000000" w:themeColor="text1"/>
          <w:kern w:val="2"/>
          <w:szCs w:val="24"/>
          <w14:textFill>
            <w14:solidFill>
              <w14:schemeClr w14:val="tx1"/>
            </w14:solidFill>
          </w14:textFill>
        </w:rPr>
        <w:t>罐区</w:t>
      </w:r>
      <w:r>
        <w:rPr>
          <w:rFonts w:hint="eastAsia" w:ascii="Times New Roman"/>
          <w:color w:val="000000" w:themeColor="text1"/>
          <w:kern w:val="2"/>
          <w:szCs w:val="24"/>
          <w14:textFill>
            <w14:solidFill>
              <w14:schemeClr w14:val="tx1"/>
            </w14:solidFill>
          </w14:textFill>
        </w:rPr>
        <w:t>储罐</w:t>
      </w:r>
      <w:r>
        <w:rPr>
          <w:rFonts w:ascii="Times New Roman"/>
          <w:color w:val="000000" w:themeColor="text1"/>
          <w:kern w:val="2"/>
          <w:szCs w:val="24"/>
          <w14:textFill>
            <w14:solidFill>
              <w14:schemeClr w14:val="tx1"/>
            </w14:solidFill>
          </w14:textFill>
        </w:rPr>
        <w:t>选型</w:t>
      </w:r>
      <w:r>
        <w:rPr>
          <w:rFonts w:hint="eastAsia" w:ascii="Times New Roman"/>
          <w:color w:val="000000" w:themeColor="text1"/>
          <w:kern w:val="2"/>
          <w:szCs w:val="24"/>
          <w14:textFill>
            <w14:solidFill>
              <w14:schemeClr w14:val="tx1"/>
            </w14:solidFill>
          </w14:textFill>
        </w:rPr>
        <w:t>，可采用全冷冻式储罐、覆土式储罐、压力式储罐，并满足以下要求：</w:t>
      </w:r>
    </w:p>
    <w:p>
      <w:pPr>
        <w:pStyle w:val="149"/>
        <w:widowControl w:val="0"/>
        <w:numPr>
          <w:ilvl w:val="0"/>
          <w:numId w:val="20"/>
        </w:numPr>
        <w:tabs>
          <w:tab w:val="left" w:pos="1050"/>
        </w:tabs>
        <w:spacing w:line="240" w:lineRule="auto"/>
        <w:ind w:firstLineChars="0"/>
        <w:textAlignment w:val="auto"/>
        <w:rPr>
          <w:color w:val="000000" w:themeColor="text1"/>
          <w14:textFill>
            <w14:solidFill>
              <w14:schemeClr w14:val="tx1"/>
            </w14:solidFill>
          </w14:textFill>
        </w:rPr>
      </w:pPr>
      <w:r>
        <w:rPr>
          <w:rFonts w:hint="eastAsia"/>
          <w:color w:val="000000" w:themeColor="text1"/>
          <w:kern w:val="2"/>
          <w:szCs w:val="24"/>
          <w14:textFill>
            <w14:solidFill>
              <w14:schemeClr w14:val="tx1"/>
            </w14:solidFill>
          </w14:textFill>
        </w:rPr>
        <w:t>压力式储罐</w:t>
      </w:r>
      <w:r>
        <w:rPr>
          <w:color w:val="000000" w:themeColor="text1"/>
          <w:kern w:val="2"/>
          <w:szCs w:val="24"/>
          <w14:textFill>
            <w14:solidFill>
              <w14:schemeClr w14:val="tx1"/>
            </w14:solidFill>
          </w14:textFill>
        </w:rPr>
        <w:t>单罐容量</w:t>
      </w:r>
      <w:r>
        <w:rPr>
          <w:rFonts w:hint="eastAsia"/>
          <w:color w:val="000000" w:themeColor="text1"/>
          <w:kern w:val="2"/>
          <w:szCs w:val="24"/>
          <w14:textFill>
            <w14:solidFill>
              <w14:schemeClr w14:val="tx1"/>
            </w14:solidFill>
          </w14:textFill>
        </w:rPr>
        <w:t>不应</w:t>
      </w:r>
      <w:r>
        <w:rPr>
          <w:color w:val="000000" w:themeColor="text1"/>
          <w:kern w:val="2"/>
          <w:szCs w:val="24"/>
          <w14:textFill>
            <w14:solidFill>
              <w14:schemeClr w14:val="tx1"/>
            </w14:solidFill>
          </w14:textFill>
        </w:rPr>
        <w:t>大于3000m</w:t>
      </w:r>
      <w:r>
        <w:rPr>
          <w:color w:val="000000" w:themeColor="text1"/>
          <w:kern w:val="2"/>
          <w:szCs w:val="24"/>
          <w:vertAlign w:val="superscript"/>
          <w14:textFill>
            <w14:solidFill>
              <w14:schemeClr w14:val="tx1"/>
            </w14:solidFill>
          </w14:textFill>
        </w:rPr>
        <w:t>3</w:t>
      </w:r>
      <w:r>
        <w:rPr>
          <w:rFonts w:hint="eastAsia"/>
          <w:color w:val="000000" w:themeColor="text1"/>
          <w:kern w:val="2"/>
          <w:szCs w:val="24"/>
          <w14:textFill>
            <w14:solidFill>
              <w14:schemeClr w14:val="tx1"/>
            </w14:solidFill>
          </w14:textFill>
        </w:rPr>
        <w:t>；覆土式储罐</w:t>
      </w:r>
      <w:r>
        <w:rPr>
          <w:color w:val="000000" w:themeColor="text1"/>
          <w:kern w:val="2"/>
          <w:szCs w:val="24"/>
          <w14:textFill>
            <w14:solidFill>
              <w14:schemeClr w14:val="tx1"/>
            </w14:solidFill>
          </w14:textFill>
        </w:rPr>
        <w:t>单罐容量</w:t>
      </w:r>
      <w:r>
        <w:rPr>
          <w:rFonts w:hint="eastAsia"/>
          <w:color w:val="000000" w:themeColor="text1"/>
          <w:kern w:val="2"/>
          <w:szCs w:val="24"/>
          <w14:textFill>
            <w14:solidFill>
              <w14:schemeClr w14:val="tx1"/>
            </w14:solidFill>
          </w14:textFill>
        </w:rPr>
        <w:t>不应</w:t>
      </w:r>
      <w:r>
        <w:rPr>
          <w:color w:val="000000" w:themeColor="text1"/>
          <w:kern w:val="2"/>
          <w:szCs w:val="24"/>
          <w14:textFill>
            <w14:solidFill>
              <w14:schemeClr w14:val="tx1"/>
            </w14:solidFill>
          </w14:textFill>
        </w:rPr>
        <w:t>大于3500m</w:t>
      </w:r>
      <w:r>
        <w:rPr>
          <w:color w:val="000000" w:themeColor="text1"/>
          <w:kern w:val="2"/>
          <w:szCs w:val="24"/>
          <w:vertAlign w:val="superscript"/>
          <w14:textFill>
            <w14:solidFill>
              <w14:schemeClr w14:val="tx1"/>
            </w14:solidFill>
          </w14:textFill>
        </w:rPr>
        <w:t>3</w:t>
      </w:r>
      <w:r>
        <w:rPr>
          <w:rFonts w:hint="eastAsia"/>
          <w:color w:val="000000" w:themeColor="text1"/>
          <w:kern w:val="2"/>
          <w:szCs w:val="24"/>
          <w14:textFill>
            <w14:solidFill>
              <w14:schemeClr w14:val="tx1"/>
            </w14:solidFill>
          </w14:textFill>
        </w:rPr>
        <w:t>；厂区内全冷冻式储罐单罐容量不应大于等于</w:t>
      </w:r>
      <w:r>
        <w:rPr>
          <w:color w:val="000000" w:themeColor="text1"/>
          <w:kern w:val="2"/>
          <w:szCs w:val="24"/>
          <w14:textFill>
            <w14:solidFill>
              <w14:schemeClr w14:val="tx1"/>
            </w14:solidFill>
          </w14:textFill>
        </w:rPr>
        <w:t>50000m</w:t>
      </w:r>
      <w:r>
        <w:rPr>
          <w:color w:val="000000" w:themeColor="text1"/>
          <w:kern w:val="2"/>
          <w:szCs w:val="24"/>
          <w:vertAlign w:val="superscript"/>
          <w14:textFill>
            <w14:solidFill>
              <w14:schemeClr w14:val="tx1"/>
            </w14:solidFill>
          </w14:textFill>
        </w:rPr>
        <w:t>3</w:t>
      </w:r>
      <w:r>
        <w:rPr>
          <w:rFonts w:hint="eastAsia"/>
          <w:color w:val="000000" w:themeColor="text1"/>
          <w:kern w:val="2"/>
          <w:szCs w:val="24"/>
          <w14:textFill>
            <w14:solidFill>
              <w14:schemeClr w14:val="tx1"/>
            </w14:solidFill>
          </w14:textFill>
        </w:rPr>
        <w:t>，确有需要单罐容量大于等于</w:t>
      </w:r>
      <w:r>
        <w:rPr>
          <w:color w:val="000000" w:themeColor="text1"/>
          <w:kern w:val="2"/>
          <w:szCs w:val="24"/>
          <w14:textFill>
            <w14:solidFill>
              <w14:schemeClr w14:val="tx1"/>
            </w14:solidFill>
          </w14:textFill>
        </w:rPr>
        <w:t>50000m</w:t>
      </w:r>
      <w:r>
        <w:rPr>
          <w:color w:val="000000" w:themeColor="text1"/>
          <w:kern w:val="2"/>
          <w:szCs w:val="24"/>
          <w:vertAlign w:val="superscript"/>
          <w14:textFill>
            <w14:solidFill>
              <w14:schemeClr w14:val="tx1"/>
            </w14:solidFill>
          </w14:textFill>
        </w:rPr>
        <w:t>3</w:t>
      </w:r>
      <w:r>
        <w:rPr>
          <w:rFonts w:hint="eastAsia"/>
          <w:color w:val="000000" w:themeColor="text1"/>
          <w:kern w:val="2"/>
          <w:szCs w:val="24"/>
          <w14:textFill>
            <w14:solidFill>
              <w14:schemeClr w14:val="tx1"/>
            </w14:solidFill>
          </w14:textFill>
        </w:rPr>
        <w:t>时，储罐应采用预应力混凝土外罐结构；</w:t>
      </w:r>
    </w:p>
    <w:p>
      <w:pPr>
        <w:pStyle w:val="149"/>
        <w:widowControl w:val="0"/>
        <w:numPr>
          <w:ilvl w:val="0"/>
          <w:numId w:val="20"/>
        </w:numPr>
        <w:tabs>
          <w:tab w:val="left" w:pos="1050"/>
        </w:tabs>
        <w:spacing w:line="240" w:lineRule="auto"/>
        <w:ind w:firstLineChars="0"/>
        <w:textAlignment w:val="auto"/>
        <w:rPr>
          <w:color w:val="000000" w:themeColor="text1"/>
          <w:kern w:val="2"/>
          <w:szCs w:val="24"/>
          <w14:textFill>
            <w14:solidFill>
              <w14:schemeClr w14:val="tx1"/>
            </w14:solidFill>
          </w14:textFill>
        </w:rPr>
      </w:pPr>
      <w:r>
        <w:rPr>
          <w:rFonts w:hint="eastAsia"/>
          <w:color w:val="000000" w:themeColor="text1"/>
          <w:kern w:val="2"/>
          <w:szCs w:val="24"/>
          <w14:textFill>
            <w14:solidFill>
              <w14:schemeClr w14:val="tx1"/>
            </w14:solidFill>
          </w14:textFill>
        </w:rPr>
        <w:t>对于每一种C</w:t>
      </w:r>
      <w:r>
        <w:rPr>
          <w:rFonts w:hint="eastAsia"/>
          <w:color w:val="000000" w:themeColor="text1"/>
          <w:kern w:val="2"/>
          <w:szCs w:val="24"/>
          <w:vertAlign w:val="subscript"/>
          <w14:textFill>
            <w14:solidFill>
              <w14:schemeClr w14:val="tx1"/>
            </w14:solidFill>
          </w14:textFill>
        </w:rPr>
        <w:t>2</w:t>
      </w:r>
      <w:r>
        <w:rPr>
          <w:rFonts w:hint="eastAsia"/>
          <w:color w:val="000000" w:themeColor="text1"/>
          <w:kern w:val="2"/>
          <w:szCs w:val="24"/>
          <w14:textFill>
            <w14:solidFill>
              <w14:schemeClr w14:val="tx1"/>
            </w14:solidFill>
          </w14:textFill>
        </w:rPr>
        <w:t>类液化烃，当其年加工量或周转量小于或等于100万吨/年时，压力式储罐总容量不应大于12000m</w:t>
      </w:r>
      <w:r>
        <w:rPr>
          <w:rFonts w:hint="eastAsia"/>
          <w:color w:val="000000" w:themeColor="text1"/>
          <w:kern w:val="2"/>
          <w:szCs w:val="24"/>
          <w:vertAlign w:val="superscript"/>
          <w14:textFill>
            <w14:solidFill>
              <w14:schemeClr w14:val="tx1"/>
            </w14:solidFill>
          </w14:textFill>
        </w:rPr>
        <w:t>3</w:t>
      </w:r>
      <w:r>
        <w:rPr>
          <w:rFonts w:hint="eastAsia"/>
          <w:color w:val="000000" w:themeColor="text1"/>
          <w:kern w:val="2"/>
          <w:szCs w:val="24"/>
          <w14:textFill>
            <w14:solidFill>
              <w14:schemeClr w14:val="tx1"/>
            </w14:solidFill>
          </w14:textFill>
        </w:rPr>
        <w:t>，选用的压力式储罐总数量不应多于</w:t>
      </w:r>
      <w:r>
        <w:rPr>
          <w:color w:val="000000" w:themeColor="text1"/>
          <w:kern w:val="2"/>
          <w:szCs w:val="24"/>
          <w14:textFill>
            <w14:solidFill>
              <w14:schemeClr w14:val="tx1"/>
            </w14:solidFill>
          </w14:textFill>
        </w:rPr>
        <w:t>6</w:t>
      </w:r>
      <w:r>
        <w:rPr>
          <w:rFonts w:hint="eastAsia"/>
          <w:color w:val="000000" w:themeColor="text1"/>
          <w:kern w:val="2"/>
          <w:szCs w:val="24"/>
          <w14:textFill>
            <w14:solidFill>
              <w14:schemeClr w14:val="tx1"/>
            </w14:solidFill>
          </w14:textFill>
        </w:rPr>
        <w:t>个；</w:t>
      </w:r>
    </w:p>
    <w:p>
      <w:pPr>
        <w:pStyle w:val="149"/>
        <w:widowControl w:val="0"/>
        <w:numPr>
          <w:ilvl w:val="0"/>
          <w:numId w:val="20"/>
        </w:numPr>
        <w:tabs>
          <w:tab w:val="left" w:pos="1050"/>
        </w:tabs>
        <w:spacing w:line="240" w:lineRule="auto"/>
        <w:ind w:firstLineChars="0"/>
        <w:textAlignment w:val="auto"/>
        <w:rPr>
          <w:color w:val="000000" w:themeColor="text1"/>
          <w:kern w:val="2"/>
          <w:szCs w:val="24"/>
          <w14:textFill>
            <w14:solidFill>
              <w14:schemeClr w14:val="tx1"/>
            </w14:solidFill>
          </w14:textFill>
        </w:rPr>
      </w:pPr>
      <w:r>
        <w:rPr>
          <w:rFonts w:hint="eastAsia"/>
          <w:color w:val="000000" w:themeColor="text1"/>
          <w:kern w:val="2"/>
          <w:szCs w:val="24"/>
          <w14:textFill>
            <w14:solidFill>
              <w14:schemeClr w14:val="tx1"/>
            </w14:solidFill>
          </w14:textFill>
        </w:rPr>
        <w:t>对于每一种C</w:t>
      </w:r>
      <w:r>
        <w:rPr>
          <w:rFonts w:hint="eastAsia"/>
          <w:color w:val="000000" w:themeColor="text1"/>
          <w:kern w:val="2"/>
          <w:szCs w:val="24"/>
          <w:vertAlign w:val="subscript"/>
          <w14:textFill>
            <w14:solidFill>
              <w14:schemeClr w14:val="tx1"/>
            </w14:solidFill>
          </w14:textFill>
        </w:rPr>
        <w:t>2</w:t>
      </w:r>
      <w:r>
        <w:rPr>
          <w:rFonts w:hint="eastAsia"/>
          <w:color w:val="000000" w:themeColor="text1"/>
          <w:kern w:val="2"/>
          <w:szCs w:val="24"/>
          <w14:textFill>
            <w14:solidFill>
              <w14:schemeClr w14:val="tx1"/>
            </w14:solidFill>
          </w14:textFill>
        </w:rPr>
        <w:t>类液化烃，当其加工量或周转量每增加</w:t>
      </w:r>
      <w:r>
        <w:rPr>
          <w:color w:val="000000" w:themeColor="text1"/>
          <w:kern w:val="2"/>
          <w:szCs w:val="24"/>
          <w14:textFill>
            <w14:solidFill>
              <w14:schemeClr w14:val="tx1"/>
            </w14:solidFill>
          </w14:textFill>
        </w:rPr>
        <w:t>100</w:t>
      </w:r>
      <w:r>
        <w:rPr>
          <w:rFonts w:hint="eastAsia"/>
          <w:color w:val="000000" w:themeColor="text1"/>
          <w:kern w:val="2"/>
          <w:szCs w:val="24"/>
          <w14:textFill>
            <w14:solidFill>
              <w14:schemeClr w14:val="tx1"/>
            </w14:solidFill>
          </w14:textFill>
        </w:rPr>
        <w:t>万吨</w:t>
      </w:r>
      <w:r>
        <w:rPr>
          <w:color w:val="000000" w:themeColor="text1"/>
          <w:kern w:val="2"/>
          <w:szCs w:val="24"/>
          <w14:textFill>
            <w14:solidFill>
              <w14:schemeClr w14:val="tx1"/>
            </w14:solidFill>
          </w14:textFill>
        </w:rPr>
        <w:t>/</w:t>
      </w:r>
      <w:r>
        <w:rPr>
          <w:rFonts w:hint="eastAsia"/>
          <w:color w:val="000000" w:themeColor="text1"/>
          <w:kern w:val="2"/>
          <w:szCs w:val="24"/>
          <w14:textFill>
            <w14:solidFill>
              <w14:schemeClr w14:val="tx1"/>
            </w14:solidFill>
          </w14:textFill>
        </w:rPr>
        <w:t>年（含小于</w:t>
      </w:r>
      <w:r>
        <w:rPr>
          <w:color w:val="000000" w:themeColor="text1"/>
          <w:kern w:val="2"/>
          <w:szCs w:val="24"/>
          <w14:textFill>
            <w14:solidFill>
              <w14:schemeClr w14:val="tx1"/>
            </w14:solidFill>
          </w14:textFill>
        </w:rPr>
        <w:t>100</w:t>
      </w:r>
      <w:r>
        <w:rPr>
          <w:rFonts w:hint="eastAsia"/>
          <w:color w:val="000000" w:themeColor="text1"/>
          <w:kern w:val="2"/>
          <w:szCs w:val="24"/>
          <w14:textFill>
            <w14:solidFill>
              <w14:schemeClr w14:val="tx1"/>
            </w14:solidFill>
          </w14:textFill>
        </w:rPr>
        <w:t>万吨</w:t>
      </w:r>
      <w:r>
        <w:rPr>
          <w:color w:val="000000" w:themeColor="text1"/>
          <w:kern w:val="2"/>
          <w:szCs w:val="24"/>
          <w14:textFill>
            <w14:solidFill>
              <w14:schemeClr w14:val="tx1"/>
            </w14:solidFill>
          </w14:textFill>
        </w:rPr>
        <w:t>/</w:t>
      </w:r>
      <w:r>
        <w:rPr>
          <w:rFonts w:hint="eastAsia"/>
          <w:color w:val="000000" w:themeColor="text1"/>
          <w:kern w:val="2"/>
          <w:szCs w:val="24"/>
          <w14:textFill>
            <w14:solidFill>
              <w14:schemeClr w14:val="tx1"/>
            </w14:solidFill>
          </w14:textFill>
        </w:rPr>
        <w:t>年）时，压力式储罐容量增加量不应大于12000m</w:t>
      </w:r>
      <w:r>
        <w:rPr>
          <w:rFonts w:hint="eastAsia"/>
          <w:color w:val="000000" w:themeColor="text1"/>
          <w:kern w:val="2"/>
          <w:szCs w:val="24"/>
          <w:vertAlign w:val="superscript"/>
          <w14:textFill>
            <w14:solidFill>
              <w14:schemeClr w14:val="tx1"/>
            </w14:solidFill>
          </w14:textFill>
        </w:rPr>
        <w:t>3</w:t>
      </w:r>
      <w:r>
        <w:rPr>
          <w:rFonts w:hint="eastAsia"/>
          <w:color w:val="000000" w:themeColor="text1"/>
          <w:kern w:val="2"/>
          <w:szCs w:val="24"/>
          <w14:textFill>
            <w14:solidFill>
              <w14:schemeClr w14:val="tx1"/>
            </w14:solidFill>
          </w14:textFill>
        </w:rPr>
        <w:t>，增加的压力式储罐数量不应多于</w:t>
      </w:r>
      <w:r>
        <w:rPr>
          <w:color w:val="000000" w:themeColor="text1"/>
          <w:kern w:val="2"/>
          <w:szCs w:val="24"/>
          <w14:textFill>
            <w14:solidFill>
              <w14:schemeClr w14:val="tx1"/>
            </w14:solidFill>
          </w14:textFill>
        </w:rPr>
        <w:t>4</w:t>
      </w:r>
      <w:r>
        <w:rPr>
          <w:rFonts w:hint="eastAsia"/>
          <w:color w:val="000000" w:themeColor="text1"/>
          <w:kern w:val="2"/>
          <w:szCs w:val="24"/>
          <w14:textFill>
            <w14:solidFill>
              <w14:schemeClr w14:val="tx1"/>
            </w14:solidFill>
          </w14:textFill>
        </w:rPr>
        <w:t>个；</w:t>
      </w:r>
    </w:p>
    <w:p>
      <w:pPr>
        <w:pStyle w:val="149"/>
        <w:widowControl w:val="0"/>
        <w:numPr>
          <w:ilvl w:val="0"/>
          <w:numId w:val="20"/>
        </w:numPr>
        <w:tabs>
          <w:tab w:val="left" w:pos="1050"/>
        </w:tabs>
        <w:spacing w:line="240" w:lineRule="auto"/>
        <w:ind w:firstLineChars="0"/>
        <w:textAlignment w:val="auto"/>
        <w:rPr>
          <w:color w:val="000000" w:themeColor="text1"/>
          <w:kern w:val="2"/>
          <w:szCs w:val="24"/>
          <w14:textFill>
            <w14:solidFill>
              <w14:schemeClr w14:val="tx1"/>
            </w14:solidFill>
          </w14:textFill>
        </w:rPr>
      </w:pPr>
      <w:r>
        <w:rPr>
          <w:rFonts w:hint="eastAsia"/>
          <w:bCs/>
          <w:color w:val="000000" w:themeColor="text1"/>
          <w14:textFill>
            <w14:solidFill>
              <w14:schemeClr w14:val="tx1"/>
            </w14:solidFill>
          </w14:textFill>
        </w:rPr>
        <w:t>当液化石油气类液化烃采用压力式储罐时，每一品种设计储存天数应按照S</w:t>
      </w:r>
      <w:r>
        <w:rPr>
          <w:bCs/>
          <w:color w:val="000000" w:themeColor="text1"/>
          <w14:textFill>
            <w14:solidFill>
              <w14:schemeClr w14:val="tx1"/>
            </w14:solidFill>
          </w14:textFill>
        </w:rPr>
        <w:t>H/T 3007</w:t>
      </w:r>
      <w:r>
        <w:rPr>
          <w:rFonts w:hint="eastAsia"/>
          <w:bCs/>
          <w:color w:val="000000" w:themeColor="text1"/>
          <w14:textFill>
            <w14:solidFill>
              <w14:schemeClr w14:val="tx1"/>
            </w14:solidFill>
          </w14:textFill>
        </w:rPr>
        <w:t>规定的下限值取值</w:t>
      </w:r>
      <w:r>
        <w:rPr>
          <w:rFonts w:hint="eastAsia"/>
          <w:bCs/>
          <w:color w:val="000000" w:themeColor="text1"/>
          <w:kern w:val="2"/>
          <w:szCs w:val="24"/>
          <w14:textFill>
            <w14:solidFill>
              <w14:schemeClr w14:val="tx1"/>
            </w14:solidFill>
          </w14:textFill>
        </w:rPr>
        <w:t>。</w:t>
      </w:r>
    </w:p>
    <w:p>
      <w:pPr>
        <w:pStyle w:val="71"/>
        <w:ind w:left="6" w:firstLine="0" w:firstLineChars="0"/>
        <w:rPr>
          <w:rFonts w:hAnsi="宋体"/>
          <w:color w:val="000000" w:themeColor="text1"/>
          <w:sz w:val="28"/>
          <w:szCs w:val="28"/>
          <w14:textFill>
            <w14:solidFill>
              <w14:schemeClr w14:val="tx1"/>
            </w14:solidFill>
          </w14:textFill>
        </w:rPr>
      </w:pPr>
      <w:r>
        <w:rPr>
          <w:rFonts w:ascii="黑体" w:hAnsi="黑体" w:eastAsia="黑体"/>
          <w:color w:val="000000" w:themeColor="text1"/>
          <w:kern w:val="2"/>
          <w:szCs w:val="24"/>
          <w14:textFill>
            <w14:solidFill>
              <w14:schemeClr w14:val="tx1"/>
            </w14:solidFill>
          </w14:textFill>
        </w:rPr>
        <w:t xml:space="preserve">4.5  </w:t>
      </w:r>
      <w:r>
        <w:rPr>
          <w:rFonts w:hint="eastAsia" w:ascii="Times New Roman"/>
          <w:color w:val="000000" w:themeColor="text1"/>
          <w:kern w:val="2"/>
          <w:szCs w:val="24"/>
          <w14:textFill>
            <w14:solidFill>
              <w14:schemeClr w14:val="tx1"/>
            </w14:solidFill>
          </w14:textFill>
        </w:rPr>
        <w:t>全冷冻式储罐</w:t>
      </w:r>
      <w:r>
        <w:rPr>
          <w:rFonts w:ascii="Times New Roman"/>
          <w:color w:val="000000" w:themeColor="text1"/>
          <w:kern w:val="2"/>
          <w:szCs w:val="24"/>
          <w14:textFill>
            <w14:solidFill>
              <w14:schemeClr w14:val="tx1"/>
            </w14:solidFill>
          </w14:textFill>
        </w:rPr>
        <w:t>基础、预应力混凝土</w:t>
      </w:r>
      <w:r>
        <w:rPr>
          <w:rFonts w:hint="eastAsia" w:ascii="Times New Roman"/>
          <w:color w:val="000000" w:themeColor="text1"/>
          <w:kern w:val="2"/>
          <w:szCs w:val="24"/>
          <w14:textFill>
            <w14:solidFill>
              <w14:schemeClr w14:val="tx1"/>
            </w14:solidFill>
          </w14:textFill>
        </w:rPr>
        <w:t>外罐</w:t>
      </w:r>
      <w:r>
        <w:rPr>
          <w:rFonts w:ascii="Times New Roman"/>
          <w:color w:val="000000" w:themeColor="text1"/>
          <w:kern w:val="2"/>
          <w:szCs w:val="24"/>
          <w14:textFill>
            <w14:solidFill>
              <w14:schemeClr w14:val="tx1"/>
            </w14:solidFill>
          </w14:textFill>
        </w:rPr>
        <w:t>结构</w:t>
      </w:r>
      <w:r>
        <w:rPr>
          <w:rFonts w:hint="eastAsia" w:ascii="Times New Roman"/>
          <w:color w:val="000000" w:themeColor="text1"/>
          <w:kern w:val="2"/>
          <w:szCs w:val="24"/>
          <w14:textFill>
            <w14:solidFill>
              <w14:schemeClr w14:val="tx1"/>
            </w14:solidFill>
          </w14:textFill>
        </w:rPr>
        <w:t>设计使用年限</w:t>
      </w:r>
      <w:r>
        <w:rPr>
          <w:rFonts w:ascii="Times New Roman"/>
          <w:color w:val="000000" w:themeColor="text1"/>
          <w:kern w:val="2"/>
          <w:szCs w:val="24"/>
          <w14:textFill>
            <w14:solidFill>
              <w14:schemeClr w14:val="tx1"/>
            </w14:solidFill>
          </w14:textFill>
        </w:rPr>
        <w:t>不应小于50年，安全等级应为一级</w:t>
      </w:r>
      <w:r>
        <w:rPr>
          <w:rFonts w:hint="eastAsia" w:ascii="Times New Roman"/>
          <w:color w:val="000000" w:themeColor="text1"/>
          <w:kern w:val="2"/>
          <w:szCs w:val="24"/>
          <w14:textFill>
            <w14:solidFill>
              <w14:schemeClr w14:val="tx1"/>
            </w14:solidFill>
          </w14:textFill>
        </w:rPr>
        <w:t>。</w:t>
      </w:r>
    </w:p>
    <w:p>
      <w:pPr>
        <w:pStyle w:val="71"/>
        <w:ind w:left="6" w:firstLine="0" w:firstLineChars="0"/>
        <w:rPr>
          <w:rFonts w:ascii="Times New Roman"/>
          <w:color w:val="000000" w:themeColor="text1"/>
          <w:kern w:val="2"/>
          <w:szCs w:val="24"/>
          <w14:textFill>
            <w14:solidFill>
              <w14:schemeClr w14:val="tx1"/>
            </w14:solidFill>
          </w14:textFill>
        </w:rPr>
      </w:pPr>
      <w:r>
        <w:rPr>
          <w:rFonts w:ascii="黑体" w:hAnsi="黑体" w:eastAsia="黑体"/>
          <w:color w:val="000000" w:themeColor="text1"/>
          <w:kern w:val="2"/>
          <w:szCs w:val="24"/>
          <w14:textFill>
            <w14:solidFill>
              <w14:schemeClr w14:val="tx1"/>
            </w14:solidFill>
          </w14:textFill>
        </w:rPr>
        <w:t xml:space="preserve">4.6  </w:t>
      </w:r>
      <w:r>
        <w:rPr>
          <w:rFonts w:hint="eastAsia" w:ascii="Times New Roman"/>
          <w:color w:val="000000" w:themeColor="text1"/>
          <w:kern w:val="2"/>
          <w:szCs w:val="24"/>
          <w14:textFill>
            <w14:solidFill>
              <w14:schemeClr w14:val="tx1"/>
            </w14:solidFill>
          </w14:textFill>
        </w:rPr>
        <w:t>液化烃储罐区应建立风险分级管控和隐患排查治理双重预防机制，严格落实重大危险源安全包保责任制。</w:t>
      </w:r>
    </w:p>
    <w:p>
      <w:pPr>
        <w:pStyle w:val="71"/>
        <w:ind w:left="6" w:firstLine="0" w:firstLineChars="0"/>
        <w:rPr>
          <w:rFonts w:ascii="Times New Roman"/>
          <w:color w:val="000000" w:themeColor="text1"/>
          <w:kern w:val="2"/>
          <w:szCs w:val="24"/>
          <w14:textFill>
            <w14:solidFill>
              <w14:schemeClr w14:val="tx1"/>
            </w14:solidFill>
          </w14:textFill>
        </w:rPr>
      </w:pPr>
      <w:r>
        <w:rPr>
          <w:rFonts w:ascii="黑体" w:hAnsi="黑体" w:eastAsia="黑体"/>
          <w:color w:val="000000" w:themeColor="text1"/>
          <w:kern w:val="2"/>
          <w:szCs w:val="24"/>
          <w14:textFill>
            <w14:solidFill>
              <w14:schemeClr w14:val="tx1"/>
            </w14:solidFill>
          </w14:textFill>
        </w:rPr>
        <w:t xml:space="preserve">4.7  </w:t>
      </w:r>
      <w:r>
        <w:rPr>
          <w:rFonts w:hint="eastAsia" w:ascii="Times New Roman"/>
          <w:bCs/>
          <w:color w:val="000000" w:themeColor="text1"/>
          <w:kern w:val="2"/>
          <w:szCs w:val="24"/>
          <w14:textFill>
            <w14:solidFill>
              <w14:schemeClr w14:val="tx1"/>
            </w14:solidFill>
          </w14:textFill>
        </w:rPr>
        <w:t>新建液化烃储罐区</w:t>
      </w:r>
      <w:r>
        <w:rPr>
          <w:rFonts w:hint="eastAsia" w:ascii="Times New Roman"/>
          <w:color w:val="000000" w:themeColor="text1"/>
          <w:kern w:val="2"/>
          <w:szCs w:val="24"/>
          <w14:textFill>
            <w14:solidFill>
              <w14:schemeClr w14:val="tx1"/>
            </w14:solidFill>
          </w14:textFill>
        </w:rPr>
        <w:t>的设计应数字化交付。在役的液化烃</w:t>
      </w:r>
      <w:r>
        <w:rPr>
          <w:rFonts w:ascii="Times New Roman"/>
          <w:color w:val="000000" w:themeColor="text1"/>
          <w:kern w:val="2"/>
          <w:szCs w:val="24"/>
          <w14:textFill>
            <w14:solidFill>
              <w14:schemeClr w14:val="tx1"/>
            </w14:solidFill>
          </w14:textFill>
        </w:rPr>
        <w:t>储罐区</w:t>
      </w:r>
      <w:r>
        <w:rPr>
          <w:rFonts w:hint="eastAsia" w:ascii="Times New Roman"/>
          <w:color w:val="000000" w:themeColor="text1"/>
          <w:kern w:val="2"/>
          <w:szCs w:val="24"/>
          <w14:textFill>
            <w14:solidFill>
              <w14:schemeClr w14:val="tx1"/>
            </w14:solidFill>
          </w14:textFill>
        </w:rPr>
        <w:t>应建立</w:t>
      </w:r>
      <w:r>
        <w:rPr>
          <w:rFonts w:ascii="Times New Roman"/>
          <w:color w:val="000000" w:themeColor="text1"/>
          <w:kern w:val="2"/>
          <w:szCs w:val="24"/>
          <w14:textFill>
            <w14:solidFill>
              <w14:schemeClr w14:val="tx1"/>
            </w14:solidFill>
          </w14:textFill>
        </w:rPr>
        <w:t>健全安全风险数字化智能化管控措施。</w:t>
      </w:r>
    </w:p>
    <w:p>
      <w:pPr>
        <w:pStyle w:val="71"/>
        <w:ind w:left="6" w:firstLine="0" w:firstLineChars="0"/>
        <w:rPr>
          <w:rFonts w:ascii="Times New Roman"/>
          <w:color w:val="000000" w:themeColor="text1"/>
          <w:kern w:val="2"/>
          <w:szCs w:val="24"/>
          <w14:textFill>
            <w14:solidFill>
              <w14:schemeClr w14:val="tx1"/>
            </w14:solidFill>
          </w14:textFill>
        </w:rPr>
      </w:pPr>
      <w:r>
        <w:rPr>
          <w:rFonts w:ascii="黑体" w:hAnsi="黑体" w:eastAsia="黑体"/>
          <w:color w:val="000000" w:themeColor="text1"/>
          <w:kern w:val="2"/>
          <w:szCs w:val="24"/>
          <w14:textFill>
            <w14:solidFill>
              <w14:schemeClr w14:val="tx1"/>
            </w14:solidFill>
          </w14:textFill>
        </w:rPr>
        <w:t xml:space="preserve">4.8  </w:t>
      </w:r>
      <w:r>
        <w:rPr>
          <w:rFonts w:hint="eastAsia" w:ascii="Times New Roman"/>
          <w:color w:val="000000" w:themeColor="text1"/>
          <w:kern w:val="2"/>
          <w:szCs w:val="24"/>
          <w14:textFill>
            <w14:solidFill>
              <w14:schemeClr w14:val="tx1"/>
            </w14:solidFill>
          </w14:textFill>
        </w:rPr>
        <w:t>新建液化烃罐区设计阶段应开展危害分析（如PHA、HAZOP等），分析团队至少包括分析组长、记录员、工艺设计/技术人员、仪表工程师、现场技术人员等，组长应具备高级技术职称，至少拥有10年及以上相关领域设计或生产经验，主持过至少3项同类设施的危害分析工作。液化烃罐区的工艺、设备变更应由原设计单位或具有工程设计综合甲级资质的设计单位同意后方可进行，并应及时对变更内容开展液化烃罐区的危害分析。</w:t>
      </w:r>
    </w:p>
    <w:p>
      <w:pPr>
        <w:pStyle w:val="71"/>
        <w:ind w:left="6" w:firstLine="0" w:firstLineChars="0"/>
        <w:rPr>
          <w:color w:val="000000" w:themeColor="text1"/>
          <w:kern w:val="2"/>
          <w:szCs w:val="24"/>
          <w14:textFill>
            <w14:solidFill>
              <w14:schemeClr w14:val="tx1"/>
            </w14:solidFill>
          </w14:textFill>
        </w:rPr>
      </w:pPr>
      <w:r>
        <w:rPr>
          <w:rFonts w:ascii="黑体" w:hAnsi="黑体" w:eastAsia="黑体"/>
          <w:color w:val="000000" w:themeColor="text1"/>
          <w:kern w:val="2"/>
          <w:szCs w:val="24"/>
          <w14:textFill>
            <w14:solidFill>
              <w14:schemeClr w14:val="tx1"/>
            </w14:solidFill>
          </w14:textFill>
        </w:rPr>
        <w:t xml:space="preserve">4.9  </w:t>
      </w:r>
      <w:r>
        <w:rPr>
          <w:color w:val="000000" w:themeColor="text1"/>
          <w:kern w:val="2"/>
          <w:szCs w:val="24"/>
          <w14:textFill>
            <w14:solidFill>
              <w14:schemeClr w14:val="tx1"/>
            </w14:solidFill>
          </w14:textFill>
        </w:rPr>
        <w:t>在役液化烃罐区</w:t>
      </w:r>
      <w:r>
        <w:rPr>
          <w:rFonts w:hint="eastAsia"/>
          <w:color w:val="000000" w:themeColor="text1"/>
          <w:kern w:val="2"/>
          <w:szCs w:val="24"/>
          <w14:textFill>
            <w14:solidFill>
              <w14:schemeClr w14:val="tx1"/>
            </w14:solidFill>
          </w14:textFill>
        </w:rPr>
        <w:t>应根据生产运行和设备现状适时开展</w:t>
      </w:r>
      <w:r>
        <w:rPr>
          <w:rFonts w:ascii="Helvetica" w:hAnsi="Helvetica" w:cs="Helvetica"/>
          <w:color w:val="333333"/>
          <w:szCs w:val="21"/>
          <w:shd w:val="clear" w:color="auto" w:fill="FFFFFF"/>
        </w:rPr>
        <w:t>基于风险的检验</w:t>
      </w:r>
      <w:r>
        <w:rPr>
          <w:rFonts w:hint="eastAsia"/>
          <w:color w:val="000000" w:themeColor="text1"/>
          <w:kern w:val="2"/>
          <w:szCs w:val="24"/>
          <w14:textFill>
            <w14:solidFill>
              <w14:schemeClr w14:val="tx1"/>
            </w14:solidFill>
          </w14:textFill>
        </w:rPr>
        <w:t>评估（</w:t>
      </w:r>
      <w:r>
        <w:rPr>
          <w:rFonts w:ascii="Times New Roman"/>
          <w:color w:val="000000" w:themeColor="text1"/>
          <w:kern w:val="2"/>
          <w:szCs w:val="24"/>
          <w14:textFill>
            <w14:solidFill>
              <w14:schemeClr w14:val="tx1"/>
            </w14:solidFill>
          </w14:textFill>
        </w:rPr>
        <w:t>RBI</w:t>
      </w:r>
      <w:r>
        <w:rPr>
          <w:rFonts w:hint="eastAsia"/>
          <w:color w:val="000000" w:themeColor="text1"/>
          <w:kern w:val="2"/>
          <w:szCs w:val="24"/>
          <w14:textFill>
            <w14:solidFill>
              <w14:schemeClr w14:val="tx1"/>
            </w14:solidFill>
          </w14:textFill>
        </w:rPr>
        <w:t>），当</w:t>
      </w:r>
      <w:r>
        <w:rPr>
          <w:color w:val="000000" w:themeColor="text1"/>
          <w:kern w:val="2"/>
          <w:szCs w:val="24"/>
          <w14:textFill>
            <w14:solidFill>
              <w14:schemeClr w14:val="tx1"/>
            </w14:solidFill>
          </w14:textFill>
        </w:rPr>
        <w:t>安全风险</w:t>
      </w:r>
      <w:r>
        <w:rPr>
          <w:rFonts w:hint="eastAsia"/>
          <w:color w:val="000000" w:themeColor="text1"/>
          <w:kern w:val="2"/>
          <w:szCs w:val="24"/>
          <w14:textFill>
            <w14:solidFill>
              <w14:schemeClr w14:val="tx1"/>
            </w14:solidFill>
          </w14:textFill>
        </w:rPr>
        <w:t>不可接受</w:t>
      </w:r>
      <w:r>
        <w:rPr>
          <w:color w:val="000000" w:themeColor="text1"/>
          <w:kern w:val="2"/>
          <w:szCs w:val="24"/>
          <w14:textFill>
            <w14:solidFill>
              <w14:schemeClr w14:val="tx1"/>
            </w14:solidFill>
          </w14:textFill>
        </w:rPr>
        <w:t>时</w:t>
      </w:r>
      <w:r>
        <w:rPr>
          <w:rFonts w:hint="eastAsia"/>
          <w:color w:val="000000" w:themeColor="text1"/>
          <w:kern w:val="2"/>
          <w:szCs w:val="24"/>
          <w14:textFill>
            <w14:solidFill>
              <w14:schemeClr w14:val="tx1"/>
            </w14:solidFill>
          </w14:textFill>
        </w:rPr>
        <w:t>，</w:t>
      </w:r>
      <w:r>
        <w:rPr>
          <w:color w:val="000000" w:themeColor="text1"/>
          <w:kern w:val="2"/>
          <w:szCs w:val="24"/>
          <w14:textFill>
            <w14:solidFill>
              <w14:schemeClr w14:val="tx1"/>
            </w14:solidFill>
          </w14:textFill>
        </w:rPr>
        <w:t>应及时采取措施将风险降低到可接受程度</w:t>
      </w:r>
      <w:r>
        <w:rPr>
          <w:rFonts w:hint="eastAsia"/>
          <w:color w:val="000000" w:themeColor="text1"/>
          <w:kern w:val="2"/>
          <w:szCs w:val="24"/>
          <w14:textFill>
            <w14:solidFill>
              <w14:schemeClr w14:val="tx1"/>
            </w14:solidFill>
          </w14:textFill>
        </w:rPr>
        <w:t>，</w:t>
      </w:r>
      <w:r>
        <w:rPr>
          <w:color w:val="000000" w:themeColor="text1"/>
          <w:kern w:val="2"/>
          <w:szCs w:val="24"/>
          <w14:textFill>
            <w14:solidFill>
              <w14:schemeClr w14:val="tx1"/>
            </w14:solidFill>
          </w14:textFill>
        </w:rPr>
        <w:t>采取措施后仍达不到</w:t>
      </w:r>
      <w:r>
        <w:rPr>
          <w:rFonts w:hint="eastAsia"/>
          <w:color w:val="000000" w:themeColor="text1"/>
          <w:kern w:val="2"/>
          <w:szCs w:val="24"/>
          <w14:textFill>
            <w14:solidFill>
              <w14:schemeClr w14:val="tx1"/>
            </w14:solidFill>
          </w14:textFill>
        </w:rPr>
        <w:t>可接受</w:t>
      </w:r>
      <w:r>
        <w:rPr>
          <w:color w:val="000000" w:themeColor="text1"/>
          <w:kern w:val="2"/>
          <w:szCs w:val="24"/>
          <w14:textFill>
            <w14:solidFill>
              <w14:schemeClr w14:val="tx1"/>
            </w14:solidFill>
          </w14:textFill>
        </w:rPr>
        <w:t>风险标准的，应予以停用。</w:t>
      </w:r>
      <w:bookmarkStart w:id="24" w:name="_Toc118962012"/>
    </w:p>
    <w:p>
      <w:pPr>
        <w:widowControl w:val="0"/>
        <w:spacing w:before="317" w:beforeLines="100" w:after="317" w:afterLines="100" w:line="240" w:lineRule="auto"/>
        <w:jc w:val="left"/>
        <w:textAlignment w:val="auto"/>
        <w:outlineLvl w:val="0"/>
        <w:rPr>
          <w:rFonts w:ascii="黑体" w:hAnsi="黑体" w:eastAsia="黑体"/>
          <w:color w:val="000000" w:themeColor="text1"/>
          <w:kern w:val="2"/>
          <w:szCs w:val="21"/>
          <w14:textFill>
            <w14:solidFill>
              <w14:schemeClr w14:val="tx1"/>
            </w14:solidFill>
          </w14:textFill>
        </w:rPr>
      </w:pPr>
      <w:r>
        <w:rPr>
          <w:rFonts w:hint="eastAsia" w:ascii="黑体" w:hAnsi="黑体" w:eastAsia="黑体"/>
          <w:color w:val="000000" w:themeColor="text1"/>
          <w:kern w:val="2"/>
          <w:szCs w:val="21"/>
          <w14:textFill>
            <w14:solidFill>
              <w14:schemeClr w14:val="tx1"/>
            </w14:solidFill>
          </w14:textFill>
        </w:rPr>
        <w:t>5  规划布局与</w:t>
      </w:r>
      <w:r>
        <w:rPr>
          <w:rFonts w:ascii="黑体" w:hAnsi="黑体" w:eastAsia="黑体"/>
          <w:color w:val="000000" w:themeColor="text1"/>
          <w:kern w:val="2"/>
          <w:szCs w:val="21"/>
          <w14:textFill>
            <w14:solidFill>
              <w14:schemeClr w14:val="tx1"/>
            </w14:solidFill>
          </w14:textFill>
        </w:rPr>
        <w:t>总图布置</w:t>
      </w:r>
      <w:bookmarkEnd w:id="24"/>
    </w:p>
    <w:p>
      <w:pPr>
        <w:widowControl w:val="0"/>
        <w:autoSpaceDE w:val="0"/>
        <w:autoSpaceDN w:val="0"/>
        <w:adjustRightInd w:val="0"/>
        <w:spacing w:line="240" w:lineRule="auto"/>
        <w:textAlignment w:val="auto"/>
        <w:rPr>
          <w:color w:val="000000" w:themeColor="text1"/>
          <w:kern w:val="2"/>
          <w:szCs w:val="24"/>
          <w14:textFill>
            <w14:solidFill>
              <w14:schemeClr w14:val="tx1"/>
            </w14:solidFill>
          </w14:textFill>
        </w:rPr>
      </w:pPr>
      <w:r>
        <w:rPr>
          <w:rFonts w:ascii="黑体" w:hAnsi="黑体" w:eastAsia="黑体"/>
          <w:color w:val="000000" w:themeColor="text1"/>
          <w:kern w:val="2"/>
          <w:szCs w:val="24"/>
          <w14:textFill>
            <w14:solidFill>
              <w14:schemeClr w14:val="tx1"/>
            </w14:solidFill>
          </w14:textFill>
        </w:rPr>
        <w:t xml:space="preserve">5.1  </w:t>
      </w:r>
      <w:r>
        <w:rPr>
          <w:rFonts w:hint="eastAsia" w:hAnsi="宋体"/>
          <w:color w:val="000000" w:themeColor="text1"/>
          <w14:textFill>
            <w14:solidFill>
              <w14:schemeClr w14:val="tx1"/>
            </w14:solidFill>
          </w14:textFill>
        </w:rPr>
        <w:t>新建</w:t>
      </w:r>
      <w:r>
        <w:rPr>
          <w:rFonts w:hint="eastAsia"/>
          <w:color w:val="000000" w:themeColor="text1"/>
          <w:kern w:val="2"/>
          <w:szCs w:val="24"/>
          <w14:textFill>
            <w14:solidFill>
              <w14:schemeClr w14:val="tx1"/>
            </w14:solidFill>
          </w14:textFill>
        </w:rPr>
        <w:t>液化烃储罐区规划选址时应根据企业及相邻工厂或设施的特点和火灾危险类别，结合周边环境、风向与地形等自然条件合理确定。选址具体设计要点参见附录</w:t>
      </w:r>
      <w:r>
        <w:rPr>
          <w:color w:val="000000" w:themeColor="text1"/>
          <w:kern w:val="2"/>
          <w:szCs w:val="24"/>
          <w14:textFill>
            <w14:solidFill>
              <w14:schemeClr w14:val="tx1"/>
            </w14:solidFill>
          </w14:textFill>
        </w:rPr>
        <w:t>A</w:t>
      </w:r>
      <w:r>
        <w:rPr>
          <w:rFonts w:hint="eastAsia"/>
          <w:color w:val="000000" w:themeColor="text1"/>
          <w:kern w:val="2"/>
          <w:szCs w:val="24"/>
          <w14:textFill>
            <w14:solidFill>
              <w14:schemeClr w14:val="tx1"/>
            </w14:solidFill>
          </w14:textFill>
        </w:rPr>
        <w:t>。</w:t>
      </w:r>
    </w:p>
    <w:p>
      <w:pPr>
        <w:widowControl w:val="0"/>
        <w:autoSpaceDE w:val="0"/>
        <w:autoSpaceDN w:val="0"/>
        <w:adjustRightInd w:val="0"/>
        <w:spacing w:line="240" w:lineRule="auto"/>
        <w:textAlignment w:val="auto"/>
        <w:rPr>
          <w:color w:val="000000" w:themeColor="text1"/>
          <w:kern w:val="2"/>
          <w:szCs w:val="24"/>
          <w14:textFill>
            <w14:solidFill>
              <w14:schemeClr w14:val="tx1"/>
            </w14:solidFill>
          </w14:textFill>
        </w:rPr>
      </w:pPr>
      <w:r>
        <w:rPr>
          <w:rFonts w:ascii="黑体" w:hAnsi="黑体" w:eastAsia="黑体"/>
          <w:color w:val="000000" w:themeColor="text1"/>
          <w:kern w:val="2"/>
          <w:szCs w:val="24"/>
          <w14:textFill>
            <w14:solidFill>
              <w14:schemeClr w14:val="tx1"/>
            </w14:solidFill>
          </w14:textFill>
        </w:rPr>
        <w:t xml:space="preserve">5.2  </w:t>
      </w:r>
      <w:r>
        <w:rPr>
          <w:rFonts w:hint="eastAsia"/>
          <w:color w:val="000000" w:themeColor="text1"/>
          <w:kern w:val="2"/>
          <w:szCs w:val="24"/>
          <w14:textFill>
            <w14:solidFill>
              <w14:schemeClr w14:val="tx1"/>
            </w14:solidFill>
          </w14:textFill>
        </w:rPr>
        <w:t>新建液化烃储罐区应在项目前期阶段按照GB 36894、G</w:t>
      </w:r>
      <w:r>
        <w:rPr>
          <w:color w:val="000000" w:themeColor="text1"/>
          <w:kern w:val="2"/>
          <w:szCs w:val="24"/>
          <w14:textFill>
            <w14:solidFill>
              <w14:schemeClr w14:val="tx1"/>
            </w14:solidFill>
          </w14:textFill>
        </w:rPr>
        <w:t>B</w:t>
      </w:r>
      <w:r>
        <w:rPr>
          <w:rFonts w:hint="eastAsia"/>
          <w:color w:val="000000" w:themeColor="text1"/>
          <w:kern w:val="2"/>
          <w:szCs w:val="24"/>
          <w14:textFill>
            <w14:solidFill>
              <w14:schemeClr w14:val="tx1"/>
            </w14:solidFill>
          </w14:textFill>
        </w:rPr>
        <w:t>/</w:t>
      </w:r>
      <w:r>
        <w:rPr>
          <w:color w:val="000000" w:themeColor="text1"/>
          <w:kern w:val="2"/>
          <w:szCs w:val="24"/>
          <w14:textFill>
            <w14:solidFill>
              <w14:schemeClr w14:val="tx1"/>
            </w14:solidFill>
          </w14:textFill>
        </w:rPr>
        <w:t>T 37243</w:t>
      </w:r>
      <w:r>
        <w:rPr>
          <w:rFonts w:hint="eastAsia"/>
          <w:color w:val="000000" w:themeColor="text1"/>
          <w:kern w:val="2"/>
          <w:szCs w:val="24"/>
          <w14:textFill>
            <w14:solidFill>
              <w14:schemeClr w14:val="tx1"/>
            </w14:solidFill>
          </w14:textFill>
        </w:rPr>
        <w:t>开展定量风险评价。</w:t>
      </w:r>
    </w:p>
    <w:p>
      <w:pPr>
        <w:widowControl w:val="0"/>
        <w:autoSpaceDE w:val="0"/>
        <w:autoSpaceDN w:val="0"/>
        <w:adjustRightInd w:val="0"/>
        <w:spacing w:line="240" w:lineRule="auto"/>
        <w:textAlignment w:val="auto"/>
        <w:rPr>
          <w:color w:val="000000" w:themeColor="text1"/>
          <w:kern w:val="2"/>
          <w:szCs w:val="24"/>
          <w14:textFill>
            <w14:solidFill>
              <w14:schemeClr w14:val="tx1"/>
            </w14:solidFill>
          </w14:textFill>
        </w:rPr>
      </w:pPr>
      <w:r>
        <w:rPr>
          <w:rFonts w:ascii="黑体" w:hAnsi="黑体" w:eastAsia="黑体"/>
          <w:color w:val="000000" w:themeColor="text1"/>
          <w:kern w:val="2"/>
          <w:szCs w:val="24"/>
          <w14:textFill>
            <w14:solidFill>
              <w14:schemeClr w14:val="tx1"/>
            </w14:solidFill>
          </w14:textFill>
        </w:rPr>
        <w:t xml:space="preserve">5.3  </w:t>
      </w:r>
      <w:r>
        <w:rPr>
          <w:rFonts w:hint="eastAsia"/>
          <w:color w:val="000000" w:themeColor="text1"/>
          <w:kern w:val="2"/>
          <w:szCs w:val="24"/>
          <w14:textFill>
            <w14:solidFill>
              <w14:schemeClr w14:val="tx1"/>
            </w14:solidFill>
          </w14:textFill>
        </w:rPr>
        <w:t>液化烃储罐区应采用电子隔离或物理隔离的方式实行封闭管理，当设置物理隔离时，不应影响消防作业和人员逃生。</w:t>
      </w:r>
    </w:p>
    <w:p>
      <w:pPr>
        <w:widowControl w:val="0"/>
        <w:autoSpaceDE w:val="0"/>
        <w:autoSpaceDN w:val="0"/>
        <w:adjustRightInd w:val="0"/>
        <w:spacing w:line="240" w:lineRule="auto"/>
        <w:textAlignment w:val="auto"/>
        <w:rPr>
          <w:color w:val="000000" w:themeColor="text1"/>
          <w:highlight w:val="yellow"/>
          <w14:textFill>
            <w14:solidFill>
              <w14:schemeClr w14:val="tx1"/>
            </w14:solidFill>
          </w14:textFill>
        </w:rPr>
      </w:pPr>
      <w:r>
        <w:rPr>
          <w:rFonts w:ascii="黑体" w:hAnsi="黑体" w:eastAsia="黑体"/>
          <w:color w:val="000000" w:themeColor="text1"/>
          <w:kern w:val="2"/>
          <w:szCs w:val="24"/>
          <w14:textFill>
            <w14:solidFill>
              <w14:schemeClr w14:val="tx1"/>
            </w14:solidFill>
          </w14:textFill>
        </w:rPr>
        <w:t xml:space="preserve">5.4  </w:t>
      </w:r>
      <w:r>
        <w:rPr>
          <w:rFonts w:hint="eastAsia"/>
          <w:color w:val="000000" w:themeColor="text1"/>
          <w:kern w:val="2"/>
          <w:szCs w:val="24"/>
          <w14:textFill>
            <w14:solidFill>
              <w14:schemeClr w14:val="tx1"/>
            </w14:solidFill>
          </w14:textFill>
        </w:rPr>
        <w:t>新建液化烃储罐与相邻工厂或设施、与同类企业及油库的防火距离应满足现行适用规范的要求；液化烃储罐与</w:t>
      </w:r>
      <w:r>
        <w:rPr>
          <w:rFonts w:hint="eastAsia"/>
          <w:color w:val="000000" w:themeColor="text1"/>
          <w14:textFill>
            <w14:solidFill>
              <w14:schemeClr w14:val="tx1"/>
            </w14:solidFill>
          </w14:textFill>
        </w:rPr>
        <w:t>周边其它非危险化学品工业企业</w:t>
      </w:r>
      <w:r>
        <w:rPr>
          <w:rFonts w:hint="eastAsia"/>
          <w:color w:val="000000" w:themeColor="text1"/>
          <w:kern w:val="2"/>
          <w:szCs w:val="24"/>
          <w14:textFill>
            <w14:solidFill>
              <w14:schemeClr w14:val="tx1"/>
            </w14:solidFill>
          </w14:textFill>
        </w:rPr>
        <w:t>的建筑物的</w:t>
      </w:r>
      <w:r>
        <w:rPr>
          <w:rFonts w:hint="eastAsia"/>
          <w:color w:val="000000" w:themeColor="text1"/>
          <w14:textFill>
            <w14:solidFill>
              <w14:schemeClr w14:val="tx1"/>
            </w14:solidFill>
          </w14:textFill>
        </w:rPr>
        <w:t>外部安全防护距离</w:t>
      </w:r>
      <w:r>
        <w:rPr>
          <w:rFonts w:hint="eastAsia"/>
          <w:color w:val="000000" w:themeColor="text1"/>
          <w:kern w:val="2"/>
          <w:szCs w:val="24"/>
          <w14:textFill>
            <w14:solidFill>
              <w14:schemeClr w14:val="tx1"/>
            </w14:solidFill>
          </w14:textFill>
        </w:rPr>
        <w:t>，应</w:t>
      </w:r>
      <w:r>
        <w:rPr>
          <w:rFonts w:hint="eastAsia"/>
          <w:color w:val="000000" w:themeColor="text1"/>
          <w14:textFill>
            <w14:solidFill>
              <w14:schemeClr w14:val="tx1"/>
            </w14:solidFill>
          </w14:textFill>
        </w:rPr>
        <w:t>按照定量风险评价法确定，满足G</w:t>
      </w:r>
      <w:r>
        <w:rPr>
          <w:color w:val="000000" w:themeColor="text1"/>
          <w14:textFill>
            <w14:solidFill>
              <w14:schemeClr w14:val="tx1"/>
            </w14:solidFill>
          </w14:textFill>
        </w:rPr>
        <w:t>B 36894</w:t>
      </w:r>
      <w:r>
        <w:rPr>
          <w:rFonts w:hint="eastAsia"/>
          <w:color w:val="000000" w:themeColor="text1"/>
          <w14:textFill>
            <w14:solidFill>
              <w14:schemeClr w14:val="tx1"/>
            </w14:solidFill>
          </w14:textFill>
        </w:rPr>
        <w:t>的风险基准要求。</w:t>
      </w:r>
    </w:p>
    <w:p>
      <w:pPr>
        <w:widowControl w:val="0"/>
        <w:autoSpaceDE w:val="0"/>
        <w:autoSpaceDN w:val="0"/>
        <w:adjustRightInd w:val="0"/>
        <w:spacing w:line="240" w:lineRule="auto"/>
        <w:textAlignment w:val="auto"/>
        <w:rPr>
          <w:color w:val="000000" w:themeColor="text1"/>
          <w:kern w:val="2"/>
          <w:szCs w:val="24"/>
          <w14:textFill>
            <w14:solidFill>
              <w14:schemeClr w14:val="tx1"/>
            </w14:solidFill>
          </w14:textFill>
        </w:rPr>
      </w:pPr>
      <w:r>
        <w:rPr>
          <w:rFonts w:ascii="黑体" w:hAnsi="黑体" w:eastAsia="黑体"/>
          <w:color w:val="000000" w:themeColor="text1"/>
          <w:kern w:val="2"/>
          <w:szCs w:val="24"/>
          <w14:textFill>
            <w14:solidFill>
              <w14:schemeClr w14:val="tx1"/>
            </w14:solidFill>
          </w14:textFill>
        </w:rPr>
        <w:t xml:space="preserve">5.5  </w:t>
      </w:r>
      <w:r>
        <w:rPr>
          <w:rFonts w:hint="eastAsia"/>
        </w:rPr>
        <w:t>现场机柜室的设计应满足S</w:t>
      </w:r>
      <w:r>
        <w:t>H/T 3006</w:t>
      </w:r>
      <w:r>
        <w:rPr>
          <w:rFonts w:hint="eastAsia"/>
        </w:rPr>
        <w:t>的要求；</w:t>
      </w:r>
      <w:r>
        <w:rPr>
          <w:rFonts w:hint="eastAsia"/>
          <w:color w:val="000000" w:themeColor="text1"/>
          <w:kern w:val="2"/>
          <w:szCs w:val="24"/>
          <w14:textFill>
            <w14:solidFill>
              <w14:schemeClr w14:val="tx1"/>
            </w14:solidFill>
          </w14:textFill>
        </w:rPr>
        <w:t>厂区内</w:t>
      </w:r>
      <w:r>
        <w:rPr>
          <w:color w:val="000000" w:themeColor="text1"/>
          <w:kern w:val="2"/>
          <w:szCs w:val="24"/>
          <w14:textFill>
            <w14:solidFill>
              <w14:schemeClr w14:val="tx1"/>
            </w14:solidFill>
          </w14:textFill>
        </w:rPr>
        <w:t>的</w:t>
      </w:r>
      <w:r>
        <w:rPr>
          <w:rFonts w:hint="eastAsia"/>
          <w:color w:val="000000" w:themeColor="text1"/>
          <w:kern w:val="2"/>
          <w:szCs w:val="24"/>
          <w14:textFill>
            <w14:solidFill>
              <w14:schemeClr w14:val="tx1"/>
            </w14:solidFill>
          </w14:textFill>
        </w:rPr>
        <w:t>人员集中场所</w:t>
      </w:r>
      <w:r>
        <w:rPr>
          <w:color w:val="000000" w:themeColor="text1"/>
          <w:kern w:val="2"/>
          <w:szCs w:val="24"/>
          <w14:textFill>
            <w14:solidFill>
              <w14:schemeClr w14:val="tx1"/>
            </w14:solidFill>
          </w14:textFill>
        </w:rPr>
        <w:t>应</w:t>
      </w:r>
      <w:r>
        <w:rPr>
          <w:rFonts w:hint="eastAsia"/>
          <w:color w:val="000000" w:themeColor="text1"/>
          <w:kern w:val="2"/>
          <w:szCs w:val="24"/>
          <w14:textFill>
            <w14:solidFill>
              <w14:schemeClr w14:val="tx1"/>
            </w14:solidFill>
          </w14:textFill>
        </w:rPr>
        <w:t>考虑</w:t>
      </w:r>
      <w:r>
        <w:rPr>
          <w:color w:val="000000" w:themeColor="text1"/>
          <w:kern w:val="2"/>
          <w:szCs w:val="24"/>
          <w14:textFill>
            <w14:solidFill>
              <w14:schemeClr w14:val="tx1"/>
            </w14:solidFill>
          </w14:textFill>
        </w:rPr>
        <w:t>液化烃的</w:t>
      </w:r>
      <w:r>
        <w:rPr>
          <w:rFonts w:hint="eastAsia"/>
          <w:color w:val="000000" w:themeColor="text1"/>
          <w:kern w:val="2"/>
          <w:szCs w:val="24"/>
          <w14:textFill>
            <w14:solidFill>
              <w14:schemeClr w14:val="tx1"/>
            </w14:solidFill>
          </w14:textFill>
        </w:rPr>
        <w:t>蒸汽云爆炸（VCE）影响</w:t>
      </w:r>
      <w:r>
        <w:rPr>
          <w:color w:val="000000" w:themeColor="text1"/>
          <w:kern w:val="2"/>
          <w:szCs w:val="24"/>
          <w14:textFill>
            <w14:solidFill>
              <w14:schemeClr w14:val="tx1"/>
            </w14:solidFill>
          </w14:textFill>
        </w:rPr>
        <w:t>，必要时</w:t>
      </w:r>
      <w:r>
        <w:rPr>
          <w:rFonts w:hint="eastAsia"/>
          <w:color w:val="000000" w:themeColor="text1"/>
          <w:kern w:val="2"/>
          <w:szCs w:val="24"/>
          <w14:textFill>
            <w14:solidFill>
              <w14:schemeClr w14:val="tx1"/>
            </w14:solidFill>
          </w14:textFill>
        </w:rPr>
        <w:t>应按照G</w:t>
      </w:r>
      <w:r>
        <w:rPr>
          <w:color w:val="000000" w:themeColor="text1"/>
          <w:kern w:val="2"/>
          <w:szCs w:val="24"/>
          <w14:textFill>
            <w14:solidFill>
              <w14:schemeClr w14:val="tx1"/>
            </w14:solidFill>
          </w14:textFill>
        </w:rPr>
        <w:t>B/T 50779</w:t>
      </w:r>
      <w:r>
        <w:rPr>
          <w:rFonts w:hint="eastAsia"/>
          <w:color w:val="000000" w:themeColor="text1"/>
          <w:kern w:val="2"/>
          <w:szCs w:val="24"/>
          <w14:textFill>
            <w14:solidFill>
              <w14:schemeClr w14:val="tx1"/>
            </w14:solidFill>
          </w14:textFill>
        </w:rPr>
        <w:t>进行抗爆设计。</w:t>
      </w:r>
    </w:p>
    <w:p>
      <w:pPr>
        <w:widowControl w:val="0"/>
        <w:spacing w:before="317" w:beforeLines="100" w:after="317" w:afterLines="100" w:line="240" w:lineRule="auto"/>
        <w:jc w:val="left"/>
        <w:textAlignment w:val="auto"/>
        <w:outlineLvl w:val="0"/>
        <w:rPr>
          <w:rFonts w:ascii="黑体" w:hAnsi="黑体" w:eastAsia="黑体"/>
          <w:color w:val="000000" w:themeColor="text1"/>
          <w:kern w:val="2"/>
          <w:szCs w:val="21"/>
          <w14:textFill>
            <w14:solidFill>
              <w14:schemeClr w14:val="tx1"/>
            </w14:solidFill>
          </w14:textFill>
        </w:rPr>
      </w:pPr>
      <w:bookmarkStart w:id="25" w:name="_Toc118962013"/>
      <w:bookmarkStart w:id="26" w:name="_Toc452732589"/>
      <w:r>
        <w:rPr>
          <w:rFonts w:hint="eastAsia" w:ascii="黑体" w:hAnsi="黑体" w:eastAsia="黑体"/>
          <w:color w:val="000000" w:themeColor="text1"/>
          <w:kern w:val="2"/>
          <w:szCs w:val="21"/>
          <w14:textFill>
            <w14:solidFill>
              <w14:schemeClr w14:val="tx1"/>
            </w14:solidFill>
          </w14:textFill>
        </w:rPr>
        <w:t>6  设计要求</w:t>
      </w:r>
      <w:bookmarkEnd w:id="25"/>
      <w:bookmarkEnd w:id="26"/>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27" w:name="_Toc118962014"/>
      <w:r>
        <w:rPr>
          <w:rFonts w:hint="eastAsia" w:ascii="黑体" w:eastAsia="黑体"/>
          <w:color w:val="000000" w:themeColor="text1"/>
          <w:kern w:val="2"/>
          <w:sz w:val="21"/>
          <w14:textFill>
            <w14:solidFill>
              <w14:schemeClr w14:val="tx1"/>
            </w14:solidFill>
          </w14:textFill>
        </w:rPr>
        <w:t>6.1</w:t>
      </w:r>
      <w:r>
        <w:rPr>
          <w:rFonts w:ascii="黑体" w:eastAsia="黑体"/>
          <w:color w:val="000000" w:themeColor="text1"/>
          <w:kern w:val="2"/>
          <w:sz w:val="21"/>
          <w14:textFill>
            <w14:solidFill>
              <w14:schemeClr w14:val="tx1"/>
            </w14:solidFill>
          </w14:textFill>
        </w:rPr>
        <w:t xml:space="preserve">  </w:t>
      </w:r>
      <w:r>
        <w:rPr>
          <w:rFonts w:hint="eastAsia" w:ascii="黑体" w:eastAsia="黑体"/>
          <w:color w:val="000000" w:themeColor="text1"/>
          <w:kern w:val="2"/>
          <w:sz w:val="21"/>
          <w14:textFill>
            <w14:solidFill>
              <w14:schemeClr w14:val="tx1"/>
            </w14:solidFill>
          </w14:textFill>
        </w:rPr>
        <w:t>工艺</w:t>
      </w:r>
      <w:bookmarkEnd w:id="27"/>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color w:val="000000" w:themeColor="text1"/>
          <w:kern w:val="2"/>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6.1.1  </w:t>
      </w:r>
      <w:r>
        <w:rPr>
          <w:rFonts w:hint="eastAsia"/>
          <w:color w:val="000000" w:themeColor="text1"/>
          <w:kern w:val="2"/>
          <w:szCs w:val="24"/>
          <w14:textFill>
            <w14:solidFill>
              <w14:schemeClr w14:val="tx1"/>
            </w14:solidFill>
          </w14:textFill>
        </w:rPr>
        <w:t>液化烃压力式</w:t>
      </w:r>
      <w:r>
        <w:rPr>
          <w:color w:val="000000" w:themeColor="text1"/>
          <w:kern w:val="2"/>
          <w:szCs w:val="24"/>
          <w14:textFill>
            <w14:solidFill>
              <w14:schemeClr w14:val="tx1"/>
            </w14:solidFill>
          </w14:textFill>
        </w:rPr>
        <w:t>储罐</w:t>
      </w:r>
      <w:r>
        <w:rPr>
          <w:rFonts w:hint="eastAsia"/>
          <w:color w:val="000000" w:themeColor="text1"/>
          <w:kern w:val="2"/>
          <w:szCs w:val="24"/>
          <w14:textFill>
            <w14:solidFill>
              <w14:schemeClr w14:val="tx1"/>
            </w14:solidFill>
          </w14:textFill>
        </w:rPr>
        <w:t>的设计应满足以下要求：</w:t>
      </w:r>
    </w:p>
    <w:p>
      <w:pPr>
        <w:pStyle w:val="149"/>
        <w:keepNext w:val="0"/>
        <w:keepLines w:val="0"/>
        <w:pageBreakBefore w:val="0"/>
        <w:widowControl w:val="0"/>
        <w:numPr>
          <w:ilvl w:val="0"/>
          <w:numId w:val="21"/>
        </w:numPr>
        <w:tabs>
          <w:tab w:val="left" w:pos="1050"/>
        </w:tabs>
        <w:kinsoku/>
        <w:wordWrap/>
        <w:overflowPunct/>
        <w:topLinePunct w:val="0"/>
        <w:bidi w:val="0"/>
        <w:snapToGrid/>
        <w:spacing w:line="240" w:lineRule="auto"/>
        <w:ind w:firstLineChars="0"/>
        <w:textAlignment w:val="auto"/>
        <w:rPr>
          <w:rFonts w:ascii="黑体" w:hAnsi="黑体" w:eastAsia="黑体"/>
          <w:color w:val="000000" w:themeColor="text1"/>
          <w14:textFill>
            <w14:solidFill>
              <w14:schemeClr w14:val="tx1"/>
            </w14:solidFill>
          </w14:textFill>
        </w:rPr>
      </w:pPr>
      <w:r>
        <w:rPr>
          <w:rFonts w:hint="eastAsia"/>
          <w:bCs/>
          <w:color w:val="000000" w:themeColor="text1"/>
          <w:kern w:val="2"/>
          <w:szCs w:val="24"/>
          <w14:textFill>
            <w14:solidFill>
              <w14:schemeClr w14:val="tx1"/>
            </w14:solidFill>
          </w14:textFill>
        </w:rPr>
        <w:t>物料储存温度小于0℃的新建储罐，其底部开口与下部进出料管道第一道阀门之间应采用焊接连接方式，且此阀门阀体材质应与储罐材质一致，不应采用异种钢焊接方式连接；</w:t>
      </w:r>
    </w:p>
    <w:p>
      <w:pPr>
        <w:pStyle w:val="149"/>
        <w:keepNext w:val="0"/>
        <w:keepLines w:val="0"/>
        <w:pageBreakBefore w:val="0"/>
        <w:widowControl w:val="0"/>
        <w:numPr>
          <w:ilvl w:val="0"/>
          <w:numId w:val="21"/>
        </w:numPr>
        <w:tabs>
          <w:tab w:val="left" w:pos="1050"/>
        </w:tabs>
        <w:kinsoku/>
        <w:wordWrap/>
        <w:overflowPunct/>
        <w:topLinePunct w:val="0"/>
        <w:bidi w:val="0"/>
        <w:snapToGrid/>
        <w:spacing w:line="240" w:lineRule="auto"/>
        <w:ind w:firstLineChars="0"/>
        <w:textAlignment w:val="auto"/>
        <w:rPr>
          <w:rFonts w:ascii="黑体" w:hAnsi="黑体" w:eastAsia="黑体"/>
          <w:color w:val="000000" w:themeColor="text1"/>
          <w14:textFill>
            <w14:solidFill>
              <w14:schemeClr w14:val="tx1"/>
            </w14:solidFill>
          </w14:textFill>
        </w:rPr>
      </w:pPr>
      <w:r>
        <w:rPr>
          <w:rFonts w:hint="eastAsia"/>
          <w:color w:val="000000" w:themeColor="text1"/>
          <w:kern w:val="2"/>
          <w:szCs w:val="24"/>
          <w14:textFill>
            <w14:solidFill>
              <w14:schemeClr w14:val="tx1"/>
            </w14:solidFill>
          </w14:textFill>
        </w:rPr>
        <w:t>新建储罐下部进、出物料管道上靠近储罐的第一道阀门应为紧急切断阀。紧急切断阀不应用于工艺过程控制，应按动力故障关设置，且应设置手轮，手轮应有防止误操作的措施；</w:t>
      </w:r>
    </w:p>
    <w:p>
      <w:pPr>
        <w:pStyle w:val="149"/>
        <w:keepNext w:val="0"/>
        <w:keepLines w:val="0"/>
        <w:pageBreakBefore w:val="0"/>
        <w:widowControl w:val="0"/>
        <w:numPr>
          <w:ilvl w:val="0"/>
          <w:numId w:val="21"/>
        </w:numPr>
        <w:tabs>
          <w:tab w:val="left" w:pos="1050"/>
        </w:tabs>
        <w:kinsoku/>
        <w:wordWrap/>
        <w:overflowPunct/>
        <w:topLinePunct w:val="0"/>
        <w:autoSpaceDE w:val="0"/>
        <w:autoSpaceDN w:val="0"/>
        <w:bidi w:val="0"/>
        <w:adjustRightInd w:val="0"/>
        <w:snapToGrid/>
        <w:spacing w:line="240" w:lineRule="auto"/>
        <w:ind w:firstLineChars="0"/>
        <w:textAlignment w:val="auto"/>
        <w:rPr>
          <w:color w:val="000000" w:themeColor="text1"/>
          <w:kern w:val="2"/>
          <w:szCs w:val="24"/>
          <w14:textFill>
            <w14:solidFill>
              <w14:schemeClr w14:val="tx1"/>
            </w14:solidFill>
          </w14:textFill>
        </w:rPr>
      </w:pPr>
      <w:r>
        <w:rPr>
          <w:rFonts w:hint="eastAsia"/>
          <w:color w:val="000000" w:themeColor="text1"/>
          <w14:textFill>
            <w14:solidFill>
              <w14:schemeClr w14:val="tx1"/>
            </w14:solidFill>
          </w14:textFill>
        </w:rPr>
        <w:t>有切水需求的液化烃储罐</w:t>
      </w:r>
      <w:r>
        <w:rPr>
          <w:rFonts w:hint="eastAsia"/>
          <w:color w:val="000000" w:themeColor="text1"/>
          <w:kern w:val="2"/>
          <w:szCs w:val="24"/>
          <w14:textFill>
            <w14:solidFill>
              <w14:schemeClr w14:val="tx1"/>
            </w14:solidFill>
          </w14:textFill>
        </w:rPr>
        <w:t>应采用密闭切水系统</w:t>
      </w:r>
      <w:r>
        <w:rPr>
          <w:color w:val="000000" w:themeColor="text1"/>
          <w:kern w:val="2"/>
          <w:szCs w:val="24"/>
          <w14:textFill>
            <w14:solidFill>
              <w14:schemeClr w14:val="tx1"/>
            </w14:solidFill>
          </w14:textFill>
        </w:rPr>
        <w:t>，</w:t>
      </w:r>
      <w:r>
        <w:rPr>
          <w:rFonts w:hint="eastAsia"/>
          <w:color w:val="000000" w:themeColor="text1"/>
          <w:kern w:val="2"/>
          <w:szCs w:val="24"/>
          <w14:textFill>
            <w14:solidFill>
              <w14:schemeClr w14:val="tx1"/>
            </w14:solidFill>
          </w14:textFill>
        </w:rPr>
        <w:t>切出的水</w:t>
      </w:r>
      <w:r>
        <w:rPr>
          <w:color w:val="000000" w:themeColor="text1"/>
          <w:kern w:val="2"/>
          <w:szCs w:val="24"/>
          <w14:textFill>
            <w14:solidFill>
              <w14:schemeClr w14:val="tx1"/>
            </w14:solidFill>
          </w14:textFill>
        </w:rPr>
        <w:t>经</w:t>
      </w:r>
      <w:r>
        <w:rPr>
          <w:rFonts w:hint="eastAsia"/>
          <w:color w:val="000000" w:themeColor="text1"/>
          <w:kern w:val="2"/>
          <w:szCs w:val="24"/>
          <w14:textFill>
            <w14:solidFill>
              <w14:schemeClr w14:val="tx1"/>
            </w14:solidFill>
          </w14:textFill>
        </w:rPr>
        <w:t>闪蒸罐脱除烃类后再排入污水系统，闪蒸气应排入安全泄放系统。全年最冷月平均最低气温低于0℃的区域，液化烃储罐底部切水线应设置伴热；</w:t>
      </w:r>
    </w:p>
    <w:p>
      <w:pPr>
        <w:pStyle w:val="149"/>
        <w:keepNext w:val="0"/>
        <w:keepLines w:val="0"/>
        <w:pageBreakBefore w:val="0"/>
        <w:widowControl w:val="0"/>
        <w:numPr>
          <w:ilvl w:val="0"/>
          <w:numId w:val="21"/>
        </w:numPr>
        <w:tabs>
          <w:tab w:val="left" w:pos="1050"/>
        </w:tabs>
        <w:kinsoku/>
        <w:wordWrap/>
        <w:overflowPunct/>
        <w:topLinePunct w:val="0"/>
        <w:bidi w:val="0"/>
        <w:snapToGrid/>
        <w:spacing w:line="240" w:lineRule="auto"/>
        <w:ind w:firstLineChars="0"/>
        <w:textAlignment w:val="auto"/>
        <w:rPr>
          <w:color w:val="000000" w:themeColor="text1"/>
          <w:kern w:val="2"/>
          <w:szCs w:val="24"/>
          <w14:textFill>
            <w14:solidFill>
              <w14:schemeClr w14:val="tx1"/>
            </w14:solidFill>
          </w14:textFill>
        </w:rPr>
      </w:pPr>
      <w:r>
        <w:rPr>
          <w:rFonts w:hint="eastAsia"/>
          <w:color w:val="000000" w:themeColor="text1"/>
          <w:kern w:val="2"/>
          <w:szCs w:val="24"/>
          <w14:textFill>
            <w14:solidFill>
              <w14:schemeClr w14:val="tx1"/>
            </w14:solidFill>
          </w14:textFill>
        </w:rPr>
        <w:t>物料储存温度大于0℃，且进出料口</w:t>
      </w:r>
      <w:r>
        <w:rPr>
          <w:color w:val="000000" w:themeColor="text1"/>
          <w:kern w:val="2"/>
          <w:szCs w:val="24"/>
          <w14:textFill>
            <w14:solidFill>
              <w14:schemeClr w14:val="tx1"/>
            </w14:solidFill>
          </w14:textFill>
        </w:rPr>
        <w:t>在下</w:t>
      </w:r>
      <w:r>
        <w:rPr>
          <w:rFonts w:hint="eastAsia"/>
          <w:color w:val="000000" w:themeColor="text1"/>
          <w:kern w:val="2"/>
          <w:szCs w:val="24"/>
          <w14:textFill>
            <w14:solidFill>
              <w14:schemeClr w14:val="tx1"/>
            </w14:solidFill>
          </w14:textFill>
        </w:rPr>
        <w:t>部</w:t>
      </w:r>
      <w:r>
        <w:rPr>
          <w:color w:val="000000" w:themeColor="text1"/>
          <w:kern w:val="2"/>
          <w:szCs w:val="24"/>
          <w14:textFill>
            <w14:solidFill>
              <w14:schemeClr w14:val="tx1"/>
            </w14:solidFill>
          </w14:textFill>
        </w:rPr>
        <w:t>的</w:t>
      </w:r>
      <w:r>
        <w:rPr>
          <w:rFonts w:hint="eastAsia"/>
          <w:color w:val="000000" w:themeColor="text1"/>
          <w:kern w:val="2"/>
          <w:szCs w:val="24"/>
          <w14:textFill>
            <w14:solidFill>
              <w14:schemeClr w14:val="tx1"/>
            </w14:solidFill>
          </w14:textFill>
        </w:rPr>
        <w:t>全压力式储罐应设注水设施且有防止液化烃窜入上游注水系统的措施，注水的具体方式可按附录</w:t>
      </w:r>
      <w:r>
        <w:rPr>
          <w:color w:val="000000" w:themeColor="text1"/>
          <w:kern w:val="2"/>
          <w:szCs w:val="24"/>
          <w14:textFill>
            <w14:solidFill>
              <w14:schemeClr w14:val="tx1"/>
            </w14:solidFill>
          </w14:textFill>
        </w:rPr>
        <w:t>B</w:t>
      </w:r>
      <w:r>
        <w:rPr>
          <w:rFonts w:hint="eastAsia"/>
          <w:color w:val="000000" w:themeColor="text1"/>
          <w:kern w:val="2"/>
          <w:szCs w:val="24"/>
          <w14:textFill>
            <w14:solidFill>
              <w14:schemeClr w14:val="tx1"/>
            </w14:solidFill>
          </w14:textFill>
        </w:rPr>
        <w:t>执行。</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bCs/>
          <w:color w:val="000000" w:themeColor="text1"/>
          <w:kern w:val="2"/>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6.1.2  </w:t>
      </w:r>
      <w:r>
        <w:rPr>
          <w:rFonts w:hint="eastAsia"/>
          <w:bCs/>
          <w:color w:val="000000" w:themeColor="text1"/>
          <w:kern w:val="2"/>
          <w:szCs w:val="24"/>
          <w14:textFill>
            <w14:solidFill>
              <w14:schemeClr w14:val="tx1"/>
            </w14:solidFill>
          </w14:textFill>
        </w:rPr>
        <w:t>当安全泄放系统出现故障或检维修时，储存有物料的液化烃储罐应保证有可靠的安全泄放措施。</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bCs/>
          <w:color w:val="000000" w:themeColor="text1"/>
          <w:kern w:val="2"/>
          <w:szCs w:val="24"/>
          <w14:textFill>
            <w14:solidFill>
              <w14:schemeClr w14:val="tx1"/>
            </w14:solidFill>
          </w14:textFill>
        </w:rPr>
      </w:pPr>
      <w:r>
        <w:rPr>
          <w:rFonts w:ascii="黑体" w:hAnsi="黑体" w:eastAsia="黑体"/>
          <w:bCs/>
          <w:color w:val="000000" w:themeColor="text1"/>
          <w:kern w:val="2"/>
          <w:szCs w:val="24"/>
          <w14:textFill>
            <w14:solidFill>
              <w14:schemeClr w14:val="tx1"/>
            </w14:solidFill>
          </w14:textFill>
        </w:rPr>
        <w:t>6.1.3</w:t>
      </w:r>
      <w:r>
        <w:rPr>
          <w:bCs/>
          <w:color w:val="000000" w:themeColor="text1"/>
          <w:kern w:val="2"/>
          <w:szCs w:val="24"/>
          <w14:textFill>
            <w14:solidFill>
              <w14:schemeClr w14:val="tx1"/>
            </w14:solidFill>
          </w14:textFill>
        </w:rPr>
        <w:t xml:space="preserve">  </w:t>
      </w:r>
      <w:r>
        <w:rPr>
          <w:rFonts w:hint="eastAsia"/>
          <w:bCs/>
          <w:color w:val="000000" w:themeColor="text1"/>
          <w:kern w:val="2"/>
          <w:szCs w:val="24"/>
          <w14:textFill>
            <w14:solidFill>
              <w14:schemeClr w14:val="tx1"/>
            </w14:solidFill>
          </w14:textFill>
        </w:rPr>
        <w:t>液化烃全压力式储罐、半冷冻式储罐气相连通平衡线应设有超压排火炬功能的调节阀，此调节阀应具备远程控制和就地控制功能。</w:t>
      </w:r>
    </w:p>
    <w:p>
      <w:pPr>
        <w:keepNext w:val="0"/>
        <w:keepLines w:val="0"/>
        <w:pageBreakBefore w:val="0"/>
        <w:kinsoku/>
        <w:wordWrap/>
        <w:overflowPunct/>
        <w:topLinePunct w:val="0"/>
        <w:bidi w:val="0"/>
        <w:snapToGrid/>
        <w:spacing w:line="240" w:lineRule="auto"/>
      </w:pPr>
      <w:r>
        <w:rPr>
          <w:rFonts w:ascii="黑体" w:hAnsi="黑体" w:eastAsia="黑体"/>
        </w:rPr>
        <w:t>6.1.4</w:t>
      </w:r>
      <w:r>
        <w:t xml:space="preserve">  </w:t>
      </w:r>
      <w:r>
        <w:rPr>
          <w:rFonts w:hint="eastAsia"/>
        </w:rPr>
        <w:t>液化烃泵应设置远程停泵功能，泵出口应设止回阀，并在泵出口设置远程切断功能。</w:t>
      </w:r>
    </w:p>
    <w:p>
      <w:pPr>
        <w:pStyle w:val="99"/>
        <w:keepNext w:val="0"/>
        <w:keepLines w:val="0"/>
        <w:pageBreakBefore w:val="0"/>
        <w:tabs>
          <w:tab w:val="left" w:pos="851"/>
        </w:tabs>
        <w:kinsoku/>
        <w:wordWrap/>
        <w:overflowPunct/>
        <w:topLinePunct w:val="0"/>
        <w:bidi w:val="0"/>
        <w:snapToGrid/>
        <w:spacing w:line="240" w:lineRule="auto"/>
        <w:jc w:val="both"/>
        <w:outlineLvl w:val="9"/>
        <w:rPr>
          <w:rFonts w:ascii="Times New Roman"/>
          <w:color w:val="000000" w:themeColor="text1"/>
          <w:kern w:val="2"/>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6.1.5  </w:t>
      </w:r>
      <w:r>
        <w:rPr>
          <w:rFonts w:hint="eastAsia" w:ascii="Times New Roman"/>
          <w:color w:val="000000" w:themeColor="text1"/>
          <w:kern w:val="2"/>
          <w:szCs w:val="24"/>
          <w14:textFill>
            <w14:solidFill>
              <w14:schemeClr w14:val="tx1"/>
            </w14:solidFill>
          </w14:textFill>
        </w:rPr>
        <w:t>液化烃含有易自聚不稳定的二烯烃等物料时，应采取防止生成自聚物的措施。</w:t>
      </w:r>
    </w:p>
    <w:p>
      <w:pPr>
        <w:pStyle w:val="99"/>
        <w:keepNext w:val="0"/>
        <w:keepLines w:val="0"/>
        <w:pageBreakBefore w:val="0"/>
        <w:tabs>
          <w:tab w:val="left" w:pos="851"/>
        </w:tabs>
        <w:kinsoku/>
        <w:wordWrap/>
        <w:overflowPunct/>
        <w:topLinePunct w:val="0"/>
        <w:bidi w:val="0"/>
        <w:snapToGrid/>
        <w:spacing w:line="240" w:lineRule="auto"/>
        <w:jc w:val="both"/>
        <w:outlineLvl w:val="9"/>
        <w:rPr>
          <w:rFonts w:ascii="Times New Roman"/>
          <w:color w:val="000000" w:themeColor="text1"/>
          <w:kern w:val="2"/>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6.1.6  </w:t>
      </w:r>
      <w:r>
        <w:rPr>
          <w:rFonts w:hint="eastAsia" w:ascii="Times New Roman"/>
          <w:color w:val="000000" w:themeColor="text1"/>
          <w:kern w:val="2"/>
          <w:szCs w:val="24"/>
          <w14:textFill>
            <w14:solidFill>
              <w14:schemeClr w14:val="tx1"/>
            </w14:solidFill>
          </w14:textFill>
        </w:rPr>
        <w:t>储存易氧化、易聚合不稳定的液化烃时，应采取补氮措施。</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color w:val="000000" w:themeColor="text1"/>
          <w:kern w:val="2"/>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6.1.7  </w:t>
      </w:r>
      <w:r>
        <w:rPr>
          <w:rFonts w:hint="eastAsia"/>
          <w:color w:val="000000" w:themeColor="text1"/>
          <w:kern w:val="2"/>
          <w:szCs w:val="24"/>
          <w14:textFill>
            <w14:solidFill>
              <w14:schemeClr w14:val="tx1"/>
            </w14:solidFill>
          </w14:textFill>
        </w:rPr>
        <w:t>液化烃管线上用于吹扫</w:t>
      </w:r>
      <w:r>
        <w:rPr>
          <w:color w:val="000000" w:themeColor="text1"/>
          <w:kern w:val="2"/>
          <w:szCs w:val="24"/>
          <w14:textFill>
            <w14:solidFill>
              <w14:schemeClr w14:val="tx1"/>
            </w14:solidFill>
          </w14:textFill>
        </w:rPr>
        <w:t>和置换的</w:t>
      </w:r>
      <w:r>
        <w:rPr>
          <w:rFonts w:hint="eastAsia"/>
          <w:color w:val="000000" w:themeColor="text1"/>
          <w:kern w:val="2"/>
          <w:szCs w:val="24"/>
          <w14:textFill>
            <w14:solidFill>
              <w14:schemeClr w14:val="tx1"/>
            </w14:solidFill>
          </w14:textFill>
        </w:rPr>
        <w:t>永久性</w:t>
      </w:r>
      <w:r>
        <w:rPr>
          <w:color w:val="000000" w:themeColor="text1"/>
          <w:kern w:val="2"/>
          <w:szCs w:val="24"/>
          <w14:textFill>
            <w14:solidFill>
              <w14:schemeClr w14:val="tx1"/>
            </w14:solidFill>
          </w14:textFill>
        </w:rPr>
        <w:t>连接点应设双阀</w:t>
      </w:r>
      <w:r>
        <w:rPr>
          <w:rFonts w:hint="eastAsia"/>
          <w:color w:val="000000" w:themeColor="text1"/>
          <w:kern w:val="2"/>
          <w:szCs w:val="24"/>
          <w14:textFill>
            <w14:solidFill>
              <w14:schemeClr w14:val="tx1"/>
            </w14:solidFill>
          </w14:textFill>
        </w:rPr>
        <w:t>，放空放净处应设双阀或单阀加封堵设施。</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6.1.8  </w:t>
      </w:r>
      <w:r>
        <w:rPr>
          <w:rFonts w:hint="eastAsia"/>
          <w:color w:val="000000" w:themeColor="text1"/>
          <w:szCs w:val="24"/>
          <w14:textFill>
            <w14:solidFill>
              <w14:schemeClr w14:val="tx1"/>
            </w14:solidFill>
          </w14:textFill>
        </w:rPr>
        <w:t>丁二烯物料采用压力式储罐、覆土式储罐储存时，除满足上述要求外，尚需满足以下要求：</w:t>
      </w:r>
      <w:r>
        <w:rPr>
          <w:color w:val="000000" w:themeColor="text1"/>
          <w:szCs w:val="24"/>
          <w14:textFill>
            <w14:solidFill>
              <w14:schemeClr w14:val="tx1"/>
            </w14:solidFill>
          </w14:textFill>
        </w:rPr>
        <w:t xml:space="preserve"> </w:t>
      </w:r>
    </w:p>
    <w:p>
      <w:pPr>
        <w:pStyle w:val="149"/>
        <w:keepNext w:val="0"/>
        <w:keepLines w:val="0"/>
        <w:pageBreakBefore w:val="0"/>
        <w:widowControl w:val="0"/>
        <w:numPr>
          <w:ilvl w:val="0"/>
          <w:numId w:val="22"/>
        </w:numPr>
        <w:tabs>
          <w:tab w:val="left" w:pos="1050"/>
        </w:tabs>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储罐应定期检测氧含量、聚合物含量、阻聚剂含量，防止聚合物聚集；</w:t>
      </w:r>
    </w:p>
    <w:p>
      <w:pPr>
        <w:pStyle w:val="149"/>
        <w:keepNext w:val="0"/>
        <w:keepLines w:val="0"/>
        <w:pageBreakBefore w:val="0"/>
        <w:widowControl w:val="0"/>
        <w:numPr>
          <w:ilvl w:val="0"/>
          <w:numId w:val="22"/>
        </w:numPr>
        <w:tabs>
          <w:tab w:val="left" w:pos="1050"/>
        </w:tabs>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严格控制储存系统中气相氧含量，聚合级不应大于0</w:t>
      </w:r>
      <w:r>
        <w:rPr>
          <w:color w:val="000000" w:themeColor="text1"/>
          <w:szCs w:val="24"/>
          <w14:textFill>
            <w14:solidFill>
              <w14:schemeClr w14:val="tx1"/>
            </w14:solidFill>
          </w14:textFill>
        </w:rPr>
        <w:t>.2</w:t>
      </w:r>
      <w:r>
        <w:rPr>
          <w:rFonts w:hint="eastAsia"/>
          <w:color w:val="000000" w:themeColor="text1"/>
          <w:szCs w:val="24"/>
          <w14:textFill>
            <w14:solidFill>
              <w14:schemeClr w14:val="tx1"/>
            </w14:solidFill>
          </w14:textFill>
        </w:rPr>
        <w:t>%，工业级不应大于0</w:t>
      </w:r>
      <w:r>
        <w:rPr>
          <w:color w:val="000000" w:themeColor="text1"/>
          <w:szCs w:val="24"/>
          <w14:textFill>
            <w14:solidFill>
              <w14:schemeClr w14:val="tx1"/>
            </w14:solidFill>
          </w14:textFill>
        </w:rPr>
        <w:t>.3</w:t>
      </w:r>
      <w:r>
        <w:rPr>
          <w:rFonts w:hint="eastAsia"/>
          <w:color w:val="000000" w:themeColor="text1"/>
          <w:szCs w:val="24"/>
          <w14:textFill>
            <w14:solidFill>
              <w14:schemeClr w14:val="tx1"/>
            </w14:solidFill>
          </w14:textFill>
        </w:rPr>
        <w:t>%；</w:t>
      </w:r>
    </w:p>
    <w:p>
      <w:pPr>
        <w:pStyle w:val="149"/>
        <w:keepNext w:val="0"/>
        <w:keepLines w:val="0"/>
        <w:pageBreakBefore w:val="0"/>
        <w:widowControl w:val="0"/>
        <w:numPr>
          <w:ilvl w:val="0"/>
          <w:numId w:val="22"/>
        </w:numPr>
        <w:tabs>
          <w:tab w:val="left" w:pos="1050"/>
        </w:tabs>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管道应减少导淋、盲段等死区；</w:t>
      </w:r>
    </w:p>
    <w:p>
      <w:pPr>
        <w:pStyle w:val="149"/>
        <w:keepNext w:val="0"/>
        <w:keepLines w:val="0"/>
        <w:pageBreakBefore w:val="0"/>
        <w:widowControl w:val="0"/>
        <w:numPr>
          <w:ilvl w:val="0"/>
          <w:numId w:val="22"/>
        </w:numPr>
        <w:tabs>
          <w:tab w:val="left" w:pos="1050"/>
        </w:tabs>
        <w:kinsoku/>
        <w:wordWrap/>
        <w:overflowPunct/>
        <w:topLinePunct w:val="0"/>
        <w:bidi w:val="0"/>
        <w:snapToGrid/>
        <w:spacing w:line="240" w:lineRule="auto"/>
        <w:ind w:firstLineChars="0"/>
        <w:textAlignment w:val="auto"/>
        <w:rPr>
          <w:color w:val="auto"/>
          <w:szCs w:val="24"/>
        </w:rPr>
      </w:pPr>
      <w:r>
        <w:rPr>
          <w:rFonts w:hint="eastAsia"/>
          <w:color w:val="auto"/>
          <w:szCs w:val="24"/>
        </w:rPr>
        <w:t>储存周期在两周以下时，储罐应设置水喷淋冷却系统，或者设置冷冻循环系统和阻聚剂添加系统；储存周期在两周以上时，储罐应设置冷冻循环系统和阻聚剂添加系统；</w:t>
      </w:r>
    </w:p>
    <w:p>
      <w:pPr>
        <w:pStyle w:val="149"/>
        <w:keepNext w:val="0"/>
        <w:keepLines w:val="0"/>
        <w:pageBreakBefore w:val="0"/>
        <w:widowControl w:val="0"/>
        <w:numPr>
          <w:ilvl w:val="0"/>
          <w:numId w:val="22"/>
        </w:numPr>
        <w:tabs>
          <w:tab w:val="left" w:pos="1050"/>
        </w:tabs>
        <w:kinsoku/>
        <w:wordWrap/>
        <w:overflowPunct/>
        <w:topLinePunct w:val="0"/>
        <w:bidi w:val="0"/>
        <w:snapToGrid/>
        <w:spacing w:line="240" w:lineRule="auto"/>
        <w:ind w:firstLineChars="0"/>
        <w:textAlignment w:val="auto"/>
        <w:rPr>
          <w:color w:val="auto"/>
          <w:szCs w:val="24"/>
        </w:rPr>
      </w:pPr>
      <w:r>
        <w:rPr>
          <w:rFonts w:hint="eastAsia"/>
          <w:color w:val="auto"/>
          <w:szCs w:val="24"/>
        </w:rPr>
        <w:t>储罐及管道安全阀前应设爆破片和压力表，储罐的安全阀出口管道应设氮气连续吹扫或采取储罐压力高高联锁氮气吹扫；</w:t>
      </w:r>
    </w:p>
    <w:p>
      <w:pPr>
        <w:pStyle w:val="149"/>
        <w:keepNext w:val="0"/>
        <w:keepLines w:val="0"/>
        <w:pageBreakBefore w:val="0"/>
        <w:widowControl w:val="0"/>
        <w:numPr>
          <w:ilvl w:val="0"/>
          <w:numId w:val="22"/>
        </w:numPr>
        <w:tabs>
          <w:tab w:val="left" w:pos="1050"/>
        </w:tabs>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auto"/>
          <w:szCs w:val="24"/>
        </w:rPr>
        <w:t>储罐储存系数应执行</w:t>
      </w:r>
      <w:r>
        <w:rPr>
          <w:color w:val="auto"/>
          <w:szCs w:val="24"/>
        </w:rPr>
        <w:t>GB 50160</w:t>
      </w:r>
      <w:r>
        <w:rPr>
          <w:rFonts w:hint="eastAsia"/>
          <w:color w:val="auto"/>
          <w:szCs w:val="24"/>
        </w:rPr>
        <w:t>的要求小于等于0</w:t>
      </w:r>
      <w:r>
        <w:rPr>
          <w:color w:val="auto"/>
          <w:szCs w:val="24"/>
        </w:rPr>
        <w:t>.9</w:t>
      </w:r>
      <w:r>
        <w:rPr>
          <w:rFonts w:hint="eastAsia"/>
          <w:color w:val="auto"/>
          <w:szCs w:val="24"/>
        </w:rPr>
        <w:t>，并设置高液位报警和高高液位自动</w:t>
      </w:r>
      <w:r>
        <w:rPr>
          <w:rFonts w:hint="eastAsia"/>
          <w:color w:val="000000" w:themeColor="text1"/>
          <w:szCs w:val="24"/>
          <w14:textFill>
            <w14:solidFill>
              <w14:schemeClr w14:val="tx1"/>
            </w14:solidFill>
          </w14:textFill>
        </w:rPr>
        <w:t>联锁切断进料措施。</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6.1.9  </w:t>
      </w:r>
      <w:r>
        <w:rPr>
          <w:rFonts w:hint="eastAsia"/>
          <w:color w:val="000000" w:themeColor="text1"/>
          <w:szCs w:val="24"/>
          <w14:textFill>
            <w14:solidFill>
              <w14:schemeClr w14:val="tx1"/>
            </w14:solidFill>
          </w14:textFill>
        </w:rPr>
        <w:t>液化烃装卸车应采用具备自动锁定、脱落和拉断能自封闭的专用接头。</w:t>
      </w:r>
    </w:p>
    <w:p>
      <w:pPr>
        <w:pStyle w:val="81"/>
        <w:keepNext w:val="0"/>
        <w:keepLines w:val="0"/>
        <w:pageBreakBefore w:val="0"/>
        <w:kinsoku/>
        <w:wordWrap/>
        <w:overflowPunct/>
        <w:topLinePunct w:val="0"/>
        <w:bidi w:val="0"/>
        <w:snapToGrid/>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28" w:name="_Toc118962015"/>
      <w:r>
        <w:rPr>
          <w:rFonts w:hint="eastAsia" w:ascii="黑体" w:eastAsia="黑体"/>
          <w:color w:val="000000" w:themeColor="text1"/>
          <w:kern w:val="2"/>
          <w:sz w:val="21"/>
          <w14:textFill>
            <w14:solidFill>
              <w14:schemeClr w14:val="tx1"/>
            </w14:solidFill>
          </w14:textFill>
        </w:rPr>
        <w:t>6.2</w:t>
      </w:r>
      <w:r>
        <w:rPr>
          <w:rFonts w:ascii="黑体" w:eastAsia="黑体"/>
          <w:color w:val="000000" w:themeColor="text1"/>
          <w:kern w:val="2"/>
          <w:sz w:val="21"/>
          <w14:textFill>
            <w14:solidFill>
              <w14:schemeClr w14:val="tx1"/>
            </w14:solidFill>
          </w14:textFill>
        </w:rPr>
        <w:t xml:space="preserve">  </w:t>
      </w:r>
      <w:r>
        <w:rPr>
          <w:rFonts w:hint="eastAsia" w:ascii="黑体" w:eastAsia="黑体"/>
          <w:color w:val="000000" w:themeColor="text1"/>
          <w:kern w:val="2"/>
          <w:sz w:val="21"/>
          <w14:textFill>
            <w14:solidFill>
              <w14:schemeClr w14:val="tx1"/>
            </w14:solidFill>
          </w14:textFill>
        </w:rPr>
        <w:t>设备</w:t>
      </w:r>
      <w:bookmarkEnd w:id="28"/>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ascii="黑体" w:hAnsi="黑体" w:eastAsia="黑体"/>
          <w:color w:val="000000" w:themeColor="text1"/>
          <w:sz w:val="28"/>
          <w:szCs w:val="28"/>
          <w14:textFill>
            <w14:solidFill>
              <w14:schemeClr w14:val="tx1"/>
            </w14:solidFill>
          </w14:textFill>
        </w:rPr>
      </w:pPr>
      <w:r>
        <w:rPr>
          <w:rFonts w:ascii="黑体" w:hAnsi="黑体" w:eastAsia="黑体"/>
          <w:color w:val="000000" w:themeColor="text1"/>
          <w14:textFill>
            <w14:solidFill>
              <w14:schemeClr w14:val="tx1"/>
            </w14:solidFill>
          </w14:textFill>
        </w:rPr>
        <w:t xml:space="preserve">6.2.1  </w:t>
      </w:r>
      <w:r>
        <w:rPr>
          <w:rFonts w:hint="eastAsia" w:ascii="黑体" w:eastAsia="黑体"/>
          <w:color w:val="000000" w:themeColor="text1"/>
          <w:kern w:val="2"/>
          <w:szCs w:val="21"/>
          <w14:textFill>
            <w14:solidFill>
              <w14:schemeClr w14:val="tx1"/>
            </w14:solidFill>
          </w14:textFill>
        </w:rPr>
        <w:t>全冷冻式储罐</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6.2.1.1  </w:t>
      </w:r>
      <w:r>
        <w:rPr>
          <w:rFonts w:hint="eastAsia"/>
          <w:color w:val="000000" w:themeColor="text1"/>
          <w:szCs w:val="24"/>
          <w14:textFill>
            <w14:solidFill>
              <w14:schemeClr w14:val="tx1"/>
            </w14:solidFill>
          </w14:textFill>
        </w:rPr>
        <w:t>全冷冻式储罐的设计、制造及检验要求应符合</w:t>
      </w:r>
      <w:r>
        <w:rPr>
          <w:color w:val="000000" w:themeColor="text1"/>
          <w:szCs w:val="24"/>
          <w14:textFill>
            <w14:solidFill>
              <w14:schemeClr w14:val="tx1"/>
            </w14:solidFill>
          </w14:textFill>
        </w:rPr>
        <w:t>GB/T 50938</w:t>
      </w:r>
      <w:r>
        <w:rPr>
          <w:rFonts w:hint="eastAsia"/>
          <w:color w:val="000000" w:themeColor="text1"/>
          <w:szCs w:val="24"/>
          <w14:textFill>
            <w14:solidFill>
              <w14:schemeClr w14:val="tx1"/>
            </w14:solidFill>
          </w14:textFill>
        </w:rPr>
        <w:t>、</w:t>
      </w:r>
      <w:r>
        <w:rPr>
          <w:color w:val="000000" w:themeColor="text1"/>
          <w:szCs w:val="24"/>
          <w14:textFill>
            <w14:solidFill>
              <w14:schemeClr w14:val="tx1"/>
            </w14:solidFill>
          </w14:textFill>
        </w:rPr>
        <w:t>GB/T 26978的要求。</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pPr>
      <w:r>
        <w:rPr>
          <w:rFonts w:ascii="黑体" w:hAnsi="黑体" w:eastAsia="黑体"/>
          <w:color w:val="000000" w:themeColor="text1"/>
          <w14:textFill>
            <w14:solidFill>
              <w14:schemeClr w14:val="tx1"/>
            </w14:solidFill>
          </w14:textFill>
        </w:rPr>
        <w:t xml:space="preserve">6.2.1.2  </w:t>
      </w:r>
      <w:r>
        <w:rPr>
          <w:rFonts w:hint="eastAsia"/>
          <w:color w:val="000000" w:themeColor="text1"/>
          <w:szCs w:val="24"/>
          <w14:textFill>
            <w14:solidFill>
              <w14:schemeClr w14:val="tx1"/>
            </w14:solidFill>
          </w14:textFill>
        </w:rPr>
        <w:t>全冷冻式储罐的选材应根据储罐的使用条件</w:t>
      </w:r>
      <w:r>
        <w:rPr>
          <w:color w:val="000000" w:themeColor="text1"/>
          <w:szCs w:val="24"/>
          <w14:textFill>
            <w14:solidFill>
              <w14:schemeClr w14:val="tx1"/>
            </w14:solidFill>
          </w14:textFill>
        </w:rPr>
        <w:t>(如设计温度、设计压力、介质特性和操作特点等）、材料的性能（力学性能、工艺性能、</w:t>
      </w:r>
      <w:r>
        <w:rPr>
          <w:rFonts w:hint="eastAsia"/>
          <w:color w:val="000000" w:themeColor="text1"/>
          <w:szCs w:val="24"/>
          <w14:textFill>
            <w14:solidFill>
              <w14:schemeClr w14:val="tx1"/>
            </w14:solidFill>
          </w14:textFill>
        </w:rPr>
        <w:t>与介质的相容性和物理性能）、储罐的建造工艺以及经济性综合考虑。所用材料应符合设计规范所规定的材料标准，并有质量证明文件。</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6.2.1.3  </w:t>
      </w:r>
      <w:r>
        <w:rPr>
          <w:rFonts w:hint="eastAsia"/>
          <w:color w:val="000000" w:themeColor="text1"/>
          <w:szCs w:val="24"/>
          <w14:textFill>
            <w14:solidFill>
              <w14:schemeClr w14:val="tx1"/>
            </w14:solidFill>
          </w14:textFill>
        </w:rPr>
        <w:t>全冷冻式储罐设计应满足在全生命周期内所承受的规范规定的载荷及其组合。</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6.2.1.4  </w:t>
      </w:r>
      <w:r>
        <w:rPr>
          <w:rFonts w:hint="eastAsia"/>
          <w:color w:val="000000" w:themeColor="text1"/>
          <w:szCs w:val="24"/>
          <w14:textFill>
            <w14:solidFill>
              <w14:schemeClr w14:val="tx1"/>
            </w14:solidFill>
          </w14:textFill>
        </w:rPr>
        <w:t>全冷冻式储罐的罐底、罐壁、吊顶或罐顶应进行绝热设计。绝热设计除满足储罐设计蒸发率外，罐底绝热层应满足各设计工况下抗压强度要求。</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6.2.1.5  </w:t>
      </w:r>
      <w:r>
        <w:rPr>
          <w:rFonts w:hint="eastAsia"/>
          <w:color w:val="000000" w:themeColor="text1"/>
          <w14:textFill>
            <w14:solidFill>
              <w14:schemeClr w14:val="tx1"/>
            </w14:solidFill>
          </w14:textFill>
        </w:rPr>
        <w:t>新建</w:t>
      </w:r>
      <w:r>
        <w:rPr>
          <w:rFonts w:hint="eastAsia"/>
          <w:color w:val="000000" w:themeColor="text1"/>
          <w:szCs w:val="24"/>
          <w14:textFill>
            <w14:solidFill>
              <w14:schemeClr w14:val="tx1"/>
            </w14:solidFill>
          </w14:textFill>
        </w:rPr>
        <w:t>全冷冻式储罐内罐罐壁高度应满足正常操作和操作基准地震（</w:t>
      </w:r>
      <w:r>
        <w:rPr>
          <w:color w:val="000000" w:themeColor="text1"/>
          <w:szCs w:val="24"/>
          <w14:textFill>
            <w14:solidFill>
              <w14:schemeClr w14:val="tx1"/>
            </w14:solidFill>
          </w14:textFill>
        </w:rPr>
        <w:t>OBE</w:t>
      </w:r>
      <w:r>
        <w:rPr>
          <w:rFonts w:hint="eastAsia"/>
          <w:color w:val="000000" w:themeColor="text1"/>
          <w:szCs w:val="24"/>
          <w14:textFill>
            <w14:solidFill>
              <w14:schemeClr w14:val="tx1"/>
            </w14:solidFill>
          </w14:textFill>
        </w:rPr>
        <w:t>）、安全停运地震（</w:t>
      </w:r>
      <w:r>
        <w:rPr>
          <w:color w:val="000000" w:themeColor="text1"/>
          <w:szCs w:val="24"/>
          <w14:textFill>
            <w14:solidFill>
              <w14:schemeClr w14:val="tx1"/>
            </w14:solidFill>
          </w14:textFill>
        </w:rPr>
        <w:t>SSE</w:t>
      </w:r>
      <w:r>
        <w:rPr>
          <w:rFonts w:hint="eastAsia"/>
          <w:color w:val="000000" w:themeColor="text1"/>
          <w:szCs w:val="24"/>
          <w14:textFill>
            <w14:solidFill>
              <w14:schemeClr w14:val="tx1"/>
            </w14:solidFill>
          </w14:textFill>
        </w:rPr>
        <w:t>）情况下液体晃动波高的要求，不应小于以下高度的较大值：</w:t>
      </w:r>
    </w:p>
    <w:p>
      <w:pPr>
        <w:pStyle w:val="149"/>
        <w:keepNext w:val="0"/>
        <w:keepLines w:val="0"/>
        <w:pageBreakBefore w:val="0"/>
        <w:widowControl w:val="0"/>
        <w:numPr>
          <w:ilvl w:val="0"/>
          <w:numId w:val="23"/>
        </w:numPr>
        <w:tabs>
          <w:tab w:val="left" w:pos="1050"/>
        </w:tabs>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设计液位+300mm；</w:t>
      </w:r>
    </w:p>
    <w:p>
      <w:pPr>
        <w:pStyle w:val="149"/>
        <w:keepNext w:val="0"/>
        <w:keepLines w:val="0"/>
        <w:pageBreakBefore w:val="0"/>
        <w:widowControl w:val="0"/>
        <w:numPr>
          <w:ilvl w:val="0"/>
          <w:numId w:val="23"/>
        </w:numPr>
        <w:tabs>
          <w:tab w:val="left" w:pos="1050"/>
        </w:tabs>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储罐最大正常操作液位</w:t>
      </w:r>
      <w:r>
        <w:rPr>
          <w:color w:val="000000" w:themeColor="text1"/>
          <w:szCs w:val="24"/>
          <w14:textFill>
            <w14:solidFill>
              <w14:schemeClr w14:val="tx1"/>
            </w14:solidFill>
          </w14:textFill>
        </w:rPr>
        <w:t>+OBE工况下</w:t>
      </w:r>
      <w:r>
        <w:rPr>
          <w:rFonts w:hint="eastAsia"/>
          <w:color w:val="000000" w:themeColor="text1"/>
          <w:szCs w:val="24"/>
          <w14:textFill>
            <w14:solidFill>
              <w14:schemeClr w14:val="tx1"/>
            </w14:solidFill>
          </w14:textFill>
        </w:rPr>
        <w:t>液体晃动波高</w:t>
      </w:r>
      <w:r>
        <w:rPr>
          <w:color w:val="000000" w:themeColor="text1"/>
          <w:szCs w:val="24"/>
          <w14:textFill>
            <w14:solidFill>
              <w14:schemeClr w14:val="tx1"/>
            </w14:solidFill>
          </w14:textFill>
        </w:rPr>
        <w:t>+300mm</w:t>
      </w:r>
      <w:r>
        <w:rPr>
          <w:rFonts w:hint="eastAsia"/>
          <w:color w:val="000000" w:themeColor="text1"/>
          <w:szCs w:val="24"/>
          <w14:textFill>
            <w14:solidFill>
              <w14:schemeClr w14:val="tx1"/>
            </w14:solidFill>
          </w14:textFill>
        </w:rPr>
        <w:t>；</w:t>
      </w:r>
    </w:p>
    <w:p>
      <w:pPr>
        <w:pStyle w:val="149"/>
        <w:keepNext w:val="0"/>
        <w:keepLines w:val="0"/>
        <w:pageBreakBefore w:val="0"/>
        <w:widowControl w:val="0"/>
        <w:numPr>
          <w:ilvl w:val="0"/>
          <w:numId w:val="23"/>
        </w:numPr>
        <w:tabs>
          <w:tab w:val="left" w:pos="1050"/>
        </w:tabs>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储罐最大正常操作液位</w:t>
      </w:r>
      <w:r>
        <w:rPr>
          <w:color w:val="000000" w:themeColor="text1"/>
          <w:szCs w:val="24"/>
          <w14:textFill>
            <w14:solidFill>
              <w14:schemeClr w14:val="tx1"/>
            </w14:solidFill>
          </w14:textFill>
        </w:rPr>
        <w:t>+SSE工况下</w:t>
      </w:r>
      <w:r>
        <w:rPr>
          <w:rFonts w:hint="eastAsia"/>
          <w:color w:val="000000" w:themeColor="text1"/>
          <w:szCs w:val="24"/>
          <w14:textFill>
            <w14:solidFill>
              <w14:schemeClr w14:val="tx1"/>
            </w14:solidFill>
          </w14:textFill>
        </w:rPr>
        <w:t>液体晃动波高</w:t>
      </w:r>
      <w:r>
        <w:rPr>
          <w:color w:val="000000" w:themeColor="text1"/>
          <w:szCs w:val="24"/>
          <w14:textFill>
            <w14:solidFill>
              <w14:schemeClr w14:val="tx1"/>
            </w14:solidFill>
          </w14:textFill>
        </w:rPr>
        <w:t>。</w:t>
      </w:r>
    </w:p>
    <w:p>
      <w:pPr>
        <w:keepNext w:val="0"/>
        <w:keepLines w:val="0"/>
        <w:pageBreakBefore w:val="0"/>
        <w:kinsoku/>
        <w:wordWrap/>
        <w:overflowPunct/>
        <w:topLinePunct w:val="0"/>
        <w:bidi w:val="0"/>
        <w:snapToGrid/>
        <w:spacing w:line="240" w:lineRule="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6.2.1.6  </w:t>
      </w:r>
      <w:r>
        <w:rPr>
          <w:rFonts w:hint="eastAsia"/>
          <w:color w:val="000000" w:themeColor="text1"/>
          <w:szCs w:val="24"/>
          <w14:textFill>
            <w14:solidFill>
              <w14:schemeClr w14:val="tx1"/>
            </w14:solidFill>
          </w14:textFill>
        </w:rPr>
        <w:t>新建全冷冻式储罐不应在罐壁或底板上开孔。</w:t>
      </w:r>
    </w:p>
    <w:p>
      <w:pPr>
        <w:keepNext w:val="0"/>
        <w:keepLines w:val="0"/>
        <w:pageBreakBefore w:val="0"/>
        <w:tabs>
          <w:tab w:val="left" w:pos="851"/>
        </w:tabs>
        <w:kinsoku/>
        <w:wordWrap/>
        <w:overflowPunct/>
        <w:topLinePunct w:val="0"/>
        <w:bidi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6.2.1.7  </w:t>
      </w:r>
      <w:r>
        <w:rPr>
          <w:rFonts w:hint="eastAsia"/>
          <w:color w:val="000000" w:themeColor="text1"/>
          <w:szCs w:val="24"/>
          <w14:textFill>
            <w14:solidFill>
              <w14:schemeClr w14:val="tx1"/>
            </w14:solidFill>
          </w14:textFill>
        </w:rPr>
        <w:t>钢制双壳全冷冻式储罐的设计应满足下列要求：</w:t>
      </w:r>
    </w:p>
    <w:p>
      <w:pPr>
        <w:pStyle w:val="149"/>
        <w:keepNext w:val="0"/>
        <w:keepLines w:val="0"/>
        <w:pageBreakBefore w:val="0"/>
        <w:widowControl w:val="0"/>
        <w:numPr>
          <w:ilvl w:val="0"/>
          <w:numId w:val="24"/>
        </w:numPr>
        <w:tabs>
          <w:tab w:val="left" w:pos="1050"/>
        </w:tabs>
        <w:kinsoku/>
        <w:wordWrap/>
        <w:overflowPunct/>
        <w:topLinePunct w:val="0"/>
        <w:bidi w:val="0"/>
        <w:snapToGrid/>
        <w:spacing w:line="240" w:lineRule="auto"/>
        <w:ind w:firstLineChars="0"/>
        <w:textAlignment w:val="auto"/>
        <w:rPr>
          <w:color w:val="auto"/>
          <w:szCs w:val="24"/>
        </w:rPr>
      </w:pPr>
      <w:r>
        <w:rPr>
          <w:rFonts w:hint="eastAsia"/>
          <w:color w:val="000000" w:themeColor="text1"/>
          <w:szCs w:val="24"/>
          <w14:textFill>
            <w14:solidFill>
              <w14:schemeClr w14:val="tx1"/>
            </w14:solidFill>
          </w14:textFill>
        </w:rPr>
        <w:t>内罐和外罐应分别依据最低设计金属温度选材，最低设计金属温度应按最不利的工况确</w:t>
      </w:r>
      <w:r>
        <w:rPr>
          <w:rFonts w:hint="eastAsia"/>
          <w:color w:val="auto"/>
          <w:szCs w:val="24"/>
        </w:rPr>
        <w:t>定；</w:t>
      </w:r>
    </w:p>
    <w:p>
      <w:pPr>
        <w:pStyle w:val="149"/>
        <w:keepNext w:val="0"/>
        <w:keepLines w:val="0"/>
        <w:pageBreakBefore w:val="0"/>
        <w:widowControl w:val="0"/>
        <w:numPr>
          <w:ilvl w:val="0"/>
          <w:numId w:val="24"/>
        </w:numPr>
        <w:tabs>
          <w:tab w:val="left" w:pos="1050"/>
        </w:tabs>
        <w:kinsoku/>
        <w:wordWrap/>
        <w:overflowPunct/>
        <w:topLinePunct w:val="0"/>
        <w:bidi w:val="0"/>
        <w:snapToGrid/>
        <w:spacing w:line="240" w:lineRule="auto"/>
        <w:ind w:firstLineChars="0"/>
        <w:textAlignment w:val="auto"/>
        <w:rPr>
          <w:color w:val="auto"/>
          <w:szCs w:val="24"/>
        </w:rPr>
      </w:pPr>
      <w:r>
        <w:rPr>
          <w:rFonts w:hint="eastAsia"/>
          <w:color w:val="auto"/>
          <w:szCs w:val="24"/>
        </w:rPr>
        <w:t>新建储罐内罐和外罐之间及储罐系统与附属结构间应采用柔性连接。确需设置固定连接时，应满足下列要求：连接结构应适应内罐与外罐之间的热胀冷缩和液体静压力的作用；连接结构应采取隔热措施；内罐吊顶开孔和外罐罐顶开孔之间的连接，应适应内外罐顶之间的相对位移，穿过吊顶的开孔应能自由移动；</w:t>
      </w:r>
    </w:p>
    <w:p>
      <w:pPr>
        <w:pStyle w:val="149"/>
        <w:keepNext w:val="0"/>
        <w:keepLines w:val="0"/>
        <w:pageBreakBefore w:val="0"/>
        <w:widowControl w:val="0"/>
        <w:numPr>
          <w:ilvl w:val="0"/>
          <w:numId w:val="24"/>
        </w:numPr>
        <w:tabs>
          <w:tab w:val="left" w:pos="1050"/>
        </w:tabs>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环梁区域的热工设计应使环梁以下罐底板或衬板的温度不低于其最低设计温度。钢制全容罐的二次隔离层应能够长久有效隔离冷介质对储罐基础的影响，当无法满足此要求时，基础应按照低温工况进行设计；</w:t>
      </w:r>
    </w:p>
    <w:p>
      <w:pPr>
        <w:pStyle w:val="149"/>
        <w:keepNext w:val="0"/>
        <w:keepLines w:val="0"/>
        <w:pageBreakBefore w:val="0"/>
        <w:widowControl w:val="0"/>
        <w:numPr>
          <w:ilvl w:val="0"/>
          <w:numId w:val="24"/>
        </w:numPr>
        <w:tabs>
          <w:tab w:val="left" w:pos="1050"/>
        </w:tabs>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新建储罐基础的允许沉降量应满足如下要求：储罐基础沉降整体倾斜差不应大于2倍储罐直径除以1000；储罐边缘至中心不均匀沉降量差，不应超过储罐半径除以300；沿罐壁圆周的环向不均匀沉降差（周向沉降），每10m圆周弧长内不应大于6mm；基础可接受的均匀沉降量数值，还应根据储罐系统及相邻部件上的管道和结构连接决定。</w:t>
      </w:r>
    </w:p>
    <w:p>
      <w:pPr>
        <w:keepNext w:val="0"/>
        <w:keepLines w:val="0"/>
        <w:pageBreakBefore w:val="0"/>
        <w:tabs>
          <w:tab w:val="left" w:pos="851"/>
        </w:tabs>
        <w:kinsoku/>
        <w:wordWrap/>
        <w:overflowPunct/>
        <w:topLinePunct w:val="0"/>
        <w:bidi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6.2.1.8  </w:t>
      </w:r>
      <w:r>
        <w:rPr>
          <w:rFonts w:hint="eastAsia"/>
          <w:color w:val="000000" w:themeColor="text1"/>
          <w:szCs w:val="24"/>
          <w14:textFill>
            <w14:solidFill>
              <w14:schemeClr w14:val="tx1"/>
            </w14:solidFill>
          </w14:textFill>
        </w:rPr>
        <w:t>混凝土全冷冻式储罐的设计应满足下列要求：</w:t>
      </w:r>
    </w:p>
    <w:p>
      <w:pPr>
        <w:pStyle w:val="149"/>
        <w:keepNext w:val="0"/>
        <w:keepLines w:val="0"/>
        <w:pageBreakBefore w:val="0"/>
        <w:widowControl w:val="0"/>
        <w:numPr>
          <w:ilvl w:val="0"/>
          <w:numId w:val="25"/>
        </w:numPr>
        <w:tabs>
          <w:tab w:val="left" w:pos="1050"/>
        </w:tabs>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bookmarkStart w:id="29" w:name="_Hlk128141369"/>
      <w:r>
        <w:rPr>
          <w:rFonts w:hint="eastAsia"/>
          <w:color w:val="000000" w:themeColor="text1"/>
          <w:szCs w:val="24"/>
          <w14:textFill>
            <w14:solidFill>
              <w14:schemeClr w14:val="tx1"/>
            </w14:solidFill>
          </w14:textFill>
        </w:rPr>
        <w:t>当混凝土全冷冻式储罐的混凝土表面温度低于-40℃时，混凝土构件应采用低温环境混凝土，构件当中的钢筋低于-40℃时，应采用低温钢筋。低温环境混凝土和低温钢筋应符合相应的标准和规范；</w:t>
      </w:r>
    </w:p>
    <w:bookmarkEnd w:id="29"/>
    <w:p>
      <w:pPr>
        <w:pStyle w:val="149"/>
        <w:keepNext w:val="0"/>
        <w:keepLines w:val="0"/>
        <w:pageBreakBefore w:val="0"/>
        <w:widowControl w:val="0"/>
        <w:numPr>
          <w:ilvl w:val="0"/>
          <w:numId w:val="25"/>
        </w:numPr>
        <w:tabs>
          <w:tab w:val="left" w:pos="1050"/>
        </w:tabs>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暴露于大气的混凝土储罐外壁要有防腐性能，穹顶要有防水和防腐性能；</w:t>
      </w:r>
    </w:p>
    <w:p>
      <w:pPr>
        <w:pStyle w:val="149"/>
        <w:keepNext w:val="0"/>
        <w:keepLines w:val="0"/>
        <w:pageBreakBefore w:val="0"/>
        <w:widowControl w:val="0"/>
        <w:numPr>
          <w:ilvl w:val="0"/>
          <w:numId w:val="25"/>
        </w:numPr>
        <w:tabs>
          <w:tab w:val="left" w:pos="1050"/>
        </w:tabs>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混凝土全冷冻式储罐应进行正常操作、停产检修、抗震、火灾、泄漏和施工等工况的设计；</w:t>
      </w:r>
    </w:p>
    <w:p>
      <w:pPr>
        <w:pStyle w:val="149"/>
        <w:keepNext w:val="0"/>
        <w:keepLines w:val="0"/>
        <w:pageBreakBefore w:val="0"/>
        <w:widowControl w:val="0"/>
        <w:numPr>
          <w:ilvl w:val="0"/>
          <w:numId w:val="25"/>
        </w:numPr>
        <w:tabs>
          <w:tab w:val="left" w:pos="1050"/>
        </w:tabs>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混凝土全冷冻式储罐应进行OBE、SSE和安全停运震后余震（ALE）的抗震设计，</w:t>
      </w:r>
      <w:r>
        <w:rPr>
          <w:color w:val="000000" w:themeColor="text1"/>
          <w:szCs w:val="24"/>
          <w14:textFill>
            <w14:solidFill>
              <w14:schemeClr w14:val="tx1"/>
            </w14:solidFill>
          </w14:textFill>
        </w:rPr>
        <w:t>OBE工况下</w:t>
      </w:r>
      <w:r>
        <w:rPr>
          <w:color w:val="auto"/>
          <w:szCs w:val="24"/>
        </w:rPr>
        <w:t>所有构</w:t>
      </w:r>
      <w:r>
        <w:rPr>
          <w:rFonts w:hint="eastAsia"/>
          <w:color w:val="auto"/>
          <w:szCs w:val="24"/>
        </w:rPr>
        <w:t>件</w:t>
      </w:r>
      <w:r>
        <w:rPr>
          <w:color w:val="000000" w:themeColor="text1"/>
          <w:szCs w:val="24"/>
          <w14:textFill>
            <w14:solidFill>
              <w14:schemeClr w14:val="tx1"/>
            </w14:solidFill>
          </w14:textFill>
        </w:rPr>
        <w:t>应保持弹性</w:t>
      </w:r>
      <w:r>
        <w:rPr>
          <w:rFonts w:hint="eastAsia"/>
          <w:color w:val="000000" w:themeColor="text1"/>
          <w:szCs w:val="24"/>
          <w14:textFill>
            <w14:solidFill>
              <w14:schemeClr w14:val="tx1"/>
            </w14:solidFill>
          </w14:textFill>
        </w:rPr>
        <w:t>；</w:t>
      </w:r>
    </w:p>
    <w:p>
      <w:pPr>
        <w:pStyle w:val="149"/>
        <w:keepNext w:val="0"/>
        <w:keepLines w:val="0"/>
        <w:pageBreakBefore w:val="0"/>
        <w:widowControl w:val="0"/>
        <w:numPr>
          <w:ilvl w:val="0"/>
          <w:numId w:val="25"/>
        </w:numPr>
        <w:tabs>
          <w:tab w:val="left" w:pos="1050"/>
        </w:tabs>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混凝土全冷冻式储罐钢穹顶设计应进行施工阶段的几何非线性的整体稳定分析。</w:t>
      </w:r>
    </w:p>
    <w:p>
      <w:pPr>
        <w:pStyle w:val="149"/>
        <w:keepNext w:val="0"/>
        <w:keepLines w:val="0"/>
        <w:pageBreakBefore w:val="0"/>
        <w:widowControl w:val="0"/>
        <w:numPr>
          <w:ilvl w:val="0"/>
          <w:numId w:val="25"/>
        </w:numPr>
        <w:tabs>
          <w:tab w:val="left" w:pos="1050"/>
        </w:tabs>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混凝土全冷冻式储罐外罐壁泄漏工况设计应计入混凝土开裂后的材料非线性。</w:t>
      </w:r>
    </w:p>
    <w:p>
      <w:pPr>
        <w:pStyle w:val="149"/>
        <w:keepNext w:val="0"/>
        <w:keepLines w:val="0"/>
        <w:pageBreakBefore w:val="0"/>
        <w:widowControl w:val="0"/>
        <w:numPr>
          <w:ilvl w:val="0"/>
          <w:numId w:val="25"/>
        </w:numPr>
        <w:tabs>
          <w:tab w:val="left" w:pos="1050"/>
        </w:tabs>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混凝土全冷冻式储罐在OBE工况下，桩基水平承载力计算应符合GB 55003-2021第5.2.3条的规定。</w:t>
      </w:r>
    </w:p>
    <w:p>
      <w:pPr>
        <w:pStyle w:val="149"/>
        <w:keepNext w:val="0"/>
        <w:keepLines w:val="0"/>
        <w:pageBreakBefore w:val="0"/>
        <w:widowControl w:val="0"/>
        <w:numPr>
          <w:ilvl w:val="0"/>
          <w:numId w:val="25"/>
        </w:numPr>
        <w:tabs>
          <w:tab w:val="left" w:pos="1050"/>
        </w:tabs>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混凝土全冷冻式储罐基桩水平承载力计算应计入群桩效应的影响：</w:t>
      </w:r>
    </w:p>
    <w:p>
      <w:pPr>
        <w:pStyle w:val="149"/>
        <w:keepNext w:val="0"/>
        <w:keepLines w:val="0"/>
        <w:pageBreakBefore w:val="0"/>
        <w:widowControl w:val="0"/>
        <w:numPr>
          <w:ilvl w:val="0"/>
          <w:numId w:val="26"/>
        </w:numPr>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应分析土体叠合效应对基桩的不利影响。</w:t>
      </w:r>
    </w:p>
    <w:p>
      <w:pPr>
        <w:pStyle w:val="149"/>
        <w:keepNext w:val="0"/>
        <w:keepLines w:val="0"/>
        <w:pageBreakBefore w:val="0"/>
        <w:widowControl w:val="0"/>
        <w:numPr>
          <w:ilvl w:val="0"/>
          <w:numId w:val="26"/>
        </w:numPr>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当桩顶采用隔震支座时，基桩不考虑承台约束效应且应计入隔震支座在大变形下产生的重力二阶效应对基桩水平承载力降低的影响。</w:t>
      </w:r>
    </w:p>
    <w:p>
      <w:pPr>
        <w:pStyle w:val="149"/>
        <w:keepNext w:val="0"/>
        <w:keepLines w:val="0"/>
        <w:pageBreakBefore w:val="0"/>
        <w:widowControl w:val="0"/>
        <w:numPr>
          <w:ilvl w:val="0"/>
          <w:numId w:val="26"/>
        </w:numPr>
        <w:kinsoku/>
        <w:wordWrap/>
        <w:overflowPunct/>
        <w:topLinePunct w:val="0"/>
        <w:bidi w:val="0"/>
        <w:snapToGrid/>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当采用高桩承台时，基桩不考虑抗震承载力提高且应计入高出地面部分水平产生的附加弯矩对基桩水平承载力降低的影响。</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t xml:space="preserve">6.2.2  </w:t>
      </w:r>
      <w:r>
        <w:rPr>
          <w:rFonts w:hint="eastAsia" w:ascii="黑体" w:hAnsi="黑体" w:eastAsia="黑体"/>
          <w:color w:val="000000" w:themeColor="text1"/>
          <w14:textFill>
            <w14:solidFill>
              <w14:schemeClr w14:val="tx1"/>
            </w14:solidFill>
          </w14:textFill>
        </w:rPr>
        <w:t>覆土式储罐</w:t>
      </w:r>
    </w:p>
    <w:p>
      <w:pPr>
        <w:keepNext w:val="0"/>
        <w:keepLines w:val="0"/>
        <w:pageBreakBefore w:val="0"/>
        <w:tabs>
          <w:tab w:val="left" w:pos="851"/>
        </w:tabs>
        <w:kinsoku/>
        <w:wordWrap/>
        <w:overflowPunct/>
        <w:topLinePunct w:val="0"/>
        <w:bidi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6.2.2.1  </w:t>
      </w:r>
      <w:r>
        <w:rPr>
          <w:rFonts w:hint="eastAsia"/>
          <w:color w:val="000000" w:themeColor="text1"/>
          <w:szCs w:val="24"/>
          <w14:textFill>
            <w14:solidFill>
              <w14:schemeClr w14:val="tx1"/>
            </w14:solidFill>
          </w14:textFill>
        </w:rPr>
        <w:t>储罐的设计、材料、制造、防腐保护、验收、检验、监测应满足T</w:t>
      </w:r>
      <w:r>
        <w:rPr>
          <w:color w:val="000000" w:themeColor="text1"/>
          <w:szCs w:val="24"/>
          <w14:textFill>
            <w14:solidFill>
              <w14:schemeClr w14:val="tx1"/>
            </w14:solidFill>
          </w14:textFill>
        </w:rPr>
        <w:t>SG 21</w:t>
      </w:r>
      <w:r>
        <w:rPr>
          <w:rFonts w:hint="eastAsia"/>
          <w:color w:val="000000" w:themeColor="text1"/>
          <w:szCs w:val="24"/>
          <w14:textFill>
            <w14:solidFill>
              <w14:schemeClr w14:val="tx1"/>
            </w14:solidFill>
          </w14:textFill>
        </w:rPr>
        <w:t>等标准的相关要求。</w:t>
      </w:r>
    </w:p>
    <w:p>
      <w:pPr>
        <w:keepNext w:val="0"/>
        <w:keepLines w:val="0"/>
        <w:pageBreakBefore w:val="0"/>
        <w:tabs>
          <w:tab w:val="left" w:pos="851"/>
        </w:tabs>
        <w:kinsoku/>
        <w:wordWrap/>
        <w:overflowPunct/>
        <w:topLinePunct w:val="0"/>
        <w:bidi w:val="0"/>
        <w:snapToGrid/>
        <w:spacing w:line="240" w:lineRule="auto"/>
        <w:textAlignment w:val="auto"/>
        <w:rPr>
          <w:bCs/>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6.2.2.2  </w:t>
      </w:r>
      <w:r>
        <w:rPr>
          <w:rFonts w:hint="eastAsia"/>
          <w:bCs/>
          <w:color w:val="000000" w:themeColor="text1"/>
          <w:szCs w:val="24"/>
          <w14:textFill>
            <w14:solidFill>
              <w14:schemeClr w14:val="tx1"/>
            </w14:solidFill>
          </w14:textFill>
        </w:rPr>
        <w:t>储罐应根据现场建设条件、操作条件及环境温度、气象条件，应安装在最高地下水位以上。并应采取避免砂土塌陷、流失、沙床冲刷、冻胀、储罐漂浮等措施。</w:t>
      </w:r>
    </w:p>
    <w:p>
      <w:pPr>
        <w:keepNext w:val="0"/>
        <w:keepLines w:val="0"/>
        <w:pageBreakBefore w:val="0"/>
        <w:tabs>
          <w:tab w:val="left" w:pos="851"/>
        </w:tabs>
        <w:kinsoku/>
        <w:wordWrap/>
        <w:overflowPunct/>
        <w:topLinePunct w:val="0"/>
        <w:bidi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6.2.2.3  </w:t>
      </w:r>
      <w:r>
        <w:rPr>
          <w:rFonts w:hint="eastAsia"/>
          <w:color w:val="000000" w:themeColor="text1"/>
          <w:szCs w:val="24"/>
          <w14:textFill>
            <w14:solidFill>
              <w14:schemeClr w14:val="tx1"/>
            </w14:solidFill>
          </w14:textFill>
        </w:rPr>
        <w:t>储罐应采取沉降监测措施。</w:t>
      </w:r>
    </w:p>
    <w:p>
      <w:pPr>
        <w:keepNext w:val="0"/>
        <w:keepLines w:val="0"/>
        <w:pageBreakBefore w:val="0"/>
        <w:tabs>
          <w:tab w:val="left" w:pos="851"/>
        </w:tabs>
        <w:kinsoku/>
        <w:wordWrap/>
        <w:overflowPunct/>
        <w:topLinePunct w:val="0"/>
        <w:bidi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6.2.2.4  </w:t>
      </w:r>
      <w:r>
        <w:rPr>
          <w:rFonts w:hint="eastAsia"/>
          <w:color w:val="000000" w:themeColor="text1"/>
          <w:szCs w:val="24"/>
          <w14:textFill>
            <w14:solidFill>
              <w14:schemeClr w14:val="tx1"/>
            </w14:solidFill>
          </w14:textFill>
        </w:rPr>
        <w:t>储罐本体封头上不应设置接管开口。进出管道、人孔、安全附件和仪表等应在储罐顶部设置；当条件受限，确需在储罐底部设置进出管道开口时，储罐与下部管道第一道阀门之间连接方式应按照6</w:t>
      </w:r>
      <w:r>
        <w:rPr>
          <w:color w:val="000000" w:themeColor="text1"/>
          <w:szCs w:val="24"/>
          <w14:textFill>
            <w14:solidFill>
              <w14:schemeClr w14:val="tx1"/>
            </w14:solidFill>
          </w14:textFill>
        </w:rPr>
        <w:t>.1.1</w:t>
      </w:r>
      <w:r>
        <w:rPr>
          <w:rFonts w:hint="eastAsia"/>
          <w:color w:val="000000" w:themeColor="text1"/>
          <w:szCs w:val="24"/>
          <w14:textFill>
            <w14:solidFill>
              <w14:schemeClr w14:val="tx1"/>
            </w14:solidFill>
          </w14:textFill>
        </w:rPr>
        <w:t>的a）条执行。</w:t>
      </w:r>
    </w:p>
    <w:p>
      <w:pPr>
        <w:keepNext w:val="0"/>
        <w:keepLines w:val="0"/>
        <w:pageBreakBefore w:val="0"/>
        <w:tabs>
          <w:tab w:val="left" w:pos="851"/>
        </w:tabs>
        <w:kinsoku/>
        <w:wordWrap/>
        <w:overflowPunct/>
        <w:topLinePunct w:val="0"/>
        <w:bidi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6.2.2.5  </w:t>
      </w:r>
      <w:r>
        <w:rPr>
          <w:rFonts w:hint="eastAsia"/>
          <w:color w:val="000000" w:themeColor="text1"/>
          <w:szCs w:val="24"/>
          <w14:textFill>
            <w14:solidFill>
              <w14:schemeClr w14:val="tx1"/>
            </w14:solidFill>
          </w14:textFill>
        </w:rPr>
        <w:t>储罐的附属工艺设备、阀门、法兰、人孔盖、安全附件、仪表元件等不应设置在砂土或挡墙内部。储罐应采取防腐蚀措施，并应满足储罐设计使用年限的需要。</w:t>
      </w:r>
    </w:p>
    <w:p>
      <w:pPr>
        <w:keepNext w:val="0"/>
        <w:keepLines w:val="0"/>
        <w:pageBreakBefore w:val="0"/>
        <w:tabs>
          <w:tab w:val="left" w:pos="851"/>
        </w:tabs>
        <w:kinsoku/>
        <w:wordWrap/>
        <w:overflowPunct/>
        <w:topLinePunct w:val="0"/>
        <w:bidi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6.2.2.6  </w:t>
      </w:r>
      <w:r>
        <w:rPr>
          <w:rFonts w:hint="eastAsia"/>
          <w:color w:val="000000" w:themeColor="text1"/>
          <w:szCs w:val="24"/>
          <w14:textFill>
            <w14:solidFill>
              <w14:schemeClr w14:val="tx1"/>
            </w14:solidFill>
          </w14:textFill>
        </w:rPr>
        <w:t>储罐的耐压试验在</w:t>
      </w:r>
      <w:r>
        <w:rPr>
          <w:color w:val="000000" w:themeColor="text1"/>
          <w:szCs w:val="24"/>
          <w14:textFill>
            <w14:solidFill>
              <w14:schemeClr w14:val="tx1"/>
            </w14:solidFill>
          </w14:textFill>
        </w:rPr>
        <w:t>安装现场地基上进行</w:t>
      </w:r>
      <w:r>
        <w:rPr>
          <w:rFonts w:hint="eastAsia"/>
          <w:color w:val="000000" w:themeColor="text1"/>
          <w:szCs w:val="24"/>
          <w14:textFill>
            <w14:solidFill>
              <w14:schemeClr w14:val="tx1"/>
            </w14:solidFill>
          </w14:textFill>
        </w:rPr>
        <w:t>时</w:t>
      </w:r>
      <w:r>
        <w:rPr>
          <w:color w:val="000000" w:themeColor="text1"/>
          <w:szCs w:val="24"/>
          <w14:textFill>
            <w14:solidFill>
              <w14:schemeClr w14:val="tx1"/>
            </w14:solidFill>
          </w14:textFill>
        </w:rPr>
        <w:t>，</w:t>
      </w:r>
      <w:r>
        <w:rPr>
          <w:rFonts w:hint="eastAsia"/>
          <w:color w:val="000000" w:themeColor="text1"/>
          <w:szCs w:val="24"/>
          <w14:textFill>
            <w14:solidFill>
              <w14:schemeClr w14:val="tx1"/>
            </w14:solidFill>
          </w14:textFill>
        </w:rPr>
        <w:t>应</w:t>
      </w:r>
      <w:r>
        <w:rPr>
          <w:color w:val="000000" w:themeColor="text1"/>
          <w:szCs w:val="24"/>
          <w14:textFill>
            <w14:solidFill>
              <w14:schemeClr w14:val="tx1"/>
            </w14:solidFill>
          </w14:textFill>
        </w:rPr>
        <w:t>检验基础的稳定性和沉降量。</w:t>
      </w:r>
      <w:r>
        <w:rPr>
          <w:rFonts w:hint="eastAsia"/>
          <w:color w:val="000000" w:themeColor="text1"/>
          <w:szCs w:val="24"/>
          <w14:textFill>
            <w14:solidFill>
              <w14:schemeClr w14:val="tx1"/>
            </w14:solidFill>
          </w14:textFill>
        </w:rPr>
        <w:t>当液压试验已在制造厂完成，储罐在砂床就位后，还应进行充水预压。储罐充水预压时，应对储罐基础进行沉降监测。</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t xml:space="preserve">6.2.3  </w:t>
      </w:r>
      <w:r>
        <w:rPr>
          <w:rFonts w:hint="eastAsia" w:ascii="黑体" w:hAnsi="黑体" w:eastAsia="黑体"/>
          <w:color w:val="000000" w:themeColor="text1"/>
          <w14:textFill>
            <w14:solidFill>
              <w14:schemeClr w14:val="tx1"/>
            </w14:solidFill>
          </w14:textFill>
        </w:rPr>
        <w:t>压力式储罐</w:t>
      </w:r>
    </w:p>
    <w:p>
      <w:pPr>
        <w:keepNext w:val="0"/>
        <w:keepLines w:val="0"/>
        <w:pageBreakBefore w:val="0"/>
        <w:tabs>
          <w:tab w:val="left" w:pos="851"/>
        </w:tabs>
        <w:kinsoku/>
        <w:wordWrap/>
        <w:overflowPunct/>
        <w:topLinePunct w:val="0"/>
        <w:bidi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6.2.3.1  </w:t>
      </w:r>
      <w:r>
        <w:rPr>
          <w:rFonts w:hint="eastAsia"/>
          <w:color w:val="000000" w:themeColor="text1"/>
          <w:szCs w:val="24"/>
          <w14:textFill>
            <w14:solidFill>
              <w14:schemeClr w14:val="tx1"/>
            </w14:solidFill>
          </w14:textFill>
        </w:rPr>
        <w:t>球形储罐选材除应符合TSG 21、GB/T 12337等标准和规范的相关规定外，对低温低合金钢制球形储罐，尚应根据设计条件、材料特性和本质安全等提出必要的技术要求；除球壳、接管、法兰等材料应适用于液化烃介质外，螺柱、支柱等材料都应耐液化烃罐区的大气腐蚀，操作平台和梯子、扶手尚应根据气候条件采取防腐措施或选用耐腐蚀材料。</w:t>
      </w:r>
    </w:p>
    <w:p>
      <w:pPr>
        <w:keepNext w:val="0"/>
        <w:keepLines w:val="0"/>
        <w:pageBreakBefore w:val="0"/>
        <w:tabs>
          <w:tab w:val="left" w:pos="851"/>
        </w:tabs>
        <w:kinsoku/>
        <w:wordWrap/>
        <w:overflowPunct/>
        <w:topLinePunct w:val="0"/>
        <w:bidi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6.2.3.2  </w:t>
      </w:r>
      <w:r>
        <w:rPr>
          <w:rFonts w:hint="eastAsia"/>
          <w:color w:val="000000" w:themeColor="text1"/>
          <w:szCs w:val="24"/>
          <w14:textFill>
            <w14:solidFill>
              <w14:schemeClr w14:val="tx1"/>
            </w14:solidFill>
          </w14:textFill>
        </w:rPr>
        <w:t>卧式储罐的材料、设计、制造、检验和验收应符合T</w:t>
      </w:r>
      <w:r>
        <w:rPr>
          <w:color w:val="000000" w:themeColor="text1"/>
          <w:szCs w:val="24"/>
          <w14:textFill>
            <w14:solidFill>
              <w14:schemeClr w14:val="tx1"/>
            </w14:solidFill>
          </w14:textFill>
        </w:rPr>
        <w:t>SG 21</w:t>
      </w:r>
      <w:r>
        <w:rPr>
          <w:rFonts w:hint="eastAsia"/>
          <w:color w:val="000000" w:themeColor="text1"/>
          <w:szCs w:val="24"/>
          <w14:textFill>
            <w14:solidFill>
              <w14:schemeClr w14:val="tx1"/>
            </w14:solidFill>
          </w14:textFill>
        </w:rPr>
        <w:t>、</w:t>
      </w:r>
      <w:r>
        <w:rPr>
          <w:color w:val="000000" w:themeColor="text1"/>
          <w:szCs w:val="24"/>
          <w14:textFill>
            <w14:solidFill>
              <w14:schemeClr w14:val="tx1"/>
            </w14:solidFill>
          </w14:textFill>
        </w:rPr>
        <w:t>NB/T 47042</w:t>
      </w:r>
      <w:r>
        <w:rPr>
          <w:rFonts w:hint="eastAsia"/>
          <w:color w:val="000000" w:themeColor="text1"/>
          <w:szCs w:val="24"/>
          <w14:textFill>
            <w14:solidFill>
              <w14:schemeClr w14:val="tx1"/>
            </w14:solidFill>
          </w14:textFill>
        </w:rPr>
        <w:t>的有关规定。</w:t>
      </w:r>
    </w:p>
    <w:p>
      <w:pPr>
        <w:keepNext w:val="0"/>
        <w:keepLines w:val="0"/>
        <w:pageBreakBefore w:val="0"/>
        <w:tabs>
          <w:tab w:val="left" w:pos="851"/>
        </w:tabs>
        <w:kinsoku/>
        <w:wordWrap/>
        <w:overflowPunct/>
        <w:topLinePunct w:val="0"/>
        <w:bidi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6.2.3.</w:t>
      </w:r>
      <w:r>
        <w:rPr>
          <w:rFonts w:hint="eastAsia" w:ascii="黑体" w:hAnsi="黑体" w:eastAsia="黑体"/>
          <w:color w:val="000000" w:themeColor="text1"/>
          <w14:textFill>
            <w14:solidFill>
              <w14:schemeClr w14:val="tx1"/>
            </w14:solidFill>
          </w14:textFill>
        </w:rPr>
        <w:t>3</w:t>
      </w:r>
      <w:r>
        <w:rPr>
          <w:rFonts w:ascii="黑体" w:hAnsi="黑体" w:eastAsia="黑体"/>
          <w:color w:val="000000" w:themeColor="text1"/>
          <w14:textFill>
            <w14:solidFill>
              <w14:schemeClr w14:val="tx1"/>
            </w14:solidFill>
          </w14:textFill>
        </w:rPr>
        <w:t xml:space="preserve">  </w:t>
      </w:r>
      <w:r>
        <w:rPr>
          <w:rFonts w:hint="eastAsia"/>
          <w:color w:val="000000" w:themeColor="text1"/>
          <w:szCs w:val="24"/>
          <w14:textFill>
            <w14:solidFill>
              <w14:schemeClr w14:val="tx1"/>
            </w14:solidFill>
          </w14:textFill>
        </w:rPr>
        <w:t>球形储罐用焊条应进行复验，其中扩散氢含量应按批号复验。扩散氢试验方法按</w:t>
      </w:r>
      <w:r>
        <w:rPr>
          <w:color w:val="000000" w:themeColor="text1"/>
          <w:szCs w:val="24"/>
          <w14:textFill>
            <w14:solidFill>
              <w14:schemeClr w14:val="tx1"/>
            </w14:solidFill>
          </w14:textFill>
        </w:rPr>
        <w:t>GB/T 3965</w:t>
      </w:r>
      <w:r>
        <w:rPr>
          <w:rFonts w:hint="eastAsia"/>
          <w:color w:val="000000" w:themeColor="text1"/>
          <w:szCs w:val="24"/>
          <w14:textFill>
            <w14:solidFill>
              <w14:schemeClr w14:val="tx1"/>
            </w14:solidFill>
          </w14:textFill>
        </w:rPr>
        <w:t>规定进行，应使用水银法和热导法等方法，扩散氢含量应符合</w:t>
      </w:r>
      <w:r>
        <w:rPr>
          <w:color w:val="000000" w:themeColor="text1"/>
          <w:szCs w:val="24"/>
          <w14:textFill>
            <w14:solidFill>
              <w14:schemeClr w14:val="tx1"/>
            </w14:solidFill>
          </w14:textFill>
        </w:rPr>
        <w:t>NB/T 47018.2</w:t>
      </w:r>
      <w:r>
        <w:rPr>
          <w:rFonts w:hint="eastAsia"/>
          <w:color w:val="000000" w:themeColor="text1"/>
          <w:szCs w:val="24"/>
          <w14:textFill>
            <w14:solidFill>
              <w14:schemeClr w14:val="tx1"/>
            </w14:solidFill>
          </w14:textFill>
        </w:rPr>
        <w:t>相关规定。</w:t>
      </w:r>
    </w:p>
    <w:p>
      <w:pPr>
        <w:keepNext w:val="0"/>
        <w:keepLines w:val="0"/>
        <w:pageBreakBefore w:val="0"/>
        <w:tabs>
          <w:tab w:val="left" w:pos="851"/>
        </w:tabs>
        <w:kinsoku/>
        <w:wordWrap/>
        <w:overflowPunct/>
        <w:topLinePunct w:val="0"/>
        <w:bidi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6.2.3.</w:t>
      </w:r>
      <w:r>
        <w:rPr>
          <w:rFonts w:hint="eastAsia" w:ascii="黑体" w:hAnsi="黑体" w:eastAsia="黑体"/>
          <w:color w:val="000000" w:themeColor="text1"/>
          <w14:textFill>
            <w14:solidFill>
              <w14:schemeClr w14:val="tx1"/>
            </w14:solidFill>
          </w14:textFill>
        </w:rPr>
        <w:t>4</w:t>
      </w:r>
      <w:r>
        <w:rPr>
          <w:rFonts w:ascii="黑体" w:hAnsi="黑体" w:eastAsia="黑体"/>
          <w:color w:val="000000" w:themeColor="text1"/>
          <w14:textFill>
            <w14:solidFill>
              <w14:schemeClr w14:val="tx1"/>
            </w14:solidFill>
          </w14:textFill>
        </w:rPr>
        <w:t xml:space="preserve">  </w:t>
      </w:r>
      <w:r>
        <w:rPr>
          <w:rFonts w:hint="eastAsia"/>
          <w:color w:val="000000" w:themeColor="text1"/>
          <w:szCs w:val="24"/>
          <w14:textFill>
            <w14:solidFill>
              <w14:schemeClr w14:val="tx1"/>
            </w14:solidFill>
          </w14:textFill>
        </w:rPr>
        <w:t>当液化烃中含有硫化氢可能造成应力腐蚀时，新建储罐不应选用低合金高强钢；如确需采用标准抗拉强度下限值不小于540MPa的低合金高强钢，则液化烃中硫化氢含量不应大于20 ppm。</w:t>
      </w:r>
    </w:p>
    <w:p>
      <w:pPr>
        <w:keepNext w:val="0"/>
        <w:keepLines w:val="0"/>
        <w:pageBreakBefore w:val="0"/>
        <w:tabs>
          <w:tab w:val="left" w:pos="851"/>
        </w:tabs>
        <w:kinsoku/>
        <w:wordWrap/>
        <w:overflowPunct/>
        <w:topLinePunct w:val="0"/>
        <w:bidi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6.2.3.</w:t>
      </w:r>
      <w:r>
        <w:rPr>
          <w:rFonts w:hint="eastAsia" w:ascii="黑体" w:hAnsi="黑体" w:eastAsia="黑体"/>
          <w:color w:val="000000" w:themeColor="text1"/>
          <w14:textFill>
            <w14:solidFill>
              <w14:schemeClr w14:val="tx1"/>
            </w14:solidFill>
          </w14:textFill>
        </w:rPr>
        <w:t>5</w:t>
      </w:r>
      <w:r>
        <w:rPr>
          <w:rFonts w:ascii="黑体" w:hAnsi="黑体" w:eastAsia="黑体"/>
          <w:color w:val="000000" w:themeColor="text1"/>
          <w14:textFill>
            <w14:solidFill>
              <w14:schemeClr w14:val="tx1"/>
            </w14:solidFill>
          </w14:textFill>
        </w:rPr>
        <w:t xml:space="preserve">  </w:t>
      </w:r>
      <w:r>
        <w:rPr>
          <w:rFonts w:hint="eastAsia"/>
          <w:color w:val="000000" w:themeColor="text1"/>
          <w:szCs w:val="24"/>
          <w14:textFill>
            <w14:solidFill>
              <w14:schemeClr w14:val="tx1"/>
            </w14:solidFill>
          </w14:textFill>
        </w:rPr>
        <w:t>对于介质可能含有硫化氢的新建低合金钢制液化烃储罐，应进行焊后热处理。</w:t>
      </w:r>
    </w:p>
    <w:p>
      <w:pPr>
        <w:keepNext w:val="0"/>
        <w:keepLines w:val="0"/>
        <w:pageBreakBefore w:val="0"/>
        <w:tabs>
          <w:tab w:val="left" w:pos="851"/>
        </w:tabs>
        <w:kinsoku/>
        <w:wordWrap/>
        <w:overflowPunct/>
        <w:topLinePunct w:val="0"/>
        <w:bidi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6.2.3.</w:t>
      </w:r>
      <w:r>
        <w:rPr>
          <w:rFonts w:hint="eastAsia" w:ascii="黑体" w:hAnsi="黑体" w:eastAsia="黑体"/>
          <w:color w:val="000000" w:themeColor="text1"/>
          <w14:textFill>
            <w14:solidFill>
              <w14:schemeClr w14:val="tx1"/>
            </w14:solidFill>
          </w14:textFill>
        </w:rPr>
        <w:t>6</w:t>
      </w:r>
      <w:r>
        <w:rPr>
          <w:rFonts w:ascii="黑体" w:hAnsi="黑体" w:eastAsia="黑体"/>
          <w:color w:val="000000" w:themeColor="text1"/>
          <w14:textFill>
            <w14:solidFill>
              <w14:schemeClr w14:val="tx1"/>
            </w14:solidFill>
          </w14:textFill>
        </w:rPr>
        <w:t xml:space="preserve">  </w:t>
      </w:r>
      <w:r>
        <w:rPr>
          <w:rFonts w:hint="eastAsia"/>
          <w:color w:val="000000" w:themeColor="text1"/>
          <w:szCs w:val="24"/>
          <w14:textFill>
            <w14:solidFill>
              <w14:schemeClr w14:val="tx1"/>
            </w14:solidFill>
          </w14:textFill>
        </w:rPr>
        <w:t>新建LPG储罐应按含硫化氢进行设计。</w:t>
      </w:r>
    </w:p>
    <w:p>
      <w:pPr>
        <w:keepNext w:val="0"/>
        <w:keepLines w:val="0"/>
        <w:pageBreakBefore w:val="0"/>
        <w:tabs>
          <w:tab w:val="left" w:pos="851"/>
        </w:tabs>
        <w:kinsoku/>
        <w:wordWrap/>
        <w:overflowPunct/>
        <w:topLinePunct w:val="0"/>
        <w:bidi w:val="0"/>
        <w:snapToGrid/>
        <w:spacing w:line="240" w:lineRule="auto"/>
        <w:textAlignment w:val="auto"/>
        <w:rPr>
          <w:rFonts w:ascii="宋体" w:cs="宋体"/>
          <w:bCs/>
          <w:color w:val="000000" w:themeColor="text1"/>
          <w:szCs w:val="21"/>
          <w14:textFill>
            <w14:solidFill>
              <w14:schemeClr w14:val="tx1"/>
            </w14:solidFill>
          </w14:textFill>
        </w:rPr>
      </w:pPr>
      <w:r>
        <w:rPr>
          <w:rFonts w:ascii="黑体" w:hAnsi="黑体" w:eastAsia="黑体"/>
          <w:color w:val="000000" w:themeColor="text1"/>
          <w14:textFill>
            <w14:solidFill>
              <w14:schemeClr w14:val="tx1"/>
            </w14:solidFill>
          </w14:textFill>
        </w:rPr>
        <w:t>6.2.3.</w:t>
      </w:r>
      <w:r>
        <w:rPr>
          <w:rFonts w:hint="eastAsia" w:ascii="黑体" w:hAnsi="黑体" w:eastAsia="黑体"/>
          <w:color w:val="000000" w:themeColor="text1"/>
          <w14:textFill>
            <w14:solidFill>
              <w14:schemeClr w14:val="tx1"/>
            </w14:solidFill>
          </w14:textFill>
        </w:rPr>
        <w:t>7</w:t>
      </w:r>
      <w:r>
        <w:rPr>
          <w:rFonts w:ascii="黑体" w:hAnsi="黑体" w:eastAsia="黑体"/>
          <w:color w:val="000000" w:themeColor="text1"/>
          <w14:textFill>
            <w14:solidFill>
              <w14:schemeClr w14:val="tx1"/>
            </w14:solidFill>
          </w14:textFill>
        </w:rPr>
        <w:t xml:space="preserve"> </w:t>
      </w:r>
      <w:r>
        <w:rPr>
          <w:rFonts w:ascii="黑体" w:hAnsi="黑体" w:eastAsia="黑体"/>
          <w:color w:val="000000" w:themeColor="text1"/>
          <w:szCs w:val="21"/>
          <w14:textFill>
            <w14:solidFill>
              <w14:schemeClr w14:val="tx1"/>
            </w14:solidFill>
          </w14:textFill>
        </w:rPr>
        <w:t xml:space="preserve"> </w:t>
      </w:r>
      <w:r>
        <w:rPr>
          <w:rFonts w:hint="eastAsia" w:ascii="宋体" w:cs="宋体"/>
          <w:bCs/>
          <w:color w:val="000000" w:themeColor="text1"/>
          <w:szCs w:val="21"/>
          <w14:textFill>
            <w14:solidFill>
              <w14:schemeClr w14:val="tx1"/>
            </w14:solidFill>
          </w14:textFill>
        </w:rPr>
        <w:t>新建储罐管口采用法兰连接时，应采用带颈对焊钢制突面或凹凸面管法兰。法兰连接结构（法兰、螺栓、螺母、垫片）应符合</w:t>
      </w:r>
      <w:r>
        <w:rPr>
          <w:bCs/>
          <w:color w:val="000000" w:themeColor="text1"/>
          <w:szCs w:val="24"/>
          <w14:textFill>
            <w14:solidFill>
              <w14:schemeClr w14:val="tx1"/>
            </w14:solidFill>
          </w14:textFill>
        </w:rPr>
        <w:t>TSG 21</w:t>
      </w:r>
      <w:r>
        <w:rPr>
          <w:rFonts w:hint="eastAsia" w:ascii="宋体" w:cs="宋体"/>
          <w:bCs/>
          <w:color w:val="000000" w:themeColor="text1"/>
          <w:szCs w:val="21"/>
          <w14:textFill>
            <w14:solidFill>
              <w14:schemeClr w14:val="tx1"/>
            </w14:solidFill>
          </w14:textFill>
        </w:rPr>
        <w:t>和相应国家、行业标准要求，不应采用与储存介质不相容的垫片材料。</w:t>
      </w:r>
    </w:p>
    <w:p>
      <w:pPr>
        <w:keepNext w:val="0"/>
        <w:keepLines w:val="0"/>
        <w:pageBreakBefore w:val="0"/>
        <w:tabs>
          <w:tab w:val="left" w:pos="851"/>
        </w:tabs>
        <w:kinsoku/>
        <w:wordWrap/>
        <w:overflowPunct/>
        <w:topLinePunct w:val="0"/>
        <w:bidi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6.2.3.</w:t>
      </w:r>
      <w:r>
        <w:rPr>
          <w:rFonts w:hint="eastAsia" w:ascii="黑体" w:hAnsi="黑体" w:eastAsia="黑体"/>
          <w:color w:val="000000" w:themeColor="text1"/>
          <w14:textFill>
            <w14:solidFill>
              <w14:schemeClr w14:val="tx1"/>
            </w14:solidFill>
          </w14:textFill>
        </w:rPr>
        <w:t>8</w:t>
      </w:r>
      <w:r>
        <w:rPr>
          <w:rFonts w:ascii="黑体" w:hAnsi="黑体" w:eastAsia="黑体"/>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新建</w:t>
      </w:r>
      <w:r>
        <w:rPr>
          <w:rFonts w:hint="eastAsia"/>
          <w:color w:val="000000" w:themeColor="text1"/>
          <w:szCs w:val="24"/>
          <w14:textFill>
            <w14:solidFill>
              <w14:schemeClr w14:val="tx1"/>
            </w14:solidFill>
          </w14:textFill>
        </w:rPr>
        <w:t>球形储罐壳体开孔应采用整体补强结构。</w:t>
      </w:r>
    </w:p>
    <w:p>
      <w:pPr>
        <w:keepNext w:val="0"/>
        <w:keepLines w:val="0"/>
        <w:pageBreakBefore w:val="0"/>
        <w:tabs>
          <w:tab w:val="left" w:pos="851"/>
        </w:tabs>
        <w:kinsoku/>
        <w:wordWrap/>
        <w:overflowPunct/>
        <w:topLinePunct w:val="0"/>
        <w:bidi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6.2.3.</w:t>
      </w:r>
      <w:r>
        <w:rPr>
          <w:rFonts w:hint="eastAsia" w:ascii="黑体" w:hAnsi="黑体" w:eastAsia="黑体"/>
          <w:color w:val="000000" w:themeColor="text1"/>
          <w14:textFill>
            <w14:solidFill>
              <w14:schemeClr w14:val="tx1"/>
            </w14:solidFill>
          </w14:textFill>
        </w:rPr>
        <w:t>9</w:t>
      </w:r>
      <w:r>
        <w:rPr>
          <w:rFonts w:ascii="黑体" w:hAnsi="黑体" w:eastAsia="黑体"/>
          <w:color w:val="000000" w:themeColor="text1"/>
          <w14:textFill>
            <w14:solidFill>
              <w14:schemeClr w14:val="tx1"/>
            </w14:solidFill>
          </w14:textFill>
        </w:rPr>
        <w:t xml:space="preserve">  </w:t>
      </w:r>
      <w:r>
        <w:rPr>
          <w:rFonts w:hint="eastAsia"/>
          <w:color w:val="000000" w:themeColor="text1"/>
          <w:szCs w:val="24"/>
          <w14:textFill>
            <w14:solidFill>
              <w14:schemeClr w14:val="tx1"/>
            </w14:solidFill>
          </w14:textFill>
        </w:rPr>
        <w:t>球形储罐支柱上耐火层不应覆盖通气口。</w:t>
      </w:r>
    </w:p>
    <w:p>
      <w:pPr>
        <w:keepNext w:val="0"/>
        <w:keepLines w:val="0"/>
        <w:pageBreakBefore w:val="0"/>
        <w:tabs>
          <w:tab w:val="left" w:pos="851"/>
        </w:tabs>
        <w:kinsoku/>
        <w:wordWrap/>
        <w:overflowPunct/>
        <w:topLinePunct w:val="0"/>
        <w:bidi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6.2.3.10  </w:t>
      </w:r>
      <w:r>
        <w:rPr>
          <w:rFonts w:hint="eastAsia"/>
          <w:color w:val="000000" w:themeColor="text1"/>
          <w:szCs w:val="24"/>
          <w14:textFill>
            <w14:solidFill>
              <w14:schemeClr w14:val="tx1"/>
            </w14:solidFill>
          </w14:textFill>
        </w:rPr>
        <w:t>液化烃压力式储罐的设计文件应包括风险评估报告。</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6.2.</w:t>
      </w:r>
      <w:r>
        <w:rPr>
          <w:rFonts w:ascii="黑体" w:hAnsi="黑体" w:eastAsia="黑体"/>
          <w:color w:val="000000" w:themeColor="text1"/>
          <w14:textFill>
            <w14:solidFill>
              <w14:schemeClr w14:val="tx1"/>
            </w14:solidFill>
          </w14:textFill>
        </w:rPr>
        <w:t xml:space="preserve">4  </w:t>
      </w:r>
      <w:r>
        <w:rPr>
          <w:rFonts w:hint="eastAsia" w:ascii="黑体" w:hAnsi="黑体" w:eastAsia="黑体"/>
          <w:color w:val="000000" w:themeColor="text1"/>
          <w14:textFill>
            <w14:solidFill>
              <w14:schemeClr w14:val="tx1"/>
            </w14:solidFill>
          </w14:textFill>
        </w:rPr>
        <w:t>泵和压缩机</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6.2.4.1  </w:t>
      </w:r>
      <w:r>
        <w:rPr>
          <w:rFonts w:hint="eastAsia"/>
          <w:color w:val="000000" w:themeColor="text1"/>
          <w:szCs w:val="24"/>
          <w14:textFill>
            <w14:solidFill>
              <w14:schemeClr w14:val="tx1"/>
            </w14:solidFill>
          </w14:textFill>
        </w:rPr>
        <w:t>液化烃离心泵应按照GB/T 3215进行设计、制造和检验，轴封应按GB/T 34875设计制造和检验。</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6.2.4.2  </w:t>
      </w:r>
      <w:r>
        <w:rPr>
          <w:rFonts w:hint="eastAsia"/>
          <w:color w:val="000000" w:themeColor="text1"/>
          <w:szCs w:val="24"/>
          <w14:textFill>
            <w14:solidFill>
              <w14:schemeClr w14:val="tx1"/>
            </w14:solidFill>
          </w14:textFill>
        </w:rPr>
        <w:t xml:space="preserve">新建液化烃罐区制冷压缩机优先选择螺杆式，其设计、制造和检验应符合GB/T </w:t>
      </w:r>
      <w:r>
        <w:rPr>
          <w:color w:val="000000" w:themeColor="text1"/>
          <w:szCs w:val="24"/>
          <w14:textFill>
            <w14:solidFill>
              <w14:schemeClr w14:val="tx1"/>
            </w14:solidFill>
          </w14:textFill>
        </w:rPr>
        <w:t>25357</w:t>
      </w:r>
      <w:r>
        <w:rPr>
          <w:rFonts w:hint="eastAsia"/>
          <w:color w:val="000000" w:themeColor="text1"/>
          <w:szCs w:val="24"/>
          <w14:textFill>
            <w14:solidFill>
              <w14:schemeClr w14:val="tx1"/>
            </w14:solidFill>
          </w14:textFill>
        </w:rPr>
        <w:t>的相关规定。</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6.2.4.3  </w:t>
      </w:r>
      <w:r>
        <w:rPr>
          <w:rFonts w:hint="eastAsia"/>
          <w:color w:val="000000" w:themeColor="text1"/>
          <w:szCs w:val="24"/>
          <w14:textFill>
            <w14:solidFill>
              <w14:schemeClr w14:val="tx1"/>
            </w14:solidFill>
          </w14:textFill>
        </w:rPr>
        <w:t>新建液化烃罐区蒸发气压缩机选择往复式压缩机时，其设计、制造和检验应符合</w:t>
      </w:r>
      <w:r>
        <w:rPr>
          <w:color w:val="000000" w:themeColor="text1"/>
          <w:szCs w:val="24"/>
          <w14:textFill>
            <w14:solidFill>
              <w14:schemeClr w14:val="tx1"/>
            </w14:solidFill>
          </w14:textFill>
        </w:rPr>
        <w:t>GB/T 20322</w:t>
      </w:r>
      <w:r>
        <w:rPr>
          <w:rFonts w:hint="eastAsia"/>
          <w:color w:val="000000" w:themeColor="text1"/>
          <w:szCs w:val="24"/>
          <w14:textFill>
            <w14:solidFill>
              <w14:schemeClr w14:val="tx1"/>
            </w14:solidFill>
          </w14:textFill>
        </w:rPr>
        <w:t>的相关规定，并应配置在线状态监测系统。</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bCs/>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6.2.4.4  </w:t>
      </w:r>
      <w:r>
        <w:rPr>
          <w:rFonts w:hint="eastAsia"/>
          <w:color w:val="000000" w:themeColor="text1"/>
          <w:szCs w:val="24"/>
          <w14:textFill>
            <w14:solidFill>
              <w14:schemeClr w14:val="tx1"/>
            </w14:solidFill>
          </w14:textFill>
        </w:rPr>
        <w:t>液化烃罐外离心泵应采用双机械密封或干气密封，轴封的设计压力不应低于泵最大入口压力；</w:t>
      </w:r>
      <w:r>
        <w:rPr>
          <w:rFonts w:hint="eastAsia"/>
          <w:bCs/>
          <w:color w:val="000000" w:themeColor="text1"/>
          <w:szCs w:val="24"/>
          <w14:textFill>
            <w14:solidFill>
              <w14:schemeClr w14:val="tx1"/>
            </w14:solidFill>
          </w14:textFill>
        </w:rPr>
        <w:t>新建液化烃罐外泵应配置轴温、振动检测仪表和在线状态监测系统。当安装空间不受限时，在役液化烃罐外泵应配置轴温、振动检测仪表和在线状态监测系统，当安装空间受限时，应规定振动和轴温检测点，供巡检人员定期检测。</w:t>
      </w:r>
    </w:p>
    <w:p>
      <w:pPr>
        <w:pStyle w:val="99"/>
        <w:keepNext w:val="0"/>
        <w:keepLines w:val="0"/>
        <w:pageBreakBefore w:val="0"/>
        <w:tabs>
          <w:tab w:val="left" w:pos="851"/>
        </w:tabs>
        <w:kinsoku/>
        <w:wordWrap/>
        <w:overflowPunct/>
        <w:topLinePunct w:val="0"/>
        <w:bidi w:val="0"/>
        <w:snapToGrid/>
        <w:spacing w:line="240" w:lineRule="auto"/>
        <w:ind w:left="6"/>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6.2.4.5  </w:t>
      </w:r>
      <w:r>
        <w:rPr>
          <w:rFonts w:hint="eastAsia" w:ascii="Times New Roman"/>
          <w:color w:val="000000" w:themeColor="text1"/>
          <w:szCs w:val="24"/>
          <w14:textFill>
            <w14:solidFill>
              <w14:schemeClr w14:val="tx1"/>
            </w14:solidFill>
          </w14:textFill>
        </w:rPr>
        <w:t>新建全冷冻式储罐罐内泵和罐外输泵应选择立式潜液泵。</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6.2.4.6  </w:t>
      </w:r>
      <w:r>
        <w:rPr>
          <w:rFonts w:hint="eastAsia"/>
          <w:color w:val="000000" w:themeColor="text1"/>
          <w:szCs w:val="24"/>
          <w14:textFill>
            <w14:solidFill>
              <w14:schemeClr w14:val="tx1"/>
            </w14:solidFill>
          </w14:textFill>
        </w:rPr>
        <w:t>立式潜液泵应设置轴承振动、泵井液位，以及低流量等联锁保护和电机过载保护。</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6.2.4.7  </w:t>
      </w:r>
      <w:r>
        <w:rPr>
          <w:rFonts w:hint="eastAsia"/>
          <w:color w:val="000000" w:themeColor="text1"/>
          <w:szCs w:val="24"/>
          <w14:textFill>
            <w14:solidFill>
              <w14:schemeClr w14:val="tx1"/>
            </w14:solidFill>
          </w14:textFill>
        </w:rPr>
        <w:t>当介质为极度或高度危害时，应选择无密封泵，</w:t>
      </w:r>
      <w:r>
        <w:rPr>
          <w:color w:val="000000" w:themeColor="text1"/>
          <w:szCs w:val="24"/>
          <w14:textFill>
            <w14:solidFill>
              <w14:schemeClr w14:val="tx1"/>
            </w14:solidFill>
          </w14:textFill>
        </w:rPr>
        <w:t>并设置相应的轴承状态监测</w:t>
      </w:r>
      <w:r>
        <w:rPr>
          <w:rFonts w:hint="eastAsia"/>
          <w:color w:val="000000" w:themeColor="text1"/>
          <w:szCs w:val="24"/>
          <w14:textFill>
            <w14:solidFill>
              <w14:schemeClr w14:val="tx1"/>
            </w14:solidFill>
          </w14:textFill>
        </w:rPr>
        <w:t>、</w:t>
      </w:r>
      <w:r>
        <w:rPr>
          <w:color w:val="000000" w:themeColor="text1"/>
          <w:szCs w:val="24"/>
          <w14:textFill>
            <w14:solidFill>
              <w14:schemeClr w14:val="tx1"/>
            </w14:solidFill>
          </w14:textFill>
        </w:rPr>
        <w:t>电流保护</w:t>
      </w:r>
      <w:r>
        <w:rPr>
          <w:rFonts w:hint="eastAsia"/>
          <w:color w:val="000000" w:themeColor="text1"/>
          <w:szCs w:val="24"/>
          <w14:textFill>
            <w14:solidFill>
              <w14:schemeClr w14:val="tx1"/>
            </w14:solidFill>
          </w14:textFill>
        </w:rPr>
        <w:t>、</w:t>
      </w:r>
      <w:r>
        <w:rPr>
          <w:color w:val="000000" w:themeColor="text1"/>
          <w:szCs w:val="24"/>
          <w14:textFill>
            <w14:solidFill>
              <w14:schemeClr w14:val="tx1"/>
            </w14:solidFill>
          </w14:textFill>
        </w:rPr>
        <w:t>泄漏监测等安全保护装置。无密封泵的设计、制造、检验应符合GB/T 25140</w:t>
      </w:r>
      <w:r>
        <w:rPr>
          <w:rFonts w:hint="eastAsia"/>
          <w:color w:val="000000" w:themeColor="text1"/>
          <w:szCs w:val="24"/>
          <w14:textFill>
            <w14:solidFill>
              <w14:schemeClr w14:val="tx1"/>
            </w14:solidFill>
          </w14:textFill>
        </w:rPr>
        <w:t>要求。当无密封泵输送能力达不到要求时，应选择双端面密封泵。</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6.2.4.8  </w:t>
      </w:r>
      <w:r>
        <w:rPr>
          <w:rFonts w:hint="eastAsia"/>
          <w:color w:val="000000" w:themeColor="text1"/>
          <w:szCs w:val="24"/>
          <w14:textFill>
            <w14:solidFill>
              <w14:schemeClr w14:val="tx1"/>
            </w14:solidFill>
          </w14:textFill>
        </w:rPr>
        <w:t>往复式压缩机应设置排气温度、进气压力、机身振动、润滑油压力等联锁保护。</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30" w:name="_Toc118962016"/>
      <w:r>
        <w:rPr>
          <w:rFonts w:hint="eastAsia" w:ascii="黑体" w:eastAsia="黑体"/>
          <w:color w:val="000000" w:themeColor="text1"/>
          <w:kern w:val="2"/>
          <w:sz w:val="21"/>
          <w14:textFill>
            <w14:solidFill>
              <w14:schemeClr w14:val="tx1"/>
            </w14:solidFill>
          </w14:textFill>
        </w:rPr>
        <w:t>6.3</w:t>
      </w:r>
      <w:r>
        <w:rPr>
          <w:rFonts w:ascii="黑体" w:eastAsia="黑体"/>
          <w:color w:val="000000" w:themeColor="text1"/>
          <w:kern w:val="2"/>
          <w:sz w:val="21"/>
          <w14:textFill>
            <w14:solidFill>
              <w14:schemeClr w14:val="tx1"/>
            </w14:solidFill>
          </w14:textFill>
        </w:rPr>
        <w:t xml:space="preserve">  </w:t>
      </w:r>
      <w:r>
        <w:rPr>
          <w:rFonts w:hint="eastAsia" w:ascii="黑体" w:eastAsia="黑体"/>
          <w:color w:val="000000" w:themeColor="text1"/>
          <w:kern w:val="2"/>
          <w:sz w:val="21"/>
          <w14:textFill>
            <w14:solidFill>
              <w14:schemeClr w14:val="tx1"/>
            </w14:solidFill>
          </w14:textFill>
        </w:rPr>
        <w:t>罐区布置</w:t>
      </w:r>
      <w:bookmarkEnd w:id="30"/>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t xml:space="preserve">6.3.1  </w:t>
      </w:r>
      <w:r>
        <w:rPr>
          <w:rFonts w:hint="eastAsia" w:ascii="黑体" w:hAnsi="黑体" w:eastAsia="黑体"/>
          <w:color w:val="000000" w:themeColor="text1"/>
          <w14:textFill>
            <w14:solidFill>
              <w14:schemeClr w14:val="tx1"/>
            </w14:solidFill>
          </w14:textFill>
        </w:rPr>
        <w:t>一般要求</w:t>
      </w:r>
    </w:p>
    <w:p>
      <w:pPr>
        <w:keepNext w:val="0"/>
        <w:keepLines w:val="0"/>
        <w:pageBreakBefore w:val="0"/>
        <w:widowControl w:val="0"/>
        <w:kinsoku/>
        <w:wordWrap/>
        <w:overflowPunct/>
        <w:topLinePunct w:val="0"/>
        <w:bidi w:val="0"/>
        <w:snapToGrid/>
        <w:spacing w:line="240" w:lineRule="auto"/>
      </w:pPr>
      <w:r>
        <w:rPr>
          <w:rFonts w:ascii="黑体" w:hAnsi="黑体" w:eastAsia="黑体"/>
          <w:color w:val="000000" w:themeColor="text1"/>
          <w14:textFill>
            <w14:solidFill>
              <w14:schemeClr w14:val="tx1"/>
            </w14:solidFill>
          </w14:textFill>
        </w:rPr>
        <w:t xml:space="preserve">6.3.1.1  </w:t>
      </w:r>
      <w:r>
        <w:rPr>
          <w:rFonts w:hint="eastAsia"/>
          <w:bCs/>
          <w:color w:val="000000" w:themeColor="text1"/>
          <w:szCs w:val="24"/>
          <w14:textFill>
            <w14:solidFill>
              <w14:schemeClr w14:val="tx1"/>
            </w14:solidFill>
          </w14:textFill>
        </w:rPr>
        <w:t>当储存不同介质储罐的材质不能适应储存介质泄漏时所产生的最低温度时，储罐不应布置在同一罐组；当储存不同介质储罐的材质或采取保冷等防护措施能够保证储罐材质适应储存介质泄漏时所产生的最低温度时，储罐可布置在同一罐组。</w:t>
      </w:r>
      <w:r>
        <w:t>C</w:t>
      </w:r>
      <w:r>
        <w:rPr>
          <w:vertAlign w:val="subscript"/>
        </w:rPr>
        <w:t>4</w:t>
      </w:r>
      <w:r>
        <w:rPr>
          <w:rFonts w:hint="eastAsia"/>
        </w:rPr>
        <w:t>类液化烃储罐可与压力储存的可燃液体储罐同组布置。</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6.3.1.2  </w:t>
      </w:r>
      <w:r>
        <w:rPr>
          <w:rFonts w:hint="eastAsia"/>
          <w:color w:val="000000" w:themeColor="text1"/>
          <w:szCs w:val="24"/>
          <w14:textFill>
            <w14:solidFill>
              <w14:schemeClr w14:val="tx1"/>
            </w14:solidFill>
          </w14:textFill>
        </w:rPr>
        <w:t>当液化烃储罐顶平台高度超过24m时，应设置不小于</w:t>
      </w:r>
      <w:r>
        <w:rPr>
          <w:color w:val="000000" w:themeColor="text1"/>
          <w:szCs w:val="24"/>
          <w14:textFill>
            <w14:solidFill>
              <w14:schemeClr w14:val="tx1"/>
            </w14:solidFill>
          </w14:textFill>
        </w:rPr>
        <w:t>20m×10m的消防扑救场地（</w:t>
      </w:r>
      <w:r>
        <w:rPr>
          <w:rFonts w:hint="eastAsia"/>
          <w:color w:val="000000" w:themeColor="text1"/>
          <w:szCs w:val="24"/>
          <w14:textFill>
            <w14:solidFill>
              <w14:schemeClr w14:val="tx1"/>
            </w14:solidFill>
          </w14:textFill>
        </w:rPr>
        <w:t>含</w:t>
      </w:r>
      <w:r>
        <w:rPr>
          <w:color w:val="000000" w:themeColor="text1"/>
          <w:szCs w:val="24"/>
          <w14:textFill>
            <w14:solidFill>
              <w14:schemeClr w14:val="tx1"/>
            </w14:solidFill>
          </w14:textFill>
        </w:rPr>
        <w:t>道路）。</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6.3.1.3  </w:t>
      </w:r>
      <w:r>
        <w:rPr>
          <w:color w:val="000000" w:themeColor="text1"/>
          <w:szCs w:val="24"/>
          <w14:textFill>
            <w14:solidFill>
              <w14:schemeClr w14:val="tx1"/>
            </w14:solidFill>
          </w14:textFill>
        </w:rPr>
        <w:t>防火堤的不同方位上应设置不少于2个人行台阶或梯子</w:t>
      </w:r>
      <w:r>
        <w:rPr>
          <w:rFonts w:hint="eastAsia"/>
          <w:color w:val="000000" w:themeColor="text1"/>
          <w:szCs w:val="24"/>
          <w14:textFill>
            <w14:solidFill>
              <w14:schemeClr w14:val="tx1"/>
            </w14:solidFill>
          </w14:textFill>
        </w:rPr>
        <w:t>，</w:t>
      </w:r>
      <w:r>
        <w:rPr>
          <w:color w:val="000000" w:themeColor="text1"/>
          <w:szCs w:val="24"/>
          <w14:textFill>
            <w14:solidFill>
              <w14:schemeClr w14:val="tx1"/>
            </w14:solidFill>
          </w14:textFill>
        </w:rPr>
        <w:t>防火堤</w:t>
      </w:r>
      <w:r>
        <w:rPr>
          <w:rFonts w:hint="eastAsia"/>
          <w:color w:val="000000" w:themeColor="text1"/>
          <w:szCs w:val="24"/>
          <w14:textFill>
            <w14:solidFill>
              <w14:schemeClr w14:val="tx1"/>
            </w14:solidFill>
          </w14:textFill>
        </w:rPr>
        <w:t>内任意一点至</w:t>
      </w:r>
      <w:r>
        <w:rPr>
          <w:color w:val="000000" w:themeColor="text1"/>
          <w:szCs w:val="24"/>
          <w14:textFill>
            <w14:solidFill>
              <w14:schemeClr w14:val="tx1"/>
            </w14:solidFill>
          </w14:textFill>
        </w:rPr>
        <w:t>人行台阶或梯子的</w:t>
      </w:r>
      <w:r>
        <w:rPr>
          <w:rFonts w:hint="eastAsia"/>
          <w:color w:val="000000" w:themeColor="text1"/>
          <w:szCs w:val="24"/>
          <w14:textFill>
            <w14:solidFill>
              <w14:schemeClr w14:val="tx1"/>
            </w14:solidFill>
          </w14:textFill>
        </w:rPr>
        <w:t>逃生路线</w:t>
      </w:r>
      <w:r>
        <w:rPr>
          <w:color w:val="000000" w:themeColor="text1"/>
          <w:szCs w:val="24"/>
          <w14:textFill>
            <w14:solidFill>
              <w14:schemeClr w14:val="tx1"/>
            </w14:solidFill>
          </w14:textFill>
        </w:rPr>
        <w:t>长度不应大于30m。</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6.3.</w:t>
      </w:r>
      <w:r>
        <w:rPr>
          <w:rFonts w:ascii="黑体" w:hAnsi="黑体" w:eastAsia="黑体"/>
          <w:color w:val="000000" w:themeColor="text1"/>
          <w14:textFill>
            <w14:solidFill>
              <w14:schemeClr w14:val="tx1"/>
            </w14:solidFill>
          </w14:textFill>
        </w:rPr>
        <w:t xml:space="preserve">2  </w:t>
      </w:r>
      <w:r>
        <w:rPr>
          <w:rFonts w:hint="eastAsia" w:ascii="黑体" w:hAnsi="黑体" w:eastAsia="黑体"/>
          <w:color w:val="000000" w:themeColor="text1"/>
          <w14:textFill>
            <w14:solidFill>
              <w14:schemeClr w14:val="tx1"/>
            </w14:solidFill>
          </w14:textFill>
        </w:rPr>
        <w:t>压力式储罐区的布置</w:t>
      </w:r>
    </w:p>
    <w:p>
      <w:pPr>
        <w:keepNext w:val="0"/>
        <w:keepLines w:val="0"/>
        <w:pageBreakBefore w:val="0"/>
        <w:widowControl w:val="0"/>
        <w:kinsoku/>
        <w:wordWrap/>
        <w:overflowPunct/>
        <w:topLinePunct w:val="0"/>
        <w:bidi w:val="0"/>
        <w:snapToGrid/>
        <w:spacing w:line="240" w:lineRule="auto"/>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罐区的设备及管线布置应满足GB 50160、</w:t>
      </w:r>
      <w:r>
        <w:rPr>
          <w:color w:val="000000" w:themeColor="text1"/>
          <w:szCs w:val="24"/>
          <w14:textFill>
            <w14:solidFill>
              <w14:schemeClr w14:val="tx1"/>
            </w14:solidFill>
          </w14:textFill>
        </w:rPr>
        <w:t>SH 3012</w:t>
      </w:r>
      <w:r>
        <w:rPr>
          <w:rFonts w:hint="eastAsia"/>
          <w:color w:val="000000" w:themeColor="text1"/>
          <w:szCs w:val="24"/>
          <w14:textFill>
            <w14:solidFill>
              <w14:schemeClr w14:val="tx1"/>
            </w14:solidFill>
          </w14:textFill>
        </w:rPr>
        <w:t>、SH/T</w:t>
      </w:r>
      <w:r>
        <w:rPr>
          <w:color w:val="000000" w:themeColor="text1"/>
          <w:szCs w:val="24"/>
          <w14:textFill>
            <w14:solidFill>
              <w14:schemeClr w14:val="tx1"/>
            </w14:solidFill>
          </w14:textFill>
        </w:rPr>
        <w:t xml:space="preserve"> </w:t>
      </w:r>
      <w:r>
        <w:rPr>
          <w:rFonts w:hint="eastAsia"/>
          <w:color w:val="000000" w:themeColor="text1"/>
          <w:szCs w:val="24"/>
          <w14:textFill>
            <w14:solidFill>
              <w14:schemeClr w14:val="tx1"/>
            </w14:solidFill>
          </w14:textFill>
        </w:rPr>
        <w:t>3007中有关规定要求。</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6.3.</w:t>
      </w:r>
      <w:r>
        <w:rPr>
          <w:rFonts w:ascii="黑体" w:hAnsi="黑体" w:eastAsia="黑体"/>
          <w:color w:val="000000" w:themeColor="text1"/>
          <w14:textFill>
            <w14:solidFill>
              <w14:schemeClr w14:val="tx1"/>
            </w14:solidFill>
          </w14:textFill>
        </w:rPr>
        <w:t xml:space="preserve">3  </w:t>
      </w:r>
      <w:r>
        <w:rPr>
          <w:rFonts w:hint="eastAsia" w:ascii="黑体" w:hAnsi="黑体" w:eastAsia="黑体"/>
          <w:color w:val="000000" w:themeColor="text1"/>
          <w14:textFill>
            <w14:solidFill>
              <w14:schemeClr w14:val="tx1"/>
            </w14:solidFill>
          </w14:textFill>
        </w:rPr>
        <w:t>覆土式储罐区的布置</w:t>
      </w:r>
    </w:p>
    <w:p>
      <w:pPr>
        <w:keepNext w:val="0"/>
        <w:keepLines w:val="0"/>
        <w:pageBreakBefore w:val="0"/>
        <w:widowControl w:val="0"/>
        <w:kinsoku/>
        <w:wordWrap/>
        <w:overflowPunct/>
        <w:topLinePunct w:val="0"/>
        <w:bidi w:val="0"/>
        <w:snapToGrid/>
        <w:spacing w:line="240" w:lineRule="auto"/>
        <w:rPr>
          <w:color w:val="000000" w:themeColor="text1"/>
          <w:szCs w:val="24"/>
          <w14:textFill>
            <w14:solidFill>
              <w14:schemeClr w14:val="tx1"/>
            </w14:solidFill>
          </w14:textFill>
        </w:rPr>
      </w:pPr>
      <w:r>
        <w:rPr>
          <w:rFonts w:hint="eastAsia" w:ascii="黑体" w:hAnsi="黑体" w:eastAsia="黑体"/>
          <w:color w:val="000000" w:themeColor="text1"/>
          <w14:textFill>
            <w14:solidFill>
              <w14:schemeClr w14:val="tx1"/>
            </w14:solidFill>
          </w14:textFill>
        </w:rPr>
        <w:t>6.3.</w:t>
      </w:r>
      <w:r>
        <w:rPr>
          <w:rFonts w:ascii="黑体" w:hAnsi="黑体" w:eastAsia="黑体"/>
          <w:color w:val="000000" w:themeColor="text1"/>
          <w14:textFill>
            <w14:solidFill>
              <w14:schemeClr w14:val="tx1"/>
            </w14:solidFill>
          </w14:textFill>
        </w:rPr>
        <w:t xml:space="preserve">3.1  </w:t>
      </w:r>
      <w:r>
        <w:rPr>
          <w:rFonts w:hint="eastAsia"/>
          <w:color w:val="000000" w:themeColor="text1"/>
          <w:szCs w:val="24"/>
          <w14:textFill>
            <w14:solidFill>
              <w14:schemeClr w14:val="tx1"/>
            </w14:solidFill>
          </w14:textFill>
        </w:rPr>
        <w:t>覆土式储罐覆土层顶部四周应设置人行通道，人行通道外侧应设置防护栏。</w:t>
      </w:r>
    </w:p>
    <w:p>
      <w:pPr>
        <w:keepNext w:val="0"/>
        <w:keepLines w:val="0"/>
        <w:pageBreakBefore w:val="0"/>
        <w:widowControl w:val="0"/>
        <w:kinsoku/>
        <w:wordWrap/>
        <w:overflowPunct/>
        <w:topLinePunct w:val="0"/>
        <w:bidi w:val="0"/>
        <w:snapToGrid/>
        <w:spacing w:line="240" w:lineRule="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6.3.3.2  </w:t>
      </w:r>
      <w:r>
        <w:rPr>
          <w:rFonts w:hint="eastAsia"/>
          <w:color w:val="000000" w:themeColor="text1"/>
          <w:szCs w:val="24"/>
          <w14:textFill>
            <w14:solidFill>
              <w14:schemeClr w14:val="tx1"/>
            </w14:solidFill>
          </w14:textFill>
        </w:rPr>
        <w:t>储罐进出管道应采取自然补偿、弹簧支架等柔性设计措施，并应采取防止基础沉降、土壤沉积等对管道安全运行产生影响的措施。</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6.3.</w:t>
      </w:r>
      <w:r>
        <w:rPr>
          <w:rFonts w:ascii="黑体" w:hAnsi="黑体" w:eastAsia="黑体"/>
          <w:color w:val="000000" w:themeColor="text1"/>
          <w14:textFill>
            <w14:solidFill>
              <w14:schemeClr w14:val="tx1"/>
            </w14:solidFill>
          </w14:textFill>
        </w:rPr>
        <w:t xml:space="preserve">4  </w:t>
      </w:r>
      <w:r>
        <w:rPr>
          <w:rFonts w:hint="eastAsia" w:ascii="黑体" w:hAnsi="黑体" w:eastAsia="黑体"/>
          <w:color w:val="000000" w:themeColor="text1"/>
          <w14:textFill>
            <w14:solidFill>
              <w14:schemeClr w14:val="tx1"/>
            </w14:solidFill>
          </w14:textFill>
        </w:rPr>
        <w:t>全冷冻式储罐区的布置</w:t>
      </w:r>
    </w:p>
    <w:p>
      <w:pPr>
        <w:keepNext w:val="0"/>
        <w:keepLines w:val="0"/>
        <w:pageBreakBefore w:val="0"/>
        <w:widowControl w:val="0"/>
        <w:kinsoku/>
        <w:wordWrap/>
        <w:overflowPunct/>
        <w:topLinePunct w:val="0"/>
        <w:bidi w:val="0"/>
        <w:snapToGrid/>
        <w:spacing w:line="240" w:lineRule="auto"/>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液化烃全冷冻式储</w:t>
      </w:r>
      <w:r>
        <w:rPr>
          <w:color w:val="000000" w:themeColor="text1"/>
          <w:szCs w:val="24"/>
          <w14:textFill>
            <w14:solidFill>
              <w14:schemeClr w14:val="tx1"/>
            </w14:solidFill>
          </w14:textFill>
        </w:rPr>
        <w:t>罐</w:t>
      </w:r>
      <w:r>
        <w:rPr>
          <w:rFonts w:hint="eastAsia"/>
          <w:color w:val="000000" w:themeColor="text1"/>
          <w:szCs w:val="24"/>
          <w14:textFill>
            <w14:solidFill>
              <w14:schemeClr w14:val="tx1"/>
            </w14:solidFill>
          </w14:textFill>
        </w:rPr>
        <w:t>区的设备</w:t>
      </w:r>
      <w:r>
        <w:rPr>
          <w:color w:val="000000" w:themeColor="text1"/>
          <w:szCs w:val="24"/>
          <w14:textFill>
            <w14:solidFill>
              <w14:schemeClr w14:val="tx1"/>
            </w14:solidFill>
          </w14:textFill>
        </w:rPr>
        <w:t>及管线</w:t>
      </w:r>
      <w:r>
        <w:rPr>
          <w:rFonts w:hint="eastAsia"/>
          <w:color w:val="000000" w:themeColor="text1"/>
          <w:szCs w:val="24"/>
          <w14:textFill>
            <w14:solidFill>
              <w14:schemeClr w14:val="tx1"/>
            </w14:solidFill>
          </w14:textFill>
        </w:rPr>
        <w:t>布置应满足</w:t>
      </w:r>
      <w:r>
        <w:rPr>
          <w:color w:val="000000" w:themeColor="text1"/>
          <w:szCs w:val="24"/>
          <w14:textFill>
            <w14:solidFill>
              <w14:schemeClr w14:val="tx1"/>
            </w14:solidFill>
          </w14:textFill>
        </w:rPr>
        <w:t>GB 50160</w:t>
      </w:r>
      <w:r>
        <w:rPr>
          <w:rFonts w:hint="eastAsia"/>
          <w:color w:val="000000" w:themeColor="text1"/>
          <w:szCs w:val="24"/>
          <w14:textFill>
            <w14:solidFill>
              <w14:schemeClr w14:val="tx1"/>
            </w14:solidFill>
          </w14:textFill>
        </w:rPr>
        <w:t>中有关规定要求。</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6.3.</w:t>
      </w:r>
      <w:r>
        <w:rPr>
          <w:rFonts w:ascii="黑体" w:hAnsi="黑体" w:eastAsia="黑体"/>
          <w:color w:val="000000" w:themeColor="text1"/>
          <w14:textFill>
            <w14:solidFill>
              <w14:schemeClr w14:val="tx1"/>
            </w14:solidFill>
          </w14:textFill>
        </w:rPr>
        <w:t xml:space="preserve">5  </w:t>
      </w:r>
      <w:r>
        <w:rPr>
          <w:rFonts w:hint="eastAsia" w:ascii="黑体" w:hAnsi="黑体" w:eastAsia="黑体"/>
          <w:color w:val="000000" w:themeColor="text1"/>
          <w14:textFill>
            <w14:solidFill>
              <w14:schemeClr w14:val="tx1"/>
            </w14:solidFill>
          </w14:textFill>
        </w:rPr>
        <w:t>液化烃泵和罐组附属压缩机布置</w:t>
      </w:r>
    </w:p>
    <w:p>
      <w:pPr>
        <w:keepNext w:val="0"/>
        <w:keepLines w:val="0"/>
        <w:pageBreakBefore w:val="0"/>
        <w:widowControl w:val="0"/>
        <w:kinsoku/>
        <w:wordWrap/>
        <w:overflowPunct/>
        <w:topLinePunct w:val="0"/>
        <w:bidi w:val="0"/>
        <w:snapToGrid/>
        <w:spacing w:line="240" w:lineRule="auto"/>
        <w:rPr>
          <w:color w:val="000000" w:themeColor="text1"/>
          <w:szCs w:val="24"/>
          <w14:textFill>
            <w14:solidFill>
              <w14:schemeClr w14:val="tx1"/>
            </w14:solidFill>
          </w14:textFill>
        </w:rPr>
      </w:pPr>
      <w:r>
        <w:rPr>
          <w:rFonts w:hint="eastAsia" w:ascii="黑体" w:hAnsi="黑体" w:eastAsia="黑体"/>
          <w:color w:val="000000" w:themeColor="text1"/>
          <w14:textFill>
            <w14:solidFill>
              <w14:schemeClr w14:val="tx1"/>
            </w14:solidFill>
          </w14:textFill>
        </w:rPr>
        <w:t>6.3.</w:t>
      </w:r>
      <w:r>
        <w:rPr>
          <w:rFonts w:ascii="黑体" w:hAnsi="黑体" w:eastAsia="黑体"/>
          <w:color w:val="000000" w:themeColor="text1"/>
          <w14:textFill>
            <w14:solidFill>
              <w14:schemeClr w14:val="tx1"/>
            </w14:solidFill>
          </w14:textFill>
        </w:rPr>
        <w:t xml:space="preserve">5.1  </w:t>
      </w:r>
      <w:r>
        <w:rPr>
          <w:rFonts w:hint="eastAsia"/>
          <w:color w:val="000000" w:themeColor="text1"/>
          <w:szCs w:val="24"/>
          <w14:textFill>
            <w14:solidFill>
              <w14:schemeClr w14:val="tx1"/>
            </w14:solidFill>
          </w14:textFill>
        </w:rPr>
        <w:t>除工艺操作有特殊要求或受自然条件限制影响等因素外，液化烃泵和罐组附属压缩机应露天或半露天布置。</w:t>
      </w:r>
    </w:p>
    <w:p>
      <w:pPr>
        <w:keepNext w:val="0"/>
        <w:keepLines w:val="0"/>
        <w:pageBreakBefore w:val="0"/>
        <w:widowControl w:val="0"/>
        <w:kinsoku/>
        <w:wordWrap/>
        <w:overflowPunct/>
        <w:topLinePunct w:val="0"/>
        <w:bidi w:val="0"/>
        <w:snapToGrid/>
        <w:spacing w:line="240" w:lineRule="auto"/>
        <w:rPr>
          <w:color w:val="000000" w:themeColor="text1"/>
          <w:szCs w:val="24"/>
          <w14:textFill>
            <w14:solidFill>
              <w14:schemeClr w14:val="tx1"/>
            </w14:solidFill>
          </w14:textFill>
        </w:rPr>
      </w:pPr>
      <w:r>
        <w:rPr>
          <w:rFonts w:hint="eastAsia" w:ascii="黑体" w:hAnsi="黑体" w:eastAsia="黑体"/>
          <w:color w:val="000000" w:themeColor="text1"/>
          <w14:textFill>
            <w14:solidFill>
              <w14:schemeClr w14:val="tx1"/>
            </w14:solidFill>
          </w14:textFill>
        </w:rPr>
        <w:t>6.3.</w:t>
      </w:r>
      <w:r>
        <w:rPr>
          <w:rFonts w:ascii="黑体" w:hAnsi="黑体" w:eastAsia="黑体"/>
          <w:color w:val="000000" w:themeColor="text1"/>
          <w14:textFill>
            <w14:solidFill>
              <w14:schemeClr w14:val="tx1"/>
            </w14:solidFill>
          </w14:textFill>
        </w:rPr>
        <w:t xml:space="preserve">5.2  </w:t>
      </w:r>
      <w:r>
        <w:rPr>
          <w:rFonts w:hint="eastAsia"/>
          <w:color w:val="000000" w:themeColor="text1"/>
          <w:szCs w:val="24"/>
          <w14:textFill>
            <w14:solidFill>
              <w14:schemeClr w14:val="tx1"/>
            </w14:solidFill>
          </w14:textFill>
        </w:rPr>
        <w:t>当液化烃泵和罐组附属压缩机在封闭厂房内布置时，封闭厂房内应采用不发生火花的地面；</w:t>
      </w:r>
      <w:r>
        <w:rPr>
          <w:rFonts w:hint="eastAsia"/>
        </w:rPr>
        <w:t>新建液化烃罐区不应设地坑和地沟，在役罐区</w:t>
      </w:r>
      <w:r>
        <w:rPr>
          <w:rFonts w:hint="eastAsia"/>
          <w:color w:val="000000" w:themeColor="text1"/>
          <w:szCs w:val="24"/>
          <w14:textFill>
            <w14:solidFill>
              <w14:schemeClr w14:val="tx1"/>
            </w14:solidFill>
          </w14:textFill>
        </w:rPr>
        <w:t>地面设有地坑或地沟时，应有防止可燃气体积聚的措施。</w:t>
      </w:r>
    </w:p>
    <w:p>
      <w:pPr>
        <w:keepNext w:val="0"/>
        <w:keepLines w:val="0"/>
        <w:pageBreakBefore w:val="0"/>
        <w:widowControl w:val="0"/>
        <w:kinsoku/>
        <w:wordWrap/>
        <w:overflowPunct/>
        <w:topLinePunct w:val="0"/>
        <w:bidi w:val="0"/>
        <w:snapToGrid/>
        <w:spacing w:line="240" w:lineRule="auto"/>
        <w:rPr>
          <w:color w:val="000000" w:themeColor="text1"/>
          <w:szCs w:val="24"/>
          <w14:textFill>
            <w14:solidFill>
              <w14:schemeClr w14:val="tx1"/>
            </w14:solidFill>
          </w14:textFill>
        </w:rPr>
      </w:pPr>
      <w:r>
        <w:rPr>
          <w:rFonts w:hint="eastAsia" w:ascii="黑体" w:hAnsi="黑体" w:eastAsia="黑体"/>
          <w:color w:val="000000" w:themeColor="text1"/>
          <w14:textFill>
            <w14:solidFill>
              <w14:schemeClr w14:val="tx1"/>
            </w14:solidFill>
          </w14:textFill>
        </w:rPr>
        <w:t>6.3.</w:t>
      </w:r>
      <w:r>
        <w:rPr>
          <w:rFonts w:ascii="黑体" w:hAnsi="黑体" w:eastAsia="黑体"/>
          <w:color w:val="000000" w:themeColor="text1"/>
          <w14:textFill>
            <w14:solidFill>
              <w14:schemeClr w14:val="tx1"/>
            </w14:solidFill>
          </w14:textFill>
        </w:rPr>
        <w:t xml:space="preserve">5.3  </w:t>
      </w:r>
      <w:r>
        <w:rPr>
          <w:rFonts w:hint="eastAsia"/>
          <w:color w:val="000000" w:themeColor="text1"/>
          <w:szCs w:val="24"/>
          <w14:textFill>
            <w14:solidFill>
              <w14:schemeClr w14:val="tx1"/>
            </w14:solidFill>
          </w14:textFill>
        </w:rPr>
        <w:t>液化烃压力罐组专用泵应布置在防火堤外，与液化烃储罐的防火间距不应小于</w:t>
      </w:r>
      <w:r>
        <w:rPr>
          <w:color w:val="000000" w:themeColor="text1"/>
          <w:szCs w:val="24"/>
          <w14:textFill>
            <w14:solidFill>
              <w14:schemeClr w14:val="tx1"/>
            </w14:solidFill>
          </w14:textFill>
        </w:rPr>
        <w:t>15m</w:t>
      </w:r>
      <w:r>
        <w:rPr>
          <w:rFonts w:hint="eastAsia"/>
          <w:color w:val="000000" w:themeColor="text1"/>
          <w:szCs w:val="24"/>
          <w14:textFill>
            <w14:solidFill>
              <w14:schemeClr w14:val="tx1"/>
            </w14:solidFill>
          </w14:textFill>
        </w:rPr>
        <w:t>。</w:t>
      </w:r>
    </w:p>
    <w:p>
      <w:pPr>
        <w:keepNext w:val="0"/>
        <w:keepLines w:val="0"/>
        <w:pageBreakBefore w:val="0"/>
        <w:widowControl w:val="0"/>
        <w:kinsoku/>
        <w:wordWrap/>
        <w:overflowPunct/>
        <w:topLinePunct w:val="0"/>
        <w:bidi w:val="0"/>
        <w:snapToGrid/>
        <w:spacing w:line="240" w:lineRule="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6.3.5.4  </w:t>
      </w:r>
      <w:r>
        <w:rPr>
          <w:rFonts w:hint="eastAsia"/>
          <w:color w:val="000000" w:themeColor="text1"/>
          <w:szCs w:val="24"/>
          <w14:textFill>
            <w14:solidFill>
              <w14:schemeClr w14:val="tx1"/>
            </w14:solidFill>
          </w14:textFill>
        </w:rPr>
        <w:t>新建液化烃泵不应布置在管廊下方，泵体外缘距管廊垂直投影外缘水平距离不应小于</w:t>
      </w:r>
      <w:r>
        <w:rPr>
          <w:color w:val="000000" w:themeColor="text1"/>
          <w:szCs w:val="24"/>
          <w14:textFill>
            <w14:solidFill>
              <w14:schemeClr w14:val="tx1"/>
            </w14:solidFill>
          </w14:textFill>
        </w:rPr>
        <w:t>3m</w:t>
      </w:r>
      <w:r>
        <w:rPr>
          <w:rFonts w:hint="eastAsia"/>
          <w:color w:val="000000" w:themeColor="text1"/>
          <w:szCs w:val="24"/>
          <w14:textFill>
            <w14:solidFill>
              <w14:schemeClr w14:val="tx1"/>
            </w14:solidFill>
          </w14:textFill>
        </w:rPr>
        <w:t>。</w:t>
      </w:r>
    </w:p>
    <w:p>
      <w:pPr>
        <w:widowControl w:val="0"/>
        <w:autoSpaceDE w:val="0"/>
        <w:autoSpaceDN w:val="0"/>
        <w:adjustRightInd w:val="0"/>
        <w:spacing w:line="240" w:lineRule="auto"/>
        <w:textAlignment w:val="auto"/>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6.3.</w:t>
      </w:r>
      <w:r>
        <w:rPr>
          <w:rFonts w:ascii="黑体" w:hAnsi="黑体" w:eastAsia="黑体"/>
          <w:color w:val="000000" w:themeColor="text1"/>
          <w14:textFill>
            <w14:solidFill>
              <w14:schemeClr w14:val="tx1"/>
            </w14:solidFill>
          </w14:textFill>
        </w:rPr>
        <w:t xml:space="preserve">6  </w:t>
      </w:r>
      <w:r>
        <w:rPr>
          <w:rFonts w:hint="eastAsia" w:ascii="黑体" w:hAnsi="黑体" w:eastAsia="黑体"/>
          <w:color w:val="000000" w:themeColor="text1"/>
          <w14:textFill>
            <w14:solidFill>
              <w14:schemeClr w14:val="tx1"/>
            </w14:solidFill>
          </w14:textFill>
        </w:rPr>
        <w:t>管廊布置</w:t>
      </w:r>
    </w:p>
    <w:p>
      <w:pPr>
        <w:tabs>
          <w:tab w:val="left" w:pos="851"/>
        </w:tabs>
        <w:spacing w:line="240" w:lineRule="auto"/>
        <w:textAlignment w:val="auto"/>
        <w:rPr>
          <w:color w:val="000000" w:themeColor="text1"/>
          <w:szCs w:val="24"/>
          <w14:textFill>
            <w14:solidFill>
              <w14:schemeClr w14:val="tx1"/>
            </w14:solidFill>
          </w14:textFill>
        </w:rPr>
      </w:pPr>
      <w:r>
        <w:rPr>
          <w:rFonts w:hint="eastAsia" w:ascii="黑体" w:hAnsi="黑体" w:eastAsia="黑体"/>
          <w:color w:val="000000" w:themeColor="text1"/>
          <w14:textFill>
            <w14:solidFill>
              <w14:schemeClr w14:val="tx1"/>
            </w14:solidFill>
          </w14:textFill>
        </w:rPr>
        <w:t>6.3.</w:t>
      </w:r>
      <w:r>
        <w:rPr>
          <w:rFonts w:ascii="黑体" w:hAnsi="黑体" w:eastAsia="黑体"/>
          <w:color w:val="000000" w:themeColor="text1"/>
          <w14:textFill>
            <w14:solidFill>
              <w14:schemeClr w14:val="tx1"/>
            </w14:solidFill>
          </w14:textFill>
        </w:rPr>
        <w:t xml:space="preserve">6.1  </w:t>
      </w:r>
      <w:r>
        <w:rPr>
          <w:rFonts w:hint="eastAsia"/>
          <w:color w:val="000000" w:themeColor="text1"/>
          <w:szCs w:val="24"/>
          <w14:textFill>
            <w14:solidFill>
              <w14:schemeClr w14:val="tx1"/>
            </w14:solidFill>
          </w14:textFill>
        </w:rPr>
        <w:t>新建管廊不应环绕罐组布置，当管廊顶层高度大于6m时不应三面围绕罐组布置。</w:t>
      </w:r>
    </w:p>
    <w:p>
      <w:pPr>
        <w:tabs>
          <w:tab w:val="left" w:pos="851"/>
        </w:tabs>
        <w:spacing w:line="240" w:lineRule="auto"/>
        <w:textAlignment w:val="auto"/>
        <w:rPr>
          <w:color w:val="000000" w:themeColor="text1"/>
          <w:szCs w:val="24"/>
          <w14:textFill>
            <w14:solidFill>
              <w14:schemeClr w14:val="tx1"/>
            </w14:solidFill>
          </w14:textFill>
        </w:rPr>
      </w:pPr>
      <w:r>
        <w:rPr>
          <w:rFonts w:hint="eastAsia" w:ascii="黑体" w:hAnsi="黑体" w:eastAsia="黑体"/>
          <w:color w:val="000000" w:themeColor="text1"/>
          <w14:textFill>
            <w14:solidFill>
              <w14:schemeClr w14:val="tx1"/>
            </w14:solidFill>
          </w14:textFill>
        </w:rPr>
        <w:t>6.3.</w:t>
      </w:r>
      <w:r>
        <w:rPr>
          <w:rFonts w:ascii="黑体" w:hAnsi="黑体" w:eastAsia="黑体"/>
          <w:color w:val="000000" w:themeColor="text1"/>
          <w14:textFill>
            <w14:solidFill>
              <w14:schemeClr w14:val="tx1"/>
            </w14:solidFill>
          </w14:textFill>
        </w:rPr>
        <w:t xml:space="preserve">6.2  </w:t>
      </w:r>
      <w:r>
        <w:rPr>
          <w:rFonts w:hint="eastAsia"/>
          <w:color w:val="000000" w:themeColor="text1"/>
          <w:szCs w:val="24"/>
          <w14:textFill>
            <w14:solidFill>
              <w14:schemeClr w14:val="tx1"/>
            </w14:solidFill>
          </w14:textFill>
        </w:rPr>
        <w:t>新建管廊不应沿罐组长边两侧平行布置。</w:t>
      </w:r>
    </w:p>
    <w:p>
      <w:pPr>
        <w:widowControl w:val="0"/>
        <w:autoSpaceDE w:val="0"/>
        <w:autoSpaceDN w:val="0"/>
        <w:adjustRightInd w:val="0"/>
        <w:spacing w:line="240" w:lineRule="auto"/>
        <w:textAlignment w:val="auto"/>
        <w:rPr>
          <w:color w:val="000000" w:themeColor="text1"/>
          <w:szCs w:val="24"/>
          <w14:textFill>
            <w14:solidFill>
              <w14:schemeClr w14:val="tx1"/>
            </w14:solidFill>
          </w14:textFill>
        </w:rPr>
      </w:pPr>
      <w:r>
        <w:rPr>
          <w:rFonts w:hint="eastAsia" w:ascii="黑体" w:hAnsi="黑体" w:eastAsia="黑体"/>
          <w:color w:val="000000" w:themeColor="text1"/>
          <w14:textFill>
            <w14:solidFill>
              <w14:schemeClr w14:val="tx1"/>
            </w14:solidFill>
          </w14:textFill>
        </w:rPr>
        <w:t>6.3.</w:t>
      </w:r>
      <w:r>
        <w:rPr>
          <w:rFonts w:ascii="黑体" w:hAnsi="黑体" w:eastAsia="黑体"/>
          <w:color w:val="000000" w:themeColor="text1"/>
          <w14:textFill>
            <w14:solidFill>
              <w14:schemeClr w14:val="tx1"/>
            </w14:solidFill>
          </w14:textFill>
        </w:rPr>
        <w:t xml:space="preserve">6.3  </w:t>
      </w:r>
      <w:r>
        <w:rPr>
          <w:rFonts w:hint="eastAsia"/>
          <w:color w:val="000000" w:themeColor="text1"/>
          <w:szCs w:val="24"/>
          <w14:textFill>
            <w14:solidFill>
              <w14:schemeClr w14:val="tx1"/>
            </w14:solidFill>
          </w14:textFill>
        </w:rPr>
        <w:t>全厂公共管廊与储罐间距不应小于7.5m，不应穿越液化烃罐组与其专用泵区之间的区域。</w:t>
      </w:r>
    </w:p>
    <w:p>
      <w:pPr>
        <w:widowControl w:val="0"/>
        <w:autoSpaceDE w:val="0"/>
        <w:autoSpaceDN w:val="0"/>
        <w:adjustRightInd w:val="0"/>
        <w:spacing w:line="240" w:lineRule="auto"/>
        <w:textAlignment w:val="auto"/>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6.3.</w:t>
      </w:r>
      <w:r>
        <w:rPr>
          <w:rFonts w:ascii="黑体" w:hAnsi="黑体" w:eastAsia="黑体"/>
          <w:color w:val="000000" w:themeColor="text1"/>
          <w14:textFill>
            <w14:solidFill>
              <w14:schemeClr w14:val="tx1"/>
            </w14:solidFill>
          </w14:textFill>
        </w:rPr>
        <w:t xml:space="preserve">7  </w:t>
      </w:r>
      <w:r>
        <w:rPr>
          <w:rFonts w:hint="eastAsia" w:ascii="黑体" w:hAnsi="黑体" w:eastAsia="黑体"/>
          <w:color w:val="000000" w:themeColor="text1"/>
          <w14:textFill>
            <w14:solidFill>
              <w14:schemeClr w14:val="tx1"/>
            </w14:solidFill>
          </w14:textFill>
        </w:rPr>
        <w:t>管道材料及连接方式</w:t>
      </w:r>
    </w:p>
    <w:p>
      <w:pPr>
        <w:widowControl w:val="0"/>
        <w:tabs>
          <w:tab w:val="left" w:pos="1050"/>
        </w:tabs>
        <w:spacing w:line="240" w:lineRule="auto"/>
        <w:textAlignment w:val="auto"/>
        <w:rPr>
          <w:color w:val="000000" w:themeColor="text1"/>
          <w:kern w:val="2"/>
          <w:szCs w:val="24"/>
          <w14:textFill>
            <w14:solidFill>
              <w14:schemeClr w14:val="tx1"/>
            </w14:solidFill>
          </w14:textFill>
        </w:rPr>
      </w:pPr>
      <w:r>
        <w:rPr>
          <w:rFonts w:hint="eastAsia" w:ascii="黑体" w:hAnsi="黑体" w:eastAsia="黑体"/>
          <w:color w:val="000000" w:themeColor="text1"/>
          <w14:textFill>
            <w14:solidFill>
              <w14:schemeClr w14:val="tx1"/>
            </w14:solidFill>
          </w14:textFill>
        </w:rPr>
        <w:t>6.3.</w:t>
      </w:r>
      <w:r>
        <w:rPr>
          <w:rFonts w:ascii="黑体" w:hAnsi="黑体" w:eastAsia="黑体"/>
          <w:color w:val="000000" w:themeColor="text1"/>
          <w14:textFill>
            <w14:solidFill>
              <w14:schemeClr w14:val="tx1"/>
            </w14:solidFill>
          </w14:textFill>
        </w:rPr>
        <w:t xml:space="preserve">7.1  </w:t>
      </w:r>
      <w:r>
        <w:rPr>
          <w:rFonts w:hint="eastAsia"/>
          <w:color w:val="000000" w:themeColor="text1"/>
          <w:kern w:val="2"/>
          <w:szCs w:val="24"/>
          <w14:textFill>
            <w14:solidFill>
              <w14:schemeClr w14:val="tx1"/>
            </w14:solidFill>
          </w14:textFill>
        </w:rPr>
        <w:t>液化烃管线的管道材料选用应满足</w:t>
      </w:r>
      <w:bookmarkStart w:id="31" w:name="_Hlk128153688"/>
      <w:r>
        <w:rPr>
          <w:rFonts w:hint="eastAsia"/>
          <w:color w:val="000000" w:themeColor="text1"/>
          <w:kern w:val="2"/>
          <w:szCs w:val="24"/>
          <w14:textFill>
            <w14:solidFill>
              <w14:schemeClr w14:val="tx1"/>
            </w14:solidFill>
          </w14:textFill>
        </w:rPr>
        <w:t>GB/T 20801.2</w:t>
      </w:r>
      <w:bookmarkEnd w:id="31"/>
      <w:r>
        <w:rPr>
          <w:rFonts w:hint="eastAsia"/>
          <w:color w:val="000000" w:themeColor="text1"/>
          <w:kern w:val="2"/>
          <w:szCs w:val="24"/>
          <w14:textFill>
            <w14:solidFill>
              <w14:schemeClr w14:val="tx1"/>
            </w14:solidFill>
          </w14:textFill>
        </w:rPr>
        <w:t>的相关限制要求。</w:t>
      </w:r>
    </w:p>
    <w:p>
      <w:pPr>
        <w:widowControl w:val="0"/>
        <w:tabs>
          <w:tab w:val="left" w:pos="1050"/>
        </w:tabs>
        <w:spacing w:line="240" w:lineRule="auto"/>
        <w:textAlignment w:val="auto"/>
        <w:rPr>
          <w:color w:val="000000" w:themeColor="text1"/>
          <w14:textFill>
            <w14:solidFill>
              <w14:schemeClr w14:val="tx1"/>
            </w14:solidFill>
          </w14:textFill>
        </w:rPr>
      </w:pPr>
      <w:r>
        <w:rPr>
          <w:rFonts w:ascii="黑体" w:hAnsi="黑体" w:eastAsia="黑体"/>
          <w:color w:val="000000" w:themeColor="text1"/>
          <w:kern w:val="2"/>
          <w:szCs w:val="24"/>
          <w14:textFill>
            <w14:solidFill>
              <w14:schemeClr w14:val="tx1"/>
            </w14:solidFill>
          </w14:textFill>
        </w:rPr>
        <w:t>6.3.7.2</w:t>
      </w:r>
      <w:r>
        <w:rPr>
          <w:color w:val="000000" w:themeColor="text1"/>
          <w:kern w:val="2"/>
          <w:szCs w:val="24"/>
          <w14:textFill>
            <w14:solidFill>
              <w14:schemeClr w14:val="tx1"/>
            </w14:solidFill>
          </w14:textFill>
        </w:rPr>
        <w:t xml:space="preserve">  </w:t>
      </w:r>
      <w:r>
        <w:rPr>
          <w:rFonts w:hint="eastAsia"/>
          <w:color w:val="000000" w:themeColor="text1"/>
          <w:kern w:val="2"/>
          <w:szCs w:val="24"/>
          <w14:textFill>
            <w14:solidFill>
              <w14:schemeClr w14:val="tx1"/>
            </w14:solidFill>
          </w14:textFill>
        </w:rPr>
        <w:t>储存乙烯、乙烷等</w:t>
      </w:r>
      <w:r>
        <w:rPr>
          <w:color w:val="000000" w:themeColor="text1"/>
          <w:kern w:val="2"/>
          <w:szCs w:val="24"/>
          <w14:textFill>
            <w14:solidFill>
              <w14:schemeClr w14:val="tx1"/>
            </w14:solidFill>
          </w14:textFill>
        </w:rPr>
        <w:t>C2</w:t>
      </w:r>
      <w:r>
        <w:rPr>
          <w:rFonts w:hint="eastAsia"/>
          <w:color w:val="000000" w:themeColor="text1"/>
          <w:kern w:val="2"/>
          <w:szCs w:val="24"/>
          <w14:textFill>
            <w14:solidFill>
              <w14:schemeClr w14:val="tx1"/>
            </w14:solidFill>
          </w14:textFill>
        </w:rPr>
        <w:t>类液化烃储罐组用地红线边界阀组内的液相工艺物料管道及其组成件（罐下第一道紧急切断阀除外）的设计温度下限不应高于储存介质的常压沸点温度。</w:t>
      </w:r>
    </w:p>
    <w:p>
      <w:pPr>
        <w:widowControl w:val="0"/>
        <w:tabs>
          <w:tab w:val="left" w:pos="1050"/>
        </w:tabs>
        <w:spacing w:line="240" w:lineRule="auto"/>
        <w:textAlignment w:val="auto"/>
        <w:rPr>
          <w:color w:val="000000" w:themeColor="text1"/>
          <w:kern w:val="2"/>
          <w:szCs w:val="24"/>
          <w:highlight w:val="yellow"/>
          <w14:textFill>
            <w14:solidFill>
              <w14:schemeClr w14:val="tx1"/>
            </w14:solidFill>
          </w14:textFill>
        </w:rPr>
      </w:pPr>
      <w:r>
        <w:rPr>
          <w:rFonts w:ascii="黑体" w:hAnsi="黑体" w:eastAsia="黑体"/>
          <w:color w:val="000000" w:themeColor="text1"/>
          <w:kern w:val="2"/>
          <w:szCs w:val="24"/>
          <w14:textFill>
            <w14:solidFill>
              <w14:schemeClr w14:val="tx1"/>
            </w14:solidFill>
          </w14:textFill>
        </w:rPr>
        <w:t>6.3.7.3</w:t>
      </w:r>
      <w:r>
        <w:rPr>
          <w:rFonts w:asciiTheme="minorEastAsia" w:hAnsiTheme="minorEastAsia" w:eastAsiaTheme="minorEastAsia"/>
        </w:rPr>
        <w:t xml:space="preserve">  </w:t>
      </w:r>
      <w:r>
        <w:rPr>
          <w:rFonts w:hint="eastAsia" w:asciiTheme="minorEastAsia" w:hAnsiTheme="minorEastAsia" w:eastAsiaTheme="minorEastAsia"/>
        </w:rPr>
        <w:t>当液化烃管道发生泄漏后，应对液化烃管道按照TSG D7005的相关要求重新进行评估，不满足使用要求的管道应予以更换。</w:t>
      </w:r>
    </w:p>
    <w:p>
      <w:pPr>
        <w:tabs>
          <w:tab w:val="left" w:pos="851"/>
        </w:tabs>
        <w:spacing w:line="240" w:lineRule="auto"/>
        <w:textAlignment w:val="auto"/>
        <w:rPr>
          <w:color w:val="000000" w:themeColor="text1"/>
          <w:szCs w:val="24"/>
          <w14:textFill>
            <w14:solidFill>
              <w14:schemeClr w14:val="tx1"/>
            </w14:solidFill>
          </w14:textFill>
        </w:rPr>
      </w:pPr>
      <w:r>
        <w:rPr>
          <w:rFonts w:hint="eastAsia" w:ascii="黑体" w:hAnsi="黑体" w:eastAsia="黑体"/>
          <w:color w:val="000000" w:themeColor="text1"/>
          <w14:textFill>
            <w14:solidFill>
              <w14:schemeClr w14:val="tx1"/>
            </w14:solidFill>
          </w14:textFill>
        </w:rPr>
        <w:t>6.3.</w:t>
      </w:r>
      <w:r>
        <w:rPr>
          <w:rFonts w:ascii="黑体" w:hAnsi="黑体" w:eastAsia="黑体"/>
          <w:color w:val="000000" w:themeColor="text1"/>
          <w14:textFill>
            <w14:solidFill>
              <w14:schemeClr w14:val="tx1"/>
            </w14:solidFill>
          </w14:textFill>
        </w:rPr>
        <w:t xml:space="preserve">7.4  </w:t>
      </w:r>
      <w:r>
        <w:rPr>
          <w:rFonts w:hint="eastAsia"/>
          <w:color w:val="000000" w:themeColor="text1"/>
          <w:szCs w:val="24"/>
          <w14:textFill>
            <w14:solidFill>
              <w14:schemeClr w14:val="tx1"/>
            </w14:solidFill>
          </w14:textFill>
        </w:rPr>
        <w:t>液化烃管线上的阀门不应采用对夹连接方式。</w:t>
      </w:r>
    </w:p>
    <w:p>
      <w:pPr>
        <w:tabs>
          <w:tab w:val="left" w:pos="851"/>
        </w:tabs>
        <w:spacing w:line="240" w:lineRule="auto"/>
        <w:textAlignment w:val="auto"/>
        <w:rPr>
          <w:color w:val="000000" w:themeColor="text1"/>
          <w:szCs w:val="24"/>
          <w14:textFill>
            <w14:solidFill>
              <w14:schemeClr w14:val="tx1"/>
            </w14:solidFill>
          </w14:textFill>
        </w:rPr>
      </w:pPr>
      <w:r>
        <w:rPr>
          <w:rFonts w:hint="eastAsia" w:ascii="黑体" w:hAnsi="黑体" w:eastAsia="黑体"/>
          <w:color w:val="000000" w:themeColor="text1"/>
          <w14:textFill>
            <w14:solidFill>
              <w14:schemeClr w14:val="tx1"/>
            </w14:solidFill>
          </w14:textFill>
        </w:rPr>
        <w:t>6.3.</w:t>
      </w:r>
      <w:r>
        <w:rPr>
          <w:rFonts w:ascii="黑体" w:hAnsi="黑体" w:eastAsia="黑体"/>
          <w:color w:val="000000" w:themeColor="text1"/>
          <w14:textFill>
            <w14:solidFill>
              <w14:schemeClr w14:val="tx1"/>
            </w14:solidFill>
          </w14:textFill>
        </w:rPr>
        <w:t xml:space="preserve">7.5  </w:t>
      </w:r>
      <w:r>
        <w:rPr>
          <w:color w:val="000000" w:themeColor="text1"/>
          <w:szCs w:val="24"/>
          <w14:textFill>
            <w14:solidFill>
              <w14:schemeClr w14:val="tx1"/>
            </w14:solidFill>
          </w14:textFill>
        </w:rPr>
        <w:t>液化烃设备和管线上的DN50</w:t>
      </w:r>
      <w:r>
        <w:rPr>
          <w:rFonts w:hint="eastAsia"/>
          <w:color w:val="000000" w:themeColor="text1"/>
          <w:szCs w:val="24"/>
          <w14:textFill>
            <w14:solidFill>
              <w14:schemeClr w14:val="tx1"/>
            </w14:solidFill>
          </w14:textFill>
        </w:rPr>
        <w:t>及以下的分支连接件应选用支管台或三通连接形式。</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32" w:name="_Toc118962017"/>
      <w:r>
        <w:rPr>
          <w:rFonts w:hint="eastAsia" w:ascii="黑体" w:eastAsia="黑体"/>
          <w:color w:val="000000" w:themeColor="text1"/>
          <w:kern w:val="2"/>
          <w:sz w:val="21"/>
          <w14:textFill>
            <w14:solidFill>
              <w14:schemeClr w14:val="tx1"/>
            </w14:solidFill>
          </w14:textFill>
        </w:rPr>
        <w:t>6.</w:t>
      </w:r>
      <w:r>
        <w:rPr>
          <w:rFonts w:ascii="黑体" w:eastAsia="黑体"/>
          <w:color w:val="000000" w:themeColor="text1"/>
          <w:kern w:val="2"/>
          <w:sz w:val="21"/>
          <w14:textFill>
            <w14:solidFill>
              <w14:schemeClr w14:val="tx1"/>
            </w14:solidFill>
          </w14:textFill>
        </w:rPr>
        <w:t>4</w:t>
      </w:r>
      <w:r>
        <w:rPr>
          <w:rFonts w:hint="eastAsia" w:ascii="黑体" w:eastAsia="黑体"/>
          <w:color w:val="000000" w:themeColor="text1"/>
          <w:kern w:val="2"/>
          <w:sz w:val="21"/>
          <w14:textFill>
            <w14:solidFill>
              <w14:schemeClr w14:val="tx1"/>
            </w14:solidFill>
          </w14:textFill>
        </w:rPr>
        <w:t xml:space="preserve"> </w:t>
      </w:r>
      <w:r>
        <w:rPr>
          <w:rFonts w:ascii="黑体" w:eastAsia="黑体"/>
          <w:color w:val="000000" w:themeColor="text1"/>
          <w:kern w:val="2"/>
          <w:sz w:val="21"/>
          <w14:textFill>
            <w14:solidFill>
              <w14:schemeClr w14:val="tx1"/>
            </w14:solidFill>
          </w14:textFill>
        </w:rPr>
        <w:t xml:space="preserve"> </w:t>
      </w:r>
      <w:r>
        <w:rPr>
          <w:rFonts w:hint="eastAsia" w:ascii="黑体" w:eastAsia="黑体"/>
          <w:color w:val="000000" w:themeColor="text1"/>
          <w:kern w:val="2"/>
          <w:sz w:val="21"/>
          <w14:textFill>
            <w14:solidFill>
              <w14:schemeClr w14:val="tx1"/>
            </w14:solidFill>
          </w14:textFill>
        </w:rPr>
        <w:t>结构及耐火保护</w:t>
      </w:r>
      <w:bookmarkEnd w:id="32"/>
    </w:p>
    <w:p>
      <w:pPr>
        <w:tabs>
          <w:tab w:val="left" w:pos="851"/>
        </w:tabs>
        <w:spacing w:line="240" w:lineRule="auto"/>
        <w:textAlignment w:val="auto"/>
        <w:rPr>
          <w:color w:val="000000" w:themeColor="text1"/>
          <w:szCs w:val="24"/>
          <w14:textFill>
            <w14:solidFill>
              <w14:schemeClr w14:val="tx1"/>
            </w14:solidFill>
          </w14:textFill>
        </w:rPr>
      </w:pPr>
      <w:r>
        <w:rPr>
          <w:rFonts w:hint="eastAsia" w:ascii="黑体" w:hAnsi="黑体" w:eastAsia="黑体"/>
          <w:color w:val="000000" w:themeColor="text1"/>
          <w14:textFill>
            <w14:solidFill>
              <w14:schemeClr w14:val="tx1"/>
            </w14:solidFill>
          </w14:textFill>
        </w:rPr>
        <w:t>6.</w:t>
      </w:r>
      <w:r>
        <w:rPr>
          <w:rFonts w:ascii="黑体" w:hAnsi="黑体" w:eastAsia="黑体"/>
          <w:color w:val="000000" w:themeColor="text1"/>
          <w14:textFill>
            <w14:solidFill>
              <w14:schemeClr w14:val="tx1"/>
            </w14:solidFill>
          </w14:textFill>
        </w:rPr>
        <w:t>4</w:t>
      </w:r>
      <w:r>
        <w:rPr>
          <w:rFonts w:hint="eastAsia" w:ascii="黑体" w:hAnsi="黑体" w:eastAsia="黑体"/>
          <w:color w:val="000000" w:themeColor="text1"/>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hint="eastAsia"/>
          <w:color w:val="000000" w:themeColor="text1"/>
          <w:szCs w:val="24"/>
          <w14:textFill>
            <w14:solidFill>
              <w14:schemeClr w14:val="tx1"/>
            </w14:solidFill>
          </w14:textFill>
        </w:rPr>
        <w:t>全冷冻式储罐地基基础设计，应符合本规范</w:t>
      </w:r>
      <w:r>
        <w:rPr>
          <w:color w:val="000000" w:themeColor="text1"/>
          <w:szCs w:val="24"/>
          <w14:textFill>
            <w14:solidFill>
              <w14:schemeClr w14:val="tx1"/>
            </w14:solidFill>
          </w14:textFill>
        </w:rPr>
        <w:t>6.2.1.8</w:t>
      </w:r>
      <w:r>
        <w:rPr>
          <w:rFonts w:hint="eastAsia"/>
          <w:color w:val="000000" w:themeColor="text1"/>
          <w:szCs w:val="24"/>
          <w14:textFill>
            <w14:solidFill>
              <w14:schemeClr w14:val="tx1"/>
            </w14:solidFill>
          </w14:textFill>
        </w:rPr>
        <w:t>条的相关规定。</w:t>
      </w:r>
    </w:p>
    <w:p>
      <w:pPr>
        <w:pStyle w:val="99"/>
        <w:tabs>
          <w:tab w:val="left" w:pos="851"/>
        </w:tabs>
        <w:ind w:left="6"/>
        <w:jc w:val="both"/>
        <w:outlineLvl w:val="9"/>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6.4.2  </w:t>
      </w:r>
      <w:r>
        <w:rPr>
          <w:rFonts w:hint="eastAsia"/>
          <w:color w:val="000000" w:themeColor="text1"/>
          <w:szCs w:val="24"/>
          <w14:textFill>
            <w14:solidFill>
              <w14:schemeClr w14:val="tx1"/>
            </w14:solidFill>
          </w14:textFill>
        </w:rPr>
        <w:t>全冷冻式储罐地基基础施工图，应按照国家相关法规条例的要求进行施工图审查。</w:t>
      </w:r>
    </w:p>
    <w:p>
      <w:pPr>
        <w:tabs>
          <w:tab w:val="left" w:pos="851"/>
        </w:tabs>
        <w:spacing w:line="240" w:lineRule="auto"/>
        <w:textAlignment w:val="auto"/>
        <w:rPr>
          <w:color w:val="000000" w:themeColor="text1"/>
          <w:szCs w:val="24"/>
          <w14:textFill>
            <w14:solidFill>
              <w14:schemeClr w14:val="tx1"/>
            </w14:solidFill>
          </w14:textFill>
        </w:rPr>
      </w:pPr>
      <w:r>
        <w:rPr>
          <w:rFonts w:hint="eastAsia" w:ascii="黑体" w:hAnsi="黑体" w:eastAsia="黑体"/>
          <w:color w:val="000000" w:themeColor="text1"/>
          <w14:textFill>
            <w14:solidFill>
              <w14:schemeClr w14:val="tx1"/>
            </w14:solidFill>
          </w14:textFill>
        </w:rPr>
        <w:t>6.</w:t>
      </w:r>
      <w:r>
        <w:rPr>
          <w:rFonts w:ascii="黑体" w:hAnsi="黑体" w:eastAsia="黑体"/>
          <w:color w:val="000000" w:themeColor="text1"/>
          <w14:textFill>
            <w14:solidFill>
              <w14:schemeClr w14:val="tx1"/>
            </w14:solidFill>
          </w14:textFill>
        </w:rPr>
        <w:t>4</w:t>
      </w:r>
      <w:r>
        <w:rPr>
          <w:rFonts w:hint="eastAsia" w:ascii="黑体" w:hAnsi="黑体" w:eastAsia="黑体"/>
          <w:color w:val="000000" w:themeColor="text1"/>
          <w14:textFill>
            <w14:solidFill>
              <w14:schemeClr w14:val="tx1"/>
            </w14:solidFill>
          </w14:textFill>
        </w:rPr>
        <w:t>.</w:t>
      </w:r>
      <w:r>
        <w:rPr>
          <w:rFonts w:ascii="黑体" w:hAnsi="黑体" w:eastAsia="黑体"/>
          <w:color w:val="000000" w:themeColor="text1"/>
          <w14:textFill>
            <w14:solidFill>
              <w14:schemeClr w14:val="tx1"/>
            </w14:solidFill>
          </w14:textFill>
        </w:rPr>
        <w:t xml:space="preserve">3  </w:t>
      </w:r>
      <w:r>
        <w:rPr>
          <w:rFonts w:hint="eastAsia"/>
          <w:color w:val="000000" w:themeColor="text1"/>
          <w:szCs w:val="24"/>
          <w14:textFill>
            <w14:solidFill>
              <w14:schemeClr w14:val="tx1"/>
            </w14:solidFill>
          </w14:textFill>
        </w:rPr>
        <w:t>全冷冻式储罐地震反应谱应按下列要求确定：</w:t>
      </w:r>
    </w:p>
    <w:p>
      <w:pPr>
        <w:pStyle w:val="149"/>
        <w:widowControl w:val="0"/>
        <w:numPr>
          <w:ilvl w:val="0"/>
          <w:numId w:val="27"/>
        </w:numPr>
        <w:tabs>
          <w:tab w:val="left" w:pos="1050"/>
        </w:tabs>
        <w:spacing w:line="240" w:lineRule="auto"/>
        <w:ind w:firstLineChars="0"/>
        <w:textAlignment w:val="auto"/>
        <w:rPr>
          <w:color w:val="000000" w:themeColor="text1"/>
          <w:szCs w:val="24"/>
          <w14:textFill>
            <w14:solidFill>
              <w14:schemeClr w14:val="tx1"/>
            </w14:solidFill>
          </w14:textFill>
        </w:rPr>
      </w:pPr>
      <w:r>
        <w:rPr>
          <w:color w:val="000000" w:themeColor="text1"/>
          <w:szCs w:val="24"/>
          <w14:textFill>
            <w14:solidFill>
              <w14:schemeClr w14:val="tx1"/>
            </w14:solidFill>
          </w14:textFill>
        </w:rPr>
        <w:t>OBE</w:t>
      </w:r>
      <w:r>
        <w:rPr>
          <w:rFonts w:hint="eastAsia"/>
          <w:color w:val="000000" w:themeColor="text1"/>
          <w:szCs w:val="24"/>
          <w14:textFill>
            <w14:solidFill>
              <w14:schemeClr w14:val="tx1"/>
            </w14:solidFill>
          </w14:textFill>
        </w:rPr>
        <w:t>水准地震应为</w:t>
      </w:r>
      <w:r>
        <w:rPr>
          <w:color w:val="000000" w:themeColor="text1"/>
          <w:szCs w:val="24"/>
          <w14:textFill>
            <w14:solidFill>
              <w14:schemeClr w14:val="tx1"/>
            </w14:solidFill>
          </w14:textFill>
        </w:rPr>
        <w:t>50</w:t>
      </w:r>
      <w:r>
        <w:rPr>
          <w:rFonts w:hint="eastAsia"/>
          <w:color w:val="000000" w:themeColor="text1"/>
          <w:szCs w:val="24"/>
          <w14:textFill>
            <w14:solidFill>
              <w14:schemeClr w14:val="tx1"/>
            </w14:solidFill>
          </w14:textFill>
        </w:rPr>
        <w:t>年内超越概率为</w:t>
      </w:r>
      <w:r>
        <w:rPr>
          <w:color w:val="000000" w:themeColor="text1"/>
          <w:szCs w:val="24"/>
          <w14:textFill>
            <w14:solidFill>
              <w14:schemeClr w14:val="tx1"/>
            </w14:solidFill>
          </w14:textFill>
        </w:rPr>
        <w:t>10%</w:t>
      </w:r>
      <w:r>
        <w:rPr>
          <w:rFonts w:hint="eastAsia"/>
          <w:color w:val="000000" w:themeColor="text1"/>
          <w:szCs w:val="24"/>
          <w14:textFill>
            <w14:solidFill>
              <w14:schemeClr w14:val="tx1"/>
            </w14:solidFill>
          </w14:textFill>
        </w:rPr>
        <w:t>（重现期</w:t>
      </w:r>
      <w:r>
        <w:rPr>
          <w:color w:val="000000" w:themeColor="text1"/>
          <w:szCs w:val="24"/>
          <w14:textFill>
            <w14:solidFill>
              <w14:schemeClr w14:val="tx1"/>
            </w14:solidFill>
          </w14:textFill>
        </w:rPr>
        <w:t>475</w:t>
      </w:r>
      <w:r>
        <w:rPr>
          <w:rFonts w:hint="eastAsia"/>
          <w:color w:val="000000" w:themeColor="text1"/>
          <w:szCs w:val="24"/>
          <w14:textFill>
            <w14:solidFill>
              <w14:schemeClr w14:val="tx1"/>
            </w14:solidFill>
          </w14:textFill>
        </w:rPr>
        <w:t>年）、阻尼比为</w:t>
      </w:r>
      <w:r>
        <w:rPr>
          <w:color w:val="000000" w:themeColor="text1"/>
          <w:szCs w:val="24"/>
          <w14:textFill>
            <w14:solidFill>
              <w14:schemeClr w14:val="tx1"/>
            </w14:solidFill>
          </w14:textFill>
        </w:rPr>
        <w:t>5%</w:t>
      </w:r>
      <w:r>
        <w:rPr>
          <w:rFonts w:hint="eastAsia"/>
          <w:color w:val="000000" w:themeColor="text1"/>
          <w:szCs w:val="24"/>
          <w14:textFill>
            <w14:solidFill>
              <w14:schemeClr w14:val="tx1"/>
            </w14:solidFill>
          </w14:textFill>
        </w:rPr>
        <w:t>的反应谱表示的地震动，且其反应谱不应小于</w:t>
      </w:r>
      <w:r>
        <w:rPr>
          <w:color w:val="000000" w:themeColor="text1"/>
          <w:szCs w:val="24"/>
          <w14:textFill>
            <w14:solidFill>
              <w14:schemeClr w14:val="tx1"/>
            </w14:solidFill>
          </w14:textFill>
        </w:rPr>
        <w:t>GB 50011</w:t>
      </w:r>
      <w:r>
        <w:rPr>
          <w:rFonts w:hint="eastAsia"/>
          <w:color w:val="000000" w:themeColor="text1"/>
          <w:szCs w:val="24"/>
          <w14:textFill>
            <w14:solidFill>
              <w14:schemeClr w14:val="tx1"/>
            </w14:solidFill>
          </w14:textFill>
        </w:rPr>
        <w:t>规定的所在地区的抗震设防地震所对应的值；</w:t>
      </w:r>
    </w:p>
    <w:p>
      <w:pPr>
        <w:pStyle w:val="149"/>
        <w:widowControl w:val="0"/>
        <w:numPr>
          <w:ilvl w:val="0"/>
          <w:numId w:val="27"/>
        </w:numPr>
        <w:tabs>
          <w:tab w:val="left" w:pos="1050"/>
        </w:tabs>
        <w:spacing w:line="240" w:lineRule="auto"/>
        <w:ind w:firstLineChars="0"/>
        <w:textAlignment w:val="auto"/>
        <w:rPr>
          <w:color w:val="000000" w:themeColor="text1"/>
          <w:szCs w:val="24"/>
          <w14:textFill>
            <w14:solidFill>
              <w14:schemeClr w14:val="tx1"/>
            </w14:solidFill>
          </w14:textFill>
        </w:rPr>
      </w:pPr>
      <w:r>
        <w:rPr>
          <w:color w:val="000000" w:themeColor="text1"/>
          <w:szCs w:val="24"/>
          <w14:textFill>
            <w14:solidFill>
              <w14:schemeClr w14:val="tx1"/>
            </w14:solidFill>
          </w14:textFill>
        </w:rPr>
        <w:t>SSE</w:t>
      </w:r>
      <w:r>
        <w:rPr>
          <w:rFonts w:hint="eastAsia"/>
          <w:color w:val="000000" w:themeColor="text1"/>
          <w:szCs w:val="24"/>
          <w14:textFill>
            <w14:solidFill>
              <w14:schemeClr w14:val="tx1"/>
            </w14:solidFill>
          </w14:textFill>
        </w:rPr>
        <w:t>水准地震应为</w:t>
      </w:r>
      <w:r>
        <w:rPr>
          <w:color w:val="000000" w:themeColor="text1"/>
          <w:szCs w:val="24"/>
          <w14:textFill>
            <w14:solidFill>
              <w14:schemeClr w14:val="tx1"/>
            </w14:solidFill>
          </w14:textFill>
        </w:rPr>
        <w:t>50</w:t>
      </w:r>
      <w:r>
        <w:rPr>
          <w:rFonts w:hint="eastAsia"/>
          <w:color w:val="000000" w:themeColor="text1"/>
          <w:szCs w:val="24"/>
          <w14:textFill>
            <w14:solidFill>
              <w14:schemeClr w14:val="tx1"/>
            </w14:solidFill>
          </w14:textFill>
        </w:rPr>
        <w:t>年内超越概率为</w:t>
      </w:r>
      <w:r>
        <w:rPr>
          <w:color w:val="000000" w:themeColor="text1"/>
          <w:szCs w:val="24"/>
          <w14:textFill>
            <w14:solidFill>
              <w14:schemeClr w14:val="tx1"/>
            </w14:solidFill>
          </w14:textFill>
        </w:rPr>
        <w:t>2%</w:t>
      </w:r>
      <w:r>
        <w:rPr>
          <w:rFonts w:hint="eastAsia"/>
          <w:color w:val="000000" w:themeColor="text1"/>
          <w:szCs w:val="24"/>
          <w14:textFill>
            <w14:solidFill>
              <w14:schemeClr w14:val="tx1"/>
            </w14:solidFill>
          </w14:textFill>
        </w:rPr>
        <w:t>（重现期</w:t>
      </w:r>
      <w:r>
        <w:rPr>
          <w:color w:val="000000" w:themeColor="text1"/>
          <w:szCs w:val="24"/>
          <w14:textFill>
            <w14:solidFill>
              <w14:schemeClr w14:val="tx1"/>
            </w14:solidFill>
          </w14:textFill>
        </w:rPr>
        <w:t>2475</w:t>
      </w:r>
      <w:r>
        <w:rPr>
          <w:rFonts w:hint="eastAsia"/>
          <w:color w:val="000000" w:themeColor="text1"/>
          <w:szCs w:val="24"/>
          <w14:textFill>
            <w14:solidFill>
              <w14:schemeClr w14:val="tx1"/>
            </w14:solidFill>
          </w14:textFill>
        </w:rPr>
        <w:t>年）、阻尼比为</w:t>
      </w:r>
      <w:r>
        <w:rPr>
          <w:color w:val="000000" w:themeColor="text1"/>
          <w:szCs w:val="24"/>
          <w14:textFill>
            <w14:solidFill>
              <w14:schemeClr w14:val="tx1"/>
            </w14:solidFill>
          </w14:textFill>
        </w:rPr>
        <w:t>5%</w:t>
      </w:r>
      <w:r>
        <w:rPr>
          <w:rFonts w:hint="eastAsia"/>
          <w:color w:val="000000" w:themeColor="text1"/>
          <w:szCs w:val="24"/>
          <w14:textFill>
            <w14:solidFill>
              <w14:schemeClr w14:val="tx1"/>
            </w14:solidFill>
          </w14:textFill>
        </w:rPr>
        <w:t>的反应谱表示的地震动，且其反应谱不应小于</w:t>
      </w:r>
      <w:r>
        <w:rPr>
          <w:color w:val="000000" w:themeColor="text1"/>
          <w:szCs w:val="24"/>
          <w14:textFill>
            <w14:solidFill>
              <w14:schemeClr w14:val="tx1"/>
            </w14:solidFill>
          </w14:textFill>
        </w:rPr>
        <w:t>GB 50011</w:t>
      </w:r>
      <w:r>
        <w:rPr>
          <w:rFonts w:hint="eastAsia"/>
          <w:color w:val="000000" w:themeColor="text1"/>
          <w:szCs w:val="24"/>
          <w14:textFill>
            <w14:solidFill>
              <w14:schemeClr w14:val="tx1"/>
            </w14:solidFill>
          </w14:textFill>
        </w:rPr>
        <w:t>规定的所在地区的罕遇地震所对应的值；</w:t>
      </w:r>
    </w:p>
    <w:p>
      <w:pPr>
        <w:pStyle w:val="149"/>
        <w:widowControl w:val="0"/>
        <w:numPr>
          <w:ilvl w:val="0"/>
          <w:numId w:val="27"/>
        </w:numPr>
        <w:tabs>
          <w:tab w:val="left" w:pos="1050"/>
        </w:tabs>
        <w:spacing w:line="240" w:lineRule="auto"/>
        <w:ind w:firstLineChars="0"/>
        <w:textAlignment w:val="auto"/>
        <w:rPr>
          <w:color w:val="000000" w:themeColor="text1"/>
          <w:szCs w:val="24"/>
          <w14:textFill>
            <w14:solidFill>
              <w14:schemeClr w14:val="tx1"/>
            </w14:solidFill>
          </w14:textFill>
        </w:rPr>
      </w:pPr>
      <w:r>
        <w:rPr>
          <w:color w:val="000000" w:themeColor="text1"/>
          <w:szCs w:val="24"/>
          <w14:textFill>
            <w14:solidFill>
              <w14:schemeClr w14:val="tx1"/>
            </w14:solidFill>
          </w14:textFill>
        </w:rPr>
        <w:t>ALE</w:t>
      </w:r>
      <w:r>
        <w:rPr>
          <w:rFonts w:hint="eastAsia"/>
          <w:color w:val="000000" w:themeColor="text1"/>
          <w:szCs w:val="24"/>
          <w14:textFill>
            <w14:solidFill>
              <w14:schemeClr w14:val="tx1"/>
            </w14:solidFill>
          </w14:textFill>
        </w:rPr>
        <w:t>水准地震的反应谱加速度值应为</w:t>
      </w:r>
      <w:r>
        <w:rPr>
          <w:color w:val="000000" w:themeColor="text1"/>
          <w:szCs w:val="24"/>
          <w14:textFill>
            <w14:solidFill>
              <w14:schemeClr w14:val="tx1"/>
            </w14:solidFill>
          </w14:textFill>
        </w:rPr>
        <w:t>SSE</w:t>
      </w:r>
      <w:r>
        <w:rPr>
          <w:rFonts w:hint="eastAsia"/>
          <w:color w:val="000000" w:themeColor="text1"/>
          <w:szCs w:val="24"/>
          <w14:textFill>
            <w14:solidFill>
              <w14:schemeClr w14:val="tx1"/>
            </w14:solidFill>
          </w14:textFill>
        </w:rPr>
        <w:t>反应谱加速度值的一半；</w:t>
      </w:r>
    </w:p>
    <w:p>
      <w:pPr>
        <w:pStyle w:val="149"/>
        <w:widowControl w:val="0"/>
        <w:numPr>
          <w:ilvl w:val="0"/>
          <w:numId w:val="27"/>
        </w:numPr>
        <w:tabs>
          <w:tab w:val="left" w:pos="1050"/>
        </w:tabs>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竖向地震影响系数应不小于相应的水平地震影响系数最大值的</w:t>
      </w:r>
      <w:r>
        <w:rPr>
          <w:color w:val="000000" w:themeColor="text1"/>
          <w:szCs w:val="24"/>
          <w14:textFill>
            <w14:solidFill>
              <w14:schemeClr w14:val="tx1"/>
            </w14:solidFill>
          </w14:textFill>
        </w:rPr>
        <w:t>65%</w:t>
      </w:r>
      <w:r>
        <w:rPr>
          <w:rFonts w:hint="eastAsia"/>
          <w:color w:val="000000" w:themeColor="text1"/>
          <w:szCs w:val="24"/>
          <w14:textFill>
            <w14:solidFill>
              <w14:schemeClr w14:val="tx1"/>
            </w14:solidFill>
          </w14:textFill>
        </w:rPr>
        <w:t>。</w:t>
      </w:r>
    </w:p>
    <w:p>
      <w:pPr>
        <w:spacing w:line="240" w:lineRule="auto"/>
        <w:jc w:val="left"/>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6.4.4  </w:t>
      </w:r>
      <w:r>
        <w:rPr>
          <w:rFonts w:hint="eastAsia"/>
          <w:color w:val="000000" w:themeColor="text1"/>
          <w:szCs w:val="24"/>
          <w14:textFill>
            <w14:solidFill>
              <w14:schemeClr w14:val="tx1"/>
            </w14:solidFill>
          </w14:textFill>
        </w:rPr>
        <w:t>对处于火灾爆炸危险区域内的隔震系统应进行防火设计。</w:t>
      </w:r>
    </w:p>
    <w:p>
      <w:pPr>
        <w:spacing w:line="240" w:lineRule="auto"/>
        <w:jc w:val="left"/>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6.4.5  </w:t>
      </w:r>
      <w:r>
        <w:rPr>
          <w:rFonts w:hint="eastAsia"/>
          <w:color w:val="000000" w:themeColor="text1"/>
          <w:szCs w:val="24"/>
          <w14:textFill>
            <w14:solidFill>
              <w14:schemeClr w14:val="tx1"/>
            </w14:solidFill>
          </w14:textFill>
        </w:rPr>
        <w:t>液化烃储罐区，至少以下</w:t>
      </w:r>
      <w:r>
        <w:rPr>
          <w:color w:val="000000" w:themeColor="text1"/>
          <w:szCs w:val="24"/>
          <w14:textFill>
            <w14:solidFill>
              <w14:schemeClr w14:val="tx1"/>
            </w14:solidFill>
          </w14:textFill>
        </w:rPr>
        <w:t>钢结构</w:t>
      </w:r>
      <w:r>
        <w:rPr>
          <w:rFonts w:hint="eastAsia"/>
          <w:color w:val="000000" w:themeColor="text1"/>
          <w:szCs w:val="24"/>
          <w14:textFill>
            <w14:solidFill>
              <w14:schemeClr w14:val="tx1"/>
            </w14:solidFill>
          </w14:textFill>
        </w:rPr>
        <w:t>构件</w:t>
      </w:r>
      <w:r>
        <w:rPr>
          <w:color w:val="000000" w:themeColor="text1"/>
          <w:szCs w:val="24"/>
          <w14:textFill>
            <w14:solidFill>
              <w14:schemeClr w14:val="tx1"/>
            </w14:solidFill>
          </w14:textFill>
        </w:rPr>
        <w:t>应覆盖适用于烃类火灾的耐火层，覆盖耐火层的钢构件的耐火极限不低于2.0</w:t>
      </w:r>
      <w:r>
        <w:rPr>
          <w:rFonts w:hint="eastAsia"/>
          <w:color w:val="000000" w:themeColor="text1"/>
          <w:szCs w:val="24"/>
          <w14:textFill>
            <w14:solidFill>
              <w14:schemeClr w14:val="tx1"/>
            </w14:solidFill>
          </w14:textFill>
        </w:rPr>
        <w:t>h</w:t>
      </w:r>
      <w:r>
        <w:rPr>
          <w:color w:val="000000" w:themeColor="text1"/>
          <w:szCs w:val="24"/>
          <w14:textFill>
            <w14:solidFill>
              <w14:schemeClr w14:val="tx1"/>
            </w14:solidFill>
          </w14:textFill>
        </w:rPr>
        <w:t>。</w:t>
      </w:r>
    </w:p>
    <w:p>
      <w:pPr>
        <w:pStyle w:val="149"/>
        <w:widowControl w:val="0"/>
        <w:numPr>
          <w:ilvl w:val="0"/>
          <w:numId w:val="28"/>
        </w:numPr>
        <w:tabs>
          <w:tab w:val="left" w:pos="1050"/>
        </w:tabs>
        <w:spacing w:line="240" w:lineRule="auto"/>
        <w:ind w:firstLineChars="0"/>
        <w:textAlignment w:val="auto"/>
        <w:rPr>
          <w:color w:val="000000" w:themeColor="text1"/>
          <w:szCs w:val="24"/>
          <w14:textFill>
            <w14:solidFill>
              <w14:schemeClr w14:val="tx1"/>
            </w14:solidFill>
          </w14:textFill>
        </w:rPr>
      </w:pPr>
      <w:r>
        <w:rPr>
          <w:color w:val="000000" w:themeColor="text1"/>
          <w:szCs w:val="24"/>
          <w14:textFill>
            <w14:solidFill>
              <w14:schemeClr w14:val="tx1"/>
            </w14:solidFill>
          </w14:textFill>
        </w:rPr>
        <w:t>液化烃储罐附属钢结构中支撑液化烃管道和设备的梁、柱、</w:t>
      </w:r>
      <w:r>
        <w:rPr>
          <w:rFonts w:hint="eastAsia"/>
          <w:color w:val="000000" w:themeColor="text1"/>
          <w:szCs w:val="24"/>
          <w14:textFill>
            <w14:solidFill>
              <w14:schemeClr w14:val="tx1"/>
            </w14:solidFill>
          </w14:textFill>
        </w:rPr>
        <w:t>承重斜撑</w:t>
      </w:r>
      <w:r>
        <w:rPr>
          <w:color w:val="000000" w:themeColor="text1"/>
          <w:szCs w:val="24"/>
          <w14:textFill>
            <w14:solidFill>
              <w14:schemeClr w14:val="tx1"/>
            </w14:solidFill>
          </w14:textFill>
        </w:rPr>
        <w:t>；</w:t>
      </w:r>
    </w:p>
    <w:p>
      <w:pPr>
        <w:pStyle w:val="149"/>
        <w:widowControl w:val="0"/>
        <w:numPr>
          <w:ilvl w:val="0"/>
          <w:numId w:val="28"/>
        </w:numPr>
        <w:tabs>
          <w:tab w:val="left" w:pos="1050"/>
        </w:tabs>
        <w:spacing w:line="240" w:lineRule="auto"/>
        <w:ind w:firstLineChars="0"/>
        <w:textAlignment w:val="auto"/>
        <w:rPr>
          <w:color w:val="000000" w:themeColor="text1"/>
          <w:szCs w:val="24"/>
          <w14:textFill>
            <w14:solidFill>
              <w14:schemeClr w14:val="tx1"/>
            </w14:solidFill>
          </w14:textFill>
        </w:rPr>
      </w:pPr>
      <w:r>
        <w:rPr>
          <w:color w:val="000000" w:themeColor="text1"/>
          <w:szCs w:val="24"/>
          <w14:textFill>
            <w14:solidFill>
              <w14:schemeClr w14:val="tx1"/>
            </w14:solidFill>
          </w14:textFill>
        </w:rPr>
        <w:t>处于</w:t>
      </w:r>
      <w:r>
        <w:rPr>
          <w:rFonts w:hint="eastAsia"/>
          <w:color w:val="000000" w:themeColor="text1"/>
          <w:szCs w:val="24"/>
          <w14:textFill>
            <w14:solidFill>
              <w14:schemeClr w14:val="tx1"/>
            </w14:solidFill>
          </w14:textFill>
        </w:rPr>
        <w:t>爆炸危险区域内</w:t>
      </w:r>
      <w:r>
        <w:rPr>
          <w:color w:val="000000" w:themeColor="text1"/>
          <w:szCs w:val="24"/>
          <w14:textFill>
            <w14:solidFill>
              <w14:schemeClr w14:val="tx1"/>
            </w14:solidFill>
          </w14:textFill>
        </w:rPr>
        <w:t>的液化烃管架，其地面以上9m内的支撑管道的梁、柱、</w:t>
      </w:r>
      <w:r>
        <w:rPr>
          <w:rFonts w:hint="eastAsia"/>
          <w:color w:val="000000" w:themeColor="text1"/>
          <w:szCs w:val="24"/>
          <w14:textFill>
            <w14:solidFill>
              <w14:schemeClr w14:val="tx1"/>
            </w14:solidFill>
          </w14:textFill>
        </w:rPr>
        <w:t>承重斜撑</w:t>
      </w:r>
      <w:r>
        <w:rPr>
          <w:color w:val="000000" w:themeColor="text1"/>
          <w:szCs w:val="24"/>
          <w14:textFill>
            <w14:solidFill>
              <w14:schemeClr w14:val="tx1"/>
            </w14:solidFill>
          </w14:textFill>
        </w:rPr>
        <w:t xml:space="preserve">，和下部设有液化烃泵的管架，其地面以上10m </w:t>
      </w:r>
      <w:r>
        <w:rPr>
          <w:rFonts w:hint="eastAsia"/>
          <w:color w:val="000000" w:themeColor="text1"/>
          <w:szCs w:val="24"/>
          <w14:textFill>
            <w14:solidFill>
              <w14:schemeClr w14:val="tx1"/>
            </w14:solidFill>
          </w14:textFill>
        </w:rPr>
        <w:t>范围的梁、柱、承重斜撑。</w:t>
      </w:r>
    </w:p>
    <w:p>
      <w:pPr>
        <w:tabs>
          <w:tab w:val="left" w:pos="851"/>
        </w:tabs>
        <w:spacing w:line="240" w:lineRule="auto"/>
        <w:textAlignment w:val="auto"/>
        <w:rPr>
          <w:bCs/>
          <w:color w:val="000000" w:themeColor="text1"/>
          <w:szCs w:val="24"/>
          <w14:textFill>
            <w14:solidFill>
              <w14:schemeClr w14:val="tx1"/>
            </w14:solidFill>
          </w14:textFill>
        </w:rPr>
      </w:pPr>
      <w:r>
        <w:rPr>
          <w:rFonts w:hint="eastAsia" w:ascii="黑体" w:hAnsi="黑体" w:eastAsia="黑体"/>
          <w:color w:val="000000" w:themeColor="text1"/>
          <w14:textFill>
            <w14:solidFill>
              <w14:schemeClr w14:val="tx1"/>
            </w14:solidFill>
          </w14:textFill>
        </w:rPr>
        <w:t>6.</w:t>
      </w:r>
      <w:r>
        <w:rPr>
          <w:rFonts w:ascii="黑体" w:hAnsi="黑体" w:eastAsia="黑体"/>
          <w:color w:val="000000" w:themeColor="text1"/>
          <w14:textFill>
            <w14:solidFill>
              <w14:schemeClr w14:val="tx1"/>
            </w14:solidFill>
          </w14:textFill>
        </w:rPr>
        <w:t>4</w:t>
      </w:r>
      <w:r>
        <w:rPr>
          <w:rFonts w:hint="eastAsia" w:ascii="黑体" w:hAnsi="黑体" w:eastAsia="黑体"/>
          <w:color w:val="000000" w:themeColor="text1"/>
          <w14:textFill>
            <w14:solidFill>
              <w14:schemeClr w14:val="tx1"/>
            </w14:solidFill>
          </w14:textFill>
        </w:rPr>
        <w:t>.</w:t>
      </w:r>
      <w:r>
        <w:rPr>
          <w:rFonts w:ascii="黑体" w:hAnsi="黑体" w:eastAsia="黑体"/>
          <w:color w:val="000000" w:themeColor="text1"/>
          <w14:textFill>
            <w14:solidFill>
              <w14:schemeClr w14:val="tx1"/>
            </w14:solidFill>
          </w14:textFill>
        </w:rPr>
        <w:t xml:space="preserve">6  </w:t>
      </w:r>
      <w:r>
        <w:rPr>
          <w:rFonts w:hint="eastAsia"/>
          <w:bCs/>
          <w:color w:val="000000" w:themeColor="text1"/>
          <w:szCs w:val="24"/>
          <w14:textFill>
            <w14:solidFill>
              <w14:schemeClr w14:val="tx1"/>
            </w14:solidFill>
          </w14:textFill>
        </w:rPr>
        <w:t>距离压力式储罐、泵、换热器等液化烃设备小于等于</w:t>
      </w:r>
      <w:r>
        <w:rPr>
          <w:bCs/>
          <w:color w:val="000000" w:themeColor="text1"/>
          <w:szCs w:val="24"/>
          <w14:textFill>
            <w14:solidFill>
              <w14:schemeClr w14:val="tx1"/>
            </w14:solidFill>
          </w14:textFill>
        </w:rPr>
        <w:t>30m</w:t>
      </w:r>
      <w:r>
        <w:rPr>
          <w:rFonts w:hint="eastAsia"/>
          <w:bCs/>
          <w:color w:val="000000" w:themeColor="text1"/>
          <w:szCs w:val="24"/>
          <w14:textFill>
            <w14:solidFill>
              <w14:schemeClr w14:val="tx1"/>
            </w14:solidFill>
          </w14:textFill>
        </w:rPr>
        <w:t>范围内的新建管廊支架的</w:t>
      </w:r>
      <w:r>
        <w:rPr>
          <w:color w:val="000000" w:themeColor="text1"/>
          <w:szCs w:val="24"/>
          <w14:textFill>
            <w14:solidFill>
              <w14:schemeClr w14:val="tx1"/>
            </w14:solidFill>
          </w14:textFill>
        </w:rPr>
        <w:t>梁、柱、</w:t>
      </w:r>
      <w:r>
        <w:rPr>
          <w:rFonts w:hint="eastAsia"/>
          <w:color w:val="000000" w:themeColor="text1"/>
          <w:szCs w:val="24"/>
          <w14:textFill>
            <w14:solidFill>
              <w14:schemeClr w14:val="tx1"/>
            </w14:solidFill>
          </w14:textFill>
        </w:rPr>
        <w:t>承重斜撑整体</w:t>
      </w:r>
      <w:r>
        <w:rPr>
          <w:rFonts w:hint="eastAsia"/>
          <w:bCs/>
          <w:color w:val="000000" w:themeColor="text1"/>
          <w:szCs w:val="24"/>
          <w14:textFill>
            <w14:solidFill>
              <w14:schemeClr w14:val="tx1"/>
            </w14:solidFill>
          </w14:textFill>
        </w:rPr>
        <w:t>应采用耐火保护时间不低于2</w:t>
      </w:r>
      <w:r>
        <w:rPr>
          <w:bCs/>
          <w:color w:val="000000" w:themeColor="text1"/>
          <w:szCs w:val="24"/>
          <w14:textFill>
            <w14:solidFill>
              <w14:schemeClr w14:val="tx1"/>
            </w14:solidFill>
          </w14:textFill>
        </w:rPr>
        <w:t>.0</w:t>
      </w:r>
      <w:r>
        <w:rPr>
          <w:rFonts w:hint="eastAsia"/>
          <w:bCs/>
          <w:color w:val="000000" w:themeColor="text1"/>
          <w:szCs w:val="24"/>
          <w14:textFill>
            <w14:solidFill>
              <w14:schemeClr w14:val="tx1"/>
            </w14:solidFill>
          </w14:textFill>
        </w:rPr>
        <w:t>h的钢筋混凝土结构或钢结构。</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33" w:name="_Toc118962018"/>
      <w:r>
        <w:rPr>
          <w:rFonts w:hint="eastAsia" w:ascii="黑体" w:eastAsia="黑体"/>
          <w:color w:val="000000" w:themeColor="text1"/>
          <w:kern w:val="2"/>
          <w:sz w:val="21"/>
          <w14:textFill>
            <w14:solidFill>
              <w14:schemeClr w14:val="tx1"/>
            </w14:solidFill>
          </w14:textFill>
        </w:rPr>
        <w:t>6</w:t>
      </w:r>
      <w:r>
        <w:rPr>
          <w:rFonts w:ascii="黑体" w:eastAsia="黑体"/>
          <w:color w:val="000000" w:themeColor="text1"/>
          <w:kern w:val="2"/>
          <w:sz w:val="21"/>
          <w14:textFill>
            <w14:solidFill>
              <w14:schemeClr w14:val="tx1"/>
            </w14:solidFill>
          </w14:textFill>
        </w:rPr>
        <w:t xml:space="preserve">.5  </w:t>
      </w:r>
      <w:r>
        <w:rPr>
          <w:rFonts w:hint="eastAsia" w:ascii="黑体" w:eastAsia="黑体"/>
          <w:color w:val="000000" w:themeColor="text1"/>
          <w:kern w:val="2"/>
          <w:sz w:val="21"/>
          <w14:textFill>
            <w14:solidFill>
              <w14:schemeClr w14:val="tx1"/>
            </w14:solidFill>
          </w14:textFill>
        </w:rPr>
        <w:t>供电安全及防雷防静电接地</w:t>
      </w:r>
      <w:bookmarkEnd w:id="33"/>
    </w:p>
    <w:p>
      <w:pPr>
        <w:pStyle w:val="99"/>
        <w:tabs>
          <w:tab w:val="left" w:pos="851"/>
        </w:tabs>
        <w:ind w:left="6"/>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szCs w:val="20"/>
          <w:u w:color="000000"/>
          <w14:textFill>
            <w14:solidFill>
              <w14:schemeClr w14:val="tx1"/>
            </w14:solidFill>
          </w14:textFill>
        </w:rPr>
        <w:t>6.5.</w:t>
      </w:r>
      <w:r>
        <w:rPr>
          <w:rFonts w:ascii="黑体" w:hAnsi="黑体" w:eastAsia="黑体"/>
          <w:color w:val="000000" w:themeColor="text1"/>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新建液化烃罐区消防低压用电负荷的供电，需确保为其供电的最末一级配有双电源切换装置或系统。设有进线、分段电源切换系统的低压配电装置，不能作为其最末一级双电源切换装置。</w:t>
      </w:r>
    </w:p>
    <w:p>
      <w:pPr>
        <w:pStyle w:val="99"/>
        <w:tabs>
          <w:tab w:val="left" w:pos="851"/>
        </w:tabs>
        <w:ind w:left="6"/>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szCs w:val="20"/>
          <w:u w:color="000000"/>
          <w14:textFill>
            <w14:solidFill>
              <w14:schemeClr w14:val="tx1"/>
            </w14:solidFill>
          </w14:textFill>
        </w:rPr>
        <w:t>6.5.</w:t>
      </w:r>
      <w:r>
        <w:rPr>
          <w:rFonts w:ascii="黑体" w:hAnsi="黑体" w:eastAsia="黑体"/>
          <w:color w:val="000000" w:themeColor="text1"/>
          <w14:textFill>
            <w14:solidFill>
              <w14:schemeClr w14:val="tx1"/>
            </w14:solidFill>
          </w14:textFill>
        </w:rPr>
        <w:t xml:space="preserve">2  </w:t>
      </w:r>
      <w:r>
        <w:rPr>
          <w:rFonts w:hint="eastAsia" w:ascii="Times New Roman"/>
          <w:color w:val="000000" w:themeColor="text1"/>
          <w:szCs w:val="24"/>
          <w14:textFill>
            <w14:solidFill>
              <w14:schemeClr w14:val="tx1"/>
            </w14:solidFill>
          </w14:textFill>
        </w:rPr>
        <w:t>液化烃罐区内消防用电负荷及紧急切断阀等的电源电缆应采用防火堤外桥架或埋地敷设，防火堤内埋地敷设，出地面至用电设备的部分电缆，应采用防火槽盒或保护钢管接至用电设备，保护钢管需采取防火保护措施。</w:t>
      </w:r>
    </w:p>
    <w:p>
      <w:pPr>
        <w:pStyle w:val="99"/>
        <w:tabs>
          <w:tab w:val="left" w:pos="851"/>
        </w:tabs>
        <w:ind w:left="6"/>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szCs w:val="20"/>
          <w:u w:color="000000"/>
          <w14:textFill>
            <w14:solidFill>
              <w14:schemeClr w14:val="tx1"/>
            </w14:solidFill>
          </w14:textFill>
        </w:rPr>
        <w:t>6.5.3</w:t>
      </w:r>
      <w:r>
        <w:rPr>
          <w:rFonts w:ascii="Times New Roman"/>
          <w:color w:val="000000" w:themeColor="text1"/>
          <w:szCs w:val="24"/>
          <w14:textFill>
            <w14:solidFill>
              <w14:schemeClr w14:val="tx1"/>
            </w14:solidFill>
          </w14:textFill>
        </w:rPr>
        <w:t xml:space="preserve">  </w:t>
      </w:r>
      <w:r>
        <w:rPr>
          <w:rFonts w:hint="eastAsia" w:ascii="Times New Roman"/>
          <w:color w:val="000000" w:themeColor="text1"/>
          <w:szCs w:val="24"/>
          <w14:textFill>
            <w14:solidFill>
              <w14:schemeClr w14:val="tx1"/>
            </w14:solidFill>
          </w14:textFill>
        </w:rPr>
        <w:t>液化烃罐区应急备用照明应按一级负荷中特别重要负荷考虑，并采用集中蓄电池作为后备电源，供电时间不应小于</w:t>
      </w:r>
      <w:r>
        <w:rPr>
          <w:rFonts w:ascii="Times New Roman"/>
          <w:color w:val="000000" w:themeColor="text1"/>
          <w:szCs w:val="24"/>
          <w14:textFill>
            <w14:solidFill>
              <w14:schemeClr w14:val="tx1"/>
            </w14:solidFill>
          </w14:textFill>
        </w:rPr>
        <w:t>30min</w:t>
      </w:r>
      <w:r>
        <w:rPr>
          <w:rFonts w:hint="eastAsia" w:ascii="Times New Roman"/>
          <w:color w:val="000000" w:themeColor="text1"/>
          <w:szCs w:val="24"/>
          <w14:textFill>
            <w14:solidFill>
              <w14:schemeClr w14:val="tx1"/>
            </w14:solidFill>
          </w14:textFill>
        </w:rPr>
        <w:t>，不应采用分散电池供电。</w:t>
      </w:r>
    </w:p>
    <w:p>
      <w:pPr>
        <w:pStyle w:val="99"/>
        <w:tabs>
          <w:tab w:val="left" w:pos="851"/>
        </w:tabs>
        <w:ind w:left="6"/>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szCs w:val="20"/>
          <w:u w:color="000000"/>
          <w14:textFill>
            <w14:solidFill>
              <w14:schemeClr w14:val="tx1"/>
            </w14:solidFill>
          </w14:textFill>
        </w:rPr>
        <w:t>6.5.</w:t>
      </w:r>
      <w:r>
        <w:rPr>
          <w:rFonts w:ascii="黑体" w:hAnsi="黑体" w:eastAsia="黑体"/>
          <w:color w:val="000000" w:themeColor="text1"/>
          <w14:textFill>
            <w14:solidFill>
              <w14:schemeClr w14:val="tx1"/>
            </w14:solidFill>
          </w14:textFill>
        </w:rPr>
        <w:t xml:space="preserve">4  </w:t>
      </w:r>
      <w:r>
        <w:rPr>
          <w:rFonts w:hint="eastAsia" w:ascii="Times New Roman"/>
          <w:color w:val="000000" w:themeColor="text1"/>
          <w:szCs w:val="24"/>
          <w14:textFill>
            <w14:solidFill>
              <w14:schemeClr w14:val="tx1"/>
            </w14:solidFill>
          </w14:textFill>
        </w:rPr>
        <w:t>液化烃罐区应装设本安型人体静电消除器。</w:t>
      </w:r>
    </w:p>
    <w:p>
      <w:pPr>
        <w:pStyle w:val="99"/>
        <w:tabs>
          <w:tab w:val="left" w:pos="851"/>
        </w:tabs>
        <w:ind w:left="6"/>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szCs w:val="20"/>
          <w:u w:color="000000"/>
          <w14:textFill>
            <w14:solidFill>
              <w14:schemeClr w14:val="tx1"/>
            </w14:solidFill>
          </w14:textFill>
        </w:rPr>
        <w:t>6.5.</w:t>
      </w:r>
      <w:r>
        <w:rPr>
          <w:rFonts w:ascii="黑体" w:hAnsi="黑体" w:eastAsia="黑体"/>
          <w:color w:val="000000" w:themeColor="text1"/>
          <w14:textFill>
            <w14:solidFill>
              <w14:schemeClr w14:val="tx1"/>
            </w14:solidFill>
          </w14:textFill>
        </w:rPr>
        <w:t xml:space="preserve">5  </w:t>
      </w:r>
      <w:r>
        <w:rPr>
          <w:rFonts w:hint="eastAsia" w:ascii="Times New Roman"/>
          <w:color w:val="000000" w:themeColor="text1"/>
          <w:szCs w:val="24"/>
          <w14:textFill>
            <w14:solidFill>
              <w14:schemeClr w14:val="tx1"/>
            </w14:solidFill>
          </w14:textFill>
        </w:rPr>
        <w:t>球形储罐罐体的防雷引下线不应少于4处，并应充分考虑柱腿进行防火处理后的电气连通性。罐顶平台的灯具应有防雷保护措施，并满足</w:t>
      </w:r>
      <w:bookmarkStart w:id="34" w:name="_Hlk128153736"/>
      <w:r>
        <w:rPr>
          <w:rFonts w:hint="eastAsia" w:ascii="Times New Roman"/>
          <w:color w:val="000000" w:themeColor="text1"/>
          <w:szCs w:val="24"/>
          <w14:textFill>
            <w14:solidFill>
              <w14:schemeClr w14:val="tx1"/>
            </w14:solidFill>
          </w14:textFill>
        </w:rPr>
        <w:t>G</w:t>
      </w:r>
      <w:r>
        <w:rPr>
          <w:rFonts w:ascii="Times New Roman"/>
          <w:color w:val="000000" w:themeColor="text1"/>
          <w:szCs w:val="24"/>
          <w14:textFill>
            <w14:solidFill>
              <w14:schemeClr w14:val="tx1"/>
            </w14:solidFill>
          </w14:textFill>
        </w:rPr>
        <w:t>B 50650</w:t>
      </w:r>
      <w:bookmarkEnd w:id="34"/>
      <w:r>
        <w:rPr>
          <w:rFonts w:hint="eastAsia" w:ascii="Times New Roman"/>
          <w:color w:val="000000" w:themeColor="text1"/>
          <w:szCs w:val="24"/>
          <w14:textFill>
            <w14:solidFill>
              <w14:schemeClr w14:val="tx1"/>
            </w14:solidFill>
          </w14:textFill>
        </w:rPr>
        <w:t>的相关要求。</w:t>
      </w:r>
    </w:p>
    <w:p>
      <w:pPr>
        <w:pStyle w:val="99"/>
        <w:tabs>
          <w:tab w:val="left" w:pos="851"/>
        </w:tabs>
        <w:ind w:left="6"/>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szCs w:val="20"/>
          <w:u w:color="000000"/>
          <w14:textFill>
            <w14:solidFill>
              <w14:schemeClr w14:val="tx1"/>
            </w14:solidFill>
          </w14:textFill>
        </w:rPr>
        <w:t>6.5.</w:t>
      </w:r>
      <w:r>
        <w:rPr>
          <w:rFonts w:ascii="黑体" w:hAnsi="黑体" w:eastAsia="黑体"/>
          <w:color w:val="000000" w:themeColor="text1"/>
          <w14:textFill>
            <w14:solidFill>
              <w14:schemeClr w14:val="tx1"/>
            </w14:solidFill>
          </w14:textFill>
        </w:rPr>
        <w:t xml:space="preserve">6  </w:t>
      </w:r>
      <w:r>
        <w:rPr>
          <w:rFonts w:hint="eastAsia" w:ascii="Times New Roman"/>
          <w:color w:val="000000" w:themeColor="text1"/>
          <w:szCs w:val="24"/>
          <w14:textFill>
            <w14:solidFill>
              <w14:schemeClr w14:val="tx1"/>
            </w14:solidFill>
          </w14:textFill>
        </w:rPr>
        <w:t>新建全冷冻式储罐外罐为混凝土时，罐顶应设置接闪网，从罐顶中心向四周布置成环形网格，环间间距不应大于5m，圆心向外辐射接闪线间的角度不应大于10°。防雷引下线不应少于4根，间距不应超过12m。当罐高超过30m时，应从30m起每隔不大于6m设水平接闪带，并应与引下线相连。</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35" w:name="_Toc118962019"/>
      <w:r>
        <w:rPr>
          <w:rFonts w:hint="eastAsia" w:ascii="黑体" w:eastAsia="黑体"/>
          <w:color w:val="000000" w:themeColor="text1"/>
          <w:kern w:val="2"/>
          <w:sz w:val="21"/>
          <w14:textFill>
            <w14:solidFill>
              <w14:schemeClr w14:val="tx1"/>
            </w14:solidFill>
          </w14:textFill>
        </w:rPr>
        <w:t>6.</w:t>
      </w:r>
      <w:r>
        <w:rPr>
          <w:rFonts w:ascii="黑体" w:eastAsia="黑体"/>
          <w:color w:val="000000" w:themeColor="text1"/>
          <w:kern w:val="2"/>
          <w:sz w:val="21"/>
          <w14:textFill>
            <w14:solidFill>
              <w14:schemeClr w14:val="tx1"/>
            </w14:solidFill>
          </w14:textFill>
        </w:rPr>
        <w:t xml:space="preserve">6 </w:t>
      </w:r>
      <w:r>
        <w:rPr>
          <w:rFonts w:hint="eastAsia" w:ascii="黑体" w:eastAsia="黑体"/>
          <w:color w:val="000000" w:themeColor="text1"/>
          <w:kern w:val="2"/>
          <w:sz w:val="21"/>
          <w14:textFill>
            <w14:solidFill>
              <w14:schemeClr w14:val="tx1"/>
            </w14:solidFill>
          </w14:textFill>
        </w:rPr>
        <w:t xml:space="preserve"> 自动控制</w:t>
      </w:r>
      <w:bookmarkEnd w:id="35"/>
    </w:p>
    <w:p>
      <w:pPr>
        <w:spacing w:line="240" w:lineRule="auto"/>
        <w:jc w:val="left"/>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6.6.1  </w:t>
      </w:r>
      <w:r>
        <w:rPr>
          <w:rFonts w:hint="eastAsia"/>
          <w:color w:val="000000" w:themeColor="text1"/>
          <w:szCs w:val="24"/>
          <w14:textFill>
            <w14:solidFill>
              <w14:schemeClr w14:val="tx1"/>
            </w14:solidFill>
          </w14:textFill>
        </w:rPr>
        <w:t>液化烃储罐区基本过程控制系统（</w:t>
      </w:r>
      <w:r>
        <w:rPr>
          <w:color w:val="000000" w:themeColor="text1"/>
          <w:szCs w:val="24"/>
          <w14:textFill>
            <w14:solidFill>
              <w14:schemeClr w14:val="tx1"/>
            </w14:solidFill>
          </w14:textFill>
        </w:rPr>
        <w:t>BPCS</w:t>
      </w:r>
      <w:r>
        <w:rPr>
          <w:rFonts w:hint="eastAsia"/>
          <w:color w:val="000000" w:themeColor="text1"/>
          <w:szCs w:val="24"/>
          <w14:textFill>
            <w14:solidFill>
              <w14:schemeClr w14:val="tx1"/>
            </w14:solidFill>
          </w14:textFill>
        </w:rPr>
        <w:t>）、安全仪表系统（</w:t>
      </w:r>
      <w:r>
        <w:rPr>
          <w:color w:val="000000" w:themeColor="text1"/>
          <w:szCs w:val="24"/>
          <w14:textFill>
            <w14:solidFill>
              <w14:schemeClr w14:val="tx1"/>
            </w14:solidFill>
          </w14:textFill>
        </w:rPr>
        <w:t>SIS</w:t>
      </w:r>
      <w:r>
        <w:rPr>
          <w:rFonts w:hint="eastAsia"/>
          <w:color w:val="000000" w:themeColor="text1"/>
          <w:szCs w:val="24"/>
          <w14:textFill>
            <w14:solidFill>
              <w14:schemeClr w14:val="tx1"/>
            </w14:solidFill>
          </w14:textFill>
        </w:rPr>
        <w:t>）、可燃气体和有毒气体检测系统（</w:t>
      </w:r>
      <w:r>
        <w:rPr>
          <w:color w:val="000000" w:themeColor="text1"/>
          <w:szCs w:val="24"/>
          <w14:textFill>
            <w14:solidFill>
              <w14:schemeClr w14:val="tx1"/>
            </w14:solidFill>
          </w14:textFill>
        </w:rPr>
        <w:t>GDS</w:t>
      </w:r>
      <w:r>
        <w:rPr>
          <w:rFonts w:hint="eastAsia"/>
          <w:color w:val="000000" w:themeColor="text1"/>
          <w:szCs w:val="24"/>
          <w14:textFill>
            <w14:solidFill>
              <w14:schemeClr w14:val="tx1"/>
            </w14:solidFill>
          </w14:textFill>
        </w:rPr>
        <w:t>）应分别独立设置。</w:t>
      </w:r>
    </w:p>
    <w:p>
      <w:pPr>
        <w:pStyle w:val="99"/>
        <w:tabs>
          <w:tab w:val="left" w:pos="851"/>
        </w:tabs>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szCs w:val="20"/>
          <w:u w:color="000000"/>
          <w14:textFill>
            <w14:solidFill>
              <w14:schemeClr w14:val="tx1"/>
            </w14:solidFill>
          </w14:textFill>
        </w:rPr>
        <w:t>6.</w:t>
      </w:r>
      <w:r>
        <w:rPr>
          <w:rFonts w:ascii="黑体" w:hAnsi="黑体" w:eastAsia="黑体"/>
          <w:color w:val="000000" w:themeColor="text1"/>
          <w14:textFill>
            <w14:solidFill>
              <w14:schemeClr w14:val="tx1"/>
            </w14:solidFill>
          </w14:textFill>
        </w:rPr>
        <w:t>6</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2  </w:t>
      </w:r>
      <w:r>
        <w:rPr>
          <w:rFonts w:hint="eastAsia" w:ascii="Times New Roman"/>
          <w:color w:val="000000" w:themeColor="text1"/>
          <w:szCs w:val="24"/>
          <w14:textFill>
            <w14:solidFill>
              <w14:schemeClr w14:val="tx1"/>
            </w14:solidFill>
          </w14:textFill>
        </w:rPr>
        <w:t>新建液化烃压力式储罐液位仪表应按2套连续测量液位仪表和1个高高液位开关，或3套连续测量液位仪表进行设置，并应在系统中设置连续量输入信号偏差和变送器故障报警。应在</w:t>
      </w:r>
      <w:r>
        <w:rPr>
          <w:rFonts w:ascii="Times New Roman"/>
          <w:color w:val="000000" w:themeColor="text1"/>
          <w:szCs w:val="24"/>
          <w14:textFill>
            <w14:solidFill>
              <w14:schemeClr w14:val="tx1"/>
            </w14:solidFill>
          </w14:textFill>
        </w:rPr>
        <w:t>SIS</w:t>
      </w:r>
      <w:r>
        <w:rPr>
          <w:rFonts w:hint="eastAsia" w:ascii="Times New Roman"/>
          <w:color w:val="000000" w:themeColor="text1"/>
          <w:szCs w:val="24"/>
          <w14:textFill>
            <w14:solidFill>
              <w14:schemeClr w14:val="tx1"/>
            </w14:solidFill>
          </w14:textFill>
        </w:rPr>
        <w:t>中设置高高液位报警，联锁关闭储罐进料紧急切断阀。</w:t>
      </w:r>
    </w:p>
    <w:p>
      <w:pPr>
        <w:pStyle w:val="99"/>
        <w:tabs>
          <w:tab w:val="left" w:pos="851"/>
        </w:tabs>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szCs w:val="20"/>
          <w:u w:color="000000"/>
          <w14:textFill>
            <w14:solidFill>
              <w14:schemeClr w14:val="tx1"/>
            </w14:solidFill>
          </w14:textFill>
        </w:rPr>
        <w:t>6.</w:t>
      </w:r>
      <w:r>
        <w:rPr>
          <w:rFonts w:ascii="黑体" w:hAnsi="黑体" w:eastAsia="黑体"/>
          <w:color w:val="000000" w:themeColor="text1"/>
          <w14:textFill>
            <w14:solidFill>
              <w14:schemeClr w14:val="tx1"/>
            </w14:solidFill>
          </w14:textFill>
        </w:rPr>
        <w:t>6</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3  </w:t>
      </w:r>
      <w:r>
        <w:rPr>
          <w:rFonts w:hint="eastAsia" w:ascii="Times New Roman"/>
          <w:color w:val="000000" w:themeColor="text1"/>
          <w:szCs w:val="24"/>
          <w14:textFill>
            <w14:solidFill>
              <w14:schemeClr w14:val="tx1"/>
            </w14:solidFill>
          </w14:textFill>
        </w:rPr>
        <w:t>当有可靠的气源时，新建液化烃罐区应选用气动紧急切断阀；当无可靠气源时，紧急切断阀应采用配置蓄能器的液压执行机构。</w:t>
      </w:r>
    </w:p>
    <w:p>
      <w:pPr>
        <w:pStyle w:val="99"/>
        <w:tabs>
          <w:tab w:val="left" w:pos="851"/>
        </w:tabs>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szCs w:val="20"/>
          <w:u w:color="000000"/>
          <w14:textFill>
            <w14:solidFill>
              <w14:schemeClr w14:val="tx1"/>
            </w14:solidFill>
          </w14:textFill>
        </w:rPr>
        <w:t>6.</w:t>
      </w:r>
      <w:r>
        <w:rPr>
          <w:rFonts w:ascii="黑体" w:hAnsi="黑体" w:eastAsia="黑体"/>
          <w:color w:val="000000" w:themeColor="text1"/>
          <w14:textFill>
            <w14:solidFill>
              <w14:schemeClr w14:val="tx1"/>
            </w14:solidFill>
          </w14:textFill>
        </w:rPr>
        <w:t>6</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4  </w:t>
      </w:r>
      <w:r>
        <w:rPr>
          <w:rFonts w:hint="eastAsia" w:ascii="Times New Roman"/>
          <w:color w:val="000000" w:themeColor="text1"/>
          <w:szCs w:val="24"/>
          <w14:textFill>
            <w14:solidFill>
              <w14:schemeClr w14:val="tx1"/>
            </w14:solidFill>
          </w14:textFill>
        </w:rPr>
        <w:t>新建罐区防火堤内紧急切断阀的阀体应为火灾安全型，符合</w:t>
      </w:r>
      <w:r>
        <w:rPr>
          <w:rFonts w:ascii="Times New Roman"/>
          <w:color w:val="000000" w:themeColor="text1"/>
          <w:szCs w:val="24"/>
          <w14:textFill>
            <w14:solidFill>
              <w14:schemeClr w14:val="tx1"/>
            </w14:solidFill>
          </w14:textFill>
        </w:rPr>
        <w:t>SH/T 3005</w:t>
      </w:r>
      <w:r>
        <w:rPr>
          <w:rFonts w:hint="eastAsia" w:ascii="Times New Roman"/>
          <w:color w:val="000000" w:themeColor="text1"/>
          <w:szCs w:val="24"/>
          <w14:textFill>
            <w14:solidFill>
              <w14:schemeClr w14:val="tx1"/>
            </w14:solidFill>
          </w14:textFill>
        </w:rPr>
        <w:t>中的相关要求，执行机构及电气元件（如电磁阀等）应设置防火措施。</w:t>
      </w:r>
      <w:r>
        <w:rPr>
          <w:rFonts w:ascii="Times New Roman"/>
          <w:color w:val="000000" w:themeColor="text1"/>
          <w:szCs w:val="24"/>
          <w14:textFill>
            <w14:solidFill>
              <w14:schemeClr w14:val="tx1"/>
            </w14:solidFill>
          </w14:textFill>
        </w:rPr>
        <w:t>泄漏等级应至少达到GB/T 13927或GB/T 4213 V级的规定</w:t>
      </w:r>
      <w:r>
        <w:rPr>
          <w:rFonts w:hint="eastAsia" w:ascii="Times New Roman"/>
          <w:color w:val="000000" w:themeColor="text1"/>
          <w:szCs w:val="24"/>
          <w14:textFill>
            <w14:solidFill>
              <w14:schemeClr w14:val="tx1"/>
            </w14:solidFill>
          </w14:textFill>
        </w:rPr>
        <w:t>。</w:t>
      </w:r>
    </w:p>
    <w:p>
      <w:pPr>
        <w:pStyle w:val="99"/>
        <w:tabs>
          <w:tab w:val="left" w:pos="851"/>
        </w:tabs>
        <w:jc w:val="both"/>
        <w:outlineLvl w:val="9"/>
        <w:rPr>
          <w:iCs/>
          <w:color w:val="000000" w:themeColor="text1"/>
          <w14:textFill>
            <w14:solidFill>
              <w14:schemeClr w14:val="tx1"/>
            </w14:solidFill>
          </w14:textFill>
        </w:rPr>
      </w:pPr>
      <w:r>
        <w:rPr>
          <w:rFonts w:ascii="黑体" w:hAnsi="黑体" w:eastAsia="黑体"/>
          <w:color w:val="000000" w:themeColor="text1"/>
          <w:szCs w:val="20"/>
          <w:u w:color="000000"/>
          <w14:textFill>
            <w14:solidFill>
              <w14:schemeClr w14:val="tx1"/>
            </w14:solidFill>
          </w14:textFill>
        </w:rPr>
        <w:t>6.</w:t>
      </w:r>
      <w:r>
        <w:rPr>
          <w:rFonts w:ascii="黑体" w:hAnsi="黑体" w:eastAsia="黑体"/>
          <w:color w:val="000000" w:themeColor="text1"/>
          <w14:textFill>
            <w14:solidFill>
              <w14:schemeClr w14:val="tx1"/>
            </w14:solidFill>
          </w14:textFill>
        </w:rPr>
        <w:t>6</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5  </w:t>
      </w:r>
      <w:r>
        <w:rPr>
          <w:rFonts w:hint="eastAsia"/>
          <w:iCs/>
          <w:color w:val="000000" w:themeColor="text1"/>
          <w14:textFill>
            <w14:solidFill>
              <w14:schemeClr w14:val="tx1"/>
            </w14:solidFill>
          </w14:textFill>
        </w:rPr>
        <w:t>新建罐区防火堤内的紧急切断阀及储罐本体仪表应采用耐火电缆。仪表接线箱应安装在防火堤外。</w:t>
      </w:r>
    </w:p>
    <w:p>
      <w:pPr>
        <w:pStyle w:val="99"/>
        <w:tabs>
          <w:tab w:val="left" w:pos="851"/>
        </w:tabs>
        <w:jc w:val="both"/>
        <w:outlineLvl w:val="9"/>
      </w:pPr>
      <w:r>
        <w:rPr>
          <w:rFonts w:ascii="黑体" w:hAnsi="黑体" w:eastAsia="黑体"/>
          <w:color w:val="000000" w:themeColor="text1"/>
          <w:szCs w:val="20"/>
          <w:u w:color="000000"/>
          <w14:textFill>
            <w14:solidFill>
              <w14:schemeClr w14:val="tx1"/>
            </w14:solidFill>
          </w14:textFill>
        </w:rPr>
        <w:t>6.6.6</w:t>
      </w:r>
      <w:r>
        <w:t xml:space="preserve">  </w:t>
      </w:r>
      <w:r>
        <w:rPr>
          <w:rFonts w:hint="eastAsia"/>
        </w:rPr>
        <w:t>液化烃储罐区应按照</w:t>
      </w:r>
      <w:bookmarkStart w:id="36" w:name="_Hlk128153767"/>
      <w:r>
        <w:rPr>
          <w:rFonts w:ascii="Times New Roman"/>
          <w:color w:val="000000" w:themeColor="text1"/>
          <w:szCs w:val="24"/>
          <w14:textFill>
            <w14:solidFill>
              <w14:schemeClr w14:val="tx1"/>
            </w14:solidFill>
          </w14:textFill>
        </w:rPr>
        <w:t>GB/T 50493</w:t>
      </w:r>
      <w:bookmarkEnd w:id="36"/>
      <w:r>
        <w:rPr>
          <w:rFonts w:hint="eastAsia"/>
        </w:rPr>
        <w:t>要求设置可燃气体和有毒气体探测器。</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37" w:name="_Toc118962020"/>
      <w:r>
        <w:rPr>
          <w:rFonts w:hint="eastAsia" w:ascii="黑体" w:eastAsia="黑体"/>
          <w:color w:val="000000" w:themeColor="text1"/>
          <w:kern w:val="2"/>
          <w:sz w:val="21"/>
          <w14:textFill>
            <w14:solidFill>
              <w14:schemeClr w14:val="tx1"/>
            </w14:solidFill>
          </w14:textFill>
        </w:rPr>
        <w:t>6.</w:t>
      </w:r>
      <w:r>
        <w:rPr>
          <w:rFonts w:ascii="黑体" w:eastAsia="黑体"/>
          <w:color w:val="000000" w:themeColor="text1"/>
          <w:kern w:val="2"/>
          <w:sz w:val="21"/>
          <w14:textFill>
            <w14:solidFill>
              <w14:schemeClr w14:val="tx1"/>
            </w14:solidFill>
          </w14:textFill>
        </w:rPr>
        <w:t>7</w:t>
      </w:r>
      <w:r>
        <w:rPr>
          <w:rFonts w:hint="eastAsia" w:ascii="黑体" w:eastAsia="黑体"/>
          <w:color w:val="000000" w:themeColor="text1"/>
          <w:kern w:val="2"/>
          <w:sz w:val="21"/>
          <w14:textFill>
            <w14:solidFill>
              <w14:schemeClr w14:val="tx1"/>
            </w14:solidFill>
          </w14:textFill>
        </w:rPr>
        <w:t xml:space="preserve"> </w:t>
      </w:r>
      <w:r>
        <w:rPr>
          <w:rFonts w:ascii="黑体" w:eastAsia="黑体"/>
          <w:color w:val="000000" w:themeColor="text1"/>
          <w:kern w:val="2"/>
          <w:sz w:val="21"/>
          <w14:textFill>
            <w14:solidFill>
              <w14:schemeClr w14:val="tx1"/>
            </w14:solidFill>
          </w14:textFill>
        </w:rPr>
        <w:t xml:space="preserve"> </w:t>
      </w:r>
      <w:r>
        <w:rPr>
          <w:rFonts w:hint="eastAsia" w:ascii="黑体" w:eastAsia="黑体"/>
          <w:color w:val="000000" w:themeColor="text1"/>
          <w:kern w:val="2"/>
          <w:sz w:val="21"/>
          <w14:textFill>
            <w14:solidFill>
              <w14:schemeClr w14:val="tx1"/>
            </w14:solidFill>
          </w14:textFill>
        </w:rPr>
        <w:t>消防</w:t>
      </w:r>
      <w:bookmarkEnd w:id="37"/>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6.</w:t>
      </w:r>
      <w:r>
        <w:rPr>
          <w:rFonts w:ascii="黑体" w:hAnsi="黑体" w:eastAsia="黑体"/>
          <w:color w:val="000000" w:themeColor="text1"/>
          <w14:textFill>
            <w14:solidFill>
              <w14:schemeClr w14:val="tx1"/>
            </w14:solidFill>
          </w14:textFill>
        </w:rPr>
        <w:t>7</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液化烃罐区应满足现行适用规范要求设置消防冷却水系统及移动式干粉等灭火设施，并处于可用状态。消防给水系统应满足GB 50160及GB 50974的相关要求。</w:t>
      </w:r>
    </w:p>
    <w:p>
      <w:pPr>
        <w:autoSpaceDE w:val="0"/>
        <w:autoSpaceDN w:val="0"/>
        <w:spacing w:line="240" w:lineRule="auto"/>
        <w:textAlignment w:val="auto"/>
        <w:rPr>
          <w:i/>
          <w:color w:val="FF0000"/>
          <w:kern w:val="2"/>
          <w:szCs w:val="24"/>
        </w:rPr>
      </w:pPr>
      <w:r>
        <w:rPr>
          <w:rFonts w:ascii="黑体" w:hAnsi="黑体" w:eastAsia="黑体"/>
          <w:color w:val="000000" w:themeColor="text1"/>
          <w14:textFill>
            <w14:solidFill>
              <w14:schemeClr w14:val="tx1"/>
            </w14:solidFill>
          </w14:textFill>
        </w:rPr>
        <w:t xml:space="preserve">6.7.2  </w:t>
      </w:r>
      <w:r>
        <w:rPr>
          <w:rFonts w:hint="eastAsia"/>
          <w:color w:val="000000" w:themeColor="text1"/>
          <w:szCs w:val="24"/>
          <w14:textFill>
            <w14:solidFill>
              <w14:schemeClr w14:val="tx1"/>
            </w14:solidFill>
          </w14:textFill>
        </w:rPr>
        <w:t>液化烃压力式储罐、钢制外壁的全容罐、液化烃泵及压缩机等火灾危险性高的工艺设备，应有固定水炮保护喷淋冷却，当射流被管廊、其它设备等遮挡时，应采取高架遥控炮、调整水炮位置等措施确保水炮可有效覆盖被保护设备。</w:t>
      </w:r>
    </w:p>
    <w:p>
      <w:pPr>
        <w:tabs>
          <w:tab w:val="left" w:pos="851"/>
        </w:tabs>
        <w:spacing w:line="240" w:lineRule="auto"/>
        <w:textAlignment w:val="auto"/>
        <w:rPr>
          <w:bCs/>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6.7.3  </w:t>
      </w:r>
      <w:r>
        <w:rPr>
          <w:rFonts w:hint="eastAsia"/>
          <w:bCs/>
          <w:color w:val="000000" w:themeColor="text1"/>
          <w:szCs w:val="24"/>
          <w14:textFill>
            <w14:solidFill>
              <w14:schemeClr w14:val="tx1"/>
            </w14:solidFill>
          </w14:textFill>
        </w:rPr>
        <w:t>距离液化烃压力式储罐、泵、换热器等液化烃设备小于等于</w:t>
      </w:r>
      <w:r>
        <w:rPr>
          <w:bCs/>
          <w:color w:val="000000" w:themeColor="text1"/>
          <w:szCs w:val="24"/>
          <w14:textFill>
            <w14:solidFill>
              <w14:schemeClr w14:val="tx1"/>
            </w14:solidFill>
          </w14:textFill>
        </w:rPr>
        <w:t>30m</w:t>
      </w:r>
      <w:r>
        <w:rPr>
          <w:rFonts w:hint="eastAsia"/>
          <w:bCs/>
          <w:color w:val="000000" w:themeColor="text1"/>
          <w:szCs w:val="24"/>
          <w14:textFill>
            <w14:solidFill>
              <w14:schemeClr w14:val="tx1"/>
            </w14:solidFill>
          </w14:textFill>
        </w:rPr>
        <w:t>范围内管廊上的液化烃和其他可燃易燃介质管道，应在消防炮的覆盖范围内。</w:t>
      </w:r>
    </w:p>
    <w:p>
      <w:pPr>
        <w:pStyle w:val="99"/>
        <w:tabs>
          <w:tab w:val="left" w:pos="851"/>
        </w:tabs>
        <w:ind w:left="6"/>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szCs w:val="20"/>
          <w:u w:color="000000"/>
          <w14:textFill>
            <w14:solidFill>
              <w14:schemeClr w14:val="tx1"/>
            </w14:solidFill>
          </w14:textFill>
        </w:rPr>
        <w:t>6.</w:t>
      </w:r>
      <w:r>
        <w:rPr>
          <w:rFonts w:ascii="黑体" w:hAnsi="黑体" w:eastAsia="黑体"/>
          <w:color w:val="000000" w:themeColor="text1"/>
          <w14:textFill>
            <w14:solidFill>
              <w14:schemeClr w14:val="tx1"/>
            </w14:solidFill>
          </w14:textFill>
        </w:rPr>
        <w:t>7</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4  </w:t>
      </w:r>
      <w:r>
        <w:rPr>
          <w:rFonts w:hint="eastAsia" w:ascii="Times New Roman"/>
          <w:color w:val="000000" w:themeColor="text1"/>
          <w:szCs w:val="24"/>
          <w14:textFill>
            <w14:solidFill>
              <w14:schemeClr w14:val="tx1"/>
            </w14:solidFill>
          </w14:textFill>
        </w:rPr>
        <w:t>全冷冻式储罐采用钢制外壁的全容罐时，消防设计应满足下列要求：</w:t>
      </w:r>
    </w:p>
    <w:p>
      <w:pPr>
        <w:pStyle w:val="149"/>
        <w:widowControl w:val="0"/>
        <w:numPr>
          <w:ilvl w:val="0"/>
          <w:numId w:val="29"/>
        </w:numPr>
        <w:tabs>
          <w:tab w:val="left" w:pos="1050"/>
        </w:tabs>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罐顶冷却水供给强度不应小于</w:t>
      </w:r>
      <w:r>
        <w:rPr>
          <w:color w:val="000000" w:themeColor="text1"/>
          <w:szCs w:val="24"/>
          <w14:textFill>
            <w14:solidFill>
              <w14:schemeClr w14:val="tx1"/>
            </w14:solidFill>
          </w14:textFill>
        </w:rPr>
        <w:t>4L/min</w:t>
      </w:r>
      <w:r>
        <w:rPr>
          <w:rFonts w:hint="eastAsia"/>
          <w:color w:val="000000" w:themeColor="text1"/>
          <w:szCs w:val="24"/>
          <w14:textFill>
            <w14:solidFill>
              <w14:schemeClr w14:val="tx1"/>
            </w14:solidFill>
          </w14:textFill>
        </w:rPr>
        <w:t>﹒</w:t>
      </w:r>
      <w:r>
        <w:rPr>
          <w:color w:val="000000" w:themeColor="text1"/>
          <w:szCs w:val="24"/>
          <w14:textFill>
            <w14:solidFill>
              <w14:schemeClr w14:val="tx1"/>
            </w14:solidFill>
          </w14:textFill>
        </w:rPr>
        <w:t>m</w:t>
      </w:r>
      <w:r>
        <w:rPr>
          <w:color w:val="000000" w:themeColor="text1"/>
          <w:szCs w:val="24"/>
          <w:vertAlign w:val="superscript"/>
          <w14:textFill>
            <w14:solidFill>
              <w14:schemeClr w14:val="tx1"/>
            </w14:solidFill>
          </w14:textFill>
        </w:rPr>
        <w:t>2</w:t>
      </w:r>
      <w:r>
        <w:rPr>
          <w:rFonts w:hint="eastAsia"/>
          <w:color w:val="000000" w:themeColor="text1"/>
          <w:szCs w:val="24"/>
          <w14:textFill>
            <w14:solidFill>
              <w14:schemeClr w14:val="tx1"/>
            </w14:solidFill>
          </w14:textFill>
        </w:rPr>
        <w:t>，罐壁冷却水供给强度不应小于</w:t>
      </w:r>
      <w:r>
        <w:rPr>
          <w:color w:val="000000" w:themeColor="text1"/>
          <w:szCs w:val="24"/>
          <w14:textFill>
            <w14:solidFill>
              <w14:schemeClr w14:val="tx1"/>
            </w14:solidFill>
          </w14:textFill>
        </w:rPr>
        <w:t>2.5L/min</w:t>
      </w:r>
      <w:r>
        <w:rPr>
          <w:rFonts w:hint="eastAsia"/>
          <w:color w:val="000000" w:themeColor="text1"/>
          <w:szCs w:val="24"/>
          <w14:textFill>
            <w14:solidFill>
              <w14:schemeClr w14:val="tx1"/>
            </w14:solidFill>
          </w14:textFill>
        </w:rPr>
        <w:t>﹒</w:t>
      </w:r>
      <w:r>
        <w:rPr>
          <w:color w:val="000000" w:themeColor="text1"/>
          <w:szCs w:val="24"/>
          <w14:textFill>
            <w14:solidFill>
              <w14:schemeClr w14:val="tx1"/>
            </w14:solidFill>
          </w14:textFill>
        </w:rPr>
        <w:t>m</w:t>
      </w:r>
      <w:r>
        <w:rPr>
          <w:color w:val="000000" w:themeColor="text1"/>
          <w:szCs w:val="24"/>
          <w:vertAlign w:val="superscript"/>
          <w14:textFill>
            <w14:solidFill>
              <w14:schemeClr w14:val="tx1"/>
            </w14:solidFill>
          </w14:textFill>
        </w:rPr>
        <w:t>2</w:t>
      </w:r>
      <w:r>
        <w:rPr>
          <w:rFonts w:hint="eastAsia"/>
          <w:color w:val="000000" w:themeColor="text1"/>
          <w:szCs w:val="24"/>
          <w14:textFill>
            <w14:solidFill>
              <w14:schemeClr w14:val="tx1"/>
            </w14:solidFill>
          </w14:textFill>
        </w:rPr>
        <w:t>；</w:t>
      </w:r>
    </w:p>
    <w:p>
      <w:pPr>
        <w:pStyle w:val="149"/>
        <w:widowControl w:val="0"/>
        <w:numPr>
          <w:ilvl w:val="0"/>
          <w:numId w:val="29"/>
        </w:numPr>
        <w:tabs>
          <w:tab w:val="left" w:pos="1050"/>
        </w:tabs>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罐顶物料进出口阀门、安全阀、泵口法兰等重要阀门和设备法兰口处设置水喷雾保护；供水强度不小于</w:t>
      </w:r>
      <w:r>
        <w:rPr>
          <w:color w:val="000000" w:themeColor="text1"/>
          <w:szCs w:val="24"/>
          <w14:textFill>
            <w14:solidFill>
              <w14:schemeClr w14:val="tx1"/>
            </w14:solidFill>
          </w14:textFill>
        </w:rPr>
        <w:t>20.4 L/min</w:t>
      </w:r>
      <w:r>
        <w:rPr>
          <w:rFonts w:hint="eastAsia"/>
          <w:color w:val="000000" w:themeColor="text1"/>
          <w:szCs w:val="24"/>
          <w14:textFill>
            <w14:solidFill>
              <w14:schemeClr w14:val="tx1"/>
            </w14:solidFill>
          </w14:textFill>
        </w:rPr>
        <w:t>﹒</w:t>
      </w:r>
      <w:r>
        <w:rPr>
          <w:color w:val="000000" w:themeColor="text1"/>
          <w:szCs w:val="24"/>
          <w14:textFill>
            <w14:solidFill>
              <w14:schemeClr w14:val="tx1"/>
            </w14:solidFill>
          </w14:textFill>
        </w:rPr>
        <w:t>m</w:t>
      </w:r>
      <w:r>
        <w:rPr>
          <w:color w:val="000000" w:themeColor="text1"/>
          <w:szCs w:val="24"/>
          <w:vertAlign w:val="superscript"/>
          <w14:textFill>
            <w14:solidFill>
              <w14:schemeClr w14:val="tx1"/>
            </w14:solidFill>
          </w14:textFill>
        </w:rPr>
        <w:t>2</w:t>
      </w:r>
      <w:r>
        <w:rPr>
          <w:rFonts w:hint="eastAsia"/>
          <w:color w:val="000000" w:themeColor="text1"/>
          <w:szCs w:val="24"/>
          <w14:textFill>
            <w14:solidFill>
              <w14:schemeClr w14:val="tx1"/>
            </w14:solidFill>
          </w14:textFill>
        </w:rPr>
        <w:t>；</w:t>
      </w:r>
    </w:p>
    <w:p>
      <w:pPr>
        <w:pStyle w:val="149"/>
        <w:widowControl w:val="0"/>
        <w:numPr>
          <w:ilvl w:val="0"/>
          <w:numId w:val="29"/>
        </w:numPr>
        <w:tabs>
          <w:tab w:val="left" w:pos="1050"/>
        </w:tabs>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储罐的移动消防冷却用水量应不小于</w:t>
      </w:r>
      <w:r>
        <w:rPr>
          <w:color w:val="000000" w:themeColor="text1"/>
          <w:szCs w:val="24"/>
          <w14:textFill>
            <w14:solidFill>
              <w14:schemeClr w14:val="tx1"/>
            </w14:solidFill>
          </w14:textFill>
        </w:rPr>
        <w:t>80L/s</w:t>
      </w:r>
      <w:r>
        <w:rPr>
          <w:rFonts w:hint="eastAsia"/>
          <w:color w:val="000000" w:themeColor="text1"/>
          <w:szCs w:val="24"/>
          <w14:textFill>
            <w14:solidFill>
              <w14:schemeClr w14:val="tx1"/>
            </w14:solidFill>
          </w14:textFill>
        </w:rPr>
        <w:t>，覆盖范围应覆盖罐顶；</w:t>
      </w:r>
    </w:p>
    <w:p>
      <w:pPr>
        <w:pStyle w:val="149"/>
        <w:widowControl w:val="0"/>
        <w:numPr>
          <w:ilvl w:val="0"/>
          <w:numId w:val="29"/>
        </w:numPr>
        <w:tabs>
          <w:tab w:val="left" w:pos="1050"/>
        </w:tabs>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储罐应在罐内泵出口平台设置火焰探测器，其报警信号应联锁启动相应储罐的水喷雾系统；罐外泵设置水喷雾系统时，应在泵出口附近设置火焰探测器，其报警信号应联锁启动相应水喷雾系统。</w:t>
      </w:r>
    </w:p>
    <w:p>
      <w:pPr>
        <w:pStyle w:val="99"/>
        <w:numPr>
          <w:ilvl w:val="0"/>
          <w:numId w:val="29"/>
        </w:numPr>
        <w:tabs>
          <w:tab w:val="left" w:pos="851"/>
        </w:tabs>
        <w:jc w:val="both"/>
        <w:outlineLvl w:val="9"/>
        <w:rPr>
          <w:rFonts w:ascii="Times New Roman"/>
          <w:bCs/>
          <w:color w:val="000000" w:themeColor="text1"/>
          <w:szCs w:val="24"/>
          <w:u w:color="000000"/>
          <w14:textFill>
            <w14:solidFill>
              <w14:schemeClr w14:val="tx1"/>
            </w14:solidFill>
          </w14:textFill>
        </w:rPr>
      </w:pPr>
      <w:r>
        <w:rPr>
          <w:rFonts w:hint="eastAsia" w:ascii="Times New Roman"/>
          <w:bCs/>
          <w:color w:val="000000" w:themeColor="text1"/>
          <w:szCs w:val="24"/>
          <w:u w:color="000000"/>
          <w14:textFill>
            <w14:solidFill>
              <w14:schemeClr w14:val="tx1"/>
            </w14:solidFill>
          </w14:textFill>
        </w:rPr>
        <w:t>相邻储罐的消防设计应满足</w:t>
      </w:r>
      <w:bookmarkStart w:id="38" w:name="_Hlk128153786"/>
      <w:r>
        <w:rPr>
          <w:rFonts w:ascii="Times New Roman"/>
          <w:bCs/>
          <w:color w:val="000000" w:themeColor="text1"/>
          <w:szCs w:val="24"/>
          <w:u w:color="000000"/>
          <w14:textFill>
            <w14:solidFill>
              <w14:schemeClr w14:val="tx1"/>
            </w14:solidFill>
          </w14:textFill>
        </w:rPr>
        <w:t>GB 51156</w:t>
      </w:r>
      <w:bookmarkEnd w:id="38"/>
      <w:r>
        <w:rPr>
          <w:rFonts w:hint="eastAsia" w:ascii="Times New Roman"/>
          <w:bCs/>
          <w:color w:val="000000" w:themeColor="text1"/>
          <w:szCs w:val="24"/>
          <w:u w:color="000000"/>
          <w14:textFill>
            <w14:solidFill>
              <w14:schemeClr w14:val="tx1"/>
            </w14:solidFill>
          </w14:textFill>
        </w:rPr>
        <w:t>的相关要求。</w:t>
      </w:r>
    </w:p>
    <w:p>
      <w:pPr>
        <w:pStyle w:val="99"/>
        <w:tabs>
          <w:tab w:val="left" w:pos="851"/>
        </w:tabs>
        <w:ind w:left="6"/>
        <w:jc w:val="both"/>
        <w:outlineLvl w:val="9"/>
        <w:rPr>
          <w:rFonts w:ascii="Times New Roman"/>
          <w:color w:val="000000" w:themeColor="text1"/>
          <w:szCs w:val="24"/>
          <w14:textFill>
            <w14:solidFill>
              <w14:schemeClr w14:val="tx1"/>
            </w14:solidFill>
          </w14:textFill>
        </w:rPr>
      </w:pPr>
      <w:r>
        <w:rPr>
          <w:rFonts w:hint="eastAsia" w:ascii="黑体" w:hAnsi="黑体" w:eastAsia="黑体"/>
          <w:color w:val="000000" w:themeColor="text1"/>
          <w14:textFill>
            <w14:solidFill>
              <w14:schemeClr w14:val="tx1"/>
            </w14:solidFill>
          </w14:textFill>
        </w:rPr>
        <w:t>6.7.</w:t>
      </w:r>
      <w:r>
        <w:rPr>
          <w:rFonts w:ascii="黑体" w:hAnsi="黑体" w:eastAsia="黑体"/>
          <w:color w:val="000000" w:themeColor="text1"/>
          <w14:textFill>
            <w14:solidFill>
              <w14:schemeClr w14:val="tx1"/>
            </w14:solidFill>
          </w14:textFill>
        </w:rPr>
        <w:t>5</w:t>
      </w:r>
      <w:r>
        <w:rPr>
          <w:rFonts w:ascii="Times New Roman"/>
          <w:color w:val="000000" w:themeColor="text1"/>
          <w:szCs w:val="24"/>
          <w14:textFill>
            <w14:solidFill>
              <w14:schemeClr w14:val="tx1"/>
            </w14:solidFill>
          </w14:textFill>
        </w:rPr>
        <w:t xml:space="preserve">  </w:t>
      </w:r>
      <w:r>
        <w:rPr>
          <w:rFonts w:hint="eastAsia" w:ascii="Times New Roman"/>
          <w:color w:val="000000" w:themeColor="text1"/>
          <w:szCs w:val="24"/>
          <w14:textFill>
            <w14:solidFill>
              <w14:schemeClr w14:val="tx1"/>
            </w14:solidFill>
          </w14:textFill>
        </w:rPr>
        <w:t xml:space="preserve">覆土式储罐消防应符合下列规定： </w:t>
      </w:r>
    </w:p>
    <w:p>
      <w:pPr>
        <w:pStyle w:val="99"/>
        <w:numPr>
          <w:ilvl w:val="0"/>
          <w:numId w:val="30"/>
        </w:numPr>
        <w:tabs>
          <w:tab w:val="left" w:pos="851"/>
        </w:tabs>
        <w:jc w:val="both"/>
        <w:outlineLvl w:val="9"/>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罐顶泵出口、仪表、阀区、安全阀平台的供水强度不应小于20.4L/min﹒m</w:t>
      </w:r>
      <w:r>
        <w:rPr>
          <w:rFonts w:ascii="Times New Roman"/>
          <w:color w:val="000000" w:themeColor="text1"/>
          <w:szCs w:val="24"/>
          <w:vertAlign w:val="superscript"/>
          <w14:textFill>
            <w14:solidFill>
              <w14:schemeClr w14:val="tx1"/>
            </w14:solidFill>
          </w14:textFill>
        </w:rPr>
        <w:t>2</w:t>
      </w:r>
      <w:r>
        <w:rPr>
          <w:rFonts w:hint="eastAsia" w:ascii="Times New Roman"/>
          <w:color w:val="000000" w:themeColor="text1"/>
          <w:szCs w:val="24"/>
          <w14:textFill>
            <w14:solidFill>
              <w14:schemeClr w14:val="tx1"/>
            </w14:solidFill>
          </w14:textFill>
        </w:rPr>
        <w:t>；</w:t>
      </w:r>
    </w:p>
    <w:p>
      <w:pPr>
        <w:pStyle w:val="99"/>
        <w:numPr>
          <w:ilvl w:val="0"/>
          <w:numId w:val="30"/>
        </w:numPr>
        <w:tabs>
          <w:tab w:val="left" w:pos="851"/>
        </w:tabs>
        <w:jc w:val="both"/>
        <w:outlineLvl w:val="9"/>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检修通道处的供水强度不应小于10.2L/min﹒m</w:t>
      </w:r>
      <w:r>
        <w:rPr>
          <w:rFonts w:ascii="Times New Roman"/>
          <w:color w:val="000000" w:themeColor="text1"/>
          <w:szCs w:val="24"/>
          <w:vertAlign w:val="superscript"/>
          <w14:textFill>
            <w14:solidFill>
              <w14:schemeClr w14:val="tx1"/>
            </w14:solidFill>
          </w14:textFill>
        </w:rPr>
        <w:t>2</w:t>
      </w:r>
      <w:r>
        <w:rPr>
          <w:rFonts w:hint="eastAsia" w:ascii="Times New Roman"/>
          <w:color w:val="000000" w:themeColor="text1"/>
          <w:szCs w:val="24"/>
          <w14:textFill>
            <w14:solidFill>
              <w14:schemeClr w14:val="tx1"/>
            </w14:solidFill>
          </w14:textFill>
        </w:rPr>
        <w:t>；</w:t>
      </w:r>
    </w:p>
    <w:p>
      <w:pPr>
        <w:pStyle w:val="99"/>
        <w:numPr>
          <w:ilvl w:val="0"/>
          <w:numId w:val="30"/>
        </w:numPr>
        <w:tabs>
          <w:tab w:val="left" w:pos="851"/>
        </w:tabs>
        <w:jc w:val="both"/>
        <w:outlineLvl w:val="9"/>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移动消防水量不应小于45L/s；</w:t>
      </w:r>
    </w:p>
    <w:p>
      <w:pPr>
        <w:pStyle w:val="99"/>
        <w:numPr>
          <w:ilvl w:val="0"/>
          <w:numId w:val="30"/>
        </w:numPr>
        <w:tabs>
          <w:tab w:val="left" w:pos="851"/>
        </w:tabs>
        <w:jc w:val="both"/>
        <w:outlineLvl w:val="9"/>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覆土式液化烃储罐区火灾延续供水时间不应小于6h；</w:t>
      </w:r>
    </w:p>
    <w:p>
      <w:pPr>
        <w:pStyle w:val="99"/>
        <w:numPr>
          <w:ilvl w:val="0"/>
          <w:numId w:val="30"/>
        </w:numPr>
        <w:tabs>
          <w:tab w:val="left" w:pos="851"/>
        </w:tabs>
        <w:jc w:val="both"/>
        <w:outlineLvl w:val="9"/>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罐顶阀门区域应设置火灾探测器，其报警信号可联锁启动相应的水喷雾系统。</w:t>
      </w:r>
    </w:p>
    <w:p>
      <w:pPr>
        <w:pStyle w:val="99"/>
        <w:tabs>
          <w:tab w:val="left" w:pos="851"/>
        </w:tabs>
        <w:ind w:left="6"/>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szCs w:val="20"/>
          <w:u w:color="000000"/>
          <w14:textFill>
            <w14:solidFill>
              <w14:schemeClr w14:val="tx1"/>
            </w14:solidFill>
          </w14:textFill>
        </w:rPr>
        <w:t>6.</w:t>
      </w:r>
      <w:r>
        <w:rPr>
          <w:rFonts w:ascii="黑体" w:hAnsi="黑体" w:eastAsia="黑体"/>
          <w:color w:val="000000" w:themeColor="text1"/>
          <w14:textFill>
            <w14:solidFill>
              <w14:schemeClr w14:val="tx1"/>
            </w14:solidFill>
          </w14:textFill>
        </w:rPr>
        <w:t>7</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6  </w:t>
      </w:r>
      <w:r>
        <w:rPr>
          <w:rFonts w:hint="eastAsia" w:ascii="Times New Roman"/>
          <w:color w:val="000000" w:themeColor="text1"/>
          <w:szCs w:val="24"/>
          <w14:textFill>
            <w14:solidFill>
              <w14:schemeClr w14:val="tx1"/>
            </w14:solidFill>
          </w14:textFill>
        </w:rPr>
        <w:t>新建液化烃泵区应设置火焰探测器。新建液化烃压力式储罐应设置线型感温火灾探测器，其报警信号可联锁启动相应储罐的水喷雾系统。</w:t>
      </w:r>
    </w:p>
    <w:p>
      <w:pPr>
        <w:pStyle w:val="99"/>
        <w:tabs>
          <w:tab w:val="left" w:pos="851"/>
        </w:tabs>
        <w:ind w:left="6"/>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szCs w:val="20"/>
          <w:u w:color="000000"/>
          <w14:textFill>
            <w14:solidFill>
              <w14:schemeClr w14:val="tx1"/>
            </w14:solidFill>
          </w14:textFill>
        </w:rPr>
        <w:t>6.</w:t>
      </w:r>
      <w:r>
        <w:rPr>
          <w:rFonts w:ascii="黑体" w:hAnsi="黑体" w:eastAsia="黑体"/>
          <w:color w:val="000000" w:themeColor="text1"/>
          <w14:textFill>
            <w14:solidFill>
              <w14:schemeClr w14:val="tx1"/>
            </w14:solidFill>
          </w14:textFill>
        </w:rPr>
        <w:t>7</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7  </w:t>
      </w:r>
      <w:r>
        <w:rPr>
          <w:rFonts w:hint="eastAsia" w:ascii="Times New Roman"/>
          <w:color w:val="000000" w:themeColor="text1"/>
          <w:szCs w:val="24"/>
          <w14:textFill>
            <w14:solidFill>
              <w14:schemeClr w14:val="tx1"/>
            </w14:solidFill>
          </w14:textFill>
        </w:rPr>
        <w:t>液化烃储罐区火灾自动报警系统应满足GB 50116的相关要求，储罐区四周道路路边应设置手动报警按钮，并应设置消防应急广播系统。</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39" w:name="_Toc118962021"/>
      <w:r>
        <w:rPr>
          <w:rFonts w:hint="eastAsia" w:ascii="黑体" w:eastAsia="黑体"/>
          <w:color w:val="000000" w:themeColor="text1"/>
          <w:kern w:val="2"/>
          <w:sz w:val="21"/>
          <w14:textFill>
            <w14:solidFill>
              <w14:schemeClr w14:val="tx1"/>
            </w14:solidFill>
          </w14:textFill>
        </w:rPr>
        <w:t>6.</w:t>
      </w:r>
      <w:r>
        <w:rPr>
          <w:rFonts w:ascii="黑体" w:eastAsia="黑体"/>
          <w:color w:val="000000" w:themeColor="text1"/>
          <w:kern w:val="2"/>
          <w:sz w:val="21"/>
          <w14:textFill>
            <w14:solidFill>
              <w14:schemeClr w14:val="tx1"/>
            </w14:solidFill>
          </w14:textFill>
        </w:rPr>
        <w:t xml:space="preserve">8  </w:t>
      </w:r>
      <w:r>
        <w:rPr>
          <w:rFonts w:hint="eastAsia" w:ascii="黑体" w:eastAsia="黑体"/>
          <w:color w:val="000000" w:themeColor="text1"/>
          <w:kern w:val="2"/>
          <w:sz w:val="21"/>
          <w14:textFill>
            <w14:solidFill>
              <w14:schemeClr w14:val="tx1"/>
            </w14:solidFill>
          </w14:textFill>
        </w:rPr>
        <w:t>数字化管理和智慧消防</w:t>
      </w:r>
      <w:bookmarkEnd w:id="39"/>
    </w:p>
    <w:p>
      <w:pPr>
        <w:pStyle w:val="71"/>
        <w:numPr>
          <w:ilvl w:val="255"/>
          <w:numId w:val="0"/>
        </w:numPr>
        <w:tabs>
          <w:tab w:val="left" w:pos="851"/>
        </w:tabs>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6.</w:t>
      </w:r>
      <w:r>
        <w:rPr>
          <w:rFonts w:ascii="黑体" w:hAnsi="黑体" w:eastAsia="黑体"/>
          <w:color w:val="000000" w:themeColor="text1"/>
          <w14:textFill>
            <w14:solidFill>
              <w14:schemeClr w14:val="tx1"/>
            </w14:solidFill>
          </w14:textFill>
        </w:rPr>
        <w:t>8</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新建液化烃储罐区数字化交付应符合GB/T 51296相关要求。数字化交付信息应满足完整性、准确性和一致性的质量要求，其内容应与交工资料所对应的部分一致，接收方应提供数字化交付策略和交付基础，协调和管理工程数字化交付工作，验收交付方所移交的交付信息。</w:t>
      </w:r>
    </w:p>
    <w:p>
      <w:pPr>
        <w:spacing w:line="240" w:lineRule="auto"/>
        <w:jc w:val="left"/>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6.8.2  </w:t>
      </w:r>
      <w:r>
        <w:rPr>
          <w:rFonts w:hint="eastAsia"/>
          <w:color w:val="000000" w:themeColor="text1"/>
          <w:szCs w:val="24"/>
          <w14:textFill>
            <w14:solidFill>
              <w14:schemeClr w14:val="tx1"/>
            </w14:solidFill>
          </w14:textFill>
        </w:rPr>
        <w:t>数字化交付信息应定期维护，发生变更时应及时更新数字化信息。</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6.</w:t>
      </w:r>
      <w:r>
        <w:rPr>
          <w:rFonts w:ascii="黑体" w:hAnsi="黑体" w:eastAsia="黑体"/>
          <w:color w:val="000000" w:themeColor="text1"/>
          <w14:textFill>
            <w14:solidFill>
              <w14:schemeClr w14:val="tx1"/>
            </w14:solidFill>
          </w14:textFill>
        </w:rPr>
        <w:t>8</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3  </w:t>
      </w:r>
      <w:r>
        <w:rPr>
          <w:rFonts w:hint="eastAsia" w:ascii="Times New Roman"/>
          <w:color w:val="000000" w:themeColor="text1"/>
          <w:szCs w:val="24"/>
          <w14:textFill>
            <w14:solidFill>
              <w14:schemeClr w14:val="tx1"/>
            </w14:solidFill>
          </w14:textFill>
        </w:rPr>
        <w:t>新建液化烃储罐区应对火灾探测器、雨淋阀组、可燃气报警等关键设备及消防设施实时采集相关信息，实现对物品和过程的智能化感知、识别和管理。以物联网方式对区域内的消防系统实时监控，达到及时发现并消除安全隐患的目的。</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6.</w:t>
      </w:r>
      <w:r>
        <w:rPr>
          <w:rFonts w:ascii="黑体" w:hAnsi="黑体" w:eastAsia="黑体"/>
          <w:color w:val="000000" w:themeColor="text1"/>
          <w14:textFill>
            <w14:solidFill>
              <w14:schemeClr w14:val="tx1"/>
            </w14:solidFill>
          </w14:textFill>
        </w:rPr>
        <w:t>8</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4  </w:t>
      </w:r>
      <w:r>
        <w:rPr>
          <w:rFonts w:hint="eastAsia" w:ascii="Times New Roman"/>
          <w:color w:val="000000" w:themeColor="text1"/>
          <w:szCs w:val="24"/>
          <w14:textFill>
            <w14:solidFill>
              <w14:schemeClr w14:val="tx1"/>
            </w14:solidFill>
          </w14:textFill>
        </w:rPr>
        <w:t>新建液化烃储罐区应利用虚拟现实（VR、M</w:t>
      </w:r>
      <w:r>
        <w:rPr>
          <w:rFonts w:ascii="Times New Roman"/>
          <w:color w:val="000000" w:themeColor="text1"/>
          <w:szCs w:val="24"/>
          <w14:textFill>
            <w14:solidFill>
              <w14:schemeClr w14:val="tx1"/>
            </w14:solidFill>
          </w14:textFill>
        </w:rPr>
        <w:t>R</w:t>
      </w:r>
      <w:r>
        <w:rPr>
          <w:rFonts w:hint="eastAsia" w:ascii="Times New Roman"/>
          <w:color w:val="000000" w:themeColor="text1"/>
          <w:szCs w:val="24"/>
          <w14:textFill>
            <w14:solidFill>
              <w14:schemeClr w14:val="tx1"/>
            </w14:solidFill>
          </w14:textFill>
        </w:rPr>
        <w:t>）系统，建立智能化三维模型；在模型中进行火灾模拟救援、消防预案动态化模拟等工作。</w:t>
      </w:r>
    </w:p>
    <w:p>
      <w:pPr>
        <w:pStyle w:val="3"/>
        <w:widowControl w:val="0"/>
        <w:spacing w:before="317" w:beforeLines="100" w:after="317" w:afterLines="100" w:line="240" w:lineRule="auto"/>
        <w:textAlignment w:val="auto"/>
        <w:rPr>
          <w:rFonts w:ascii="黑体" w:eastAsia="黑体"/>
          <w:b w:val="0"/>
          <w:color w:val="000000" w:themeColor="text1"/>
          <w:sz w:val="21"/>
          <w:szCs w:val="21"/>
          <w14:textFill>
            <w14:solidFill>
              <w14:schemeClr w14:val="tx1"/>
            </w14:solidFill>
          </w14:textFill>
        </w:rPr>
      </w:pPr>
      <w:bookmarkStart w:id="40" w:name="_Toc112397397"/>
      <w:bookmarkStart w:id="41" w:name="_Toc118962022"/>
      <w:r>
        <w:rPr>
          <w:rFonts w:hint="eastAsia" w:ascii="黑体" w:eastAsia="黑体"/>
          <w:b w:val="0"/>
          <w:color w:val="000000" w:themeColor="text1"/>
          <w:sz w:val="21"/>
          <w:szCs w:val="21"/>
          <w14:textFill>
            <w14:solidFill>
              <w14:schemeClr w14:val="tx1"/>
            </w14:solidFill>
          </w14:textFill>
        </w:rPr>
        <w:t>7</w:t>
      </w:r>
      <w:r>
        <w:rPr>
          <w:rFonts w:hint="eastAsia" w:ascii="黑体" w:hAnsi="黑体" w:eastAsia="黑体"/>
          <w:b w:val="0"/>
          <w:bCs w:val="0"/>
          <w:color w:val="000000" w:themeColor="text1"/>
          <w:kern w:val="2"/>
          <w:sz w:val="21"/>
          <w:szCs w:val="21"/>
          <w14:textFill>
            <w14:solidFill>
              <w14:schemeClr w14:val="tx1"/>
            </w14:solidFill>
          </w14:textFill>
        </w:rPr>
        <w:t xml:space="preserve">  </w:t>
      </w:r>
      <w:bookmarkEnd w:id="40"/>
      <w:r>
        <w:rPr>
          <w:rFonts w:ascii="黑体" w:hAnsi="黑体" w:eastAsia="黑体"/>
          <w:b w:val="0"/>
          <w:bCs w:val="0"/>
          <w:color w:val="000000" w:themeColor="text1"/>
          <w:kern w:val="2"/>
          <w:sz w:val="21"/>
          <w:szCs w:val="21"/>
          <w14:textFill>
            <w14:solidFill>
              <w14:schemeClr w14:val="tx1"/>
            </w14:solidFill>
          </w14:textFill>
        </w:rPr>
        <w:t>关键设备及材料采购</w:t>
      </w:r>
      <w:bookmarkEnd w:id="41"/>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42" w:name="_Toc118962023"/>
      <w:r>
        <w:rPr>
          <w:rFonts w:hint="eastAsia" w:ascii="黑体" w:eastAsia="黑体"/>
          <w:color w:val="000000" w:themeColor="text1"/>
          <w:kern w:val="2"/>
          <w:sz w:val="21"/>
          <w14:textFill>
            <w14:solidFill>
              <w14:schemeClr w14:val="tx1"/>
            </w14:solidFill>
          </w14:textFill>
        </w:rPr>
        <w:t>7</w:t>
      </w:r>
      <w:r>
        <w:rPr>
          <w:rFonts w:ascii="黑体" w:eastAsia="黑体"/>
          <w:color w:val="000000" w:themeColor="text1"/>
          <w:kern w:val="2"/>
          <w:sz w:val="21"/>
          <w14:textFill>
            <w14:solidFill>
              <w14:schemeClr w14:val="tx1"/>
            </w14:solidFill>
          </w14:textFill>
        </w:rPr>
        <w:t xml:space="preserve">.1  </w:t>
      </w:r>
      <w:r>
        <w:rPr>
          <w:rFonts w:hint="eastAsia" w:ascii="黑体" w:eastAsia="黑体"/>
          <w:color w:val="000000" w:themeColor="text1"/>
          <w:kern w:val="2"/>
          <w:sz w:val="21"/>
          <w14:textFill>
            <w14:solidFill>
              <w14:schemeClr w14:val="tx1"/>
            </w14:solidFill>
          </w14:textFill>
        </w:rPr>
        <w:t>采购过程要求</w:t>
      </w:r>
      <w:bookmarkEnd w:id="42"/>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7.</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对液化烃罐区的</w:t>
      </w:r>
      <w:r>
        <w:rPr>
          <w:rFonts w:ascii="Times New Roman"/>
          <w:color w:val="000000" w:themeColor="text1"/>
          <w:szCs w:val="24"/>
          <w14:textFill>
            <w14:solidFill>
              <w14:schemeClr w14:val="tx1"/>
            </w14:solidFill>
          </w14:textFill>
        </w:rPr>
        <w:t>A</w:t>
      </w:r>
      <w:r>
        <w:rPr>
          <w:rFonts w:hint="eastAsia" w:ascii="Times New Roman"/>
          <w:color w:val="000000" w:themeColor="text1"/>
          <w:szCs w:val="24"/>
          <w14:textFill>
            <w14:solidFill>
              <w14:schemeClr w14:val="tx1"/>
            </w14:solidFill>
          </w14:textFill>
        </w:rPr>
        <w:t>类、</w:t>
      </w:r>
      <w:r>
        <w:rPr>
          <w:rFonts w:ascii="Times New Roman"/>
          <w:color w:val="000000" w:themeColor="text1"/>
          <w:szCs w:val="24"/>
          <w14:textFill>
            <w14:solidFill>
              <w14:schemeClr w14:val="tx1"/>
            </w14:solidFill>
          </w14:textFill>
        </w:rPr>
        <w:t>B</w:t>
      </w:r>
      <w:r>
        <w:rPr>
          <w:rFonts w:hint="eastAsia" w:ascii="Times New Roman"/>
          <w:color w:val="000000" w:themeColor="text1"/>
          <w:szCs w:val="24"/>
          <w14:textFill>
            <w14:solidFill>
              <w14:schemeClr w14:val="tx1"/>
            </w14:solidFill>
          </w14:textFill>
        </w:rPr>
        <w:t>类物资招标采购时应采用综合评标法，评分标准应包括技术要求、质量保证体系、安全业绩等权重，技术标权重在整个评标中占比不低于</w:t>
      </w:r>
      <w:r>
        <w:rPr>
          <w:rFonts w:ascii="Times New Roman"/>
          <w:color w:val="000000" w:themeColor="text1"/>
          <w:szCs w:val="24"/>
          <w14:textFill>
            <w14:solidFill>
              <w14:schemeClr w14:val="tx1"/>
            </w14:solidFill>
          </w14:textFill>
        </w:rPr>
        <w:t>60%</w:t>
      </w:r>
      <w:r>
        <w:rPr>
          <w:rFonts w:hint="eastAsia" w:ascii="Times New Roman"/>
          <w:color w:val="000000" w:themeColor="text1"/>
          <w:szCs w:val="24"/>
          <w14:textFill>
            <w14:solidFill>
              <w14:schemeClr w14:val="tx1"/>
            </w14:solidFill>
          </w14:textFill>
        </w:rPr>
        <w:t>。</w:t>
      </w:r>
      <w:r>
        <w:rPr>
          <w:rFonts w:ascii="Times New Roman"/>
          <w:color w:val="000000" w:themeColor="text1"/>
          <w:szCs w:val="24"/>
          <w14:textFill>
            <w14:solidFill>
              <w14:schemeClr w14:val="tx1"/>
            </w14:solidFill>
          </w14:textFill>
        </w:rPr>
        <w:t>A</w:t>
      </w:r>
      <w:r>
        <w:rPr>
          <w:rFonts w:hint="eastAsia" w:ascii="Times New Roman"/>
          <w:color w:val="000000" w:themeColor="text1"/>
          <w:szCs w:val="24"/>
          <w14:textFill>
            <w14:solidFill>
              <w14:schemeClr w14:val="tx1"/>
            </w14:solidFill>
          </w14:textFill>
        </w:rPr>
        <w:t>类、</w:t>
      </w:r>
      <w:r>
        <w:rPr>
          <w:rFonts w:ascii="Times New Roman"/>
          <w:color w:val="000000" w:themeColor="text1"/>
          <w:szCs w:val="24"/>
          <w14:textFill>
            <w14:solidFill>
              <w14:schemeClr w14:val="tx1"/>
            </w14:solidFill>
          </w14:textFill>
        </w:rPr>
        <w:t>B</w:t>
      </w:r>
      <w:r>
        <w:rPr>
          <w:rFonts w:hint="eastAsia" w:ascii="Times New Roman"/>
          <w:color w:val="000000" w:themeColor="text1"/>
          <w:szCs w:val="24"/>
          <w14:textFill>
            <w14:solidFill>
              <w14:schemeClr w14:val="tx1"/>
            </w14:solidFill>
          </w14:textFill>
        </w:rPr>
        <w:t>类物资包括：</w:t>
      </w:r>
    </w:p>
    <w:p>
      <w:pPr>
        <w:pStyle w:val="149"/>
        <w:widowControl w:val="0"/>
        <w:numPr>
          <w:ilvl w:val="0"/>
          <w:numId w:val="31"/>
        </w:numPr>
        <w:tabs>
          <w:tab w:val="left" w:pos="851"/>
          <w:tab w:val="left" w:pos="1050"/>
        </w:tabs>
        <w:spacing w:line="240" w:lineRule="auto"/>
        <w:ind w:firstLineChars="0"/>
        <w:textAlignment w:val="auto"/>
        <w:rPr>
          <w:color w:val="000000" w:themeColor="text1"/>
          <w:szCs w:val="24"/>
          <w14:textFill>
            <w14:solidFill>
              <w14:schemeClr w14:val="tx1"/>
            </w14:solidFill>
          </w14:textFill>
        </w:rPr>
      </w:pPr>
      <w:r>
        <w:rPr>
          <w:color w:val="000000" w:themeColor="text1"/>
          <w:szCs w:val="24"/>
          <w14:textFill>
            <w14:solidFill>
              <w14:schemeClr w14:val="tx1"/>
            </w14:solidFill>
          </w14:textFill>
        </w:rPr>
        <w:t>A</w:t>
      </w:r>
      <w:r>
        <w:rPr>
          <w:rFonts w:hint="eastAsia"/>
          <w:color w:val="000000" w:themeColor="text1"/>
          <w:szCs w:val="24"/>
          <w14:textFill>
            <w14:solidFill>
              <w14:schemeClr w14:val="tx1"/>
            </w14:solidFill>
          </w14:textFill>
        </w:rPr>
        <w:t>类物资包括：高强钢储罐罐板、低温容器用</w:t>
      </w:r>
      <w:r>
        <w:rPr>
          <w:color w:val="000000" w:themeColor="text1"/>
          <w:szCs w:val="24"/>
          <w14:textFill>
            <w14:solidFill>
              <w14:schemeClr w14:val="tx1"/>
            </w14:solidFill>
          </w14:textFill>
        </w:rPr>
        <w:t xml:space="preserve">9Ni </w:t>
      </w:r>
      <w:r>
        <w:rPr>
          <w:rFonts w:hint="eastAsia"/>
          <w:color w:val="000000" w:themeColor="text1"/>
          <w:szCs w:val="24"/>
          <w14:textFill>
            <w14:solidFill>
              <w14:schemeClr w14:val="tx1"/>
            </w14:solidFill>
          </w14:textFill>
        </w:rPr>
        <w:t>钢板、低温容器、汽化器、换热器、</w:t>
      </w:r>
      <w:r>
        <w:rPr>
          <w:color w:val="000000" w:themeColor="text1"/>
          <w:szCs w:val="24"/>
          <w14:textFill>
            <w14:solidFill>
              <w14:schemeClr w14:val="tx1"/>
            </w14:solidFill>
          </w14:textFill>
        </w:rPr>
        <w:t xml:space="preserve">III </w:t>
      </w:r>
      <w:r>
        <w:rPr>
          <w:rFonts w:hint="eastAsia"/>
          <w:color w:val="000000" w:themeColor="text1"/>
          <w:szCs w:val="24"/>
          <w14:textFill>
            <w14:solidFill>
              <w14:schemeClr w14:val="tx1"/>
            </w14:solidFill>
          </w14:textFill>
        </w:rPr>
        <w:t>类压力容器、全冷冻液化烃储罐、全冷冻液化烃储罐罐内泵、全冷冻液化烃储罐罐外泵、</w:t>
      </w:r>
      <w:r>
        <w:rPr>
          <w:color w:val="000000" w:themeColor="text1"/>
          <w:szCs w:val="24"/>
          <w14:textFill>
            <w14:solidFill>
              <w14:schemeClr w14:val="tx1"/>
            </w14:solidFill>
          </w14:textFill>
        </w:rPr>
        <w:t>BOG</w:t>
      </w:r>
      <w:r>
        <w:rPr>
          <w:rFonts w:hint="eastAsia"/>
          <w:color w:val="000000" w:themeColor="text1"/>
          <w:szCs w:val="24"/>
          <w14:textFill>
            <w14:solidFill>
              <w14:schemeClr w14:val="tx1"/>
            </w14:solidFill>
          </w14:textFill>
        </w:rPr>
        <w:t>压缩机、制冷压缩机、紧急切断阀、减压阀等；</w:t>
      </w:r>
    </w:p>
    <w:p>
      <w:pPr>
        <w:pStyle w:val="149"/>
        <w:widowControl w:val="0"/>
        <w:numPr>
          <w:ilvl w:val="0"/>
          <w:numId w:val="31"/>
        </w:numPr>
        <w:tabs>
          <w:tab w:val="left" w:pos="851"/>
          <w:tab w:val="left" w:pos="1050"/>
        </w:tabs>
        <w:spacing w:line="240" w:lineRule="auto"/>
        <w:ind w:firstLineChars="0"/>
        <w:textAlignment w:val="auto"/>
        <w:rPr>
          <w:color w:val="000000" w:themeColor="text1"/>
          <w:szCs w:val="24"/>
          <w14:textFill>
            <w14:solidFill>
              <w14:schemeClr w14:val="tx1"/>
            </w14:solidFill>
          </w14:textFill>
        </w:rPr>
      </w:pPr>
      <w:r>
        <w:rPr>
          <w:color w:val="000000" w:themeColor="text1"/>
          <w:szCs w:val="24"/>
          <w14:textFill>
            <w14:solidFill>
              <w14:schemeClr w14:val="tx1"/>
            </w14:solidFill>
          </w14:textFill>
        </w:rPr>
        <w:t>B</w:t>
      </w:r>
      <w:r>
        <w:rPr>
          <w:rFonts w:hint="eastAsia"/>
          <w:color w:val="000000" w:themeColor="text1"/>
          <w:szCs w:val="24"/>
          <w14:textFill>
            <w14:solidFill>
              <w14:schemeClr w14:val="tx1"/>
            </w14:solidFill>
          </w14:textFill>
        </w:rPr>
        <w:t>类物资包括：管道及管件、阀门、换热器配件、机泵、电机、除</w:t>
      </w:r>
      <w:r>
        <w:rPr>
          <w:color w:val="000000" w:themeColor="text1"/>
          <w:szCs w:val="24"/>
          <w14:textFill>
            <w14:solidFill>
              <w14:schemeClr w14:val="tx1"/>
            </w14:solidFill>
          </w14:textFill>
        </w:rPr>
        <w:t>A</w:t>
      </w:r>
      <w:r>
        <w:rPr>
          <w:rFonts w:hint="eastAsia"/>
          <w:color w:val="000000" w:themeColor="text1"/>
          <w:szCs w:val="24"/>
          <w14:textFill>
            <w14:solidFill>
              <w14:schemeClr w14:val="tx1"/>
            </w14:solidFill>
          </w14:textFill>
        </w:rPr>
        <w:t>类物资以外的压力容器及其用钢板等。</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7.</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2  </w:t>
      </w:r>
      <w:r>
        <w:rPr>
          <w:rFonts w:hint="eastAsia" w:ascii="Times New Roman"/>
          <w:color w:val="000000" w:themeColor="text1"/>
          <w:szCs w:val="24"/>
          <w14:textFill>
            <w14:solidFill>
              <w14:schemeClr w14:val="tx1"/>
            </w14:solidFill>
          </w14:textFill>
        </w:rPr>
        <w:t>采购方在招标文件中应明确交付物技术要求及供方质量保证责任、产品包装与运输、验收等相关要求。</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7.</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3  </w:t>
      </w:r>
      <w:r>
        <w:rPr>
          <w:rFonts w:hint="eastAsia" w:ascii="Times New Roman"/>
          <w:color w:val="000000" w:themeColor="text1"/>
          <w:szCs w:val="24"/>
          <w14:textFill>
            <w14:solidFill>
              <w14:schemeClr w14:val="tx1"/>
            </w14:solidFill>
          </w14:textFill>
        </w:rPr>
        <w:t>供方须具备相应的资质证书，并取得质量管理体系认证。</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7.</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4  </w:t>
      </w:r>
      <w:r>
        <w:rPr>
          <w:rFonts w:hint="eastAsia" w:ascii="Times New Roman"/>
          <w:color w:val="000000" w:themeColor="text1"/>
          <w:szCs w:val="24"/>
          <w14:textFill>
            <w14:solidFill>
              <w14:schemeClr w14:val="tx1"/>
            </w14:solidFill>
          </w14:textFill>
        </w:rPr>
        <w:t>制造厂应取得相关资质证书，并完全响应设计技术文件要求，如有技术偏离应得到设计书面认可，不应随意提高或降低技术（质量）要求。</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7.</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5  </w:t>
      </w:r>
      <w:r>
        <w:rPr>
          <w:rFonts w:hint="eastAsia" w:ascii="Times New Roman"/>
          <w:color w:val="000000" w:themeColor="text1"/>
          <w:szCs w:val="24"/>
          <w14:textFill>
            <w14:solidFill>
              <w14:schemeClr w14:val="tx1"/>
            </w14:solidFill>
          </w14:textFill>
        </w:rPr>
        <w:t>当供方需要确定分供方时，分供方应同时遵照上述要求，并经过采购方认可。</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43" w:name="_Toc118962024"/>
      <w:r>
        <w:rPr>
          <w:rFonts w:hint="eastAsia" w:ascii="黑体" w:eastAsia="黑体"/>
          <w:color w:val="000000" w:themeColor="text1"/>
          <w:kern w:val="2"/>
          <w:sz w:val="21"/>
          <w14:textFill>
            <w14:solidFill>
              <w14:schemeClr w14:val="tx1"/>
            </w14:solidFill>
          </w14:textFill>
        </w:rPr>
        <w:t>7</w:t>
      </w:r>
      <w:r>
        <w:rPr>
          <w:rFonts w:ascii="黑体" w:eastAsia="黑体"/>
          <w:color w:val="000000" w:themeColor="text1"/>
          <w:kern w:val="2"/>
          <w:sz w:val="21"/>
          <w14:textFill>
            <w14:solidFill>
              <w14:schemeClr w14:val="tx1"/>
            </w14:solidFill>
          </w14:textFill>
        </w:rPr>
        <w:t xml:space="preserve">.2  </w:t>
      </w:r>
      <w:r>
        <w:rPr>
          <w:rFonts w:hint="eastAsia" w:ascii="黑体" w:eastAsia="黑体"/>
          <w:color w:val="000000" w:themeColor="text1"/>
          <w:kern w:val="2"/>
          <w:sz w:val="21"/>
          <w14:textFill>
            <w14:solidFill>
              <w14:schemeClr w14:val="tx1"/>
            </w14:solidFill>
          </w14:textFill>
        </w:rPr>
        <w:t>物资检验及监造</w:t>
      </w:r>
      <w:bookmarkEnd w:id="43"/>
    </w:p>
    <w:p>
      <w:pPr>
        <w:pStyle w:val="99"/>
        <w:tabs>
          <w:tab w:val="left" w:pos="851"/>
        </w:tabs>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7</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机泵、压缩机的设计、制造、检验试验等应符合</w:t>
      </w:r>
      <w:r>
        <w:rPr>
          <w:rFonts w:ascii="Times New Roman"/>
          <w:color w:val="000000" w:themeColor="text1"/>
          <w:szCs w:val="24"/>
          <w14:textFill>
            <w14:solidFill>
              <w14:schemeClr w14:val="tx1"/>
            </w14:solidFill>
          </w14:textFill>
        </w:rPr>
        <w:t>GB/T 3215、GB/T 20322</w:t>
      </w:r>
      <w:r>
        <w:rPr>
          <w:rFonts w:hint="eastAsia" w:ascii="Times New Roman"/>
          <w:color w:val="000000" w:themeColor="text1"/>
          <w:szCs w:val="24"/>
          <w14:textFill>
            <w14:solidFill>
              <w14:schemeClr w14:val="tx1"/>
            </w14:solidFill>
          </w14:textFill>
        </w:rPr>
        <w:t>的有关</w:t>
      </w:r>
      <w:r>
        <w:rPr>
          <w:rFonts w:ascii="Times New Roman"/>
          <w:color w:val="000000" w:themeColor="text1"/>
          <w:szCs w:val="24"/>
          <w14:textFill>
            <w14:solidFill>
              <w14:schemeClr w14:val="tx1"/>
            </w14:solidFill>
          </w14:textFill>
        </w:rPr>
        <w:t>要求；压力容器的选材、设计、制造、检验和验收应符合</w:t>
      </w:r>
      <w:bookmarkStart w:id="44" w:name="_Hlk128153828"/>
      <w:r>
        <w:rPr>
          <w:rFonts w:ascii="Times New Roman"/>
          <w:color w:val="000000" w:themeColor="text1"/>
          <w:szCs w:val="24"/>
          <w14:textFill>
            <w14:solidFill>
              <w14:schemeClr w14:val="tx1"/>
            </w14:solidFill>
          </w14:textFill>
        </w:rPr>
        <w:t>GB/T 150</w:t>
      </w:r>
      <w:bookmarkEnd w:id="44"/>
      <w:r>
        <w:rPr>
          <w:rFonts w:ascii="Times New Roman"/>
          <w:color w:val="000000" w:themeColor="text1"/>
          <w:szCs w:val="24"/>
          <w14:textFill>
            <w14:solidFill>
              <w14:schemeClr w14:val="tx1"/>
            </w14:solidFill>
          </w14:textFill>
        </w:rPr>
        <w:t>和TSG 21的有关规定</w:t>
      </w:r>
      <w:r>
        <w:rPr>
          <w:rFonts w:hint="eastAsia" w:ascii="Times New Roman"/>
          <w:color w:val="000000" w:themeColor="text1"/>
          <w:szCs w:val="24"/>
          <w14:textFill>
            <w14:solidFill>
              <w14:schemeClr w14:val="tx1"/>
            </w14:solidFill>
          </w14:textFill>
        </w:rPr>
        <w:t>。</w:t>
      </w:r>
    </w:p>
    <w:p>
      <w:pPr>
        <w:pStyle w:val="99"/>
        <w:tabs>
          <w:tab w:val="left" w:pos="851"/>
        </w:tabs>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7</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2  </w:t>
      </w:r>
      <w:r>
        <w:rPr>
          <w:rFonts w:hint="eastAsia" w:ascii="Times New Roman"/>
          <w:color w:val="000000" w:themeColor="text1"/>
          <w:szCs w:val="24"/>
          <w14:textFill>
            <w14:solidFill>
              <w14:schemeClr w14:val="tx1"/>
            </w14:solidFill>
          </w14:textFill>
        </w:rPr>
        <w:t>阀门的阀杆应设置防吹出结构。</w:t>
      </w:r>
    </w:p>
    <w:p>
      <w:pPr>
        <w:pStyle w:val="99"/>
        <w:tabs>
          <w:tab w:val="left" w:pos="851"/>
        </w:tabs>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7</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3  </w:t>
      </w:r>
      <w:r>
        <w:rPr>
          <w:rFonts w:hint="eastAsia" w:ascii="Times New Roman"/>
          <w:color w:val="000000" w:themeColor="text1"/>
          <w:szCs w:val="24"/>
          <w14:textFill>
            <w14:solidFill>
              <w14:schemeClr w14:val="tx1"/>
            </w14:solidFill>
          </w14:textFill>
        </w:rPr>
        <w:t>相关物资和设备采购应按照影响程度的重要性进行分级管控，在监造、关键控制点检验、巡检、出厂检验时，应确保采购物资质量受控。</w:t>
      </w:r>
    </w:p>
    <w:p>
      <w:pPr>
        <w:pStyle w:val="99"/>
        <w:tabs>
          <w:tab w:val="left" w:pos="851"/>
        </w:tabs>
        <w:jc w:val="both"/>
        <w:outlineLvl w:val="9"/>
        <w:rPr>
          <w:rFonts w:ascii="黑体" w:hAnsi="黑体" w:eastAsia="黑体"/>
          <w:color w:val="000000" w:themeColor="text1"/>
          <w:u w:color="000000"/>
          <w14:textFill>
            <w14:solidFill>
              <w14:schemeClr w14:val="tx1"/>
            </w14:solidFill>
          </w14:textFill>
        </w:rPr>
      </w:pPr>
      <w:r>
        <w:rPr>
          <w:rFonts w:ascii="黑体" w:hAnsi="黑体" w:eastAsia="黑体"/>
          <w:color w:val="000000" w:themeColor="text1"/>
          <w:u w:color="000000"/>
          <w14:textFill>
            <w14:solidFill>
              <w14:schemeClr w14:val="tx1"/>
            </w14:solidFill>
          </w14:textFill>
        </w:rPr>
        <w:t xml:space="preserve">7.2.4  </w:t>
      </w:r>
      <w:r>
        <w:rPr>
          <w:rFonts w:hint="eastAsia" w:ascii="Times New Roman"/>
          <w:color w:val="000000" w:themeColor="text1"/>
          <w:szCs w:val="24"/>
          <w14:textFill>
            <w14:solidFill>
              <w14:schemeClr w14:val="tx1"/>
            </w14:solidFill>
          </w14:textFill>
        </w:rPr>
        <w:t>对于不同等级的设备，在质量计划、检验计划、供应商选择审批等方面要求与参与程度采取不同策略。</w:t>
      </w:r>
    </w:p>
    <w:p>
      <w:pPr>
        <w:pStyle w:val="149"/>
        <w:widowControl w:val="0"/>
        <w:numPr>
          <w:ilvl w:val="0"/>
          <w:numId w:val="32"/>
        </w:numPr>
        <w:tabs>
          <w:tab w:val="left" w:pos="1050"/>
        </w:tabs>
        <w:spacing w:line="240" w:lineRule="auto"/>
        <w:ind w:firstLineChars="0"/>
        <w:textAlignment w:val="auto"/>
        <w:rPr>
          <w:color w:val="000000" w:themeColor="text1"/>
          <w:szCs w:val="24"/>
          <w14:textFill>
            <w14:solidFill>
              <w14:schemeClr w14:val="tx1"/>
            </w14:solidFill>
          </w14:textFill>
        </w:rPr>
      </w:pPr>
      <w:r>
        <w:rPr>
          <w:color w:val="000000" w:themeColor="text1"/>
          <w:szCs w:val="24"/>
          <w14:textFill>
            <w14:solidFill>
              <w14:schemeClr w14:val="tx1"/>
            </w14:solidFill>
          </w14:textFill>
        </w:rPr>
        <w:t>A</w:t>
      </w:r>
      <w:r>
        <w:rPr>
          <w:rFonts w:hint="eastAsia"/>
          <w:color w:val="000000" w:themeColor="text1"/>
          <w:szCs w:val="24"/>
          <w14:textFill>
            <w14:solidFill>
              <w14:schemeClr w14:val="tx1"/>
            </w14:solidFill>
          </w14:textFill>
        </w:rPr>
        <w:t>类物资采取的策略：驻厂监造（原产地在国外的进口物资可采用关键控制点检验）。对公开招标后新引进的供应商所供重要设备材料（对产品质量或生产过程有直接影响、结构复杂、加工及装配精度高、材质特殊、制造周期长、造价高），均实行第三方监造，确保制造质量受控。应加大监造的管理，有驻厂监造的需不定期抽检。未安排驻厂监造的，应设置关键监造节点。对于重要设备已经委托的监造，应加大对铸件的监造和安排驻厂监造。</w:t>
      </w:r>
    </w:p>
    <w:p>
      <w:pPr>
        <w:pStyle w:val="149"/>
        <w:widowControl w:val="0"/>
        <w:numPr>
          <w:ilvl w:val="0"/>
          <w:numId w:val="32"/>
        </w:numPr>
        <w:tabs>
          <w:tab w:val="left" w:pos="1050"/>
        </w:tabs>
        <w:spacing w:line="240" w:lineRule="auto"/>
        <w:ind w:firstLineChars="0"/>
        <w:textAlignment w:val="auto"/>
        <w:rPr>
          <w:color w:val="000000" w:themeColor="text1"/>
          <w:szCs w:val="24"/>
          <w14:textFill>
            <w14:solidFill>
              <w14:schemeClr w14:val="tx1"/>
            </w14:solidFill>
          </w14:textFill>
        </w:rPr>
      </w:pPr>
      <w:r>
        <w:rPr>
          <w:color w:val="000000" w:themeColor="text1"/>
          <w:szCs w:val="24"/>
          <w14:textFill>
            <w14:solidFill>
              <w14:schemeClr w14:val="tx1"/>
            </w14:solidFill>
          </w14:textFill>
        </w:rPr>
        <w:t>B</w:t>
      </w:r>
      <w:r>
        <w:rPr>
          <w:rFonts w:hint="eastAsia"/>
          <w:color w:val="000000" w:themeColor="text1"/>
          <w:szCs w:val="24"/>
          <w14:textFill>
            <w14:solidFill>
              <w14:schemeClr w14:val="tx1"/>
            </w14:solidFill>
          </w14:textFill>
        </w:rPr>
        <w:t>类物资采取的策略：关键控制点检验、巡检、出厂检验及框架协议物资的监造。应组建专业技术团队，参加见证验收，应提高设备见证、验收频次，应做细制造环节质量管控工作，确保设备材料本质安全。</w:t>
      </w:r>
    </w:p>
    <w:p>
      <w:pPr>
        <w:pStyle w:val="99"/>
        <w:tabs>
          <w:tab w:val="left" w:pos="851"/>
        </w:tabs>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7</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5  </w:t>
      </w:r>
      <w:r>
        <w:rPr>
          <w:rFonts w:hint="eastAsia" w:ascii="Times New Roman"/>
          <w:color w:val="000000" w:themeColor="text1"/>
          <w:szCs w:val="24"/>
          <w14:textFill>
            <w14:solidFill>
              <w14:schemeClr w14:val="tx1"/>
            </w14:solidFill>
          </w14:textFill>
        </w:rPr>
        <w:t>包装与运输要求：</w:t>
      </w:r>
    </w:p>
    <w:p>
      <w:pPr>
        <w:pStyle w:val="149"/>
        <w:widowControl w:val="0"/>
        <w:numPr>
          <w:ilvl w:val="0"/>
          <w:numId w:val="33"/>
        </w:numPr>
        <w:autoSpaceDE w:val="0"/>
        <w:autoSpaceDN w:val="0"/>
        <w:adjustRightInd w:val="0"/>
        <w:spacing w:line="240" w:lineRule="auto"/>
        <w:ind w:firstLineChars="0"/>
        <w:textAlignment w:val="auto"/>
        <w:rPr>
          <w:color w:val="000000" w:themeColor="text1"/>
          <w:szCs w:val="24"/>
          <w14:textFill>
            <w14:solidFill>
              <w14:schemeClr w14:val="tx1"/>
            </w14:solidFill>
          </w14:textFill>
        </w:rPr>
      </w:pPr>
      <w:r>
        <w:rPr>
          <w:color w:val="000000" w:themeColor="text1"/>
          <w:szCs w:val="24"/>
          <w14:textFill>
            <w14:solidFill>
              <w14:schemeClr w14:val="tx1"/>
            </w14:solidFill>
          </w14:textFill>
        </w:rPr>
        <w:t>包装应确保</w:t>
      </w:r>
      <w:r>
        <w:rPr>
          <w:rFonts w:hint="eastAsia"/>
          <w:color w:val="000000" w:themeColor="text1"/>
          <w:szCs w:val="24"/>
          <w14:textFill>
            <w14:solidFill>
              <w14:schemeClr w14:val="tx1"/>
            </w14:solidFill>
          </w14:textFill>
        </w:rPr>
        <w:t>产品不受损伤、变质；</w:t>
      </w:r>
    </w:p>
    <w:p>
      <w:pPr>
        <w:pStyle w:val="149"/>
        <w:widowControl w:val="0"/>
        <w:numPr>
          <w:ilvl w:val="0"/>
          <w:numId w:val="33"/>
        </w:numPr>
        <w:autoSpaceDE w:val="0"/>
        <w:autoSpaceDN w:val="0"/>
        <w:adjustRightInd w:val="0"/>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供方应考虑运输过程中的震动、可能发生的碰撞对产品造成的影响，采取必要的防碰撞或震动措施。</w:t>
      </w:r>
    </w:p>
    <w:p>
      <w:pPr>
        <w:pStyle w:val="99"/>
        <w:tabs>
          <w:tab w:val="left" w:pos="851"/>
        </w:tabs>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7</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6  </w:t>
      </w:r>
      <w:r>
        <w:rPr>
          <w:rFonts w:ascii="Times New Roman"/>
          <w:color w:val="000000" w:themeColor="text1"/>
          <w:szCs w:val="24"/>
          <w14:textFill>
            <w14:solidFill>
              <w14:schemeClr w14:val="tx1"/>
            </w14:solidFill>
          </w14:textFill>
        </w:rPr>
        <w:t>到货验收质量控制</w:t>
      </w:r>
      <w:r>
        <w:rPr>
          <w:rFonts w:hint="eastAsia" w:ascii="Times New Roman"/>
          <w:color w:val="000000" w:themeColor="text1"/>
          <w:szCs w:val="24"/>
          <w14:textFill>
            <w14:solidFill>
              <w14:schemeClr w14:val="tx1"/>
            </w14:solidFill>
          </w14:textFill>
        </w:rPr>
        <w:t>要求：</w:t>
      </w:r>
    </w:p>
    <w:p>
      <w:pPr>
        <w:pStyle w:val="149"/>
        <w:widowControl w:val="0"/>
        <w:numPr>
          <w:ilvl w:val="0"/>
          <w:numId w:val="34"/>
        </w:numPr>
        <w:autoSpaceDE w:val="0"/>
        <w:autoSpaceDN w:val="0"/>
        <w:adjustRightInd w:val="0"/>
        <w:spacing w:line="240" w:lineRule="auto"/>
        <w:ind w:firstLineChars="0"/>
        <w:textAlignment w:val="auto"/>
        <w:rPr>
          <w:color w:val="000000" w:themeColor="text1"/>
          <w:szCs w:val="24"/>
          <w14:textFill>
            <w14:solidFill>
              <w14:schemeClr w14:val="tx1"/>
            </w14:solidFill>
          </w14:textFill>
        </w:rPr>
      </w:pPr>
      <w:r>
        <w:rPr>
          <w:color w:val="000000" w:themeColor="text1"/>
          <w:szCs w:val="24"/>
          <w14:textFill>
            <w14:solidFill>
              <w14:schemeClr w14:val="tx1"/>
            </w14:solidFill>
          </w14:textFill>
        </w:rPr>
        <w:t>验收应由项目相关方联合验收</w:t>
      </w:r>
      <w:r>
        <w:rPr>
          <w:rFonts w:hint="eastAsia"/>
          <w:color w:val="000000" w:themeColor="text1"/>
          <w:szCs w:val="24"/>
          <w14:textFill>
            <w14:solidFill>
              <w14:schemeClr w14:val="tx1"/>
            </w14:solidFill>
          </w14:textFill>
        </w:rPr>
        <w:t>；</w:t>
      </w:r>
    </w:p>
    <w:p>
      <w:pPr>
        <w:pStyle w:val="149"/>
        <w:widowControl w:val="0"/>
        <w:numPr>
          <w:ilvl w:val="0"/>
          <w:numId w:val="34"/>
        </w:numPr>
        <w:autoSpaceDE w:val="0"/>
        <w:autoSpaceDN w:val="0"/>
        <w:adjustRightInd w:val="0"/>
        <w:spacing w:line="240" w:lineRule="auto"/>
        <w:ind w:firstLineChars="0"/>
        <w:textAlignment w:val="auto"/>
        <w:rPr>
          <w:color w:val="000000" w:themeColor="text1"/>
          <w:szCs w:val="24"/>
          <w14:textFill>
            <w14:solidFill>
              <w14:schemeClr w14:val="tx1"/>
            </w14:solidFill>
          </w14:textFill>
        </w:rPr>
      </w:pPr>
      <w:r>
        <w:rPr>
          <w:color w:val="000000" w:themeColor="text1"/>
          <w:szCs w:val="24"/>
          <w14:textFill>
            <w14:solidFill>
              <w14:schemeClr w14:val="tx1"/>
            </w14:solidFill>
          </w14:textFill>
        </w:rPr>
        <w:t>验收应</w:t>
      </w:r>
      <w:r>
        <w:rPr>
          <w:rFonts w:hint="eastAsia"/>
          <w:color w:val="000000" w:themeColor="text1"/>
          <w:szCs w:val="24"/>
          <w14:textFill>
            <w14:solidFill>
              <w14:schemeClr w14:val="tx1"/>
            </w14:solidFill>
          </w14:textFill>
        </w:rPr>
        <w:t>依据设计文件对</w:t>
      </w:r>
      <w:r>
        <w:rPr>
          <w:color w:val="000000" w:themeColor="text1"/>
          <w:szCs w:val="24"/>
          <w14:textFill>
            <w14:solidFill>
              <w14:schemeClr w14:val="tx1"/>
            </w14:solidFill>
          </w14:textFill>
        </w:rPr>
        <w:t>所采购物资的型号、规格、尺寸及质量证明文件等进行复核，并做好物资验收后的标识移植与跟踪工作，防止错用。</w:t>
      </w:r>
      <w:r>
        <w:rPr>
          <w:rFonts w:hint="eastAsia"/>
          <w:color w:val="000000" w:themeColor="text1"/>
          <w:szCs w:val="24"/>
          <w14:textFill>
            <w14:solidFill>
              <w14:schemeClr w14:val="tx1"/>
            </w14:solidFill>
          </w14:textFill>
        </w:rPr>
        <w:t>对于不锈钢或合金钢等需要做材质分析、无损检测的按质量验收规范执行；</w:t>
      </w:r>
    </w:p>
    <w:p>
      <w:pPr>
        <w:pStyle w:val="149"/>
        <w:widowControl w:val="0"/>
        <w:numPr>
          <w:ilvl w:val="0"/>
          <w:numId w:val="34"/>
        </w:numPr>
        <w:autoSpaceDE w:val="0"/>
        <w:autoSpaceDN w:val="0"/>
        <w:adjustRightInd w:val="0"/>
        <w:spacing w:line="240" w:lineRule="auto"/>
        <w:ind w:firstLineChars="0"/>
        <w:textAlignment w:val="auto"/>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应建立材料质量信息化系统管理，实现物资管理可追溯。</w:t>
      </w:r>
    </w:p>
    <w:p>
      <w:pPr>
        <w:widowControl w:val="0"/>
        <w:spacing w:before="317" w:beforeLines="100" w:after="317" w:afterLines="100" w:line="240" w:lineRule="auto"/>
        <w:jc w:val="left"/>
        <w:textAlignment w:val="auto"/>
        <w:outlineLvl w:val="0"/>
        <w:rPr>
          <w:rFonts w:ascii="黑体" w:hAnsi="黑体" w:eastAsia="黑体"/>
          <w:color w:val="000000" w:themeColor="text1"/>
          <w:kern w:val="2"/>
          <w:szCs w:val="21"/>
          <w14:textFill>
            <w14:solidFill>
              <w14:schemeClr w14:val="tx1"/>
            </w14:solidFill>
          </w14:textFill>
        </w:rPr>
      </w:pPr>
      <w:bookmarkStart w:id="45" w:name="_Toc28003"/>
      <w:bookmarkStart w:id="46" w:name="_Toc118962025"/>
      <w:bookmarkStart w:id="47" w:name="_Toc112397398"/>
      <w:r>
        <w:rPr>
          <w:rFonts w:hint="eastAsia" w:ascii="黑体" w:hAnsi="黑体" w:eastAsia="黑体"/>
          <w:color w:val="000000" w:themeColor="text1"/>
          <w:kern w:val="2"/>
          <w:szCs w:val="21"/>
          <w14:textFill>
            <w14:solidFill>
              <w14:schemeClr w14:val="tx1"/>
            </w14:solidFill>
          </w14:textFill>
        </w:rPr>
        <w:t xml:space="preserve">8  </w:t>
      </w:r>
      <w:bookmarkEnd w:id="45"/>
      <w:bookmarkEnd w:id="46"/>
      <w:r>
        <w:rPr>
          <w:rFonts w:hint="eastAsia" w:ascii="黑体" w:hAnsi="黑体" w:eastAsia="黑体"/>
          <w:color w:val="000000" w:themeColor="text1"/>
          <w:kern w:val="2"/>
          <w:szCs w:val="21"/>
          <w14:textFill>
            <w14:solidFill>
              <w14:schemeClr w14:val="tx1"/>
            </w14:solidFill>
          </w14:textFill>
        </w:rPr>
        <w:t>施工质量管理</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48" w:name="_Toc118962026"/>
      <w:r>
        <w:rPr>
          <w:rFonts w:hint="eastAsia" w:ascii="黑体" w:eastAsia="黑体"/>
          <w:color w:val="000000" w:themeColor="text1"/>
          <w:kern w:val="2"/>
          <w:sz w:val="21"/>
          <w14:textFill>
            <w14:solidFill>
              <w14:schemeClr w14:val="tx1"/>
            </w14:solidFill>
          </w14:textFill>
        </w:rPr>
        <w:t xml:space="preserve">8.1 </w:t>
      </w:r>
      <w:r>
        <w:rPr>
          <w:rFonts w:ascii="黑体" w:eastAsia="黑体"/>
          <w:color w:val="000000" w:themeColor="text1"/>
          <w:kern w:val="2"/>
          <w:sz w:val="21"/>
          <w14:textFill>
            <w14:solidFill>
              <w14:schemeClr w14:val="tx1"/>
            </w14:solidFill>
          </w14:textFill>
        </w:rPr>
        <w:t xml:space="preserve"> </w:t>
      </w:r>
      <w:r>
        <w:rPr>
          <w:rFonts w:hint="eastAsia" w:ascii="黑体" w:eastAsia="黑体"/>
          <w:color w:val="000000" w:themeColor="text1"/>
          <w:kern w:val="2"/>
          <w:sz w:val="21"/>
          <w14:textFill>
            <w14:solidFill>
              <w14:schemeClr w14:val="tx1"/>
            </w14:solidFill>
          </w14:textFill>
        </w:rPr>
        <w:t>基本要求</w:t>
      </w:r>
      <w:bookmarkEnd w:id="48"/>
    </w:p>
    <w:p>
      <w:pPr>
        <w:pStyle w:val="99"/>
        <w:tabs>
          <w:tab w:val="left" w:pos="851"/>
        </w:tabs>
        <w:ind w:left="6"/>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8</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施工单位应具有石油化工工程施工总承包资质，资质等级应与所承担施工的工程项目相匹配。施工单位应取得质量管理体系认证。</w:t>
      </w:r>
    </w:p>
    <w:p>
      <w:pPr>
        <w:pStyle w:val="99"/>
        <w:tabs>
          <w:tab w:val="left" w:pos="851"/>
        </w:tabs>
        <w:ind w:left="6"/>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8</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2  </w:t>
      </w:r>
      <w:r>
        <w:rPr>
          <w:rFonts w:hint="eastAsia" w:ascii="Times New Roman"/>
          <w:color w:val="000000" w:themeColor="text1"/>
          <w:szCs w:val="24"/>
          <w14:textFill>
            <w14:solidFill>
              <w14:schemeClr w14:val="tx1"/>
            </w14:solidFill>
          </w14:textFill>
        </w:rPr>
        <w:t>工程开工前应组织设计交底，由</w:t>
      </w:r>
      <w:r>
        <w:rPr>
          <w:rFonts w:ascii="Times New Roman"/>
          <w:color w:val="000000" w:themeColor="text1"/>
          <w:szCs w:val="24"/>
          <w14:textFill>
            <w14:solidFill>
              <w14:schemeClr w14:val="tx1"/>
            </w14:solidFill>
          </w14:textFill>
        </w:rPr>
        <w:t>设计单位、</w:t>
      </w:r>
      <w:r>
        <w:rPr>
          <w:rFonts w:hint="eastAsia" w:ascii="Times New Roman"/>
          <w:color w:val="000000" w:themeColor="text1"/>
          <w:szCs w:val="24"/>
          <w14:textFill>
            <w14:solidFill>
              <w14:schemeClr w14:val="tx1"/>
            </w14:solidFill>
          </w14:textFill>
        </w:rPr>
        <w:t>建设</w:t>
      </w:r>
      <w:r>
        <w:rPr>
          <w:rFonts w:ascii="Times New Roman"/>
          <w:color w:val="000000" w:themeColor="text1"/>
          <w:szCs w:val="24"/>
          <w14:textFill>
            <w14:solidFill>
              <w14:schemeClr w14:val="tx1"/>
            </w14:solidFill>
          </w14:textFill>
        </w:rPr>
        <w:t>单位、施工单位</w:t>
      </w:r>
      <w:r>
        <w:rPr>
          <w:rFonts w:hint="eastAsia" w:ascii="Times New Roman"/>
          <w:color w:val="000000" w:themeColor="text1"/>
          <w:szCs w:val="24"/>
          <w14:textFill>
            <w14:solidFill>
              <w14:schemeClr w14:val="tx1"/>
            </w14:solidFill>
          </w14:textFill>
        </w:rPr>
        <w:t>、</w:t>
      </w:r>
      <w:r>
        <w:rPr>
          <w:rFonts w:ascii="Times New Roman"/>
          <w:color w:val="000000" w:themeColor="text1"/>
          <w:szCs w:val="24"/>
          <w14:textFill>
            <w14:solidFill>
              <w14:schemeClr w14:val="tx1"/>
            </w14:solidFill>
          </w14:textFill>
        </w:rPr>
        <w:t>监理单位等相关方</w:t>
      </w:r>
      <w:r>
        <w:rPr>
          <w:rFonts w:hint="eastAsia" w:ascii="Times New Roman"/>
          <w:color w:val="000000" w:themeColor="text1"/>
          <w:szCs w:val="24"/>
          <w14:textFill>
            <w14:solidFill>
              <w14:schemeClr w14:val="tx1"/>
            </w14:solidFill>
          </w14:textFill>
        </w:rPr>
        <w:t>共同</w:t>
      </w:r>
      <w:r>
        <w:rPr>
          <w:rFonts w:ascii="Times New Roman"/>
          <w:color w:val="000000" w:themeColor="text1"/>
          <w:szCs w:val="24"/>
          <w14:textFill>
            <w14:solidFill>
              <w14:schemeClr w14:val="tx1"/>
            </w14:solidFill>
          </w14:textFill>
        </w:rPr>
        <w:t>参加，</w:t>
      </w:r>
      <w:r>
        <w:rPr>
          <w:rFonts w:hint="eastAsia" w:ascii="Times New Roman"/>
          <w:color w:val="000000" w:themeColor="text1"/>
          <w:szCs w:val="24"/>
          <w14:textFill>
            <w14:solidFill>
              <w14:schemeClr w14:val="tx1"/>
            </w14:solidFill>
          </w14:textFill>
        </w:rPr>
        <w:t>应了解项目工艺特点和质量要求。分析施工质量保证的重点部位和环节，提出重点管控措施。</w:t>
      </w:r>
    </w:p>
    <w:p>
      <w:pPr>
        <w:pStyle w:val="99"/>
        <w:tabs>
          <w:tab w:val="left" w:pos="851"/>
        </w:tabs>
        <w:ind w:left="6"/>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8</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3  </w:t>
      </w:r>
      <w:r>
        <w:rPr>
          <w:rFonts w:hint="eastAsia" w:ascii="Times New Roman"/>
          <w:color w:val="000000" w:themeColor="text1"/>
          <w:szCs w:val="24"/>
          <w14:textFill>
            <w14:solidFill>
              <w14:schemeClr w14:val="tx1"/>
            </w14:solidFill>
          </w14:textFill>
        </w:rPr>
        <w:t>施工方案应经过生产经营单位专业管理部门负责人或其授权的技术负责人审核。</w:t>
      </w:r>
    </w:p>
    <w:p>
      <w:pPr>
        <w:pStyle w:val="99"/>
        <w:tabs>
          <w:tab w:val="left" w:pos="851"/>
        </w:tabs>
        <w:ind w:left="6"/>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8</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4  </w:t>
      </w:r>
      <w:r>
        <w:rPr>
          <w:rFonts w:hint="eastAsia" w:ascii="Times New Roman"/>
          <w:color w:val="000000" w:themeColor="text1"/>
          <w:szCs w:val="24"/>
          <w14:textFill>
            <w14:solidFill>
              <w14:schemeClr w14:val="tx1"/>
            </w14:solidFill>
          </w14:textFill>
        </w:rPr>
        <w:t>电焊工、起重工、电工等所有参与液化烃储罐区施工的人员，应取得与所从事工作相应的特种资格认证。</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49" w:name="_Toc118962027"/>
      <w:r>
        <w:rPr>
          <w:rFonts w:hint="eastAsia" w:ascii="黑体" w:eastAsia="黑体"/>
          <w:color w:val="000000" w:themeColor="text1"/>
          <w:kern w:val="2"/>
          <w:sz w:val="21"/>
          <w14:textFill>
            <w14:solidFill>
              <w14:schemeClr w14:val="tx1"/>
            </w14:solidFill>
          </w14:textFill>
        </w:rPr>
        <w:t>8.2</w:t>
      </w:r>
      <w:r>
        <w:rPr>
          <w:rFonts w:ascii="黑体" w:eastAsia="黑体"/>
          <w:color w:val="000000" w:themeColor="text1"/>
          <w:kern w:val="2"/>
          <w:sz w:val="21"/>
          <w14:textFill>
            <w14:solidFill>
              <w14:schemeClr w14:val="tx1"/>
            </w14:solidFill>
          </w14:textFill>
        </w:rPr>
        <w:t xml:space="preserve"> </w:t>
      </w:r>
      <w:r>
        <w:rPr>
          <w:rFonts w:hint="eastAsia" w:ascii="黑体" w:eastAsia="黑体"/>
          <w:color w:val="000000" w:themeColor="text1"/>
          <w:kern w:val="2"/>
          <w:sz w:val="21"/>
          <w14:textFill>
            <w14:solidFill>
              <w14:schemeClr w14:val="tx1"/>
            </w14:solidFill>
          </w14:textFill>
        </w:rPr>
        <w:t xml:space="preserve"> 技术准备</w:t>
      </w:r>
      <w:bookmarkEnd w:id="49"/>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8.</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施工单位应在前期策划阶段，将可能影响储罐区安全运行的因素在施工组织设计中予以明确，包括但不限于：</w:t>
      </w:r>
    </w:p>
    <w:p>
      <w:pPr>
        <w:pStyle w:val="71"/>
        <w:keepNext w:val="0"/>
        <w:keepLines w:val="0"/>
        <w:pageBreakBefore w:val="0"/>
        <w:widowControl/>
        <w:numPr>
          <w:ilvl w:val="0"/>
          <w:numId w:val="35"/>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防雷设施与接地网的施工顺序及保护措施；</w:t>
      </w:r>
    </w:p>
    <w:p>
      <w:pPr>
        <w:pStyle w:val="71"/>
        <w:keepNext w:val="0"/>
        <w:keepLines w:val="0"/>
        <w:pageBreakBefore w:val="0"/>
        <w:widowControl/>
        <w:numPr>
          <w:ilvl w:val="0"/>
          <w:numId w:val="35"/>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储罐安装的施工工艺要求；</w:t>
      </w:r>
    </w:p>
    <w:p>
      <w:pPr>
        <w:pStyle w:val="71"/>
        <w:keepNext w:val="0"/>
        <w:keepLines w:val="0"/>
        <w:pageBreakBefore w:val="0"/>
        <w:widowControl/>
        <w:numPr>
          <w:ilvl w:val="0"/>
          <w:numId w:val="35"/>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受原有罐区在役运行影响的作业许可要求、隔离措施、应急处置措施；</w:t>
      </w:r>
    </w:p>
    <w:p>
      <w:pPr>
        <w:pStyle w:val="71"/>
        <w:keepNext w:val="0"/>
        <w:keepLines w:val="0"/>
        <w:pageBreakBefore w:val="0"/>
        <w:widowControl/>
        <w:numPr>
          <w:ilvl w:val="0"/>
          <w:numId w:val="35"/>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极端天气影响下的质量控制应急处置措施；</w:t>
      </w:r>
    </w:p>
    <w:p>
      <w:pPr>
        <w:pStyle w:val="71"/>
        <w:keepNext w:val="0"/>
        <w:keepLines w:val="0"/>
        <w:pageBreakBefore w:val="0"/>
        <w:widowControl/>
        <w:numPr>
          <w:ilvl w:val="0"/>
          <w:numId w:val="35"/>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根据设计要求确定预期目标，辨识施工阶段的质量风险并制定相应措施。</w:t>
      </w:r>
    </w:p>
    <w:p>
      <w:pPr>
        <w:keepNext w:val="0"/>
        <w:keepLines w:val="0"/>
        <w:pageBreakBefore w:val="0"/>
        <w:widowControl/>
        <w:kinsoku/>
        <w:wordWrap/>
        <w:overflowPunct/>
        <w:topLinePunct w:val="0"/>
        <w:bidi w:val="0"/>
        <w:adjustRightInd/>
        <w:snapToGrid/>
        <w:spacing w:line="240" w:lineRule="auto"/>
        <w:jc w:val="left"/>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8.2.2  </w:t>
      </w:r>
      <w:r>
        <w:rPr>
          <w:rFonts w:hint="eastAsia"/>
          <w:color w:val="000000" w:themeColor="text1"/>
          <w:szCs w:val="24"/>
          <w14:textFill>
            <w14:solidFill>
              <w14:schemeClr w14:val="tx1"/>
            </w14:solidFill>
          </w14:textFill>
        </w:rPr>
        <w:t>施工单位应在前期策划阶段组织相关人员对施工阶段安全风险进行辨识、确定相应控制措施并在施工组织设计中予以明确。</w:t>
      </w:r>
    </w:p>
    <w:p>
      <w:pPr>
        <w:keepNext w:val="0"/>
        <w:keepLines w:val="0"/>
        <w:pageBreakBefore w:val="0"/>
        <w:widowControl/>
        <w:kinsoku/>
        <w:wordWrap/>
        <w:overflowPunct/>
        <w:topLinePunct w:val="0"/>
        <w:bidi w:val="0"/>
        <w:adjustRightInd/>
        <w:snapToGrid/>
        <w:spacing w:line="240" w:lineRule="auto"/>
        <w:jc w:val="left"/>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8.2.3  </w:t>
      </w:r>
      <w:r>
        <w:rPr>
          <w:rFonts w:hint="eastAsia"/>
          <w:color w:val="000000" w:themeColor="text1"/>
          <w:szCs w:val="24"/>
          <w14:textFill>
            <w14:solidFill>
              <w14:schemeClr w14:val="tx1"/>
            </w14:solidFill>
          </w14:textFill>
        </w:rPr>
        <w:t>施工单位应在编制施工组织设计之后，将可能影响储罐区安全运行的质量风险因素进行评估，并通过制订风险控制措施（方案）予以明确，包括但不限于：</w:t>
      </w:r>
    </w:p>
    <w:p>
      <w:pPr>
        <w:pStyle w:val="71"/>
        <w:keepNext w:val="0"/>
        <w:keepLines w:val="0"/>
        <w:pageBreakBefore w:val="0"/>
        <w:widowControl/>
        <w:numPr>
          <w:ilvl w:val="0"/>
          <w:numId w:val="36"/>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焊接工艺规程；</w:t>
      </w:r>
    </w:p>
    <w:p>
      <w:pPr>
        <w:pStyle w:val="71"/>
        <w:keepNext w:val="0"/>
        <w:keepLines w:val="0"/>
        <w:pageBreakBefore w:val="0"/>
        <w:widowControl/>
        <w:numPr>
          <w:ilvl w:val="0"/>
          <w:numId w:val="36"/>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装配工艺要求；</w:t>
      </w:r>
    </w:p>
    <w:p>
      <w:pPr>
        <w:pStyle w:val="71"/>
        <w:keepNext w:val="0"/>
        <w:keepLines w:val="0"/>
        <w:pageBreakBefore w:val="0"/>
        <w:widowControl/>
        <w:numPr>
          <w:ilvl w:val="0"/>
          <w:numId w:val="36"/>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质量检验计划；</w:t>
      </w:r>
    </w:p>
    <w:p>
      <w:pPr>
        <w:pStyle w:val="71"/>
        <w:keepNext w:val="0"/>
        <w:keepLines w:val="0"/>
        <w:pageBreakBefore w:val="0"/>
        <w:widowControl/>
        <w:numPr>
          <w:ilvl w:val="0"/>
          <w:numId w:val="36"/>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施工作业计划；</w:t>
      </w:r>
    </w:p>
    <w:p>
      <w:pPr>
        <w:pStyle w:val="71"/>
        <w:keepNext w:val="0"/>
        <w:keepLines w:val="0"/>
        <w:pageBreakBefore w:val="0"/>
        <w:widowControl/>
        <w:numPr>
          <w:ilvl w:val="0"/>
          <w:numId w:val="36"/>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耐压试验、气密性试验和充氮保护要求；</w:t>
      </w:r>
    </w:p>
    <w:p>
      <w:pPr>
        <w:pStyle w:val="71"/>
        <w:keepNext w:val="0"/>
        <w:keepLines w:val="0"/>
        <w:pageBreakBefore w:val="0"/>
        <w:widowControl/>
        <w:numPr>
          <w:ilvl w:val="0"/>
          <w:numId w:val="36"/>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施工过程中涉及固废、危废等处理要求。</w:t>
      </w:r>
    </w:p>
    <w:p>
      <w:pPr>
        <w:keepNext w:val="0"/>
        <w:keepLines w:val="0"/>
        <w:pageBreakBefore w:val="0"/>
        <w:widowControl/>
        <w:kinsoku/>
        <w:wordWrap/>
        <w:overflowPunct/>
        <w:topLinePunct w:val="0"/>
        <w:bidi w:val="0"/>
        <w:adjustRightInd/>
        <w:snapToGrid/>
        <w:spacing w:line="240" w:lineRule="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8.2.4  </w:t>
      </w:r>
      <w:r>
        <w:rPr>
          <w:rFonts w:hint="eastAsia"/>
          <w:color w:val="000000" w:themeColor="text1"/>
          <w:szCs w:val="24"/>
          <w14:textFill>
            <w14:solidFill>
              <w14:schemeClr w14:val="tx1"/>
            </w14:solidFill>
          </w14:textFill>
        </w:rPr>
        <w:t>焊接工艺评定应符合设计文件和标准规范要求，经过施工单位技术负责人批准；焊接工艺参数应具有约束性和指导性。</w:t>
      </w:r>
    </w:p>
    <w:p>
      <w:pPr>
        <w:keepNext w:val="0"/>
        <w:keepLines w:val="0"/>
        <w:pageBreakBefore w:val="0"/>
        <w:widowControl/>
        <w:kinsoku/>
        <w:wordWrap/>
        <w:overflowPunct/>
        <w:topLinePunct w:val="0"/>
        <w:bidi w:val="0"/>
        <w:adjustRightInd/>
        <w:snapToGrid/>
        <w:spacing w:line="240" w:lineRule="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8.2.5  </w:t>
      </w:r>
      <w:r>
        <w:rPr>
          <w:rFonts w:hint="eastAsia"/>
          <w:color w:val="000000" w:themeColor="text1"/>
          <w:szCs w:val="24"/>
          <w14:textFill>
            <w14:solidFill>
              <w14:schemeClr w14:val="tx1"/>
            </w14:solidFill>
          </w14:textFill>
        </w:rPr>
        <w:t>装配工艺应符合以下规定：</w:t>
      </w:r>
    </w:p>
    <w:p>
      <w:pPr>
        <w:pStyle w:val="71"/>
        <w:keepNext w:val="0"/>
        <w:keepLines w:val="0"/>
        <w:pageBreakBefore w:val="0"/>
        <w:widowControl/>
        <w:numPr>
          <w:ilvl w:val="0"/>
          <w:numId w:val="37"/>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组装间隙范围符合设计要求；</w:t>
      </w:r>
    </w:p>
    <w:p>
      <w:pPr>
        <w:pStyle w:val="71"/>
        <w:keepNext w:val="0"/>
        <w:keepLines w:val="0"/>
        <w:pageBreakBefore w:val="0"/>
        <w:widowControl/>
        <w:numPr>
          <w:ilvl w:val="0"/>
          <w:numId w:val="37"/>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考虑避免强力装配和部件变形的措施；</w:t>
      </w:r>
    </w:p>
    <w:p>
      <w:pPr>
        <w:pStyle w:val="71"/>
        <w:keepNext w:val="0"/>
        <w:keepLines w:val="0"/>
        <w:pageBreakBefore w:val="0"/>
        <w:widowControl/>
        <w:numPr>
          <w:ilvl w:val="0"/>
          <w:numId w:val="37"/>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矫正措施，不应改变母材性质，避免减薄、损伤或局部应力集中；</w:t>
      </w:r>
    </w:p>
    <w:p>
      <w:pPr>
        <w:pStyle w:val="71"/>
        <w:keepNext w:val="0"/>
        <w:keepLines w:val="0"/>
        <w:pageBreakBefore w:val="0"/>
        <w:widowControl/>
        <w:numPr>
          <w:ilvl w:val="0"/>
          <w:numId w:val="37"/>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焊接顺序，同时应视作防止焊接变形和应力集中的措施。</w:t>
      </w:r>
    </w:p>
    <w:p>
      <w:pPr>
        <w:keepNext w:val="0"/>
        <w:keepLines w:val="0"/>
        <w:pageBreakBefore w:val="0"/>
        <w:widowControl/>
        <w:kinsoku/>
        <w:wordWrap/>
        <w:overflowPunct/>
        <w:topLinePunct w:val="0"/>
        <w:bidi w:val="0"/>
        <w:adjustRightInd/>
        <w:snapToGrid/>
        <w:spacing w:line="240" w:lineRule="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8.2.6  </w:t>
      </w:r>
      <w:r>
        <w:rPr>
          <w:rFonts w:hint="eastAsia"/>
          <w:color w:val="000000" w:themeColor="text1"/>
          <w:szCs w:val="24"/>
          <w14:textFill>
            <w14:solidFill>
              <w14:schemeClr w14:val="tx1"/>
            </w14:solidFill>
          </w14:textFill>
        </w:rPr>
        <w:t>质量检验计划应符合以下规定：</w:t>
      </w:r>
    </w:p>
    <w:p>
      <w:pPr>
        <w:pStyle w:val="71"/>
        <w:keepNext w:val="0"/>
        <w:keepLines w:val="0"/>
        <w:pageBreakBefore w:val="0"/>
        <w:widowControl/>
        <w:numPr>
          <w:ilvl w:val="0"/>
          <w:numId w:val="38"/>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应确保关键工艺过程（重大质量风险因素）的全过程见证，其他过程可采取相应方法进行补充验证；</w:t>
      </w:r>
    </w:p>
    <w:p>
      <w:pPr>
        <w:pStyle w:val="71"/>
        <w:keepNext w:val="0"/>
        <w:keepLines w:val="0"/>
        <w:pageBreakBefore w:val="0"/>
        <w:widowControl/>
        <w:numPr>
          <w:ilvl w:val="0"/>
          <w:numId w:val="38"/>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焊接施工严格执行焊接工艺规程，焊接质量（</w:t>
      </w:r>
      <w:r>
        <w:rPr>
          <w:rFonts w:hint="eastAsia" w:ascii="Times New Roman"/>
          <w:szCs w:val="24"/>
        </w:rPr>
        <w:t>包括低温罐和管道</w:t>
      </w:r>
      <w:r>
        <w:rPr>
          <w:rFonts w:hint="eastAsia" w:ascii="Times New Roman"/>
          <w:color w:val="000000" w:themeColor="text1"/>
          <w:szCs w:val="24"/>
          <w14:textFill>
            <w14:solidFill>
              <w14:schemeClr w14:val="tx1"/>
            </w14:solidFill>
          </w14:textFill>
        </w:rPr>
        <w:t>）应满足设计要求。</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50" w:name="_Toc118962028"/>
      <w:r>
        <w:rPr>
          <w:rFonts w:hint="eastAsia" w:ascii="黑体" w:eastAsia="黑体"/>
          <w:color w:val="000000" w:themeColor="text1"/>
          <w:kern w:val="2"/>
          <w:sz w:val="21"/>
          <w14:textFill>
            <w14:solidFill>
              <w14:schemeClr w14:val="tx1"/>
            </w14:solidFill>
          </w14:textFill>
        </w:rPr>
        <w:t>8.3</w:t>
      </w:r>
      <w:r>
        <w:rPr>
          <w:rFonts w:ascii="黑体" w:eastAsia="黑体"/>
          <w:color w:val="000000" w:themeColor="text1"/>
          <w:kern w:val="2"/>
          <w:sz w:val="21"/>
          <w14:textFill>
            <w14:solidFill>
              <w14:schemeClr w14:val="tx1"/>
            </w14:solidFill>
          </w14:textFill>
        </w:rPr>
        <w:t xml:space="preserve"> </w:t>
      </w:r>
      <w:r>
        <w:rPr>
          <w:rFonts w:hint="eastAsia" w:ascii="黑体" w:eastAsia="黑体"/>
          <w:color w:val="000000" w:themeColor="text1"/>
          <w:kern w:val="2"/>
          <w:sz w:val="21"/>
          <w14:textFill>
            <w14:solidFill>
              <w14:schemeClr w14:val="tx1"/>
            </w14:solidFill>
          </w14:textFill>
        </w:rPr>
        <w:t xml:space="preserve"> 材料和设备验收</w:t>
      </w:r>
      <w:bookmarkEnd w:id="50"/>
    </w:p>
    <w:p>
      <w:pPr>
        <w:pStyle w:val="71"/>
        <w:numPr>
          <w:ilvl w:val="255"/>
          <w:numId w:val="0"/>
        </w:numPr>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8.</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用于工程实体的材料、半成品及成品进场时，应检查其规格、型号、外观和质量证明文件，有复验要求的材料应按国家现行有关标准的规定和设计文件的要求进行复验，合格后方能使用。并满足以下要求：</w:t>
      </w:r>
    </w:p>
    <w:p>
      <w:pPr>
        <w:pStyle w:val="71"/>
        <w:numPr>
          <w:ilvl w:val="0"/>
          <w:numId w:val="39"/>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承压部件应核对质量证明文件与到货材料的符合性；</w:t>
      </w:r>
    </w:p>
    <w:p>
      <w:pPr>
        <w:pStyle w:val="71"/>
        <w:numPr>
          <w:ilvl w:val="0"/>
          <w:numId w:val="39"/>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不锈钢或合金钢材料应按设计要求进行光谱检验与分析；</w:t>
      </w:r>
    </w:p>
    <w:p>
      <w:pPr>
        <w:pStyle w:val="71"/>
        <w:numPr>
          <w:ilvl w:val="0"/>
          <w:numId w:val="39"/>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所有板材、管件等不应有表面可视缺陷；</w:t>
      </w:r>
    </w:p>
    <w:p>
      <w:pPr>
        <w:pStyle w:val="71"/>
        <w:numPr>
          <w:ilvl w:val="0"/>
          <w:numId w:val="39"/>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螺柱和垫片应符合设计文件的要求，现场应核对厂家螺柱和垫片质量证明文件，检查到货材料与设计文件的一致性；</w:t>
      </w:r>
    </w:p>
    <w:p>
      <w:pPr>
        <w:pStyle w:val="71"/>
        <w:numPr>
          <w:ilvl w:val="0"/>
          <w:numId w:val="39"/>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阀门型式与规格应逐一核实，安装前进行现场1</w:t>
      </w:r>
      <w:r>
        <w:rPr>
          <w:rFonts w:ascii="Times New Roman"/>
          <w:color w:val="000000" w:themeColor="text1"/>
          <w:szCs w:val="24"/>
          <w14:textFill>
            <w14:solidFill>
              <w14:schemeClr w14:val="tx1"/>
            </w14:solidFill>
          </w14:textFill>
        </w:rPr>
        <w:t>00%</w:t>
      </w:r>
      <w:r>
        <w:rPr>
          <w:rFonts w:hint="eastAsia" w:ascii="Times New Roman"/>
          <w:color w:val="000000" w:themeColor="text1"/>
          <w:szCs w:val="24"/>
          <w14:textFill>
            <w14:solidFill>
              <w14:schemeClr w14:val="tx1"/>
            </w14:solidFill>
          </w14:textFill>
        </w:rPr>
        <w:t>试压检漏；</w:t>
      </w:r>
    </w:p>
    <w:p>
      <w:pPr>
        <w:pStyle w:val="71"/>
        <w:numPr>
          <w:ilvl w:val="0"/>
          <w:numId w:val="39"/>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仪表设备应逐一检查厂家提供的测试报告，安装前对温度、压力和液位变送器校验其准确度。</w:t>
      </w:r>
    </w:p>
    <w:p>
      <w:pPr>
        <w:pStyle w:val="71"/>
        <w:numPr>
          <w:ilvl w:val="255"/>
          <w:numId w:val="0"/>
        </w:numPr>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8.</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2  </w:t>
      </w:r>
      <w:r>
        <w:rPr>
          <w:rFonts w:hint="eastAsia" w:ascii="Times New Roman"/>
          <w:color w:val="000000" w:themeColor="text1"/>
          <w:szCs w:val="24"/>
          <w14:textFill>
            <w14:solidFill>
              <w14:schemeClr w14:val="tx1"/>
            </w14:solidFill>
          </w14:textFill>
        </w:rPr>
        <w:t>库存物资除应符合</w:t>
      </w:r>
      <w:r>
        <w:rPr>
          <w:rFonts w:ascii="Times New Roman"/>
          <w:color w:val="000000" w:themeColor="text1"/>
          <w:szCs w:val="24"/>
          <w14:textFill>
            <w14:solidFill>
              <w14:schemeClr w14:val="tx1"/>
            </w14:solidFill>
          </w14:textFill>
        </w:rPr>
        <w:t>8.3.1</w:t>
      </w:r>
      <w:r>
        <w:rPr>
          <w:rFonts w:hint="eastAsia" w:ascii="Times New Roman"/>
          <w:color w:val="000000" w:themeColor="text1"/>
          <w:szCs w:val="24"/>
          <w14:textFill>
            <w14:solidFill>
              <w14:schemeClr w14:val="tx1"/>
            </w14:solidFill>
          </w14:textFill>
        </w:rPr>
        <w:t>的要求外，还应核对质量证明文件，保证质量证明文件与库存物资一致，不能证明其一致性的，应进行验证性复验，复验合格方可使用。</w:t>
      </w:r>
    </w:p>
    <w:p>
      <w:pPr>
        <w:pStyle w:val="71"/>
        <w:numPr>
          <w:ilvl w:val="255"/>
          <w:numId w:val="0"/>
        </w:numPr>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8.</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3  </w:t>
      </w:r>
      <w:r>
        <w:rPr>
          <w:rFonts w:hint="eastAsia" w:ascii="Times New Roman"/>
          <w:color w:val="000000" w:themeColor="text1"/>
          <w:szCs w:val="24"/>
          <w14:textFill>
            <w14:solidFill>
              <w14:schemeClr w14:val="tx1"/>
            </w14:solidFill>
          </w14:textFill>
        </w:rPr>
        <w:t>焊接材料应具有质量证明文件，按设计要求进行复验，复验项目的技术指标应符合设计文件、焊材订货技术协议的要求。</w:t>
      </w:r>
    </w:p>
    <w:p>
      <w:pPr>
        <w:pStyle w:val="71"/>
        <w:numPr>
          <w:ilvl w:val="255"/>
          <w:numId w:val="0"/>
        </w:numPr>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8.</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4  </w:t>
      </w:r>
      <w:r>
        <w:rPr>
          <w:rFonts w:hint="eastAsia" w:ascii="Times New Roman"/>
          <w:color w:val="000000" w:themeColor="text1"/>
          <w:szCs w:val="24"/>
          <w14:textFill>
            <w14:solidFill>
              <w14:schemeClr w14:val="tx1"/>
            </w14:solidFill>
          </w14:textFill>
        </w:rPr>
        <w:t>绝热材料和防潮层材料应为阻燃型，氧指数不应小于30。</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51" w:name="_Toc118962030"/>
      <w:r>
        <w:rPr>
          <w:rFonts w:hint="eastAsia" w:ascii="黑体" w:eastAsia="黑体"/>
          <w:color w:val="000000" w:themeColor="text1"/>
          <w:kern w:val="2"/>
          <w:sz w:val="21"/>
          <w14:textFill>
            <w14:solidFill>
              <w14:schemeClr w14:val="tx1"/>
            </w14:solidFill>
          </w14:textFill>
        </w:rPr>
        <w:t>8.</w:t>
      </w:r>
      <w:r>
        <w:rPr>
          <w:rFonts w:ascii="黑体" w:eastAsia="黑体"/>
          <w:color w:val="000000" w:themeColor="text1"/>
          <w:kern w:val="2"/>
          <w:sz w:val="21"/>
          <w14:textFill>
            <w14:solidFill>
              <w14:schemeClr w14:val="tx1"/>
            </w14:solidFill>
          </w14:textFill>
        </w:rPr>
        <w:t>4</w:t>
      </w:r>
      <w:r>
        <w:rPr>
          <w:rFonts w:hint="eastAsia" w:ascii="黑体" w:eastAsia="黑体"/>
          <w:color w:val="000000" w:themeColor="text1"/>
          <w:kern w:val="2"/>
          <w:sz w:val="21"/>
          <w14:textFill>
            <w14:solidFill>
              <w14:schemeClr w14:val="tx1"/>
            </w14:solidFill>
          </w14:textFill>
        </w:rPr>
        <w:t xml:space="preserve"> </w:t>
      </w:r>
      <w:r>
        <w:rPr>
          <w:rFonts w:ascii="黑体" w:eastAsia="黑体"/>
          <w:color w:val="000000" w:themeColor="text1"/>
          <w:kern w:val="2"/>
          <w:sz w:val="21"/>
          <w14:textFill>
            <w14:solidFill>
              <w14:schemeClr w14:val="tx1"/>
            </w14:solidFill>
          </w14:textFill>
        </w:rPr>
        <w:t xml:space="preserve"> </w:t>
      </w:r>
      <w:r>
        <w:rPr>
          <w:rFonts w:hint="eastAsia" w:ascii="黑体" w:eastAsia="黑体"/>
          <w:color w:val="000000" w:themeColor="text1"/>
          <w:kern w:val="2"/>
          <w:sz w:val="21"/>
          <w14:textFill>
            <w14:solidFill>
              <w14:schemeClr w14:val="tx1"/>
            </w14:solidFill>
          </w14:textFill>
        </w:rPr>
        <w:t>施工质量及验收</w:t>
      </w:r>
      <w:bookmarkEnd w:id="51"/>
    </w:p>
    <w:p>
      <w:pPr>
        <w:pStyle w:val="99"/>
        <w:numPr>
          <w:ilvl w:val="255"/>
          <w:numId w:val="0"/>
        </w:numPr>
        <w:tabs>
          <w:tab w:val="left" w:pos="851"/>
        </w:tabs>
        <w:ind w:left="6"/>
        <w:jc w:val="both"/>
        <w:outlineLvl w:val="9"/>
        <w:rPr>
          <w:rFonts w:ascii="黑体" w:hAnsi="黑体" w:eastAsia="黑体"/>
          <w:color w:val="000000" w:themeColor="text1"/>
          <w:u w:color="000000"/>
          <w14:textFill>
            <w14:solidFill>
              <w14:schemeClr w14:val="tx1"/>
            </w14:solidFill>
          </w14:textFill>
        </w:rPr>
      </w:pPr>
      <w:r>
        <w:rPr>
          <w:rFonts w:ascii="黑体" w:hAnsi="黑体" w:eastAsia="黑体"/>
          <w:color w:val="000000" w:themeColor="text1"/>
          <w:u w:color="000000"/>
          <w14:textFill>
            <w14:solidFill>
              <w14:schemeClr w14:val="tx1"/>
            </w14:solidFill>
          </w14:textFill>
        </w:rPr>
        <w:t xml:space="preserve">8.4.1  </w:t>
      </w:r>
      <w:r>
        <w:rPr>
          <w:rFonts w:hint="eastAsia" w:ascii="Times New Roman"/>
          <w:color w:val="000000" w:themeColor="text1"/>
          <w:szCs w:val="24"/>
          <w14:textFill>
            <w14:solidFill>
              <w14:schemeClr w14:val="tx1"/>
            </w14:solidFill>
          </w14:textFill>
        </w:rPr>
        <w:t>球形储罐热处理及气压试验应编制专项方案，并应经施工单位技术负责人批准。气压试验应设置两个或两个以上的紧急泄放装置。</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szCs w:val="21"/>
          <w:u w:color="000000"/>
          <w14:textFill>
            <w14:solidFill>
              <w14:schemeClr w14:val="tx1"/>
            </w14:solidFill>
          </w14:textFill>
        </w:rPr>
        <w:t>8.4.2</w:t>
      </w:r>
      <w:r>
        <w:rPr>
          <w:rFonts w:ascii="Times New Roman"/>
          <w:color w:val="000000" w:themeColor="text1"/>
          <w:szCs w:val="24"/>
          <w14:textFill>
            <w14:solidFill>
              <w14:schemeClr w14:val="tx1"/>
            </w14:solidFill>
          </w14:textFill>
        </w:rPr>
        <w:t xml:space="preserve">  </w:t>
      </w:r>
      <w:r>
        <w:rPr>
          <w:rFonts w:hint="eastAsia" w:ascii="Times New Roman"/>
          <w:color w:val="000000" w:themeColor="text1"/>
          <w:szCs w:val="24"/>
          <w14:textFill>
            <w14:solidFill>
              <w14:schemeClr w14:val="tx1"/>
            </w14:solidFill>
          </w14:textFill>
        </w:rPr>
        <w:t>球形储罐应进行耐压试验，在液压试验期间应进行基础沉降观测，沉降观测结果符合</w:t>
      </w:r>
      <w:r>
        <w:rPr>
          <w:rFonts w:ascii="Times New Roman"/>
          <w:color w:val="000000" w:themeColor="text1"/>
          <w:szCs w:val="24"/>
          <w14:textFill>
            <w14:solidFill>
              <w14:schemeClr w14:val="tx1"/>
            </w14:solidFill>
          </w14:textFill>
        </w:rPr>
        <w:t>GB 50094</w:t>
      </w:r>
      <w:r>
        <w:rPr>
          <w:rFonts w:hint="eastAsia" w:ascii="Times New Roman"/>
          <w:color w:val="000000" w:themeColor="text1"/>
          <w:szCs w:val="24"/>
          <w14:textFill>
            <w14:solidFill>
              <w14:schemeClr w14:val="tx1"/>
            </w14:solidFill>
          </w14:textFill>
        </w:rPr>
        <w:t>的规定和设计文件要求。</w:t>
      </w:r>
    </w:p>
    <w:p>
      <w:pPr>
        <w:pStyle w:val="99"/>
        <w:numPr>
          <w:ilvl w:val="255"/>
          <w:numId w:val="0"/>
        </w:numPr>
        <w:outlineLvl w:val="9"/>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8</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4</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3  </w:t>
      </w:r>
      <w:r>
        <w:rPr>
          <w:rFonts w:hint="eastAsia" w:ascii="Times New Roman"/>
          <w:color w:val="000000" w:themeColor="text1"/>
          <w:szCs w:val="24"/>
          <w14:textFill>
            <w14:solidFill>
              <w14:schemeClr w14:val="tx1"/>
            </w14:solidFill>
          </w14:textFill>
        </w:rPr>
        <w:t>液化烃管道投用前应进行泄漏性试验，高压液化烃管道可采用氦气、卤素等进行敏感泄漏试验代替泄漏性试验。</w:t>
      </w:r>
    </w:p>
    <w:p>
      <w:pPr>
        <w:pStyle w:val="99"/>
        <w:numPr>
          <w:ilvl w:val="255"/>
          <w:numId w:val="0"/>
        </w:numPr>
        <w:outlineLvl w:val="9"/>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8</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4</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4  </w:t>
      </w:r>
      <w:r>
        <w:rPr>
          <w:rFonts w:hint="eastAsia" w:ascii="Times New Roman"/>
          <w:color w:val="000000" w:themeColor="text1"/>
          <w:szCs w:val="24"/>
          <w14:textFill>
            <w14:solidFill>
              <w14:schemeClr w14:val="tx1"/>
            </w14:solidFill>
          </w14:textFill>
        </w:rPr>
        <w:t>设备或管道上的开孔和焊接，应在防腐、衬里和压力试验前进行。</w:t>
      </w:r>
    </w:p>
    <w:p>
      <w:pPr>
        <w:spacing w:line="240" w:lineRule="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8.4.5  </w:t>
      </w:r>
      <w:r>
        <w:rPr>
          <w:rFonts w:hint="eastAsia"/>
          <w:color w:val="000000" w:themeColor="text1"/>
          <w:szCs w:val="24"/>
          <w14:textFill>
            <w14:solidFill>
              <w14:schemeClr w14:val="tx1"/>
            </w14:solidFill>
          </w14:textFill>
        </w:rPr>
        <w:t>任何未经验收合格的工序不应进入下一道工序的施工，注意事项包括但不限于：</w:t>
      </w:r>
    </w:p>
    <w:p>
      <w:pPr>
        <w:pStyle w:val="71"/>
        <w:numPr>
          <w:ilvl w:val="0"/>
          <w:numId w:val="40"/>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接地网安装质量及布局（隐蔽工程）；</w:t>
      </w:r>
    </w:p>
    <w:p>
      <w:pPr>
        <w:pStyle w:val="71"/>
        <w:numPr>
          <w:ilvl w:val="0"/>
          <w:numId w:val="40"/>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消防水、循环水管道安装质量（隐蔽及非隐蔽工程）；</w:t>
      </w:r>
    </w:p>
    <w:p>
      <w:pPr>
        <w:pStyle w:val="71"/>
        <w:numPr>
          <w:ilvl w:val="0"/>
          <w:numId w:val="40"/>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组对间隙与尺度；</w:t>
      </w:r>
    </w:p>
    <w:p>
      <w:pPr>
        <w:pStyle w:val="71"/>
        <w:numPr>
          <w:ilvl w:val="0"/>
          <w:numId w:val="40"/>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焊接外观；</w:t>
      </w:r>
    </w:p>
    <w:p>
      <w:pPr>
        <w:pStyle w:val="71"/>
        <w:numPr>
          <w:ilvl w:val="0"/>
          <w:numId w:val="40"/>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热处理；</w:t>
      </w:r>
    </w:p>
    <w:p>
      <w:pPr>
        <w:pStyle w:val="71"/>
        <w:numPr>
          <w:ilvl w:val="0"/>
          <w:numId w:val="40"/>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无损检测（NDT）、硬度测试；</w:t>
      </w:r>
    </w:p>
    <w:p>
      <w:pPr>
        <w:pStyle w:val="71"/>
        <w:numPr>
          <w:ilvl w:val="0"/>
          <w:numId w:val="40"/>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防腐质量、牺牲阳极安装质量；</w:t>
      </w:r>
    </w:p>
    <w:p>
      <w:pPr>
        <w:pStyle w:val="71"/>
        <w:numPr>
          <w:ilvl w:val="0"/>
          <w:numId w:val="40"/>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转动设备安装质量（含基础、固定、机泵对中、单机试运）；</w:t>
      </w:r>
    </w:p>
    <w:p>
      <w:pPr>
        <w:pStyle w:val="71"/>
        <w:numPr>
          <w:ilvl w:val="0"/>
          <w:numId w:val="40"/>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耐压试验；</w:t>
      </w:r>
    </w:p>
    <w:p>
      <w:pPr>
        <w:pStyle w:val="71"/>
        <w:numPr>
          <w:ilvl w:val="0"/>
          <w:numId w:val="40"/>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严密性试验；</w:t>
      </w:r>
    </w:p>
    <w:p>
      <w:pPr>
        <w:pStyle w:val="71"/>
        <w:numPr>
          <w:ilvl w:val="0"/>
          <w:numId w:val="40"/>
        </w:numPr>
        <w:ind w:firstLineChars="0"/>
        <w:rPr>
          <w:rFonts w:ascii="黑体" w:eastAsia="黑体"/>
          <w:color w:val="000000" w:themeColor="text1"/>
          <w:kern w:val="2"/>
          <w14:textFill>
            <w14:solidFill>
              <w14:schemeClr w14:val="tx1"/>
            </w14:solidFill>
          </w14:textFill>
        </w:rPr>
      </w:pPr>
      <w:r>
        <w:rPr>
          <w:rFonts w:hint="eastAsia" w:ascii="Times New Roman"/>
          <w:color w:val="000000" w:themeColor="text1"/>
          <w:szCs w:val="24"/>
          <w14:textFill>
            <w14:solidFill>
              <w14:schemeClr w14:val="tx1"/>
            </w14:solidFill>
          </w14:textFill>
        </w:rPr>
        <w:t>抽真空试验。</w:t>
      </w:r>
    </w:p>
    <w:p>
      <w:pPr>
        <w:pStyle w:val="99"/>
        <w:numPr>
          <w:ilvl w:val="255"/>
          <w:numId w:val="0"/>
        </w:numPr>
        <w:tabs>
          <w:tab w:val="left" w:pos="851"/>
        </w:tabs>
        <w:ind w:left="6"/>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8</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4</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6  </w:t>
      </w:r>
      <w:r>
        <w:rPr>
          <w:rFonts w:hint="eastAsia" w:ascii="Times New Roman"/>
          <w:color w:val="000000" w:themeColor="text1"/>
          <w:szCs w:val="24"/>
          <w14:textFill>
            <w14:solidFill>
              <w14:schemeClr w14:val="tx1"/>
            </w14:solidFill>
          </w14:textFill>
        </w:rPr>
        <w:t>施工质量检查报告应至少包括以下内容：</w:t>
      </w:r>
    </w:p>
    <w:p>
      <w:pPr>
        <w:pStyle w:val="71"/>
        <w:numPr>
          <w:ilvl w:val="0"/>
          <w:numId w:val="41"/>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防雷设施安装质量；</w:t>
      </w:r>
    </w:p>
    <w:p>
      <w:pPr>
        <w:pStyle w:val="71"/>
        <w:numPr>
          <w:ilvl w:val="0"/>
          <w:numId w:val="41"/>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地下接地网及地面所有设备、结构的接地安装质量；</w:t>
      </w:r>
    </w:p>
    <w:p>
      <w:pPr>
        <w:pStyle w:val="71"/>
        <w:numPr>
          <w:ilvl w:val="0"/>
          <w:numId w:val="41"/>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不发火花地面施工质量与导静电装置安装质量；</w:t>
      </w:r>
    </w:p>
    <w:p>
      <w:pPr>
        <w:pStyle w:val="71"/>
        <w:numPr>
          <w:ilvl w:val="0"/>
          <w:numId w:val="41"/>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液化烃输送或增压泵等动设备的防爆型式及安装质量；</w:t>
      </w:r>
    </w:p>
    <w:p>
      <w:pPr>
        <w:pStyle w:val="71"/>
        <w:numPr>
          <w:ilvl w:val="0"/>
          <w:numId w:val="41"/>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液化烃介质管道的法兰静电跨接安装质量；</w:t>
      </w:r>
    </w:p>
    <w:p>
      <w:pPr>
        <w:pStyle w:val="71"/>
        <w:numPr>
          <w:ilvl w:val="0"/>
          <w:numId w:val="41"/>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防爆型电气设备防爆密封安装质量；</w:t>
      </w:r>
    </w:p>
    <w:p>
      <w:pPr>
        <w:pStyle w:val="71"/>
        <w:numPr>
          <w:ilvl w:val="0"/>
          <w:numId w:val="41"/>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防爆型仪表设备防爆密封安装质量；</w:t>
      </w:r>
    </w:p>
    <w:p>
      <w:pPr>
        <w:pStyle w:val="71"/>
        <w:numPr>
          <w:ilvl w:val="0"/>
          <w:numId w:val="41"/>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紧急切断阀门位置的可操作性；</w:t>
      </w:r>
    </w:p>
    <w:p>
      <w:pPr>
        <w:pStyle w:val="71"/>
        <w:numPr>
          <w:ilvl w:val="0"/>
          <w:numId w:val="41"/>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冷却水、消防水系统的安装质量及设备可靠性；</w:t>
      </w:r>
    </w:p>
    <w:p>
      <w:pPr>
        <w:pStyle w:val="71"/>
        <w:numPr>
          <w:ilvl w:val="0"/>
          <w:numId w:val="41"/>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防火涂料施工质量；</w:t>
      </w:r>
    </w:p>
    <w:p>
      <w:pPr>
        <w:pStyle w:val="71"/>
        <w:numPr>
          <w:ilvl w:val="0"/>
          <w:numId w:val="41"/>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罐区围堰、事故池等严密性；</w:t>
      </w:r>
    </w:p>
    <w:p>
      <w:pPr>
        <w:pStyle w:val="71"/>
        <w:numPr>
          <w:ilvl w:val="0"/>
          <w:numId w:val="41"/>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焊接质量（</w:t>
      </w:r>
      <w:r>
        <w:rPr>
          <w:rFonts w:hint="eastAsia" w:ascii="Times New Roman"/>
          <w:szCs w:val="24"/>
        </w:rPr>
        <w:t>包括低温罐和管道</w:t>
      </w:r>
      <w:r>
        <w:rPr>
          <w:rFonts w:hint="eastAsia" w:ascii="Times New Roman"/>
          <w:color w:val="000000" w:themeColor="text1"/>
          <w:szCs w:val="24"/>
          <w14:textFill>
            <w14:solidFill>
              <w14:schemeClr w14:val="tx1"/>
            </w14:solidFill>
          </w14:textFill>
        </w:rPr>
        <w:t>）验收；</w:t>
      </w:r>
    </w:p>
    <w:p>
      <w:pPr>
        <w:pStyle w:val="71"/>
        <w:numPr>
          <w:ilvl w:val="0"/>
          <w:numId w:val="41"/>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设备和管道压力试验和气密试验。</w:t>
      </w:r>
    </w:p>
    <w:p>
      <w:pPr>
        <w:pStyle w:val="99"/>
        <w:numPr>
          <w:ilvl w:val="255"/>
          <w:numId w:val="0"/>
        </w:numPr>
        <w:tabs>
          <w:tab w:val="left" w:pos="851"/>
        </w:tabs>
        <w:ind w:left="6"/>
        <w:jc w:val="both"/>
        <w:outlineLvl w:val="9"/>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8</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4</w:t>
      </w:r>
      <w:r>
        <w:rPr>
          <w:rFonts w:ascii="黑体" w:hAnsi="黑体" w:eastAsia="黑体"/>
          <w:color w:val="000000" w:themeColor="text1"/>
          <w:szCs w:val="20"/>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7  </w:t>
      </w:r>
      <w:r>
        <w:rPr>
          <w:rFonts w:hint="eastAsia" w:ascii="Times New Roman"/>
          <w:color w:val="000000" w:themeColor="text1"/>
          <w:szCs w:val="24"/>
          <w14:textFill>
            <w14:solidFill>
              <w14:schemeClr w14:val="tx1"/>
            </w14:solidFill>
          </w14:textFill>
        </w:rPr>
        <w:t>设备、管道、电气、仪表、电信、防腐、绝热等专业施工质量应符合设计文件及相应规范要求。</w:t>
      </w:r>
    </w:p>
    <w:bookmarkEnd w:id="47"/>
    <w:p>
      <w:pPr>
        <w:widowControl w:val="0"/>
        <w:spacing w:before="317" w:beforeLines="100" w:after="317" w:afterLines="100" w:line="240" w:lineRule="auto"/>
        <w:jc w:val="left"/>
        <w:textAlignment w:val="auto"/>
        <w:outlineLvl w:val="0"/>
        <w:rPr>
          <w:rFonts w:ascii="黑体" w:hAnsi="黑体" w:eastAsia="黑体"/>
          <w:color w:val="000000" w:themeColor="text1"/>
          <w:kern w:val="2"/>
          <w:szCs w:val="21"/>
          <w14:textFill>
            <w14:solidFill>
              <w14:schemeClr w14:val="tx1"/>
            </w14:solidFill>
          </w14:textFill>
        </w:rPr>
      </w:pPr>
      <w:bookmarkStart w:id="52" w:name="_Toc112397399"/>
      <w:bookmarkStart w:id="53" w:name="_Toc118962031"/>
      <w:r>
        <w:rPr>
          <w:rFonts w:ascii="黑体" w:hAnsi="黑体" w:eastAsia="黑体"/>
          <w:color w:val="000000" w:themeColor="text1"/>
          <w:kern w:val="2"/>
          <w:szCs w:val="21"/>
          <w14:textFill>
            <w14:solidFill>
              <w14:schemeClr w14:val="tx1"/>
            </w14:solidFill>
          </w14:textFill>
        </w:rPr>
        <w:t xml:space="preserve">9  </w:t>
      </w:r>
      <w:r>
        <w:rPr>
          <w:rFonts w:hint="eastAsia" w:ascii="黑体" w:hAnsi="黑体" w:eastAsia="黑体"/>
          <w:color w:val="000000" w:themeColor="text1"/>
          <w:kern w:val="2"/>
          <w:szCs w:val="21"/>
          <w14:textFill>
            <w14:solidFill>
              <w14:schemeClr w14:val="tx1"/>
            </w14:solidFill>
          </w14:textFill>
        </w:rPr>
        <w:t>试车投用</w:t>
      </w:r>
      <w:bookmarkEnd w:id="52"/>
      <w:bookmarkEnd w:id="53"/>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54" w:name="_Toc118962032"/>
      <w:r>
        <w:rPr>
          <w:rFonts w:hint="eastAsia" w:ascii="黑体" w:eastAsia="黑体"/>
          <w:color w:val="000000" w:themeColor="text1"/>
          <w:kern w:val="2"/>
          <w:sz w:val="21"/>
          <w14:textFill>
            <w14:solidFill>
              <w14:schemeClr w14:val="tx1"/>
            </w14:solidFill>
          </w14:textFill>
        </w:rPr>
        <w:t>9</w:t>
      </w:r>
      <w:r>
        <w:rPr>
          <w:rFonts w:ascii="黑体" w:eastAsia="黑体"/>
          <w:color w:val="000000" w:themeColor="text1"/>
          <w:kern w:val="2"/>
          <w:sz w:val="21"/>
          <w14:textFill>
            <w14:solidFill>
              <w14:schemeClr w14:val="tx1"/>
            </w14:solidFill>
          </w14:textFill>
        </w:rPr>
        <w:t xml:space="preserve">.1 </w:t>
      </w:r>
      <w:r>
        <w:rPr>
          <w:rFonts w:hint="eastAsia" w:ascii="黑体" w:eastAsia="黑体"/>
          <w:color w:val="000000" w:themeColor="text1"/>
          <w:kern w:val="2"/>
          <w:sz w:val="21"/>
          <w14:textFill>
            <w14:solidFill>
              <w14:schemeClr w14:val="tx1"/>
            </w14:solidFill>
          </w14:textFill>
        </w:rPr>
        <w:t xml:space="preserve"> 生产准备</w:t>
      </w:r>
      <w:bookmarkEnd w:id="54"/>
    </w:p>
    <w:p>
      <w:pPr>
        <w:tabs>
          <w:tab w:val="left" w:pos="142"/>
          <w:tab w:val="left" w:pos="426"/>
          <w:tab w:val="left" w:pos="851"/>
        </w:tabs>
        <w:spacing w:line="240" w:lineRule="auto"/>
        <w:rPr>
          <w:rFonts w:ascii="宋体" w:hAnsi="宋体"/>
          <w:color w:val="000000" w:themeColor="text1"/>
          <w:sz w:val="22"/>
          <w:szCs w:val="22"/>
          <w14:textFill>
            <w14:solidFill>
              <w14:schemeClr w14:val="tx1"/>
            </w14:solidFill>
          </w14:textFill>
        </w:rPr>
      </w:pPr>
      <w:r>
        <w:rPr>
          <w:rFonts w:ascii="黑体" w:hAnsi="黑体" w:eastAsia="黑体"/>
          <w:color w:val="000000" w:themeColor="text1"/>
          <w14:textFill>
            <w14:solidFill>
              <w14:schemeClr w14:val="tx1"/>
            </w14:solidFill>
          </w14:textFill>
        </w:rPr>
        <w:t xml:space="preserve">9.1.1  </w:t>
      </w:r>
      <w:r>
        <w:rPr>
          <w:rFonts w:hint="eastAsia" w:ascii="宋体" w:hAnsi="宋体"/>
          <w:color w:val="000000" w:themeColor="text1"/>
          <w:sz w:val="22"/>
          <w:szCs w:val="22"/>
          <w14:textFill>
            <w14:solidFill>
              <w14:schemeClr w14:val="tx1"/>
            </w14:solidFill>
          </w14:textFill>
        </w:rPr>
        <w:t>投料前从工艺过程、动静设备、电气、仪表联校、公用工程和安全设施等应进行开车条件确认。</w:t>
      </w:r>
    </w:p>
    <w:p>
      <w:pPr>
        <w:tabs>
          <w:tab w:val="left" w:pos="142"/>
          <w:tab w:val="left" w:pos="426"/>
          <w:tab w:val="left" w:pos="851"/>
        </w:tabs>
        <w:spacing w:line="240" w:lineRule="auto"/>
        <w:rPr>
          <w:rFonts w:ascii="宋体" w:hAnsi="宋体"/>
          <w:color w:val="000000" w:themeColor="text1"/>
          <w:sz w:val="22"/>
          <w:szCs w:val="22"/>
          <w14:textFill>
            <w14:solidFill>
              <w14:schemeClr w14:val="tx1"/>
            </w14:solidFill>
          </w14:textFill>
        </w:rPr>
      </w:pPr>
      <w:r>
        <w:rPr>
          <w:rFonts w:ascii="黑体" w:hAnsi="黑体" w:eastAsia="黑体"/>
          <w:color w:val="000000" w:themeColor="text1"/>
          <w14:textFill>
            <w14:solidFill>
              <w14:schemeClr w14:val="tx1"/>
            </w14:solidFill>
          </w14:textFill>
        </w:rPr>
        <w:t xml:space="preserve">9.1.2  </w:t>
      </w:r>
      <w:r>
        <w:rPr>
          <w:rFonts w:ascii="宋体" w:hAnsi="宋体"/>
          <w:color w:val="000000" w:themeColor="text1"/>
          <w:sz w:val="22"/>
          <w:szCs w:val="22"/>
          <w14:textFill>
            <w14:solidFill>
              <w14:schemeClr w14:val="tx1"/>
            </w14:solidFill>
          </w14:textFill>
        </w:rPr>
        <w:t>对试运行过程中存在的安全风险进行识别、分析和落实管控措施</w:t>
      </w:r>
      <w:r>
        <w:rPr>
          <w:rFonts w:hint="eastAsia" w:ascii="宋体" w:hAnsi="宋体"/>
          <w:color w:val="000000" w:themeColor="text1"/>
          <w:sz w:val="22"/>
          <w:szCs w:val="22"/>
          <w14:textFill>
            <w14:solidFill>
              <w14:schemeClr w14:val="tx1"/>
            </w14:solidFill>
          </w14:textFill>
        </w:rPr>
        <w:t>。编制总体试车方案、联动试车方案、投料试车方案和安全技术规程、操作规程等并审核完成，</w:t>
      </w:r>
      <w:r>
        <w:rPr>
          <w:rFonts w:ascii="宋体" w:hAnsi="宋体"/>
          <w:color w:val="000000" w:themeColor="text1"/>
          <w:sz w:val="22"/>
          <w:szCs w:val="22"/>
          <w14:textFill>
            <w14:solidFill>
              <w14:schemeClr w14:val="tx1"/>
            </w14:solidFill>
          </w14:textFill>
        </w:rPr>
        <w:t>并制定应急预案和现场处置方案</w:t>
      </w:r>
      <w:r>
        <w:rPr>
          <w:rFonts w:hint="eastAsia" w:ascii="宋体" w:hAnsi="宋体"/>
          <w:color w:val="000000" w:themeColor="text1"/>
          <w:sz w:val="22"/>
          <w:szCs w:val="22"/>
          <w14:textFill>
            <w14:solidFill>
              <w14:schemeClr w14:val="tx1"/>
            </w14:solidFill>
          </w14:textFill>
        </w:rPr>
        <w:t>。</w:t>
      </w:r>
    </w:p>
    <w:p>
      <w:pPr>
        <w:tabs>
          <w:tab w:val="left" w:pos="142"/>
          <w:tab w:val="left" w:pos="426"/>
          <w:tab w:val="left" w:pos="851"/>
        </w:tabs>
        <w:spacing w:line="240" w:lineRule="auto"/>
        <w:rPr>
          <w:rFonts w:ascii="宋体" w:hAnsi="宋体"/>
          <w:color w:val="000000" w:themeColor="text1"/>
          <w:sz w:val="22"/>
          <w:szCs w:val="22"/>
          <w14:textFill>
            <w14:solidFill>
              <w14:schemeClr w14:val="tx1"/>
            </w14:solidFill>
          </w14:textFill>
        </w:rPr>
      </w:pPr>
      <w:r>
        <w:rPr>
          <w:rFonts w:ascii="黑体" w:hAnsi="黑体" w:eastAsia="黑体"/>
          <w:color w:val="000000" w:themeColor="text1"/>
          <w14:textFill>
            <w14:solidFill>
              <w14:schemeClr w14:val="tx1"/>
            </w14:solidFill>
          </w14:textFill>
        </w:rPr>
        <w:t xml:space="preserve">9.1.3  </w:t>
      </w:r>
      <w:r>
        <w:rPr>
          <w:rFonts w:hint="eastAsia" w:ascii="宋体" w:hAnsi="宋体"/>
          <w:color w:val="000000" w:themeColor="text1"/>
          <w:sz w:val="22"/>
          <w:szCs w:val="22"/>
          <w14:textFill>
            <w14:solidFill>
              <w14:schemeClr w14:val="tx1"/>
            </w14:solidFill>
          </w14:textFill>
        </w:rPr>
        <w:t xml:space="preserve">试运行前应根据液化烃和储罐管理特点完成全员培训，培训内容至少应包括：危险化学品安全技术说明书和安全标签，工艺安全管理知识、操作规程、应急处置。 </w:t>
      </w:r>
    </w:p>
    <w:p>
      <w:pPr>
        <w:tabs>
          <w:tab w:val="left" w:pos="142"/>
          <w:tab w:val="left" w:pos="426"/>
          <w:tab w:val="left" w:pos="851"/>
        </w:tabs>
        <w:spacing w:line="240" w:lineRule="auto"/>
        <w:rPr>
          <w:rFonts w:ascii="宋体" w:hAnsi="宋体"/>
          <w:color w:val="000000" w:themeColor="text1"/>
          <w:sz w:val="22"/>
          <w:szCs w:val="22"/>
          <w14:textFill>
            <w14:solidFill>
              <w14:schemeClr w14:val="tx1"/>
            </w14:solidFill>
          </w14:textFill>
        </w:rPr>
      </w:pPr>
      <w:r>
        <w:rPr>
          <w:rFonts w:ascii="黑体" w:hAnsi="黑体" w:eastAsia="黑体"/>
          <w:color w:val="000000" w:themeColor="text1"/>
          <w14:textFill>
            <w14:solidFill>
              <w14:schemeClr w14:val="tx1"/>
            </w14:solidFill>
          </w14:textFill>
        </w:rPr>
        <w:t xml:space="preserve">9.1.4  </w:t>
      </w:r>
      <w:r>
        <w:rPr>
          <w:rFonts w:hint="eastAsia" w:ascii="黑体"/>
          <w:color w:val="000000" w:themeColor="text1"/>
          <w:sz w:val="22"/>
          <w:szCs w:val="22"/>
          <w14:textFill>
            <w14:solidFill>
              <w14:schemeClr w14:val="tx1"/>
            </w14:solidFill>
          </w14:textFill>
        </w:rPr>
        <w:t>消防设施、安全设施、环保设施、职业病防护设施具备投用条件，</w:t>
      </w:r>
      <w:r>
        <w:rPr>
          <w:rFonts w:hint="eastAsia" w:ascii="宋体" w:hAnsi="宋体"/>
          <w:color w:val="000000" w:themeColor="text1"/>
          <w:sz w:val="22"/>
          <w:szCs w:val="22"/>
          <w14:textFill>
            <w14:solidFill>
              <w14:schemeClr w14:val="tx1"/>
            </w14:solidFill>
          </w14:textFill>
        </w:rPr>
        <w:t>防雷、消防设施验收完成。</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55" w:name="_Toc118962033"/>
      <w:r>
        <w:rPr>
          <w:rFonts w:hint="eastAsia" w:ascii="黑体" w:eastAsia="黑体"/>
          <w:color w:val="000000" w:themeColor="text1"/>
          <w:kern w:val="2"/>
          <w:sz w:val="21"/>
          <w14:textFill>
            <w14:solidFill>
              <w14:schemeClr w14:val="tx1"/>
            </w14:solidFill>
          </w14:textFill>
        </w:rPr>
        <w:t>9</w:t>
      </w:r>
      <w:r>
        <w:rPr>
          <w:rFonts w:ascii="黑体" w:eastAsia="黑体"/>
          <w:color w:val="000000" w:themeColor="text1"/>
          <w:kern w:val="2"/>
          <w:sz w:val="21"/>
          <w14:textFill>
            <w14:solidFill>
              <w14:schemeClr w14:val="tx1"/>
            </w14:solidFill>
          </w14:textFill>
        </w:rPr>
        <w:t>.2</w:t>
      </w:r>
      <w:r>
        <w:rPr>
          <w:rFonts w:hint="eastAsia" w:ascii="黑体" w:eastAsia="黑体"/>
          <w:color w:val="000000" w:themeColor="text1"/>
          <w:kern w:val="2"/>
          <w:sz w:val="21"/>
          <w14:textFill>
            <w14:solidFill>
              <w14:schemeClr w14:val="tx1"/>
            </w14:solidFill>
          </w14:textFill>
        </w:rPr>
        <w:t xml:space="preserve">  试车投用前安全检查</w:t>
      </w:r>
      <w:bookmarkEnd w:id="55"/>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9</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罐区相关设备、管线、阀门、仪表、注水设施等系统完好，并处于正确状态。</w:t>
      </w:r>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9</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2  </w:t>
      </w:r>
      <w:r>
        <w:rPr>
          <w:rFonts w:hint="eastAsia" w:ascii="Times New Roman"/>
          <w:color w:val="000000" w:themeColor="text1"/>
          <w:szCs w:val="24"/>
          <w14:textFill>
            <w14:solidFill>
              <w14:schemeClr w14:val="tx1"/>
            </w14:solidFill>
          </w14:textFill>
        </w:rPr>
        <w:t>安全仪表系统（SIS）完好投用。</w:t>
      </w:r>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9</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3  </w:t>
      </w:r>
      <w:r>
        <w:rPr>
          <w:rFonts w:hint="eastAsia" w:ascii="Times New Roman"/>
          <w:color w:val="000000" w:themeColor="text1"/>
          <w:szCs w:val="24"/>
          <w14:textFill>
            <w14:solidFill>
              <w14:schemeClr w14:val="tx1"/>
            </w14:solidFill>
          </w14:textFill>
        </w:rPr>
        <w:t>确认气体探测系统、火灾报警系统、消防系统、火炬排放系统等完好投用。</w:t>
      </w:r>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9</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4  </w:t>
      </w:r>
      <w:r>
        <w:rPr>
          <w:rFonts w:hint="eastAsia" w:ascii="Times New Roman"/>
          <w:color w:val="000000" w:themeColor="text1"/>
          <w:szCs w:val="24"/>
          <w14:textFill>
            <w14:solidFill>
              <w14:schemeClr w14:val="tx1"/>
            </w14:solidFill>
          </w14:textFill>
        </w:rPr>
        <w:t>系统吹扫冲洗、气密试验、单机试车、联动试车完成情况。</w:t>
      </w:r>
    </w:p>
    <w:p>
      <w:pPr>
        <w:keepNext w:val="0"/>
        <w:keepLines w:val="0"/>
        <w:pageBreakBefore w:val="0"/>
        <w:widowControl/>
        <w:tabs>
          <w:tab w:val="left" w:pos="142"/>
          <w:tab w:val="left" w:pos="426"/>
          <w:tab w:val="left" w:pos="851"/>
        </w:tabs>
        <w:kinsoku/>
        <w:wordWrap/>
        <w:overflowPunct/>
        <w:topLinePunct w:val="0"/>
        <w:bidi w:val="0"/>
        <w:adjustRightInd/>
        <w:snapToGrid/>
        <w:spacing w:line="240" w:lineRule="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9.2.5  </w:t>
      </w:r>
      <w:r>
        <w:rPr>
          <w:rFonts w:hint="eastAsia"/>
          <w:color w:val="000000" w:themeColor="text1"/>
          <w:szCs w:val="24"/>
          <w14:textFill>
            <w14:solidFill>
              <w14:schemeClr w14:val="tx1"/>
            </w14:solidFill>
          </w14:textFill>
        </w:rPr>
        <w:t>“三查四定”的问题整改消缺完毕。</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56" w:name="_Toc118962034"/>
      <w:r>
        <w:rPr>
          <w:rFonts w:hint="eastAsia" w:ascii="黑体" w:eastAsia="黑体"/>
          <w:color w:val="000000" w:themeColor="text1"/>
          <w:kern w:val="2"/>
          <w:sz w:val="21"/>
          <w14:textFill>
            <w14:solidFill>
              <w14:schemeClr w14:val="tx1"/>
            </w14:solidFill>
          </w14:textFill>
        </w:rPr>
        <w:t>9</w:t>
      </w:r>
      <w:r>
        <w:rPr>
          <w:rFonts w:ascii="黑体" w:eastAsia="黑体"/>
          <w:color w:val="000000" w:themeColor="text1"/>
          <w:kern w:val="2"/>
          <w:sz w:val="21"/>
          <w14:textFill>
            <w14:solidFill>
              <w14:schemeClr w14:val="tx1"/>
            </w14:solidFill>
          </w14:textFill>
        </w:rPr>
        <w:t>.</w:t>
      </w:r>
      <w:r>
        <w:rPr>
          <w:rFonts w:hint="eastAsia" w:ascii="黑体" w:eastAsia="黑体"/>
          <w:color w:val="000000" w:themeColor="text1"/>
          <w:kern w:val="2"/>
          <w:sz w:val="21"/>
          <w14:textFill>
            <w14:solidFill>
              <w14:schemeClr w14:val="tx1"/>
            </w14:solidFill>
          </w14:textFill>
        </w:rPr>
        <w:t>3  试车投用前检测分析</w:t>
      </w:r>
      <w:bookmarkEnd w:id="56"/>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9</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储罐投用前应进行氮气置换，氧含量不应大于</w:t>
      </w:r>
      <w:r>
        <w:rPr>
          <w:rFonts w:ascii="Times New Roman"/>
          <w:color w:val="000000" w:themeColor="text1"/>
          <w:szCs w:val="24"/>
          <w14:textFill>
            <w14:solidFill>
              <w14:schemeClr w14:val="tx1"/>
            </w14:solidFill>
          </w14:textFill>
        </w:rPr>
        <w:t>0.3%</w:t>
      </w:r>
      <w:r>
        <w:rPr>
          <w:rFonts w:hint="eastAsia" w:ascii="Times New Roman"/>
          <w:color w:val="000000" w:themeColor="text1"/>
          <w:szCs w:val="24"/>
          <w14:textFill>
            <w14:solidFill>
              <w14:schemeClr w14:val="tx1"/>
            </w14:solidFill>
          </w14:textFill>
        </w:rPr>
        <w:t>；对氧含量有特殊要求时，氧含量要求不应超过其限值。</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9</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2  </w:t>
      </w:r>
      <w:r>
        <w:rPr>
          <w:rFonts w:hint="eastAsia" w:ascii="Times New Roman"/>
          <w:color w:val="000000" w:themeColor="text1"/>
          <w:szCs w:val="24"/>
          <w14:textFill>
            <w14:solidFill>
              <w14:schemeClr w14:val="tx1"/>
            </w14:solidFill>
          </w14:textFill>
        </w:rPr>
        <w:t>对低温储存的液化烃储罐应进行露点分析，对常温储存的液化烃储罐有特殊要求时尚应进行露点分析，露点不应小于相关标准要求的安全值。</w:t>
      </w:r>
    </w:p>
    <w:p>
      <w:pPr>
        <w:pStyle w:val="81"/>
        <w:spacing w:before="158" w:beforeLines="50" w:after="158" w:afterLines="50" w:line="240" w:lineRule="auto"/>
        <w:ind w:firstLine="0" w:firstLineChars="0"/>
        <w:outlineLvl w:val="1"/>
        <w:rPr>
          <w:rFonts w:ascii="黑体"/>
          <w:color w:val="000000" w:themeColor="text1"/>
          <w:kern w:val="2"/>
          <w:sz w:val="21"/>
          <w14:textFill>
            <w14:solidFill>
              <w14:schemeClr w14:val="tx1"/>
            </w14:solidFill>
          </w14:textFill>
        </w:rPr>
      </w:pPr>
      <w:bookmarkStart w:id="57" w:name="_Toc118962035"/>
      <w:r>
        <w:rPr>
          <w:rFonts w:hint="eastAsia" w:ascii="黑体" w:eastAsia="黑体"/>
          <w:color w:val="000000" w:themeColor="text1"/>
          <w:kern w:val="2"/>
          <w:sz w:val="21"/>
          <w14:textFill>
            <w14:solidFill>
              <w14:schemeClr w14:val="tx1"/>
            </w14:solidFill>
          </w14:textFill>
        </w:rPr>
        <w:t>9</w:t>
      </w:r>
      <w:r>
        <w:rPr>
          <w:rFonts w:ascii="黑体" w:eastAsia="黑体"/>
          <w:color w:val="000000" w:themeColor="text1"/>
          <w:kern w:val="2"/>
          <w:sz w:val="21"/>
          <w14:textFill>
            <w14:solidFill>
              <w14:schemeClr w14:val="tx1"/>
            </w14:solidFill>
          </w14:textFill>
        </w:rPr>
        <w:t>.</w:t>
      </w:r>
      <w:r>
        <w:rPr>
          <w:rFonts w:hint="eastAsia" w:ascii="黑体" w:eastAsia="黑体"/>
          <w:color w:val="000000" w:themeColor="text1"/>
          <w:kern w:val="2"/>
          <w:sz w:val="21"/>
          <w14:textFill>
            <w14:solidFill>
              <w14:schemeClr w14:val="tx1"/>
            </w14:solidFill>
          </w14:textFill>
        </w:rPr>
        <w:t>4  单机试车</w:t>
      </w:r>
      <w:bookmarkEnd w:id="57"/>
    </w:p>
    <w:p>
      <w:pPr>
        <w:pStyle w:val="71"/>
        <w:numPr>
          <w:ilvl w:val="255"/>
          <w:numId w:val="0"/>
        </w:numPr>
        <w:rPr>
          <w:rFonts w:ascii="Times New Roman"/>
          <w:color w:val="000000" w:themeColor="text1"/>
          <w:szCs w:val="24"/>
          <w14:textFill>
            <w14:solidFill>
              <w14:schemeClr w14:val="tx1"/>
            </w14:solidFill>
          </w14:textFill>
        </w:rPr>
      </w:pPr>
      <w:r>
        <w:rPr>
          <w:rFonts w:hint="eastAsia" w:ascii="黑体" w:hAnsi="黑体" w:eastAsia="黑体"/>
          <w:color w:val="000000" w:themeColor="text1"/>
          <w:u w:color="000000"/>
          <w14:textFill>
            <w14:solidFill>
              <w14:schemeClr w14:val="tx1"/>
            </w14:solidFill>
          </w14:textFill>
        </w:rPr>
        <w:t>9.4.1</w:t>
      </w:r>
      <w:r>
        <w:rPr>
          <w:rFonts w:ascii="黑体" w:hAnsi="黑体" w:eastAsia="黑体"/>
          <w:color w:val="000000" w:themeColor="text1"/>
          <w:u w:color="000000"/>
          <w14:textFill>
            <w14:solidFill>
              <w14:schemeClr w14:val="tx1"/>
            </w14:solidFill>
          </w14:textFill>
        </w:rPr>
        <w:t xml:space="preserve">  </w:t>
      </w:r>
      <w:r>
        <w:rPr>
          <w:rFonts w:hint="eastAsia" w:ascii="Times New Roman"/>
          <w:color w:val="000000" w:themeColor="text1"/>
          <w:szCs w:val="24"/>
          <w14:textFill>
            <w14:solidFill>
              <w14:schemeClr w14:val="tx1"/>
            </w14:solidFill>
          </w14:textFill>
        </w:rPr>
        <w:t>单机试车范围内的工程按详细设计文件的内容和</w:t>
      </w:r>
      <w:r>
        <w:rPr>
          <w:rFonts w:ascii="Times New Roman"/>
          <w:color w:val="000000" w:themeColor="text1"/>
          <w:szCs w:val="24"/>
          <w14:textFill>
            <w14:solidFill>
              <w14:schemeClr w14:val="tx1"/>
            </w14:solidFill>
          </w14:textFill>
        </w:rPr>
        <w:t>GB 50170、GB 50275</w:t>
      </w:r>
      <w:r>
        <w:rPr>
          <w:rFonts w:hint="eastAsia" w:ascii="Times New Roman"/>
          <w:color w:val="000000" w:themeColor="text1"/>
          <w:szCs w:val="24"/>
          <w14:textFill>
            <w14:solidFill>
              <w14:schemeClr w14:val="tx1"/>
            </w14:solidFill>
          </w14:textFill>
        </w:rPr>
        <w:t>、</w:t>
      </w:r>
      <w:r>
        <w:rPr>
          <w:rFonts w:ascii="Times New Roman"/>
          <w:color w:val="000000" w:themeColor="text1"/>
          <w:szCs w:val="24"/>
          <w14:textFill>
            <w14:solidFill>
              <w14:schemeClr w14:val="tx1"/>
            </w14:solidFill>
          </w14:textFill>
        </w:rPr>
        <w:t>HG 20231的质量标准完成。应确保相关隐蔽工程记录；蒸汽管道、工艺管道吹扫或清洗合格资料；机器润滑油、密封油、控制油系统清洗合格资料；</w:t>
      </w:r>
      <w:r>
        <w:rPr>
          <w:rFonts w:hint="eastAsia" w:ascii="Times New Roman"/>
          <w:color w:val="000000" w:themeColor="text1"/>
          <w:szCs w:val="24"/>
          <w14:textFill>
            <w14:solidFill>
              <w14:schemeClr w14:val="tx1"/>
            </w14:solidFill>
          </w14:textFill>
        </w:rPr>
        <w:t>管道系统耐压试验合格资料</w:t>
      </w:r>
      <w:r>
        <w:rPr>
          <w:rFonts w:ascii="Times New Roman"/>
          <w:color w:val="000000" w:themeColor="text1"/>
          <w:szCs w:val="24"/>
          <w14:textFill>
            <w14:solidFill>
              <w14:schemeClr w14:val="tx1"/>
            </w14:solidFill>
          </w14:textFill>
        </w:rPr>
        <w:t>；换热器泄漏量和严密性试验合格资料；安全阀调试合格资料；与单机试车相关的电气和仪表调校合格资料齐全。</w:t>
      </w:r>
    </w:p>
    <w:p>
      <w:pPr>
        <w:pStyle w:val="71"/>
        <w:numPr>
          <w:ilvl w:val="255"/>
          <w:numId w:val="0"/>
        </w:numPr>
        <w:rPr>
          <w:rFonts w:ascii="Times New Roman"/>
          <w:color w:val="000000" w:themeColor="text1"/>
          <w:szCs w:val="24"/>
          <w14:textFill>
            <w14:solidFill>
              <w14:schemeClr w14:val="tx1"/>
            </w14:solidFill>
          </w14:textFill>
        </w:rPr>
      </w:pPr>
      <w:r>
        <w:rPr>
          <w:rFonts w:hint="eastAsia" w:ascii="黑体" w:hAnsi="黑体" w:eastAsia="黑体"/>
          <w:color w:val="000000" w:themeColor="text1"/>
          <w:u w:color="000000"/>
          <w14:textFill>
            <w14:solidFill>
              <w14:schemeClr w14:val="tx1"/>
            </w14:solidFill>
          </w14:textFill>
        </w:rPr>
        <w:t>9.4.2</w:t>
      </w:r>
      <w:r>
        <w:rPr>
          <w:rFonts w:ascii="黑体" w:hAnsi="黑体" w:eastAsia="黑体"/>
          <w:color w:val="000000" w:themeColor="text1"/>
          <w:u w:color="000000"/>
          <w14:textFill>
            <w14:solidFill>
              <w14:schemeClr w14:val="tx1"/>
            </w14:solidFill>
          </w14:textFill>
        </w:rPr>
        <w:t xml:space="preserve">  </w:t>
      </w:r>
      <w:r>
        <w:rPr>
          <w:rFonts w:hint="eastAsia" w:ascii="Times New Roman"/>
          <w:color w:val="000000" w:themeColor="text1"/>
          <w:szCs w:val="24"/>
          <w14:textFill>
            <w14:solidFill>
              <w14:schemeClr w14:val="tx1"/>
            </w14:solidFill>
          </w14:textFill>
        </w:rPr>
        <w:t>单机试车方案应经审批，试车操作人员应经考试合格，熟悉试车方案和操作法。</w:t>
      </w:r>
    </w:p>
    <w:p>
      <w:pPr>
        <w:pStyle w:val="81"/>
        <w:spacing w:before="158" w:beforeLines="50" w:after="158" w:afterLines="50" w:line="240" w:lineRule="auto"/>
        <w:ind w:firstLine="0" w:firstLineChars="0"/>
        <w:outlineLvl w:val="1"/>
        <w:rPr>
          <w:rFonts w:ascii="黑体"/>
          <w:color w:val="000000" w:themeColor="text1"/>
          <w:kern w:val="2"/>
          <w:sz w:val="21"/>
          <w14:textFill>
            <w14:solidFill>
              <w14:schemeClr w14:val="tx1"/>
            </w14:solidFill>
          </w14:textFill>
        </w:rPr>
      </w:pPr>
      <w:bookmarkStart w:id="58" w:name="_Toc118962036"/>
      <w:r>
        <w:rPr>
          <w:rFonts w:hint="eastAsia" w:ascii="黑体" w:eastAsia="黑体"/>
          <w:color w:val="000000" w:themeColor="text1"/>
          <w:kern w:val="2"/>
          <w:sz w:val="21"/>
          <w14:textFill>
            <w14:solidFill>
              <w14:schemeClr w14:val="tx1"/>
            </w14:solidFill>
          </w14:textFill>
        </w:rPr>
        <w:t>9.5</w:t>
      </w:r>
      <w:r>
        <w:rPr>
          <w:rFonts w:ascii="黑体" w:eastAsia="黑体"/>
          <w:color w:val="000000" w:themeColor="text1"/>
          <w:kern w:val="2"/>
          <w:sz w:val="21"/>
          <w14:textFill>
            <w14:solidFill>
              <w14:schemeClr w14:val="tx1"/>
            </w14:solidFill>
          </w14:textFill>
        </w:rPr>
        <w:t xml:space="preserve">  </w:t>
      </w:r>
      <w:r>
        <w:rPr>
          <w:rFonts w:hint="eastAsia" w:ascii="黑体" w:eastAsia="黑体"/>
          <w:color w:val="000000" w:themeColor="text1"/>
          <w:kern w:val="2"/>
          <w:sz w:val="21"/>
          <w14:textFill>
            <w14:solidFill>
              <w14:schemeClr w14:val="tx1"/>
            </w14:solidFill>
          </w14:textFill>
        </w:rPr>
        <w:t>联动试车</w:t>
      </w:r>
      <w:bookmarkEnd w:id="58"/>
    </w:p>
    <w:p>
      <w:pPr>
        <w:pStyle w:val="71"/>
        <w:numPr>
          <w:ilvl w:val="255"/>
          <w:numId w:val="0"/>
        </w:numPr>
        <w:rPr>
          <w:rFonts w:ascii="Times New Roman"/>
          <w:color w:val="000000" w:themeColor="text1"/>
          <w:szCs w:val="24"/>
          <w14:textFill>
            <w14:solidFill>
              <w14:schemeClr w14:val="tx1"/>
            </w14:solidFill>
          </w14:textFill>
        </w:rPr>
      </w:pPr>
      <w:r>
        <w:rPr>
          <w:rFonts w:hint="eastAsia" w:ascii="黑体" w:hAnsi="黑体" w:eastAsia="黑体"/>
          <w:color w:val="000000" w:themeColor="text1"/>
          <w:u w:color="000000"/>
          <w14:textFill>
            <w14:solidFill>
              <w14:schemeClr w14:val="tx1"/>
            </w14:solidFill>
          </w14:textFill>
        </w:rPr>
        <w:t>9.5.1</w:t>
      </w:r>
      <w:r>
        <w:rPr>
          <w:rFonts w:ascii="黑体" w:hAnsi="黑体" w:eastAsia="黑体"/>
          <w:color w:val="000000" w:themeColor="text1"/>
          <w:u w:color="000000"/>
          <w14:textFill>
            <w14:solidFill>
              <w14:schemeClr w14:val="tx1"/>
            </w14:solidFill>
          </w14:textFill>
        </w:rPr>
        <w:t xml:space="preserve">  </w:t>
      </w:r>
      <w:r>
        <w:rPr>
          <w:rFonts w:hint="eastAsia" w:ascii="Times New Roman"/>
          <w:color w:val="000000" w:themeColor="text1"/>
          <w:szCs w:val="24"/>
          <w14:textFill>
            <w14:solidFill>
              <w14:schemeClr w14:val="tx1"/>
            </w14:solidFill>
          </w14:textFill>
        </w:rPr>
        <w:t>联动试车前，应完成管道系统的试压、吹扫及严密性试验。</w:t>
      </w:r>
    </w:p>
    <w:p>
      <w:pPr>
        <w:pStyle w:val="71"/>
        <w:numPr>
          <w:ilvl w:val="255"/>
          <w:numId w:val="0"/>
        </w:numPr>
        <w:rPr>
          <w:rFonts w:ascii="Times New Roman"/>
          <w:color w:val="000000" w:themeColor="text1"/>
          <w:szCs w:val="24"/>
          <w14:textFill>
            <w14:solidFill>
              <w14:schemeClr w14:val="tx1"/>
            </w14:solidFill>
          </w14:textFill>
        </w:rPr>
      </w:pPr>
      <w:r>
        <w:rPr>
          <w:rFonts w:hint="eastAsia" w:ascii="黑体" w:hAnsi="黑体" w:eastAsia="黑体"/>
          <w:color w:val="000000" w:themeColor="text1"/>
          <w:u w:color="000000"/>
          <w14:textFill>
            <w14:solidFill>
              <w14:schemeClr w14:val="tx1"/>
            </w14:solidFill>
          </w14:textFill>
        </w:rPr>
        <w:t>9.5.2</w:t>
      </w:r>
      <w:r>
        <w:rPr>
          <w:rFonts w:ascii="黑体" w:hAnsi="黑体" w:eastAsia="黑体"/>
          <w:color w:val="000000" w:themeColor="text1"/>
          <w:u w:color="000000"/>
          <w14:textFill>
            <w14:solidFill>
              <w14:schemeClr w14:val="tx1"/>
            </w14:solidFill>
          </w14:textFill>
        </w:rPr>
        <w:t xml:space="preserve">  </w:t>
      </w:r>
      <w:r>
        <w:rPr>
          <w:rFonts w:hint="eastAsia" w:ascii="Times New Roman"/>
          <w:color w:val="000000" w:themeColor="text1"/>
          <w:szCs w:val="24"/>
          <w14:textFill>
            <w14:solidFill>
              <w14:schemeClr w14:val="tx1"/>
            </w14:solidFill>
          </w14:textFill>
        </w:rPr>
        <w:t>联动试车时应完成液化烃储罐和管道系统的干燥和氮气置换，并应满足下列要求：</w:t>
      </w:r>
    </w:p>
    <w:p>
      <w:pPr>
        <w:pStyle w:val="71"/>
        <w:numPr>
          <w:ilvl w:val="0"/>
          <w:numId w:val="42"/>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采用干燥氮气或干燥空气进行干燥置换；</w:t>
      </w:r>
    </w:p>
    <w:p>
      <w:pPr>
        <w:pStyle w:val="71"/>
        <w:numPr>
          <w:ilvl w:val="0"/>
          <w:numId w:val="42"/>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采用氮气干燥置换时，氮气纯度应大于99.5%、水露点应低于-60 ℃；采用空气干燥时，应采取除油措施，防止油污进入管道或储罐。</w:t>
      </w:r>
    </w:p>
    <w:p>
      <w:pPr>
        <w:pStyle w:val="81"/>
        <w:numPr>
          <w:ilvl w:val="255"/>
          <w:numId w:val="0"/>
        </w:numPr>
        <w:spacing w:before="158" w:beforeLines="50" w:after="158" w:afterLines="50" w:line="240" w:lineRule="auto"/>
        <w:outlineLvl w:val="1"/>
        <w:rPr>
          <w:rFonts w:ascii="黑体" w:eastAsia="黑体"/>
          <w:color w:val="000000" w:themeColor="text1"/>
          <w:kern w:val="2"/>
          <w:sz w:val="21"/>
          <w14:textFill>
            <w14:solidFill>
              <w14:schemeClr w14:val="tx1"/>
            </w14:solidFill>
          </w14:textFill>
        </w:rPr>
      </w:pPr>
      <w:bookmarkStart w:id="59" w:name="_Toc118962037"/>
      <w:r>
        <w:rPr>
          <w:rFonts w:hint="eastAsia" w:ascii="黑体" w:eastAsia="黑体"/>
          <w:color w:val="000000" w:themeColor="text1"/>
          <w:kern w:val="2"/>
          <w:sz w:val="21"/>
          <w14:textFill>
            <w14:solidFill>
              <w14:schemeClr w14:val="tx1"/>
            </w14:solidFill>
          </w14:textFill>
        </w:rPr>
        <w:t>9.</w:t>
      </w:r>
      <w:r>
        <w:rPr>
          <w:rFonts w:ascii="黑体" w:eastAsia="黑体"/>
          <w:color w:val="000000" w:themeColor="text1"/>
          <w:kern w:val="2"/>
          <w:sz w:val="21"/>
          <w14:textFill>
            <w14:solidFill>
              <w14:schemeClr w14:val="tx1"/>
            </w14:solidFill>
          </w14:textFill>
        </w:rPr>
        <w:t xml:space="preserve">6  </w:t>
      </w:r>
      <w:r>
        <w:rPr>
          <w:rFonts w:hint="eastAsia" w:ascii="黑体" w:eastAsia="黑体"/>
          <w:color w:val="000000" w:themeColor="text1"/>
          <w:kern w:val="2"/>
          <w:sz w:val="21"/>
          <w14:textFill>
            <w14:solidFill>
              <w14:schemeClr w14:val="tx1"/>
            </w14:solidFill>
          </w14:textFill>
        </w:rPr>
        <w:t>投料试车</w:t>
      </w:r>
      <w:bookmarkEnd w:id="59"/>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9</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6</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储罐投用过程中应按照操作规程进行操作，不应超工艺指标，应监控储罐温度、压力、液位。</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9</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6</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2  </w:t>
      </w:r>
      <w:r>
        <w:rPr>
          <w:rFonts w:hint="eastAsia" w:ascii="Times New Roman"/>
          <w:color w:val="000000" w:themeColor="text1"/>
          <w:szCs w:val="24"/>
          <w14:textFill>
            <w14:solidFill>
              <w14:schemeClr w14:val="tx1"/>
            </w14:solidFill>
          </w14:textFill>
        </w:rPr>
        <w:t>储罐投用过程中应检查安全阀、液位计、温度表、压力表等安全附件完好，在投料试车过程中至少每小时检查确认储罐及管线各连接法兰、阀门、罐壁等部位无泄漏，必要时对法兰进行冷紧。</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9</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6</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3  </w:t>
      </w:r>
      <w:r>
        <w:rPr>
          <w:rFonts w:hint="eastAsia" w:ascii="Times New Roman"/>
          <w:color w:val="000000" w:themeColor="text1"/>
          <w:szCs w:val="24"/>
          <w14:textFill>
            <w14:solidFill>
              <w14:schemeClr w14:val="tx1"/>
            </w14:solidFill>
          </w14:textFill>
        </w:rPr>
        <w:t>低温储罐预冷和首次进料操作应控制相应降温速度在安全值以内。</w:t>
      </w:r>
    </w:p>
    <w:p>
      <w:pPr>
        <w:widowControl w:val="0"/>
        <w:spacing w:before="317" w:beforeLines="100" w:after="317" w:afterLines="100" w:line="240" w:lineRule="auto"/>
        <w:jc w:val="left"/>
        <w:textAlignment w:val="auto"/>
        <w:outlineLvl w:val="0"/>
        <w:rPr>
          <w:rFonts w:ascii="黑体" w:hAnsi="黑体" w:eastAsia="黑体"/>
          <w:color w:val="000000" w:themeColor="text1"/>
          <w:kern w:val="2"/>
          <w:szCs w:val="21"/>
          <w14:textFill>
            <w14:solidFill>
              <w14:schemeClr w14:val="tx1"/>
            </w14:solidFill>
          </w14:textFill>
        </w:rPr>
      </w:pPr>
      <w:bookmarkStart w:id="60" w:name="_Toc112397400"/>
      <w:bookmarkStart w:id="61" w:name="_Toc118962038"/>
      <w:r>
        <w:rPr>
          <w:rFonts w:ascii="黑体" w:hAnsi="黑体" w:eastAsia="黑体"/>
          <w:color w:val="000000" w:themeColor="text1"/>
          <w:kern w:val="2"/>
          <w:szCs w:val="21"/>
          <w14:textFill>
            <w14:solidFill>
              <w14:schemeClr w14:val="tx1"/>
            </w14:solidFill>
          </w14:textFill>
        </w:rPr>
        <w:t xml:space="preserve">10  </w:t>
      </w:r>
      <w:r>
        <w:rPr>
          <w:rFonts w:hint="eastAsia" w:ascii="黑体" w:hAnsi="黑体" w:eastAsia="黑体"/>
          <w:color w:val="000000" w:themeColor="text1"/>
          <w:kern w:val="2"/>
          <w:szCs w:val="21"/>
          <w14:textFill>
            <w14:solidFill>
              <w14:schemeClr w14:val="tx1"/>
            </w14:solidFill>
          </w14:textFill>
        </w:rPr>
        <w:t>运行管理</w:t>
      </w:r>
      <w:bookmarkEnd w:id="60"/>
      <w:bookmarkEnd w:id="61"/>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62" w:name="_Toc118962039"/>
      <w:r>
        <w:rPr>
          <w:rFonts w:hint="eastAsia" w:ascii="黑体" w:eastAsia="黑体"/>
          <w:color w:val="000000" w:themeColor="text1"/>
          <w:kern w:val="2"/>
          <w:sz w:val="21"/>
          <w14:textFill>
            <w14:solidFill>
              <w14:schemeClr w14:val="tx1"/>
            </w14:solidFill>
          </w14:textFill>
        </w:rPr>
        <w:t xml:space="preserve">10.1 </w:t>
      </w:r>
      <w:r>
        <w:rPr>
          <w:rFonts w:ascii="黑体" w:eastAsia="黑体"/>
          <w:color w:val="000000" w:themeColor="text1"/>
          <w:kern w:val="2"/>
          <w:sz w:val="21"/>
          <w14:textFill>
            <w14:solidFill>
              <w14:schemeClr w14:val="tx1"/>
            </w14:solidFill>
          </w14:textFill>
        </w:rPr>
        <w:t xml:space="preserve"> </w:t>
      </w:r>
      <w:r>
        <w:rPr>
          <w:rFonts w:hint="eastAsia" w:ascii="黑体" w:eastAsia="黑体"/>
          <w:color w:val="000000" w:themeColor="text1"/>
          <w:kern w:val="2"/>
          <w:sz w:val="21"/>
          <w14:textFill>
            <w14:solidFill>
              <w14:schemeClr w14:val="tx1"/>
            </w14:solidFill>
          </w14:textFill>
        </w:rPr>
        <w:t>一般要求</w:t>
      </w:r>
      <w:bookmarkEnd w:id="62"/>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应建立全员安全生产责任制，企业管理人员应按要求取得相应资格证书。</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2  </w:t>
      </w:r>
      <w:r>
        <w:rPr>
          <w:rFonts w:hint="eastAsia" w:ascii="Times New Roman"/>
          <w:color w:val="000000" w:themeColor="text1"/>
          <w:szCs w:val="24"/>
          <w14:textFill>
            <w14:solidFill>
              <w14:schemeClr w14:val="tx1"/>
            </w14:solidFill>
          </w14:textFill>
        </w:rPr>
        <w:t>应建立安全风险分级管控与隐患排查治理机制，按照《危险化学品企业安全风险隐患排查治理导则》进行隐患排查，重大隐患治理做到落实整改目标、落实整改措施、落实整改时限、落实整改责任、落实整改资金。</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szCs w:val="24"/>
          <w14:textFill>
            <w14:solidFill>
              <w14:schemeClr w14:val="tx1"/>
            </w14:solidFill>
          </w14:textFill>
        </w:rPr>
        <w:t>10.1.3</w:t>
      </w:r>
      <w:r>
        <w:rPr>
          <w:rFonts w:ascii="黑体" w:hAnsi="黑体" w:eastAsia="黑体"/>
          <w:color w:val="000000" w:themeColor="text1"/>
          <w14:textFill>
            <w14:solidFill>
              <w14:schemeClr w14:val="tx1"/>
            </w14:solidFill>
          </w14:textFill>
        </w:rPr>
        <w:t xml:space="preserve">  </w:t>
      </w:r>
      <w:r>
        <w:rPr>
          <w:rFonts w:hint="eastAsia" w:ascii="Times New Roman"/>
          <w:color w:val="000000" w:themeColor="text1"/>
          <w:szCs w:val="24"/>
          <w14:textFill>
            <w14:solidFill>
              <w14:schemeClr w14:val="tx1"/>
            </w14:solidFill>
          </w14:textFill>
        </w:rPr>
        <w:t>重大危险源罐区应建立健全安全监测监控体系，温度、压力、液位、流量等信息的不间断采集和监测系统信息存储保存时间不少于30天。</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4  </w:t>
      </w:r>
      <w:r>
        <w:rPr>
          <w:rFonts w:hint="eastAsia" w:ascii="Times New Roman"/>
          <w:color w:val="000000" w:themeColor="text1"/>
          <w:szCs w:val="24"/>
          <w14:textFill>
            <w14:solidFill>
              <w14:schemeClr w14:val="tx1"/>
            </w14:solidFill>
          </w14:textFill>
        </w:rPr>
        <w:t>操作规程应定期进行评审、修订，工艺、设备发生变更应及时补充完善。</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5  </w:t>
      </w:r>
      <w:r>
        <w:rPr>
          <w:rFonts w:hint="eastAsia" w:ascii="Times New Roman"/>
          <w:color w:val="000000" w:themeColor="text1"/>
          <w:szCs w:val="24"/>
          <w14:textFill>
            <w14:solidFill>
              <w14:schemeClr w14:val="tx1"/>
            </w14:solidFill>
          </w14:textFill>
        </w:rPr>
        <w:t>应建立联锁管理制度，保证联锁投用、变更和摘除符合要求。联锁</w:t>
      </w:r>
      <w:r>
        <w:rPr>
          <w:rFonts w:ascii="Times New Roman"/>
          <w:color w:val="000000" w:themeColor="text1"/>
          <w:szCs w:val="24"/>
          <w14:textFill>
            <w14:solidFill>
              <w14:schemeClr w14:val="tx1"/>
            </w14:solidFill>
          </w14:textFill>
        </w:rPr>
        <w:t>值和联锁逻辑的</w:t>
      </w:r>
      <w:r>
        <w:rPr>
          <w:rFonts w:hint="eastAsia" w:ascii="Times New Roman"/>
          <w:color w:val="000000" w:themeColor="text1"/>
          <w:szCs w:val="24"/>
          <w14:textFill>
            <w14:solidFill>
              <w14:schemeClr w14:val="tx1"/>
            </w14:solidFill>
          </w14:textFill>
        </w:rPr>
        <w:t>变更实施前应征得原设计单位或具有工程设计综合甲级资质的设计单位同意。</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6  </w:t>
      </w:r>
      <w:r>
        <w:rPr>
          <w:rFonts w:hint="eastAsia" w:ascii="Times New Roman"/>
          <w:color w:val="000000" w:themeColor="text1"/>
          <w:szCs w:val="24"/>
          <w14:textFill>
            <w14:solidFill>
              <w14:schemeClr w14:val="tx1"/>
            </w14:solidFill>
          </w14:textFill>
        </w:rPr>
        <w:t>应建立报警管理制度，保证所有报警都得到相应的处置，报警的变更应履行相关手续，不应擅自屏蔽报警。</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7  </w:t>
      </w:r>
      <w:r>
        <w:rPr>
          <w:rFonts w:hint="eastAsia" w:ascii="Times New Roman"/>
          <w:color w:val="000000" w:themeColor="text1"/>
          <w:szCs w:val="24"/>
          <w14:textFill>
            <w14:solidFill>
              <w14:schemeClr w14:val="tx1"/>
            </w14:solidFill>
          </w14:textFill>
        </w:rPr>
        <w:t>在役液化烃储罐区</w:t>
      </w:r>
      <w:r>
        <w:rPr>
          <w:rFonts w:ascii="Times New Roman"/>
          <w:color w:val="000000" w:themeColor="text1"/>
          <w:szCs w:val="24"/>
          <w14:textFill>
            <w14:solidFill>
              <w14:schemeClr w14:val="tx1"/>
            </w14:solidFill>
          </w14:textFill>
        </w:rPr>
        <w:t>应定期开展</w:t>
      </w:r>
      <w:r>
        <w:rPr>
          <w:rFonts w:hint="eastAsia" w:ascii="Times New Roman"/>
          <w:color w:val="000000" w:themeColor="text1"/>
          <w:szCs w:val="24"/>
          <w14:textFill>
            <w14:solidFill>
              <w14:schemeClr w14:val="tx1"/>
            </w14:solidFill>
          </w14:textFill>
        </w:rPr>
        <w:t>危险与可操作性分析（</w:t>
      </w:r>
      <w:r>
        <w:rPr>
          <w:rFonts w:ascii="Times New Roman"/>
          <w:color w:val="000000" w:themeColor="text1"/>
          <w:szCs w:val="24"/>
          <w14:textFill>
            <w14:solidFill>
              <w14:schemeClr w14:val="tx1"/>
            </w14:solidFill>
          </w14:textFill>
        </w:rPr>
        <w:t>HAZOP</w:t>
      </w:r>
      <w:r>
        <w:rPr>
          <w:rFonts w:hint="eastAsia" w:ascii="Times New Roman"/>
          <w:color w:val="000000" w:themeColor="text1"/>
          <w:szCs w:val="24"/>
          <w14:textFill>
            <w14:solidFill>
              <w14:schemeClr w14:val="tx1"/>
            </w14:solidFill>
          </w14:textFill>
        </w:rPr>
        <w:t>分析）。</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8  </w:t>
      </w:r>
      <w:r>
        <w:rPr>
          <w:rFonts w:hint="eastAsia" w:ascii="Times New Roman"/>
          <w:color w:val="000000" w:themeColor="text1"/>
          <w:szCs w:val="24"/>
          <w14:textFill>
            <w14:solidFill>
              <w14:schemeClr w14:val="tx1"/>
            </w14:solidFill>
          </w14:textFill>
        </w:rPr>
        <w:t>液化烃罐区运行记录保存期限不应少于</w:t>
      </w:r>
      <w:r>
        <w:rPr>
          <w:rFonts w:ascii="Times New Roman"/>
          <w:color w:val="000000" w:themeColor="text1"/>
          <w:szCs w:val="24"/>
          <w14:textFill>
            <w14:solidFill>
              <w14:schemeClr w14:val="tx1"/>
            </w14:solidFill>
          </w14:textFill>
        </w:rPr>
        <w:t>3</w:t>
      </w:r>
      <w:r>
        <w:rPr>
          <w:rFonts w:hint="eastAsia" w:ascii="Times New Roman"/>
          <w:color w:val="000000" w:themeColor="text1"/>
          <w:szCs w:val="24"/>
          <w14:textFill>
            <w14:solidFill>
              <w14:schemeClr w14:val="tx1"/>
            </w14:solidFill>
          </w14:textFill>
        </w:rPr>
        <w:t>年或1个检验周期。</w:t>
      </w:r>
    </w:p>
    <w:p>
      <w:pPr>
        <w:pStyle w:val="149"/>
        <w:tabs>
          <w:tab w:val="left" w:pos="0"/>
          <w:tab w:val="left" w:pos="142"/>
          <w:tab w:val="left" w:pos="851"/>
        </w:tabs>
        <w:spacing w:line="240" w:lineRule="auto"/>
        <w:ind w:firstLine="0" w:firstLineChars="0"/>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10.1.9  </w:t>
      </w:r>
      <w:r>
        <w:rPr>
          <w:rFonts w:hint="eastAsia"/>
          <w:color w:val="000000" w:themeColor="text1"/>
          <w:szCs w:val="24"/>
          <w14:textFill>
            <w14:solidFill>
              <w14:schemeClr w14:val="tx1"/>
            </w14:solidFill>
          </w14:textFill>
        </w:rPr>
        <w:t>应制定巡检管理制度，明确巡检内容、巡检路线和巡检频率，建立重要参数内外操比对机制，储罐区停工期间应进行正常巡回检查，直至交付检修。</w:t>
      </w:r>
    </w:p>
    <w:p>
      <w:pPr>
        <w:pStyle w:val="149"/>
        <w:tabs>
          <w:tab w:val="left" w:pos="0"/>
          <w:tab w:val="left" w:pos="142"/>
          <w:tab w:val="left" w:pos="851"/>
        </w:tabs>
        <w:spacing w:line="240" w:lineRule="auto"/>
        <w:ind w:firstLine="0" w:firstLineChars="0"/>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10.1.10  </w:t>
      </w:r>
      <w:r>
        <w:rPr>
          <w:rFonts w:hint="eastAsia"/>
          <w:color w:val="000000" w:themeColor="text1"/>
          <w:szCs w:val="24"/>
          <w14:textFill>
            <w14:solidFill>
              <w14:schemeClr w14:val="tx1"/>
            </w14:solidFill>
          </w14:textFill>
        </w:rPr>
        <w:t>操作人员在执行联锁切除投入、流程改动、机泵切换、压缩机启停、收付倒料切换等重要操作时，应按照相关操作规程执行。</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11  </w:t>
      </w:r>
      <w:r>
        <w:rPr>
          <w:rFonts w:hint="eastAsia"/>
          <w:color w:val="000000" w:themeColor="text1"/>
          <w:kern w:val="2"/>
          <w:szCs w:val="24"/>
          <w14:textFill>
            <w14:solidFill>
              <w14:schemeClr w14:val="tx1"/>
            </w14:solidFill>
          </w14:textFill>
        </w:rPr>
        <w:t>在役液化烃罐区应每</w:t>
      </w:r>
      <w:r>
        <w:rPr>
          <w:rFonts w:ascii="Times New Roman"/>
          <w:color w:val="000000" w:themeColor="text1"/>
          <w:szCs w:val="24"/>
          <w14:textFill>
            <w14:solidFill>
              <w14:schemeClr w14:val="tx1"/>
            </w14:solidFill>
          </w14:textFill>
        </w:rPr>
        <w:t>3</w:t>
      </w:r>
      <w:r>
        <w:rPr>
          <w:rFonts w:hint="eastAsia"/>
          <w:color w:val="000000" w:themeColor="text1"/>
          <w:kern w:val="2"/>
          <w:szCs w:val="24"/>
          <w14:textFill>
            <w14:solidFill>
              <w14:schemeClr w14:val="tx1"/>
            </w14:solidFill>
          </w14:textFill>
        </w:rPr>
        <w:t>年开展1次现状安全评价；</w:t>
      </w:r>
      <w:r>
        <w:rPr>
          <w:rFonts w:hint="eastAsia" w:ascii="Times New Roman"/>
          <w:color w:val="000000" w:themeColor="text1"/>
          <w:szCs w:val="24"/>
          <w14:textFill>
            <w14:solidFill>
              <w14:schemeClr w14:val="tx1"/>
            </w14:solidFill>
          </w14:textFill>
        </w:rPr>
        <w:t>重大危险源罐区应每3年进行1次重大危险源安全评估。</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12  </w:t>
      </w:r>
      <w:r>
        <w:rPr>
          <w:rFonts w:hint="eastAsia" w:ascii="Times New Roman"/>
          <w:color w:val="000000" w:themeColor="text1"/>
          <w:szCs w:val="24"/>
          <w14:textFill>
            <w14:solidFill>
              <w14:schemeClr w14:val="tx1"/>
            </w14:solidFill>
          </w14:textFill>
        </w:rPr>
        <w:t>重大危险源所在场所应设置明显的安全警示标志和职业危害因素告知牌。</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63" w:name="_Toc118962040"/>
      <w:r>
        <w:rPr>
          <w:rFonts w:hint="eastAsia" w:ascii="黑体" w:eastAsia="黑体"/>
          <w:color w:val="000000" w:themeColor="text1"/>
          <w:kern w:val="2"/>
          <w:sz w:val="21"/>
          <w14:textFill>
            <w14:solidFill>
              <w14:schemeClr w14:val="tx1"/>
            </w14:solidFill>
          </w14:textFill>
        </w:rPr>
        <w:t>10.2</w:t>
      </w:r>
      <w:r>
        <w:rPr>
          <w:rFonts w:ascii="黑体" w:eastAsia="黑体"/>
          <w:color w:val="000000" w:themeColor="text1"/>
          <w:kern w:val="2"/>
          <w:sz w:val="21"/>
          <w14:textFill>
            <w14:solidFill>
              <w14:schemeClr w14:val="tx1"/>
            </w14:solidFill>
          </w14:textFill>
        </w:rPr>
        <w:t xml:space="preserve">  </w:t>
      </w:r>
      <w:r>
        <w:rPr>
          <w:rFonts w:hint="eastAsia" w:ascii="黑体" w:eastAsia="黑体"/>
          <w:color w:val="000000" w:themeColor="text1"/>
          <w:kern w:val="2"/>
          <w:sz w:val="21"/>
          <w14:textFill>
            <w14:solidFill>
              <w14:schemeClr w14:val="tx1"/>
            </w14:solidFill>
          </w14:textFill>
        </w:rPr>
        <w:t>物料性质指标与控制</w:t>
      </w:r>
      <w:bookmarkEnd w:id="63"/>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液化烃储罐存储介质不应随意变更，如果变更存储介质，应进行风险评估按照变更程序管理。</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2  </w:t>
      </w:r>
      <w:r>
        <w:rPr>
          <w:rFonts w:hint="eastAsia" w:ascii="Times New Roman"/>
          <w:color w:val="000000" w:themeColor="text1"/>
          <w:szCs w:val="24"/>
          <w14:textFill>
            <w14:solidFill>
              <w14:schemeClr w14:val="tx1"/>
            </w14:solidFill>
          </w14:textFill>
        </w:rPr>
        <w:t>工艺指标应在设计范围内，发生变化时应进行安全风险评估。</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3  </w:t>
      </w:r>
      <w:r>
        <w:rPr>
          <w:rFonts w:hint="eastAsia" w:ascii="Times New Roman"/>
          <w:color w:val="000000" w:themeColor="text1"/>
          <w:szCs w:val="24"/>
          <w14:textFill>
            <w14:solidFill>
              <w14:schemeClr w14:val="tx1"/>
            </w14:solidFill>
          </w14:textFill>
        </w:rPr>
        <w:t>液态丁二烯中阻聚剂含量不应低于设计下限，丁二烯储存温度不应高于设计上限。</w:t>
      </w:r>
    </w:p>
    <w:p>
      <w:pPr>
        <w:widowControl w:val="0"/>
        <w:tabs>
          <w:tab w:val="left" w:pos="1050"/>
        </w:tabs>
        <w:spacing w:line="240" w:lineRule="auto"/>
        <w:textAlignment w:val="auto"/>
        <w:rPr>
          <w:color w:val="auto"/>
          <w:szCs w:val="24"/>
        </w:rPr>
      </w:pPr>
      <w:r>
        <w:rPr>
          <w:rFonts w:ascii="黑体" w:hAnsi="黑体" w:eastAsia="黑体"/>
          <w:color w:val="000000" w:themeColor="text1"/>
          <w14:textFill>
            <w14:solidFill>
              <w14:schemeClr w14:val="tx1"/>
            </w14:solidFill>
          </w14:textFill>
        </w:rPr>
        <w:t xml:space="preserve">10.2.4  </w:t>
      </w:r>
      <w:r>
        <w:rPr>
          <w:rFonts w:hint="eastAsia"/>
          <w:color w:val="000000" w:themeColor="text1"/>
          <w:szCs w:val="24"/>
          <w14:textFill>
            <w14:solidFill>
              <w14:schemeClr w14:val="tx1"/>
            </w14:solidFill>
          </w14:textFill>
        </w:rPr>
        <w:t>丁二烯储罐的火炬线末端进行氮气吹扫，防止聚合物堵塞。丁二烯储罐和系统管线应定期进行循环。</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64" w:name="_Toc118962041"/>
      <w:r>
        <w:rPr>
          <w:rFonts w:ascii="黑体" w:eastAsia="黑体"/>
          <w:color w:val="000000" w:themeColor="text1"/>
          <w:kern w:val="2"/>
          <w:sz w:val="21"/>
          <w14:textFill>
            <w14:solidFill>
              <w14:schemeClr w14:val="tx1"/>
            </w14:solidFill>
          </w14:textFill>
        </w:rPr>
        <w:t xml:space="preserve">10.3 </w:t>
      </w:r>
      <w:r>
        <w:rPr>
          <w:rFonts w:hint="eastAsia" w:ascii="黑体" w:eastAsia="黑体"/>
          <w:color w:val="000000" w:themeColor="text1"/>
          <w:kern w:val="2"/>
          <w:sz w:val="21"/>
          <w14:textFill>
            <w14:solidFill>
              <w14:schemeClr w14:val="tx1"/>
            </w14:solidFill>
          </w14:textFill>
        </w:rPr>
        <w:t xml:space="preserve"> 运行维护</w:t>
      </w:r>
      <w:bookmarkEnd w:id="64"/>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储罐液位计出现液位偏差应及时进行原因分析并处理。</w:t>
      </w:r>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2  </w:t>
      </w:r>
      <w:r>
        <w:rPr>
          <w:rFonts w:hint="eastAsia" w:ascii="Times New Roman"/>
          <w:color w:val="000000" w:themeColor="text1"/>
          <w:szCs w:val="24"/>
          <w14:textFill>
            <w14:solidFill>
              <w14:schemeClr w14:val="tx1"/>
            </w14:solidFill>
          </w14:textFill>
        </w:rPr>
        <w:t>运行机泵的一、二级密封均应处于完好状态。</w:t>
      </w:r>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3  </w:t>
      </w:r>
      <w:r>
        <w:rPr>
          <w:rFonts w:hint="eastAsia" w:ascii="Times New Roman"/>
          <w:color w:val="000000" w:themeColor="text1"/>
          <w:szCs w:val="24"/>
          <w14:textFill>
            <w14:solidFill>
              <w14:schemeClr w14:val="tx1"/>
            </w14:solidFill>
          </w14:textFill>
        </w:rPr>
        <w:t>在覆土罐使用期间，应监测储罐基础的沉降，并定期检查腐蚀保护系统的有效性。</w:t>
      </w:r>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4  </w:t>
      </w:r>
      <w:r>
        <w:rPr>
          <w:rFonts w:hint="eastAsia" w:ascii="Times New Roman"/>
          <w:color w:val="000000" w:themeColor="text1"/>
          <w:szCs w:val="24"/>
          <w14:textFill>
            <w14:solidFill>
              <w14:schemeClr w14:val="tx1"/>
            </w14:solidFill>
          </w14:textFill>
        </w:rPr>
        <w:t>日常工作应对储罐附件等电位连接、接地线、人体静电消除器、防静电胶管接地线等完好性进行检查。</w:t>
      </w:r>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5  </w:t>
      </w:r>
      <w:r>
        <w:rPr>
          <w:rFonts w:hint="eastAsia" w:ascii="Times New Roman"/>
          <w:color w:val="000000" w:themeColor="text1"/>
          <w:szCs w:val="24"/>
          <w14:textFill>
            <w14:solidFill>
              <w14:schemeClr w14:val="tx1"/>
            </w14:solidFill>
          </w14:textFill>
        </w:rPr>
        <w:t>管线穿过防火堤处的缝隙应封堵严实，破损的应采用耐火胶泥等材料修补。</w:t>
      </w:r>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6  </w:t>
      </w:r>
      <w:r>
        <w:rPr>
          <w:rFonts w:hint="eastAsia" w:ascii="Times New Roman"/>
          <w:color w:val="000000" w:themeColor="text1"/>
          <w:szCs w:val="24"/>
          <w14:textFill>
            <w14:solidFill>
              <w14:schemeClr w14:val="tx1"/>
            </w14:solidFill>
          </w14:textFill>
        </w:rPr>
        <w:t>定期检查应急注水管线中无液化烃倒窜。</w:t>
      </w:r>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7  </w:t>
      </w:r>
      <w:r>
        <w:rPr>
          <w:rFonts w:hint="eastAsia" w:ascii="Times New Roman"/>
          <w:color w:val="000000" w:themeColor="text1"/>
          <w:szCs w:val="24"/>
          <w14:textFill>
            <w14:solidFill>
              <w14:schemeClr w14:val="tx1"/>
            </w14:solidFill>
          </w14:textFill>
        </w:rPr>
        <w:t>严寒地区入冬前应对系统管线末端、安全阀、注水管线和火炬系统管线等易积水部位进行防冻胀检查。</w:t>
      </w:r>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8  </w:t>
      </w:r>
      <w:r>
        <w:rPr>
          <w:rFonts w:hint="eastAsia" w:ascii="Times New Roman"/>
          <w:color w:val="000000" w:themeColor="text1"/>
          <w:szCs w:val="24"/>
          <w14:textFill>
            <w14:solidFill>
              <w14:schemeClr w14:val="tx1"/>
            </w14:solidFill>
          </w14:textFill>
        </w:rPr>
        <w:t>液化烃工艺管道不应使用软管连接。</w:t>
      </w:r>
    </w:p>
    <w:p>
      <w:pPr>
        <w:pStyle w:val="149"/>
        <w:keepNext w:val="0"/>
        <w:keepLines w:val="0"/>
        <w:pageBreakBefore w:val="0"/>
        <w:widowControl/>
        <w:numPr>
          <w:ilvl w:val="255"/>
          <w:numId w:val="0"/>
        </w:numPr>
        <w:tabs>
          <w:tab w:val="left" w:pos="0"/>
          <w:tab w:val="left" w:pos="142"/>
          <w:tab w:val="left" w:pos="851"/>
        </w:tabs>
        <w:kinsoku/>
        <w:wordWrap/>
        <w:overflowPunct/>
        <w:topLinePunct w:val="0"/>
        <w:bidi w:val="0"/>
        <w:adjustRightInd/>
        <w:snapToGrid/>
        <w:spacing w:line="240" w:lineRule="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10.3.9  </w:t>
      </w:r>
      <w:r>
        <w:rPr>
          <w:rFonts w:hint="eastAsia"/>
          <w:color w:val="000000" w:themeColor="text1"/>
          <w:szCs w:val="24"/>
          <w14:textFill>
            <w14:solidFill>
              <w14:schemeClr w14:val="tx1"/>
            </w14:solidFill>
          </w14:textFill>
        </w:rPr>
        <w:t>设备管理要求：</w:t>
      </w:r>
    </w:p>
    <w:p>
      <w:pPr>
        <w:pStyle w:val="71"/>
        <w:keepNext w:val="0"/>
        <w:keepLines w:val="0"/>
        <w:pageBreakBefore w:val="0"/>
        <w:widowControl/>
        <w:numPr>
          <w:ilvl w:val="0"/>
          <w:numId w:val="43"/>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液态烃机泵不应低于最小允许流量运行。泵流量、密封系统隔离液罐压力、液位保持平稳，出现异常波动要及时退守安全稳态并进行分析原因；</w:t>
      </w:r>
    </w:p>
    <w:p>
      <w:pPr>
        <w:pStyle w:val="71"/>
        <w:keepNext w:val="0"/>
        <w:keepLines w:val="0"/>
        <w:pageBreakBefore w:val="0"/>
        <w:widowControl/>
        <w:numPr>
          <w:ilvl w:val="0"/>
          <w:numId w:val="43"/>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应根据设备维护策略开展主动维护、定周期维修或状态监测维修。机组累计运行时间超过</w:t>
      </w:r>
      <w:r>
        <w:rPr>
          <w:rFonts w:ascii="Times New Roman"/>
          <w:color w:val="000000" w:themeColor="text1"/>
          <w:szCs w:val="24"/>
          <w14:textFill>
            <w14:solidFill>
              <w14:schemeClr w14:val="tx1"/>
            </w14:solidFill>
          </w14:textFill>
        </w:rPr>
        <w:t>24000</w:t>
      </w:r>
      <w:r>
        <w:rPr>
          <w:rFonts w:hint="eastAsia" w:ascii="Times New Roman"/>
          <w:color w:val="000000" w:themeColor="text1"/>
          <w:szCs w:val="24"/>
          <w14:textFill>
            <w14:solidFill>
              <w14:schemeClr w14:val="tx1"/>
            </w14:solidFill>
          </w14:textFill>
        </w:rPr>
        <w:t>h</w:t>
      </w:r>
      <w:r>
        <w:rPr>
          <w:rFonts w:ascii="Times New Roman"/>
          <w:color w:val="000000" w:themeColor="text1"/>
          <w:szCs w:val="24"/>
          <w14:textFill>
            <w14:solidFill>
              <w14:schemeClr w14:val="tx1"/>
            </w14:solidFill>
          </w14:textFill>
        </w:rPr>
        <w:t>应安排预防性大修。活塞杆、连杆螺栓使用寿命应不超过厂家要求时间。</w:t>
      </w:r>
      <w:r>
        <w:rPr>
          <w:rFonts w:hint="eastAsia" w:ascii="Times New Roman"/>
          <w:color w:val="000000" w:themeColor="text1"/>
          <w:szCs w:val="24"/>
          <w14:textFill>
            <w14:solidFill>
              <w14:schemeClr w14:val="tx1"/>
            </w14:solidFill>
          </w14:textFill>
        </w:rPr>
        <w:t>液化烃泵</w:t>
      </w:r>
      <w:r>
        <w:rPr>
          <w:rFonts w:ascii="Times New Roman"/>
          <w:color w:val="000000" w:themeColor="text1"/>
          <w:szCs w:val="24"/>
          <w14:textFill>
            <w14:solidFill>
              <w14:schemeClr w14:val="tx1"/>
            </w14:solidFill>
          </w14:textFill>
        </w:rPr>
        <w:t>机械密封及滚动轴承累计运行时间超过2</w:t>
      </w:r>
      <w:r>
        <w:rPr>
          <w:rFonts w:hint="eastAsia" w:ascii="Times New Roman"/>
          <w:color w:val="000000" w:themeColor="text1"/>
          <w:szCs w:val="24"/>
          <w14:textFill>
            <w14:solidFill>
              <w14:schemeClr w14:val="tx1"/>
            </w14:solidFill>
          </w14:textFill>
        </w:rPr>
        <w:t>5</w:t>
      </w:r>
      <w:r>
        <w:rPr>
          <w:rFonts w:ascii="Times New Roman"/>
          <w:color w:val="000000" w:themeColor="text1"/>
          <w:szCs w:val="24"/>
          <w14:textFill>
            <w14:solidFill>
              <w14:schemeClr w14:val="tx1"/>
            </w14:solidFill>
          </w14:textFill>
        </w:rPr>
        <w:t>000</w:t>
      </w:r>
      <w:r>
        <w:rPr>
          <w:rFonts w:hint="eastAsia" w:ascii="Times New Roman"/>
          <w:color w:val="000000" w:themeColor="text1"/>
          <w:szCs w:val="24"/>
          <w14:textFill>
            <w14:solidFill>
              <w14:schemeClr w14:val="tx1"/>
            </w14:solidFill>
          </w14:textFill>
        </w:rPr>
        <w:t>h</w:t>
      </w:r>
      <w:r>
        <w:rPr>
          <w:rFonts w:ascii="Times New Roman"/>
          <w:color w:val="000000" w:themeColor="text1"/>
          <w:szCs w:val="24"/>
          <w14:textFill>
            <w14:solidFill>
              <w14:schemeClr w14:val="tx1"/>
            </w14:solidFill>
          </w14:textFill>
        </w:rPr>
        <w:t>应安排预防性检修</w:t>
      </w:r>
      <w:r>
        <w:rPr>
          <w:rFonts w:hint="eastAsia" w:ascii="Times New Roman"/>
          <w:color w:val="000000" w:themeColor="text1"/>
          <w:szCs w:val="24"/>
          <w14:textFill>
            <w14:solidFill>
              <w14:schemeClr w14:val="tx1"/>
            </w14:solidFill>
          </w14:textFill>
        </w:rPr>
        <w:t>；</w:t>
      </w:r>
    </w:p>
    <w:p>
      <w:pPr>
        <w:pStyle w:val="71"/>
        <w:keepNext w:val="0"/>
        <w:keepLines w:val="0"/>
        <w:pageBreakBefore w:val="0"/>
        <w:widowControl/>
        <w:numPr>
          <w:ilvl w:val="0"/>
          <w:numId w:val="43"/>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操作人员、维保人员</w:t>
      </w:r>
      <w:r>
        <w:rPr>
          <w:rFonts w:hint="eastAsia" w:ascii="Times New Roman"/>
          <w:color w:val="000000" w:themeColor="text1"/>
          <w:szCs w:val="24"/>
          <w14:textFill>
            <w14:solidFill>
              <w14:schemeClr w14:val="tx1"/>
            </w14:solidFill>
          </w14:textFill>
        </w:rPr>
        <w:t>应定期进行检测，</w:t>
      </w:r>
      <w:r>
        <w:rPr>
          <w:rFonts w:ascii="Times New Roman"/>
          <w:color w:val="000000" w:themeColor="text1"/>
          <w:szCs w:val="24"/>
          <w14:textFill>
            <w14:solidFill>
              <w14:schemeClr w14:val="tx1"/>
            </w14:solidFill>
          </w14:textFill>
        </w:rPr>
        <w:t>应配备测振仪、测温仪，</w:t>
      </w:r>
      <w:r>
        <w:rPr>
          <w:rFonts w:hint="eastAsia" w:ascii="Times New Roman"/>
          <w:color w:val="000000" w:themeColor="text1"/>
          <w:szCs w:val="24"/>
          <w14:textFill>
            <w14:solidFill>
              <w14:schemeClr w14:val="tx1"/>
            </w14:solidFill>
          </w14:textFill>
        </w:rPr>
        <w:t>应</w:t>
      </w:r>
      <w:r>
        <w:rPr>
          <w:rFonts w:ascii="Times New Roman"/>
          <w:color w:val="000000" w:themeColor="text1"/>
          <w:szCs w:val="24"/>
          <w14:textFill>
            <w14:solidFill>
              <w14:schemeClr w14:val="tx1"/>
            </w14:solidFill>
          </w14:textFill>
        </w:rPr>
        <w:t>配置L值检测仪。机泵检修后，开机</w:t>
      </w:r>
      <w:r>
        <w:rPr>
          <w:rFonts w:hint="eastAsia" w:ascii="Times New Roman"/>
          <w:color w:val="000000" w:themeColor="text1"/>
          <w:szCs w:val="24"/>
          <w14:textFill>
            <w14:solidFill>
              <w14:schemeClr w14:val="tx1"/>
            </w14:solidFill>
          </w14:textFill>
        </w:rPr>
        <w:t>后应进行</w:t>
      </w:r>
      <w:r>
        <w:rPr>
          <w:rFonts w:ascii="Times New Roman"/>
          <w:color w:val="000000" w:themeColor="text1"/>
          <w:szCs w:val="24"/>
          <w14:textFill>
            <w14:solidFill>
              <w14:schemeClr w14:val="tx1"/>
            </w14:solidFill>
          </w14:textFill>
        </w:rPr>
        <w:t>测振、测温</w:t>
      </w:r>
      <w:r>
        <w:rPr>
          <w:rFonts w:hint="eastAsia" w:ascii="Times New Roman"/>
          <w:color w:val="000000" w:themeColor="text1"/>
          <w:szCs w:val="24"/>
          <w14:textFill>
            <w14:solidFill>
              <w14:schemeClr w14:val="tx1"/>
            </w14:solidFill>
          </w14:textFill>
        </w:rPr>
        <w:t>，前2h</w:t>
      </w:r>
      <w:r>
        <w:rPr>
          <w:rFonts w:ascii="Times New Roman"/>
          <w:color w:val="000000" w:themeColor="text1"/>
          <w:szCs w:val="24"/>
          <w14:textFill>
            <w14:solidFill>
              <w14:schemeClr w14:val="tx1"/>
            </w14:solidFill>
          </w14:textFill>
        </w:rPr>
        <w:t>每30</w:t>
      </w:r>
      <w:r>
        <w:rPr>
          <w:rFonts w:hint="eastAsia" w:ascii="Times New Roman"/>
          <w:color w:val="000000" w:themeColor="text1"/>
          <w:szCs w:val="24"/>
          <w14:textFill>
            <w14:solidFill>
              <w14:schemeClr w14:val="tx1"/>
            </w14:solidFill>
          </w14:textFill>
        </w:rPr>
        <w:t>m</w:t>
      </w:r>
      <w:r>
        <w:rPr>
          <w:rFonts w:ascii="Times New Roman"/>
          <w:color w:val="000000" w:themeColor="text1"/>
          <w:szCs w:val="24"/>
          <w14:textFill>
            <w14:solidFill>
              <w14:schemeClr w14:val="tx1"/>
            </w14:solidFill>
          </w14:textFill>
        </w:rPr>
        <w:t>in记录1次</w:t>
      </w:r>
      <w:r>
        <w:rPr>
          <w:rFonts w:hint="eastAsia" w:ascii="Times New Roman"/>
          <w:color w:val="000000" w:themeColor="text1"/>
          <w:szCs w:val="24"/>
          <w14:textFill>
            <w14:solidFill>
              <w14:schemeClr w14:val="tx1"/>
            </w14:solidFill>
          </w14:textFill>
        </w:rPr>
        <w:t>，</w:t>
      </w:r>
      <w:r>
        <w:rPr>
          <w:rFonts w:ascii="Times New Roman"/>
          <w:color w:val="000000" w:themeColor="text1"/>
          <w:szCs w:val="24"/>
          <w14:textFill>
            <w14:solidFill>
              <w14:schemeClr w14:val="tx1"/>
            </w14:solidFill>
          </w14:textFill>
        </w:rPr>
        <w:t>2</w:t>
      </w:r>
      <w:r>
        <w:rPr>
          <w:rFonts w:hint="eastAsia" w:ascii="Times New Roman"/>
          <w:color w:val="000000" w:themeColor="text1"/>
          <w:szCs w:val="24"/>
          <w14:textFill>
            <w14:solidFill>
              <w14:schemeClr w14:val="tx1"/>
            </w14:solidFill>
          </w14:textFill>
        </w:rPr>
        <w:t>h</w:t>
      </w:r>
      <w:r>
        <w:rPr>
          <w:rFonts w:ascii="Times New Roman"/>
          <w:color w:val="000000" w:themeColor="text1"/>
          <w:szCs w:val="24"/>
          <w14:textFill>
            <w14:solidFill>
              <w14:schemeClr w14:val="tx1"/>
            </w14:solidFill>
          </w14:textFill>
        </w:rPr>
        <w:t>以后每4</w:t>
      </w:r>
      <w:r>
        <w:rPr>
          <w:rFonts w:hint="eastAsia" w:ascii="Times New Roman"/>
          <w:color w:val="000000" w:themeColor="text1"/>
          <w:szCs w:val="24"/>
          <w14:textFill>
            <w14:solidFill>
              <w14:schemeClr w14:val="tx1"/>
            </w14:solidFill>
          </w14:textFill>
        </w:rPr>
        <w:t>h</w:t>
      </w:r>
      <w:r>
        <w:rPr>
          <w:rFonts w:ascii="Times New Roman"/>
          <w:color w:val="000000" w:themeColor="text1"/>
          <w:szCs w:val="24"/>
          <w14:textFill>
            <w14:solidFill>
              <w14:schemeClr w14:val="tx1"/>
            </w14:solidFill>
          </w14:textFill>
        </w:rPr>
        <w:t>记录1次，24</w:t>
      </w:r>
      <w:r>
        <w:rPr>
          <w:rFonts w:hint="eastAsia" w:ascii="Times New Roman"/>
          <w:color w:val="000000" w:themeColor="text1"/>
          <w:szCs w:val="24"/>
          <w14:textFill>
            <w14:solidFill>
              <w14:schemeClr w14:val="tx1"/>
            </w14:solidFill>
          </w14:textFill>
        </w:rPr>
        <w:t>h</w:t>
      </w:r>
      <w:r>
        <w:rPr>
          <w:rFonts w:ascii="Times New Roman"/>
          <w:color w:val="000000" w:themeColor="text1"/>
          <w:szCs w:val="24"/>
          <w14:textFill>
            <w14:solidFill>
              <w14:schemeClr w14:val="tx1"/>
            </w14:solidFill>
          </w14:textFill>
        </w:rPr>
        <w:t>后恢复常规维护。</w:t>
      </w:r>
      <w:r>
        <w:rPr>
          <w:rFonts w:hint="eastAsia" w:ascii="Times New Roman"/>
          <w:color w:val="000000" w:themeColor="text1"/>
          <w:szCs w:val="24"/>
          <w14:textFill>
            <w14:solidFill>
              <w14:schemeClr w14:val="tx1"/>
            </w14:solidFill>
          </w14:textFill>
        </w:rPr>
        <w:t>主机配置有模拟量振动监测时，应</w:t>
      </w:r>
      <w:r>
        <w:rPr>
          <w:rFonts w:hint="eastAsia" w:ascii="Times New Roman"/>
          <w:szCs w:val="24"/>
        </w:rPr>
        <w:t>每周1次</w:t>
      </w:r>
      <w:r>
        <w:rPr>
          <w:rFonts w:hint="eastAsia" w:ascii="Times New Roman"/>
          <w:color w:val="000000" w:themeColor="text1"/>
          <w:szCs w:val="24"/>
          <w14:textFill>
            <w14:solidFill>
              <w14:schemeClr w14:val="tx1"/>
            </w14:solidFill>
          </w14:textFill>
        </w:rPr>
        <w:t>人工测振，并比对振动变化趋势；未配置模拟量振动监测时，人工测振频率应不少于</w:t>
      </w:r>
      <w:r>
        <w:rPr>
          <w:rFonts w:ascii="Times New Roman"/>
          <w:color w:val="000000" w:themeColor="text1"/>
          <w:szCs w:val="24"/>
          <w14:textFill>
            <w14:solidFill>
              <w14:schemeClr w14:val="tx1"/>
            </w14:solidFill>
          </w14:textFill>
        </w:rPr>
        <w:t>2次/天。</w:t>
      </w:r>
      <w:r>
        <w:rPr>
          <w:rFonts w:hint="eastAsia" w:ascii="Times New Roman"/>
          <w:color w:val="000000" w:themeColor="text1"/>
          <w:szCs w:val="24"/>
          <w14:textFill>
            <w14:solidFill>
              <w14:schemeClr w14:val="tx1"/>
            </w14:solidFill>
          </w14:textFill>
        </w:rPr>
        <w:t>液化烃泵不应带病运行；</w:t>
      </w:r>
    </w:p>
    <w:p>
      <w:pPr>
        <w:pStyle w:val="71"/>
        <w:keepNext w:val="0"/>
        <w:keepLines w:val="0"/>
        <w:pageBreakBefore w:val="0"/>
        <w:widowControl/>
        <w:numPr>
          <w:ilvl w:val="0"/>
          <w:numId w:val="43"/>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液化烃泵应进行定期</w:t>
      </w:r>
      <w:r>
        <w:rPr>
          <w:rFonts w:ascii="Times New Roman"/>
          <w:color w:val="000000" w:themeColor="text1"/>
          <w:szCs w:val="24"/>
          <w14:textFill>
            <w14:solidFill>
              <w14:schemeClr w14:val="tx1"/>
            </w14:solidFill>
          </w14:textFill>
        </w:rPr>
        <w:t>切换</w:t>
      </w:r>
      <w:r>
        <w:rPr>
          <w:rFonts w:hint="eastAsia" w:ascii="Times New Roman"/>
          <w:color w:val="000000" w:themeColor="text1"/>
          <w:szCs w:val="24"/>
          <w14:textFill>
            <w14:solidFill>
              <w14:schemeClr w14:val="tx1"/>
            </w14:solidFill>
          </w14:textFill>
        </w:rPr>
        <w:t>，对进出口阀门执行机构、铜套、轴承及盘根应定期维护，确保操作轻便，无泄漏；</w:t>
      </w:r>
    </w:p>
    <w:p>
      <w:pPr>
        <w:pStyle w:val="71"/>
        <w:keepNext w:val="0"/>
        <w:keepLines w:val="0"/>
        <w:pageBreakBefore w:val="0"/>
        <w:widowControl/>
        <w:numPr>
          <w:ilvl w:val="0"/>
          <w:numId w:val="43"/>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定期进行常规分析，保证润滑油品质合格。</w:t>
      </w:r>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10  </w:t>
      </w:r>
      <w:r>
        <w:rPr>
          <w:rFonts w:ascii="Times New Roman"/>
          <w:szCs w:val="24"/>
        </w:rPr>
        <w:t>BPCS</w:t>
      </w:r>
      <w:r>
        <w:rPr>
          <w:rFonts w:hint="eastAsia" w:ascii="Times New Roman"/>
          <w:color w:val="000000" w:themeColor="text1"/>
          <w:szCs w:val="24"/>
          <w14:textFill>
            <w14:solidFill>
              <w14:schemeClr w14:val="tx1"/>
            </w14:solidFill>
          </w14:textFill>
        </w:rPr>
        <w:t>、</w:t>
      </w:r>
      <w:r>
        <w:rPr>
          <w:rFonts w:ascii="Times New Roman"/>
          <w:color w:val="000000" w:themeColor="text1"/>
          <w:szCs w:val="24"/>
          <w14:textFill>
            <w14:solidFill>
              <w14:schemeClr w14:val="tx1"/>
            </w14:solidFill>
          </w14:textFill>
        </w:rPr>
        <w:t>SIS</w:t>
      </w:r>
      <w:r>
        <w:rPr>
          <w:rFonts w:hint="eastAsia" w:ascii="Times New Roman"/>
          <w:color w:val="000000" w:themeColor="text1"/>
          <w:szCs w:val="24"/>
          <w14:textFill>
            <w14:solidFill>
              <w14:schemeClr w14:val="tx1"/>
            </w14:solidFill>
          </w14:textFill>
        </w:rPr>
        <w:t>、</w:t>
      </w:r>
      <w:r>
        <w:rPr>
          <w:rFonts w:ascii="Times New Roman"/>
          <w:color w:val="000000" w:themeColor="text1"/>
          <w:szCs w:val="24"/>
          <w14:textFill>
            <w14:solidFill>
              <w14:schemeClr w14:val="tx1"/>
            </w14:solidFill>
          </w14:textFill>
        </w:rPr>
        <w:t>GDS</w:t>
      </w:r>
      <w:r>
        <w:rPr>
          <w:rFonts w:hint="eastAsia" w:ascii="Times New Roman"/>
          <w:color w:val="000000" w:themeColor="text1"/>
          <w:szCs w:val="24"/>
          <w14:textFill>
            <w14:solidFill>
              <w14:schemeClr w14:val="tx1"/>
            </w14:solidFill>
          </w14:textFill>
        </w:rPr>
        <w:t>等控制系统组态文件应定期备份，组态变化时应及时备份。</w:t>
      </w:r>
    </w:p>
    <w:p>
      <w:pPr>
        <w:pStyle w:val="149"/>
        <w:keepNext w:val="0"/>
        <w:keepLines w:val="0"/>
        <w:pageBreakBefore w:val="0"/>
        <w:widowControl/>
        <w:numPr>
          <w:ilvl w:val="255"/>
          <w:numId w:val="0"/>
        </w:numPr>
        <w:tabs>
          <w:tab w:val="left" w:pos="851"/>
        </w:tabs>
        <w:kinsoku/>
        <w:wordWrap/>
        <w:overflowPunct/>
        <w:topLinePunct w:val="0"/>
        <w:bidi w:val="0"/>
        <w:adjustRightInd/>
        <w:snapToGrid/>
        <w:spacing w:line="240" w:lineRule="auto"/>
        <w:ind w:left="6"/>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10.3.11  </w:t>
      </w:r>
      <w:r>
        <w:rPr>
          <w:rFonts w:hint="eastAsia"/>
          <w:color w:val="000000" w:themeColor="text1"/>
          <w:szCs w:val="24"/>
          <w14:textFill>
            <w14:solidFill>
              <w14:schemeClr w14:val="tx1"/>
            </w14:solidFill>
          </w14:textFill>
        </w:rPr>
        <w:t>应建立罐区防雷设施档案，防雷接地设施的图纸资料应齐全，并绘有接地点平面图。应对现场防雷接地点进行编号并挂牌，并与接地点平面图一一对应。</w:t>
      </w:r>
    </w:p>
    <w:p>
      <w:pPr>
        <w:pStyle w:val="149"/>
        <w:keepNext w:val="0"/>
        <w:keepLines w:val="0"/>
        <w:pageBreakBefore w:val="0"/>
        <w:widowControl/>
        <w:numPr>
          <w:ilvl w:val="255"/>
          <w:numId w:val="0"/>
        </w:numPr>
        <w:tabs>
          <w:tab w:val="left" w:pos="851"/>
        </w:tabs>
        <w:kinsoku/>
        <w:wordWrap/>
        <w:overflowPunct/>
        <w:topLinePunct w:val="0"/>
        <w:bidi w:val="0"/>
        <w:adjustRightInd/>
        <w:snapToGrid/>
        <w:spacing w:line="240" w:lineRule="auto"/>
        <w:rPr>
          <w:color w:val="auto"/>
          <w:shd w:val="clear" w:color="auto" w:fill="FFFFFF"/>
        </w:rPr>
      </w:pPr>
      <w:r>
        <w:rPr>
          <w:rFonts w:ascii="黑体" w:hAnsi="黑体" w:eastAsia="黑体"/>
          <w:color w:val="000000" w:themeColor="text1"/>
          <w14:textFill>
            <w14:solidFill>
              <w14:schemeClr w14:val="tx1"/>
            </w14:solidFill>
          </w14:textFill>
        </w:rPr>
        <w:t xml:space="preserve">10.3.12  </w:t>
      </w:r>
      <w:r>
        <w:rPr>
          <w:rFonts w:hint="eastAsia"/>
          <w:color w:val="000000" w:themeColor="text1"/>
          <w:szCs w:val="24"/>
          <w14:textFill>
            <w14:solidFill>
              <w14:schemeClr w14:val="tx1"/>
            </w14:solidFill>
          </w14:textFill>
        </w:rPr>
        <w:t>每年应进行至少</w:t>
      </w:r>
      <w:r>
        <w:rPr>
          <w:color w:val="000000" w:themeColor="text1"/>
          <w:szCs w:val="24"/>
          <w14:textFill>
            <w14:solidFill>
              <w14:schemeClr w14:val="tx1"/>
            </w14:solidFill>
          </w14:textFill>
        </w:rPr>
        <w:t>2</w:t>
      </w:r>
      <w:r>
        <w:rPr>
          <w:rFonts w:hint="eastAsia"/>
          <w:color w:val="000000" w:themeColor="text1"/>
          <w:szCs w:val="24"/>
          <w14:textFill>
            <w14:solidFill>
              <w14:schemeClr w14:val="tx1"/>
            </w14:solidFill>
          </w14:textFill>
        </w:rPr>
        <w:t>次防雷检测工作，</w:t>
      </w:r>
      <w:r>
        <w:rPr>
          <w:rFonts w:hint="eastAsia"/>
          <w:color w:val="auto"/>
          <w:shd w:val="clear" w:color="auto" w:fill="FFFFFF"/>
        </w:rPr>
        <w:t>应委托具有雷电防护装置检测甲级资质的单位进行检测并出具检测记录。</w:t>
      </w:r>
    </w:p>
    <w:p>
      <w:pPr>
        <w:pStyle w:val="149"/>
        <w:keepNext w:val="0"/>
        <w:keepLines w:val="0"/>
        <w:pageBreakBefore w:val="0"/>
        <w:widowControl/>
        <w:numPr>
          <w:ilvl w:val="255"/>
          <w:numId w:val="0"/>
        </w:numPr>
        <w:tabs>
          <w:tab w:val="left" w:pos="851"/>
        </w:tabs>
        <w:kinsoku/>
        <w:wordWrap/>
        <w:overflowPunct/>
        <w:topLinePunct w:val="0"/>
        <w:bidi w:val="0"/>
        <w:adjustRightInd/>
        <w:snapToGrid/>
        <w:spacing w:line="240" w:lineRule="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10.3.13 </w:t>
      </w:r>
      <w:r>
        <w:rPr>
          <w:color w:val="000000" w:themeColor="text1"/>
          <w:szCs w:val="24"/>
          <w14:textFill>
            <w14:solidFill>
              <w14:schemeClr w14:val="tx1"/>
            </w14:solidFill>
          </w14:textFill>
        </w:rPr>
        <w:t xml:space="preserve"> </w:t>
      </w:r>
      <w:r>
        <w:rPr>
          <w:rFonts w:hint="eastAsia"/>
          <w:color w:val="000000" w:themeColor="text1"/>
          <w:szCs w:val="24"/>
          <w14:textFill>
            <w14:solidFill>
              <w14:schemeClr w14:val="tx1"/>
            </w14:solidFill>
          </w14:textFill>
        </w:rPr>
        <w:t>应定期对防火保护涂层进行检查，以保证防火保护材料始终保持粘结强度，不得有脱落、鼓泡、松动等情况。</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65" w:name="_Toc118962042"/>
      <w:r>
        <w:rPr>
          <w:rFonts w:hint="eastAsia" w:ascii="黑体" w:eastAsia="黑体"/>
          <w:color w:val="000000" w:themeColor="text1"/>
          <w:kern w:val="2"/>
          <w:sz w:val="21"/>
          <w14:textFill>
            <w14:solidFill>
              <w14:schemeClr w14:val="tx1"/>
            </w14:solidFill>
          </w14:textFill>
        </w:rPr>
        <w:t>10.4</w:t>
      </w:r>
      <w:r>
        <w:rPr>
          <w:rFonts w:ascii="黑体" w:eastAsia="黑体"/>
          <w:color w:val="000000" w:themeColor="text1"/>
          <w:kern w:val="2"/>
          <w:sz w:val="21"/>
          <w14:textFill>
            <w14:solidFill>
              <w14:schemeClr w14:val="tx1"/>
            </w14:solidFill>
          </w14:textFill>
        </w:rPr>
        <w:t xml:space="preserve"> </w:t>
      </w:r>
      <w:r>
        <w:rPr>
          <w:rFonts w:hint="eastAsia" w:ascii="黑体" w:eastAsia="黑体"/>
          <w:color w:val="000000" w:themeColor="text1"/>
          <w:kern w:val="2"/>
          <w:sz w:val="21"/>
          <w14:textFill>
            <w14:solidFill>
              <w14:schemeClr w14:val="tx1"/>
            </w14:solidFill>
          </w14:textFill>
        </w:rPr>
        <w:t xml:space="preserve"> 检验检测</w:t>
      </w:r>
      <w:bookmarkEnd w:id="65"/>
    </w:p>
    <w:p>
      <w:pPr>
        <w:pStyle w:val="71"/>
        <w:keepNext w:val="0"/>
        <w:keepLines w:val="0"/>
        <w:pageBreakBefore w:val="0"/>
        <w:kinsoku/>
        <w:wordWrap/>
        <w:overflowPunct/>
        <w:topLinePunct w:val="0"/>
        <w:bidi w:val="0"/>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4</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液化烃压力储罐及安全阀应按照TSG</w:t>
      </w:r>
      <w:r>
        <w:rPr>
          <w:rFonts w:ascii="Times New Roman"/>
          <w:color w:val="000000" w:themeColor="text1"/>
          <w:szCs w:val="24"/>
          <w14:textFill>
            <w14:solidFill>
              <w14:schemeClr w14:val="tx1"/>
            </w14:solidFill>
          </w14:textFill>
        </w:rPr>
        <w:t xml:space="preserve"> </w:t>
      </w:r>
      <w:r>
        <w:rPr>
          <w:rFonts w:hint="eastAsia" w:ascii="Times New Roman"/>
          <w:color w:val="000000" w:themeColor="text1"/>
          <w:szCs w:val="24"/>
          <w14:textFill>
            <w14:solidFill>
              <w14:schemeClr w14:val="tx1"/>
            </w14:solidFill>
          </w14:textFill>
        </w:rPr>
        <w:t>21和TSG</w:t>
      </w:r>
      <w:r>
        <w:rPr>
          <w:rFonts w:ascii="Times New Roman"/>
          <w:color w:val="000000" w:themeColor="text1"/>
          <w:szCs w:val="24"/>
          <w14:textFill>
            <w14:solidFill>
              <w14:schemeClr w14:val="tx1"/>
            </w14:solidFill>
          </w14:textFill>
        </w:rPr>
        <w:t xml:space="preserve"> </w:t>
      </w:r>
      <w:r>
        <w:rPr>
          <w:rFonts w:hint="eastAsia" w:ascii="Times New Roman"/>
          <w:color w:val="000000" w:themeColor="text1"/>
          <w:szCs w:val="24"/>
          <w14:textFill>
            <w14:solidFill>
              <w14:schemeClr w14:val="tx1"/>
            </w14:solidFill>
          </w14:textFill>
        </w:rPr>
        <w:t>08的要求进行定期检验。</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10.4.2  </w:t>
      </w:r>
      <w:r>
        <w:rPr>
          <w:rFonts w:hint="eastAsia"/>
          <w:color w:val="000000" w:themeColor="text1"/>
          <w:szCs w:val="24"/>
          <w14:textFill>
            <w14:solidFill>
              <w14:schemeClr w14:val="tx1"/>
            </w14:solidFill>
          </w14:textFill>
        </w:rPr>
        <w:t>压力管道应</w:t>
      </w:r>
      <w:r>
        <w:rPr>
          <w:color w:val="000000" w:themeColor="text1"/>
          <w:szCs w:val="24"/>
          <w14:textFill>
            <w14:solidFill>
              <w14:schemeClr w14:val="tx1"/>
            </w14:solidFill>
          </w14:textFill>
        </w:rPr>
        <w:t>按照</w:t>
      </w:r>
      <w:r>
        <w:rPr>
          <w:rFonts w:hint="eastAsia"/>
          <w:color w:val="000000" w:themeColor="text1"/>
          <w:szCs w:val="24"/>
          <w14:textFill>
            <w14:solidFill>
              <w14:schemeClr w14:val="tx1"/>
            </w14:solidFill>
          </w14:textFill>
        </w:rPr>
        <w:t>TSG D7005的</w:t>
      </w:r>
      <w:r>
        <w:rPr>
          <w:color w:val="000000" w:themeColor="text1"/>
          <w:szCs w:val="24"/>
          <w14:textFill>
            <w14:solidFill>
              <w14:schemeClr w14:val="tx1"/>
            </w14:solidFill>
          </w14:textFill>
        </w:rPr>
        <w:t>要求进行</w:t>
      </w:r>
      <w:r>
        <w:rPr>
          <w:rFonts w:hint="eastAsia"/>
          <w:color w:val="000000" w:themeColor="text1"/>
          <w:szCs w:val="24"/>
          <w14:textFill>
            <w14:solidFill>
              <w14:schemeClr w14:val="tx1"/>
            </w14:solidFill>
          </w14:textFill>
        </w:rPr>
        <w:t>定期</w:t>
      </w:r>
      <w:r>
        <w:rPr>
          <w:color w:val="000000" w:themeColor="text1"/>
          <w:szCs w:val="24"/>
          <w14:textFill>
            <w14:solidFill>
              <w14:schemeClr w14:val="tx1"/>
            </w14:solidFill>
          </w14:textFill>
        </w:rPr>
        <w:t>检测</w:t>
      </w:r>
      <w:r>
        <w:rPr>
          <w:rFonts w:hint="eastAsia"/>
          <w:color w:val="000000" w:themeColor="text1"/>
          <w:szCs w:val="24"/>
          <w14:textFill>
            <w14:solidFill>
              <w14:schemeClr w14:val="tx1"/>
            </w14:solidFill>
          </w14:textFill>
        </w:rPr>
        <w:t>。</w:t>
      </w:r>
    </w:p>
    <w:p>
      <w:pPr>
        <w:pStyle w:val="71"/>
        <w:keepNext w:val="0"/>
        <w:keepLines w:val="0"/>
        <w:pageBreakBefore w:val="0"/>
        <w:kinsoku/>
        <w:wordWrap/>
        <w:overflowPunct/>
        <w:topLinePunct w:val="0"/>
        <w:bidi w:val="0"/>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4</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3  </w:t>
      </w:r>
      <w:r>
        <w:rPr>
          <w:rFonts w:hint="eastAsia" w:ascii="Times New Roman"/>
          <w:color w:val="000000" w:themeColor="text1"/>
          <w:szCs w:val="24"/>
          <w14:textFill>
            <w14:solidFill>
              <w14:schemeClr w14:val="tx1"/>
            </w14:solidFill>
          </w14:textFill>
        </w:rPr>
        <w:t>可燃气体报警器每年至少检验1次，有毒气体报警器每半年至少检验1次，不应随意停用。</w:t>
      </w:r>
    </w:p>
    <w:p>
      <w:pPr>
        <w:pStyle w:val="149"/>
        <w:keepNext w:val="0"/>
        <w:keepLines w:val="0"/>
        <w:pageBreakBefore w:val="0"/>
        <w:tabs>
          <w:tab w:val="left" w:pos="0"/>
          <w:tab w:val="left" w:pos="142"/>
          <w:tab w:val="left" w:pos="851"/>
        </w:tabs>
        <w:kinsoku/>
        <w:wordWrap/>
        <w:overflowPunct/>
        <w:topLinePunct w:val="0"/>
        <w:bidi w:val="0"/>
        <w:snapToGrid/>
        <w:spacing w:line="240" w:lineRule="auto"/>
        <w:ind w:firstLine="0" w:firstLineChars="0"/>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10.4.4  </w:t>
      </w:r>
      <w:r>
        <w:rPr>
          <w:rFonts w:hint="eastAsia"/>
          <w:color w:val="000000" w:themeColor="text1"/>
          <w:szCs w:val="24"/>
          <w14:textFill>
            <w14:solidFill>
              <w14:schemeClr w14:val="tx1"/>
            </w14:solidFill>
          </w14:textFill>
        </w:rPr>
        <w:t>液化烃罐区应定期开展LDAR泄漏检测专项工作，检测工作严格按照GB 31570、GB 31571和</w:t>
      </w:r>
      <w:r>
        <w:rPr>
          <w:color w:val="000000" w:themeColor="text1"/>
          <w:szCs w:val="24"/>
          <w14:textFill>
            <w14:solidFill>
              <w14:schemeClr w14:val="tx1"/>
            </w14:solidFill>
          </w14:textFill>
        </w:rPr>
        <w:t>HJ 880、HJ 853执行。</w:t>
      </w:r>
    </w:p>
    <w:p>
      <w:pPr>
        <w:pStyle w:val="71"/>
        <w:keepNext w:val="0"/>
        <w:keepLines w:val="0"/>
        <w:pageBreakBefore w:val="0"/>
        <w:kinsoku/>
        <w:wordWrap/>
        <w:overflowPunct/>
        <w:topLinePunct w:val="0"/>
        <w:bidi w:val="0"/>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4</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5  </w:t>
      </w:r>
      <w:r>
        <w:rPr>
          <w:rFonts w:hint="eastAsia" w:ascii="Times New Roman"/>
          <w:color w:val="000000" w:themeColor="text1"/>
          <w:szCs w:val="24"/>
          <w14:textFill>
            <w14:solidFill>
              <w14:schemeClr w14:val="tx1"/>
            </w14:solidFill>
          </w14:textFill>
        </w:rPr>
        <w:t>罐区紧急切断阀应每季度测试1次，特殊情况可适当延长，但不应超过半年。</w:t>
      </w:r>
    </w:p>
    <w:p>
      <w:pPr>
        <w:pStyle w:val="71"/>
        <w:keepNext w:val="0"/>
        <w:keepLines w:val="0"/>
        <w:pageBreakBefore w:val="0"/>
        <w:kinsoku/>
        <w:wordWrap/>
        <w:overflowPunct/>
        <w:topLinePunct w:val="0"/>
        <w:bidi w:val="0"/>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4</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6  </w:t>
      </w:r>
      <w:r>
        <w:rPr>
          <w:rFonts w:hint="eastAsia" w:ascii="Times New Roman"/>
          <w:color w:val="000000" w:themeColor="text1"/>
          <w:szCs w:val="24"/>
          <w14:textFill>
            <w14:solidFill>
              <w14:schemeClr w14:val="tx1"/>
            </w14:solidFill>
          </w14:textFill>
        </w:rPr>
        <w:t>全冷冻式储罐参照</w:t>
      </w:r>
      <w:r>
        <w:rPr>
          <w:rFonts w:ascii="Times New Roman"/>
          <w:color w:val="000000" w:themeColor="text1"/>
          <w:szCs w:val="24"/>
          <w14:textFill>
            <w14:solidFill>
              <w14:schemeClr w14:val="tx1"/>
            </w14:solidFill>
          </w14:textFill>
        </w:rPr>
        <w:t>GB/T 30578的相关要求进行检验检测</w:t>
      </w:r>
      <w:r>
        <w:rPr>
          <w:rFonts w:hint="eastAsia" w:ascii="Times New Roman"/>
          <w:color w:val="000000" w:themeColor="text1"/>
          <w:szCs w:val="24"/>
          <w14:textFill>
            <w14:solidFill>
              <w14:schemeClr w14:val="tx1"/>
            </w14:solidFill>
          </w14:textFill>
        </w:rPr>
        <w:t>。</w:t>
      </w:r>
      <w:r>
        <w:rPr>
          <w:rFonts w:ascii="Times New Roman"/>
          <w:color w:val="000000" w:themeColor="text1"/>
          <w:szCs w:val="24"/>
          <w14:textFill>
            <w14:solidFill>
              <w14:schemeClr w14:val="tx1"/>
            </w14:solidFill>
          </w14:textFill>
        </w:rPr>
        <w:t>全冷冻式</w:t>
      </w:r>
      <w:r>
        <w:rPr>
          <w:rFonts w:hint="eastAsia" w:ascii="Times New Roman"/>
          <w:color w:val="000000" w:themeColor="text1"/>
          <w:szCs w:val="24"/>
          <w14:textFill>
            <w14:solidFill>
              <w14:schemeClr w14:val="tx1"/>
            </w14:solidFill>
          </w14:textFill>
        </w:rPr>
        <w:t>液化烃储罐首次投用满</w:t>
      </w:r>
      <w:r>
        <w:rPr>
          <w:rFonts w:ascii="Times New Roman"/>
          <w:color w:val="000000" w:themeColor="text1"/>
          <w:szCs w:val="24"/>
          <w14:textFill>
            <w14:solidFill>
              <w14:schemeClr w14:val="tx1"/>
            </w14:solidFill>
          </w14:textFill>
        </w:rPr>
        <w:t>1年、2年、3年时，应对其进行沉降观测。</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66" w:name="_Toc118962043"/>
      <w:r>
        <w:rPr>
          <w:rFonts w:hint="eastAsia" w:ascii="黑体" w:eastAsia="黑体"/>
          <w:color w:val="000000" w:themeColor="text1"/>
          <w:kern w:val="2"/>
          <w:sz w:val="21"/>
          <w14:textFill>
            <w14:solidFill>
              <w14:schemeClr w14:val="tx1"/>
            </w14:solidFill>
          </w14:textFill>
        </w:rPr>
        <w:t>10.5</w:t>
      </w:r>
      <w:r>
        <w:rPr>
          <w:rFonts w:ascii="黑体" w:eastAsia="黑体"/>
          <w:color w:val="000000" w:themeColor="text1"/>
          <w:kern w:val="2"/>
          <w:sz w:val="21"/>
          <w14:textFill>
            <w14:solidFill>
              <w14:schemeClr w14:val="tx1"/>
            </w14:solidFill>
          </w14:textFill>
        </w:rPr>
        <w:t xml:space="preserve">  </w:t>
      </w:r>
      <w:r>
        <w:rPr>
          <w:rFonts w:hint="eastAsia" w:ascii="黑体" w:eastAsia="黑体"/>
          <w:color w:val="000000" w:themeColor="text1"/>
          <w:kern w:val="2"/>
          <w:sz w:val="21"/>
          <w14:textFill>
            <w14:solidFill>
              <w14:schemeClr w14:val="tx1"/>
            </w14:solidFill>
          </w14:textFill>
        </w:rPr>
        <w:t>其他操作要求</w:t>
      </w:r>
      <w:bookmarkEnd w:id="66"/>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5</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罐区内操作不应使用非防爆工具。</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5</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2  </w:t>
      </w:r>
      <w:r>
        <w:rPr>
          <w:rFonts w:hint="eastAsia" w:ascii="Times New Roman"/>
          <w:color w:val="000000" w:themeColor="text1"/>
          <w:szCs w:val="24"/>
          <w14:textFill>
            <w14:solidFill>
              <w14:schemeClr w14:val="tx1"/>
            </w14:solidFill>
          </w14:textFill>
        </w:rPr>
        <w:t>液化烃储罐脱水时作业人员不应离开操作区域，脱水作业周边不应动火作业，罐区附近动火作业时应满足G</w:t>
      </w:r>
      <w:r>
        <w:rPr>
          <w:rFonts w:ascii="Times New Roman"/>
          <w:color w:val="000000" w:themeColor="text1"/>
          <w:szCs w:val="24"/>
          <w14:textFill>
            <w14:solidFill>
              <w14:schemeClr w14:val="tx1"/>
            </w14:solidFill>
          </w14:textFill>
        </w:rPr>
        <w:t>B 30871</w:t>
      </w:r>
      <w:r>
        <w:rPr>
          <w:rFonts w:hint="eastAsia" w:ascii="Times New Roman"/>
          <w:color w:val="000000" w:themeColor="text1"/>
          <w:szCs w:val="24"/>
          <w14:textFill>
            <w14:solidFill>
              <w14:schemeClr w14:val="tx1"/>
            </w14:solidFill>
          </w14:textFill>
        </w:rPr>
        <w:t>的相关要求。</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5</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3  </w:t>
      </w:r>
      <w:r>
        <w:rPr>
          <w:rFonts w:hint="eastAsia" w:ascii="Times New Roman"/>
          <w:color w:val="000000" w:themeColor="text1"/>
          <w:szCs w:val="24"/>
          <w14:textFill>
            <w14:solidFill>
              <w14:schemeClr w14:val="tx1"/>
            </w14:solidFill>
          </w14:textFill>
        </w:rPr>
        <w:t>汽化操作应先引入加热介质后引入液化烃。</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5</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4  </w:t>
      </w:r>
      <w:r>
        <w:rPr>
          <w:rFonts w:hint="eastAsia" w:ascii="Times New Roman"/>
          <w:color w:val="000000" w:themeColor="text1"/>
          <w:szCs w:val="24"/>
          <w14:textFill>
            <w14:solidFill>
              <w14:schemeClr w14:val="tx1"/>
            </w14:solidFill>
          </w14:textFill>
        </w:rPr>
        <w:t>应严格控制液相管线泄压速率，避免管线温度骤降冷脆。</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10</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5</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5  </w:t>
      </w:r>
      <w:r>
        <w:rPr>
          <w:rFonts w:hint="eastAsia" w:ascii="Times New Roman"/>
          <w:color w:val="000000" w:themeColor="text1"/>
          <w:szCs w:val="24"/>
          <w14:textFill>
            <w14:solidFill>
              <w14:schemeClr w14:val="tx1"/>
            </w14:solidFill>
          </w14:textFill>
        </w:rPr>
        <w:t>不应使用明火或其他不安全方式进行管线解冻。</w:t>
      </w:r>
    </w:p>
    <w:p>
      <w:pPr>
        <w:widowControl w:val="0"/>
        <w:spacing w:before="317" w:beforeLines="100" w:after="317" w:afterLines="100" w:line="240" w:lineRule="auto"/>
        <w:jc w:val="left"/>
        <w:textAlignment w:val="auto"/>
        <w:outlineLvl w:val="0"/>
        <w:rPr>
          <w:rFonts w:ascii="黑体" w:hAnsi="黑体" w:eastAsia="黑体"/>
          <w:color w:val="000000" w:themeColor="text1"/>
          <w:kern w:val="2"/>
          <w:szCs w:val="21"/>
          <w14:textFill>
            <w14:solidFill>
              <w14:schemeClr w14:val="tx1"/>
            </w14:solidFill>
          </w14:textFill>
        </w:rPr>
      </w:pPr>
      <w:bookmarkStart w:id="67" w:name="_Toc112397401"/>
      <w:bookmarkStart w:id="68" w:name="_Toc118962044"/>
      <w:r>
        <w:rPr>
          <w:rFonts w:hint="eastAsia" w:ascii="黑体" w:hAnsi="黑体" w:eastAsia="黑体"/>
          <w:color w:val="000000" w:themeColor="text1"/>
          <w:kern w:val="2"/>
          <w:szCs w:val="21"/>
          <w14:textFill>
            <w14:solidFill>
              <w14:schemeClr w14:val="tx1"/>
            </w14:solidFill>
          </w14:textFill>
        </w:rPr>
        <w:t>11  检维修管理</w:t>
      </w:r>
      <w:bookmarkEnd w:id="67"/>
      <w:bookmarkEnd w:id="68"/>
    </w:p>
    <w:p>
      <w:pPr>
        <w:pStyle w:val="149"/>
        <w:keepNext w:val="0"/>
        <w:keepLines w:val="0"/>
        <w:pageBreakBefore w:val="0"/>
        <w:widowControl/>
        <w:tabs>
          <w:tab w:val="left" w:pos="851"/>
        </w:tabs>
        <w:kinsoku/>
        <w:wordWrap/>
        <w:overflowPunct/>
        <w:topLinePunct w:val="0"/>
        <w:bidi w:val="0"/>
        <w:adjustRightInd/>
        <w:snapToGrid/>
        <w:spacing w:line="240" w:lineRule="auto"/>
        <w:ind w:left="6" w:firstLine="0" w:firstLineChars="0"/>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11.1  </w:t>
      </w:r>
      <w:r>
        <w:rPr>
          <w:rFonts w:hint="eastAsia"/>
          <w:color w:val="000000" w:themeColor="text1"/>
          <w:szCs w:val="24"/>
          <w14:textFill>
            <w14:solidFill>
              <w14:schemeClr w14:val="tx1"/>
            </w14:solidFill>
          </w14:textFill>
        </w:rPr>
        <w:t>液化烃储罐区内的动土、动火、吊装、临时用电、进入受限空间、高处及抽堵盲板等特殊作业应严格执行</w:t>
      </w:r>
      <w:r>
        <w:rPr>
          <w:color w:val="000000" w:themeColor="text1"/>
          <w:szCs w:val="24"/>
          <w14:textFill>
            <w14:solidFill>
              <w14:schemeClr w14:val="tx1"/>
            </w14:solidFill>
          </w14:textFill>
        </w:rPr>
        <w:t>GB 30871</w:t>
      </w:r>
      <w:r>
        <w:rPr>
          <w:rFonts w:hint="eastAsia"/>
          <w:color w:val="000000" w:themeColor="text1"/>
          <w:szCs w:val="24"/>
          <w14:textFill>
            <w14:solidFill>
              <w14:schemeClr w14:val="tx1"/>
            </w14:solidFill>
          </w14:textFill>
        </w:rPr>
        <w:t>，并做好作业计划管控、开展针对性作业安全分析（JSA）、落实安全技术措施、规范工机器具使用、监管作业全过程和验收作业完工质量等工作。</w:t>
      </w:r>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2  </w:t>
      </w:r>
      <w:r>
        <w:rPr>
          <w:rFonts w:hint="eastAsia" w:ascii="Times New Roman"/>
          <w:color w:val="000000" w:themeColor="text1"/>
          <w:szCs w:val="24"/>
          <w14:textFill>
            <w14:solidFill>
              <w14:schemeClr w14:val="tx1"/>
            </w14:solidFill>
          </w14:textFill>
        </w:rPr>
        <w:t>液化烃罐区安装、改造和检维修的单位应具备相应资质，涉及特种设备的改造与重大维修应当向使用地特种设备监管部门报备。</w:t>
      </w:r>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3  </w:t>
      </w:r>
      <w:r>
        <w:rPr>
          <w:rFonts w:hint="eastAsia" w:ascii="Times New Roman"/>
          <w:color w:val="000000" w:themeColor="text1"/>
          <w:szCs w:val="24"/>
          <w14:textFill>
            <w14:solidFill>
              <w14:schemeClr w14:val="tx1"/>
            </w14:solidFill>
          </w14:textFill>
        </w:rPr>
        <w:t>物料倒空时应严格按照操作规程执行。在操作时防止导料泵抽空造成设备损坏。倒空置换时液化烃储罐内残液应密闭排放，不应直排大气。</w:t>
      </w:r>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4  </w:t>
      </w:r>
      <w:r>
        <w:rPr>
          <w:rFonts w:hint="eastAsia" w:ascii="Times New Roman"/>
          <w:color w:val="000000" w:themeColor="text1"/>
          <w:szCs w:val="24"/>
          <w14:textFill>
            <w14:solidFill>
              <w14:schemeClr w14:val="tx1"/>
            </w14:solidFill>
          </w14:textFill>
        </w:rPr>
        <w:t>丁二烯储罐打开人孔前应进行氮气置换、蒸汽吹扫或碱洗处理等措施确保罐内物料处理干净。</w:t>
      </w:r>
    </w:p>
    <w:p>
      <w:pPr>
        <w:pStyle w:val="149"/>
        <w:keepNext w:val="0"/>
        <w:keepLines w:val="0"/>
        <w:pageBreakBefore w:val="0"/>
        <w:widowControl/>
        <w:tabs>
          <w:tab w:val="left" w:pos="851"/>
        </w:tabs>
        <w:kinsoku/>
        <w:wordWrap/>
        <w:overflowPunct/>
        <w:topLinePunct w:val="0"/>
        <w:bidi w:val="0"/>
        <w:adjustRightInd/>
        <w:snapToGrid/>
        <w:spacing w:line="240" w:lineRule="auto"/>
        <w:ind w:firstLine="0" w:firstLineChars="0"/>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11.5  </w:t>
      </w:r>
      <w:r>
        <w:rPr>
          <w:rFonts w:hint="eastAsia"/>
          <w:color w:val="000000" w:themeColor="text1"/>
          <w:szCs w:val="24"/>
          <w14:textFill>
            <w14:solidFill>
              <w14:schemeClr w14:val="tx1"/>
            </w14:solidFill>
          </w14:textFill>
        </w:rPr>
        <w:t>液化烃罐区检维修应编制施工方案，方案中应包括作业风险评估、编制作业方案、合理配备作业和监护人员，并经过相关方联合会签。</w:t>
      </w:r>
    </w:p>
    <w:p>
      <w:pPr>
        <w:pStyle w:val="149"/>
        <w:keepNext w:val="0"/>
        <w:keepLines w:val="0"/>
        <w:pageBreakBefore w:val="0"/>
        <w:widowControl/>
        <w:tabs>
          <w:tab w:val="left" w:pos="851"/>
        </w:tabs>
        <w:kinsoku/>
        <w:wordWrap/>
        <w:overflowPunct/>
        <w:topLinePunct w:val="0"/>
        <w:bidi w:val="0"/>
        <w:adjustRightInd/>
        <w:snapToGrid/>
        <w:spacing w:line="240" w:lineRule="auto"/>
        <w:ind w:firstLine="0" w:firstLineChars="0"/>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11.6  </w:t>
      </w:r>
      <w:r>
        <w:rPr>
          <w:rFonts w:hint="eastAsia"/>
          <w:color w:val="000000" w:themeColor="text1"/>
          <w:szCs w:val="24"/>
          <w14:textFill>
            <w14:solidFill>
              <w14:schemeClr w14:val="tx1"/>
            </w14:solidFill>
          </w14:textFill>
        </w:rPr>
        <w:t>液化烃储罐检维修应符合以下规定：</w:t>
      </w:r>
    </w:p>
    <w:p>
      <w:pPr>
        <w:pStyle w:val="71"/>
        <w:keepNext w:val="0"/>
        <w:keepLines w:val="0"/>
        <w:pageBreakBefore w:val="0"/>
        <w:widowControl/>
        <w:numPr>
          <w:ilvl w:val="0"/>
          <w:numId w:val="44"/>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施工前应进行作业风险评估并编制作业方案，应选用符合资质要求的检维修或施工单位；</w:t>
      </w:r>
    </w:p>
    <w:p>
      <w:pPr>
        <w:pStyle w:val="71"/>
        <w:keepNext w:val="0"/>
        <w:keepLines w:val="0"/>
        <w:pageBreakBefore w:val="0"/>
        <w:widowControl/>
        <w:numPr>
          <w:ilvl w:val="0"/>
          <w:numId w:val="44"/>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施工前应组织针对施工内容、作业环境及技术要求内容进行交底。参与施工人员应清楚施工过程安全风险及内容；</w:t>
      </w:r>
    </w:p>
    <w:p>
      <w:pPr>
        <w:pStyle w:val="71"/>
        <w:keepNext w:val="0"/>
        <w:keepLines w:val="0"/>
        <w:pageBreakBefore w:val="0"/>
        <w:widowControl/>
        <w:numPr>
          <w:ilvl w:val="0"/>
          <w:numId w:val="44"/>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涉及特种设备的检维修应满足</w:t>
      </w:r>
      <w:r>
        <w:rPr>
          <w:rFonts w:ascii="Times New Roman"/>
          <w:color w:val="000000" w:themeColor="text1"/>
          <w:szCs w:val="24"/>
          <w14:textFill>
            <w14:solidFill>
              <w14:schemeClr w14:val="tx1"/>
            </w14:solidFill>
          </w14:textFill>
        </w:rPr>
        <w:t xml:space="preserve">TSG 21 </w:t>
      </w:r>
      <w:r>
        <w:rPr>
          <w:rFonts w:hint="eastAsia" w:ascii="Times New Roman"/>
          <w:color w:val="000000" w:themeColor="text1"/>
          <w:szCs w:val="24"/>
          <w14:textFill>
            <w14:solidFill>
              <w14:schemeClr w14:val="tx1"/>
            </w14:solidFill>
          </w14:textFill>
        </w:rPr>
        <w:t>的规定；</w:t>
      </w:r>
    </w:p>
    <w:p>
      <w:pPr>
        <w:pStyle w:val="71"/>
        <w:keepNext w:val="0"/>
        <w:keepLines w:val="0"/>
        <w:pageBreakBefore w:val="0"/>
        <w:widowControl/>
        <w:numPr>
          <w:ilvl w:val="0"/>
          <w:numId w:val="44"/>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储罐本体及其附件回装应采用定力矩紧固；</w:t>
      </w:r>
    </w:p>
    <w:p>
      <w:pPr>
        <w:pStyle w:val="71"/>
        <w:keepNext w:val="0"/>
        <w:keepLines w:val="0"/>
        <w:pageBreakBefore w:val="0"/>
        <w:widowControl/>
        <w:numPr>
          <w:ilvl w:val="0"/>
          <w:numId w:val="44"/>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应落实防错拆（动）误拆（动）措施，管线设备打开部位、盲板抽堵部位及拟拆除的废旧管线设置警示标识；</w:t>
      </w:r>
      <w:r>
        <w:rPr>
          <w:rFonts w:ascii="Times New Roman"/>
          <w:color w:val="000000" w:themeColor="text1"/>
          <w:szCs w:val="24"/>
          <w14:textFill>
            <w14:solidFill>
              <w14:schemeClr w14:val="tx1"/>
            </w14:solidFill>
          </w14:textFill>
        </w:rPr>
        <w:t xml:space="preserve"> </w:t>
      </w:r>
    </w:p>
    <w:p>
      <w:pPr>
        <w:pStyle w:val="71"/>
        <w:keepNext w:val="0"/>
        <w:keepLines w:val="0"/>
        <w:pageBreakBefore w:val="0"/>
        <w:widowControl/>
        <w:numPr>
          <w:ilvl w:val="0"/>
          <w:numId w:val="44"/>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液化烃储罐区作业应采取能量隔离措施，隔离部位应上锁挂牌；</w:t>
      </w:r>
    </w:p>
    <w:p>
      <w:pPr>
        <w:pStyle w:val="71"/>
        <w:keepNext w:val="0"/>
        <w:keepLines w:val="0"/>
        <w:pageBreakBefore w:val="0"/>
        <w:widowControl/>
        <w:numPr>
          <w:ilvl w:val="0"/>
          <w:numId w:val="44"/>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液化烃储罐区同一区域应严格控制多工种、多层次的交叉作业。确需进行的交叉作业应指定协调人，采取相应的风险防范措施；</w:t>
      </w:r>
    </w:p>
    <w:p>
      <w:pPr>
        <w:pStyle w:val="71"/>
        <w:keepNext w:val="0"/>
        <w:keepLines w:val="0"/>
        <w:pageBreakBefore w:val="0"/>
        <w:widowControl/>
        <w:numPr>
          <w:ilvl w:val="0"/>
          <w:numId w:val="44"/>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作业过程中当作业内容、范围、地点、作业环境及条件等发生变更导致风险防控措施失效的，应立即停止作业；</w:t>
      </w:r>
    </w:p>
    <w:p>
      <w:pPr>
        <w:pStyle w:val="71"/>
        <w:keepNext w:val="0"/>
        <w:keepLines w:val="0"/>
        <w:pageBreakBefore w:val="0"/>
        <w:widowControl/>
        <w:numPr>
          <w:ilvl w:val="0"/>
          <w:numId w:val="44"/>
        </w:numPr>
        <w:kinsoku/>
        <w:wordWrap/>
        <w:overflowPunct/>
        <w:topLinePunct w:val="0"/>
        <w:bidi w:val="0"/>
        <w:adjustRightInd/>
        <w:snapToGrid/>
        <w:spacing w:line="240" w:lineRule="auto"/>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作业环境及技术要求内容进行交底与反交底。</w:t>
      </w:r>
    </w:p>
    <w:p>
      <w:pPr>
        <w:pStyle w:val="71"/>
        <w:keepNext w:val="0"/>
        <w:keepLines w:val="0"/>
        <w:pageBreakBefore w:val="0"/>
        <w:widowControl/>
        <w:kinsoku/>
        <w:wordWrap/>
        <w:overflowPunct/>
        <w:topLinePunct w:val="0"/>
        <w:bidi w:val="0"/>
        <w:adjustRightInd/>
        <w:snapToGrid/>
        <w:spacing w:line="240" w:lineRule="auto"/>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7  </w:t>
      </w:r>
      <w:r>
        <w:rPr>
          <w:rFonts w:hint="eastAsia" w:ascii="Times New Roman"/>
          <w:color w:val="000000" w:themeColor="text1"/>
          <w:szCs w:val="24"/>
          <w14:textFill>
            <w14:solidFill>
              <w14:schemeClr w14:val="tx1"/>
            </w14:solidFill>
          </w14:textFill>
        </w:rPr>
        <w:t>检维修完成后检维修（施工）单位应向属地单位进行完工确认。</w:t>
      </w:r>
    </w:p>
    <w:p>
      <w:pPr>
        <w:widowControl w:val="0"/>
        <w:spacing w:before="317" w:beforeLines="100" w:after="317" w:afterLines="100" w:line="240" w:lineRule="auto"/>
        <w:jc w:val="left"/>
        <w:textAlignment w:val="auto"/>
        <w:outlineLvl w:val="0"/>
        <w:rPr>
          <w:rFonts w:ascii="黑体" w:hAnsi="黑体" w:eastAsia="黑体"/>
          <w:color w:val="000000" w:themeColor="text1"/>
          <w:kern w:val="2"/>
          <w:szCs w:val="21"/>
          <w14:textFill>
            <w14:solidFill>
              <w14:schemeClr w14:val="tx1"/>
            </w14:solidFill>
          </w14:textFill>
        </w:rPr>
      </w:pPr>
      <w:bookmarkStart w:id="69" w:name="_Toc118962045"/>
      <w:bookmarkStart w:id="70" w:name="_Toc112397402"/>
      <w:r>
        <w:rPr>
          <w:rFonts w:hint="eastAsia" w:ascii="黑体" w:hAnsi="黑体" w:eastAsia="黑体"/>
          <w:color w:val="000000" w:themeColor="text1"/>
          <w:kern w:val="2"/>
          <w:szCs w:val="21"/>
          <w14:textFill>
            <w14:solidFill>
              <w14:schemeClr w14:val="tx1"/>
            </w14:solidFill>
          </w14:textFill>
        </w:rPr>
        <w:t>12  应急管理</w:t>
      </w:r>
      <w:bookmarkEnd w:id="69"/>
      <w:bookmarkEnd w:id="70"/>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71" w:name="_Toc118962046"/>
      <w:r>
        <w:rPr>
          <w:rFonts w:ascii="黑体" w:eastAsia="黑体"/>
          <w:color w:val="000000" w:themeColor="text1"/>
          <w:kern w:val="2"/>
          <w:sz w:val="21"/>
          <w14:textFill>
            <w14:solidFill>
              <w14:schemeClr w14:val="tx1"/>
            </w14:solidFill>
          </w14:textFill>
        </w:rPr>
        <w:t>12.1</w:t>
      </w:r>
      <w:r>
        <w:rPr>
          <w:rFonts w:hint="eastAsia" w:ascii="黑体" w:eastAsia="黑体"/>
          <w:color w:val="000000" w:themeColor="text1"/>
          <w:kern w:val="2"/>
          <w:sz w:val="21"/>
          <w14:textFill>
            <w14:solidFill>
              <w14:schemeClr w14:val="tx1"/>
            </w14:solidFill>
          </w14:textFill>
        </w:rPr>
        <w:t xml:space="preserve"> </w:t>
      </w:r>
      <w:r>
        <w:rPr>
          <w:rFonts w:ascii="黑体" w:eastAsia="黑体"/>
          <w:color w:val="000000" w:themeColor="text1"/>
          <w:kern w:val="2"/>
          <w:sz w:val="21"/>
          <w14:textFill>
            <w14:solidFill>
              <w14:schemeClr w14:val="tx1"/>
            </w14:solidFill>
          </w14:textFill>
        </w:rPr>
        <w:t xml:space="preserve"> </w:t>
      </w:r>
      <w:r>
        <w:rPr>
          <w:rFonts w:hint="eastAsia" w:ascii="黑体" w:eastAsia="黑体"/>
          <w:color w:val="000000" w:themeColor="text1"/>
          <w:kern w:val="2"/>
          <w:sz w:val="21"/>
          <w14:textFill>
            <w14:solidFill>
              <w14:schemeClr w14:val="tx1"/>
            </w14:solidFill>
          </w14:textFill>
        </w:rPr>
        <w:t>总体要求</w:t>
      </w:r>
      <w:bookmarkEnd w:id="71"/>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企业应在风险评估、应急资源调查和案例分析基础上，</w:t>
      </w:r>
      <w:r>
        <w:rPr>
          <w:rFonts w:ascii="Times New Roman"/>
          <w:color w:val="000000" w:themeColor="text1"/>
          <w:szCs w:val="24"/>
          <w14:textFill>
            <w14:solidFill>
              <w14:schemeClr w14:val="tx1"/>
            </w14:solidFill>
          </w14:textFill>
        </w:rPr>
        <w:t>按照GB/T 29639的要求编制生产安全综合应急预案、专项应急预案、现场处置方案</w:t>
      </w:r>
      <w:r>
        <w:rPr>
          <w:rFonts w:hint="eastAsia" w:ascii="Times New Roman"/>
          <w:color w:val="000000" w:themeColor="text1"/>
          <w:szCs w:val="24"/>
          <w14:textFill>
            <w14:solidFill>
              <w14:schemeClr w14:val="tx1"/>
            </w14:solidFill>
          </w14:textFill>
        </w:rPr>
        <w:t>，预案应涵盖罐底泄漏、罐顶气相泄漏、罐底脱水跑料、液化烃机泵区泄漏等典型事故场景，并</w:t>
      </w:r>
      <w:r>
        <w:rPr>
          <w:rFonts w:ascii="Times New Roman"/>
          <w:color w:val="000000" w:themeColor="text1"/>
          <w:szCs w:val="24"/>
          <w14:textFill>
            <w14:solidFill>
              <w14:schemeClr w14:val="tx1"/>
            </w14:solidFill>
          </w14:textFill>
        </w:rPr>
        <w:t>进行培训和演练。</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2  </w:t>
      </w:r>
      <w:r>
        <w:rPr>
          <w:rFonts w:ascii="Times New Roman"/>
          <w:color w:val="000000" w:themeColor="text1"/>
          <w:szCs w:val="24"/>
          <w14:textFill>
            <w14:solidFill>
              <w14:schemeClr w14:val="tx1"/>
            </w14:solidFill>
          </w14:textFill>
        </w:rPr>
        <w:t>应急预案应按要求报备，以建立政府与企业应急联动机制。当企业周边关系发生变化时，企业应及时修订应急预案或专项应急预案。</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 xml:space="preserve">.3  </w:t>
      </w:r>
      <w:r>
        <w:rPr>
          <w:rFonts w:hint="eastAsia" w:ascii="Times New Roman"/>
          <w:color w:val="000000" w:themeColor="text1"/>
          <w:szCs w:val="24"/>
          <w14:textFill>
            <w14:solidFill>
              <w14:schemeClr w14:val="tx1"/>
            </w14:solidFill>
          </w14:textFill>
        </w:rPr>
        <w:t>应按照GB</w:t>
      </w:r>
      <w:r>
        <w:rPr>
          <w:rFonts w:ascii="Times New Roman"/>
          <w:color w:val="000000" w:themeColor="text1"/>
          <w:szCs w:val="24"/>
          <w14:textFill>
            <w14:solidFill>
              <w14:schemeClr w14:val="tx1"/>
            </w14:solidFill>
          </w14:textFill>
        </w:rPr>
        <w:t xml:space="preserve"> </w:t>
      </w:r>
      <w:r>
        <w:rPr>
          <w:rFonts w:hint="eastAsia" w:ascii="Times New Roman"/>
          <w:color w:val="000000" w:themeColor="text1"/>
          <w:szCs w:val="24"/>
          <w14:textFill>
            <w14:solidFill>
              <w14:schemeClr w14:val="tx1"/>
            </w14:solidFill>
          </w14:textFill>
        </w:rPr>
        <w:t>30077的要求配备应急物资及装备，建立使用档案，定期检测和维护。</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 xml:space="preserve">.4  </w:t>
      </w:r>
      <w:r>
        <w:rPr>
          <w:rFonts w:hint="eastAsia" w:ascii="Times New Roman"/>
          <w:color w:val="000000" w:themeColor="text1"/>
          <w:szCs w:val="24"/>
          <w14:textFill>
            <w14:solidFill>
              <w14:schemeClr w14:val="tx1"/>
            </w14:solidFill>
          </w14:textFill>
        </w:rPr>
        <w:t>抢维修队伍应配备堵漏应急专用设施及堵漏卡具。</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u w:color="000000"/>
          <w14:textFill>
            <w14:solidFill>
              <w14:schemeClr w14:val="tx1"/>
            </w14:solidFill>
          </w14:textFill>
        </w:rPr>
        <w:t>12.1.5</w:t>
      </w:r>
      <w:r>
        <w:rPr>
          <w:rFonts w:ascii="黑体" w:hAnsi="黑体" w:eastAsia="黑体"/>
          <w:color w:val="000000" w:themeColor="text1"/>
          <w14:textFill>
            <w14:solidFill>
              <w14:schemeClr w14:val="tx1"/>
            </w14:solidFill>
          </w14:textFill>
        </w:rPr>
        <w:t xml:space="preserve">  </w:t>
      </w:r>
      <w:r>
        <w:rPr>
          <w:rFonts w:hint="eastAsia" w:ascii="Times New Roman"/>
          <w:color w:val="000000" w:themeColor="text1"/>
          <w:szCs w:val="24"/>
          <w14:textFill>
            <w14:solidFill>
              <w14:schemeClr w14:val="tx1"/>
            </w14:solidFill>
          </w14:textFill>
        </w:rPr>
        <w:t>对于有消防救援人员难以达到的罐区，应设置机器人等智能设备进行侦察火情辅助灭火。</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ascii="黑体" w:hAnsi="黑体" w:eastAsia="黑体"/>
          <w:color w:val="000000" w:themeColor="text1"/>
          <w:u w:color="000000"/>
          <w14:textFill>
            <w14:solidFill>
              <w14:schemeClr w14:val="tx1"/>
            </w14:solidFill>
          </w14:textFill>
        </w:rPr>
        <w:t xml:space="preserve">.6  </w:t>
      </w:r>
      <w:r>
        <w:rPr>
          <w:rFonts w:hint="eastAsia" w:ascii="Times New Roman"/>
          <w:color w:val="000000" w:themeColor="text1"/>
          <w:szCs w:val="24"/>
          <w14:textFill>
            <w14:solidFill>
              <w14:schemeClr w14:val="tx1"/>
            </w14:solidFill>
          </w14:textFill>
        </w:rPr>
        <w:t>企业应制定应急演练计划，每半年至少组织1次实战演练，演练内容至少包括罐区火灾、罐底</w:t>
      </w:r>
      <w:r>
        <w:rPr>
          <w:rFonts w:ascii="Times New Roman"/>
          <w:color w:val="000000" w:themeColor="text1"/>
          <w:szCs w:val="24"/>
          <w14:textFill>
            <w14:solidFill>
              <w14:schemeClr w14:val="tx1"/>
            </w14:solidFill>
          </w14:textFill>
        </w:rPr>
        <w:t>注水</w:t>
      </w:r>
      <w:r>
        <w:rPr>
          <w:rFonts w:hint="eastAsia" w:ascii="Times New Roman"/>
          <w:color w:val="000000" w:themeColor="text1"/>
          <w:szCs w:val="24"/>
          <w14:textFill>
            <w14:solidFill>
              <w14:schemeClr w14:val="tx1"/>
            </w14:solidFill>
          </w14:textFill>
        </w:rPr>
        <w:t>、罐区周围警戒与侦察、现场人员搜救与救护等环节。</w:t>
      </w:r>
    </w:p>
    <w:p>
      <w:pPr>
        <w:spacing w:line="240" w:lineRule="auto"/>
        <w:jc w:val="left"/>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12.1.7  </w:t>
      </w:r>
      <w:r>
        <w:rPr>
          <w:rFonts w:hint="eastAsia"/>
          <w:color w:val="000000" w:themeColor="text1"/>
          <w:szCs w:val="24"/>
          <w14:textFill>
            <w14:solidFill>
              <w14:schemeClr w14:val="tx1"/>
            </w14:solidFill>
          </w14:textFill>
        </w:rPr>
        <w:t>液化烃储罐现场处置方案的编制内容应简便可行，有效指导现场操作人员。</w:t>
      </w:r>
    </w:p>
    <w:p>
      <w:pPr>
        <w:spacing w:line="240" w:lineRule="auto"/>
        <w:jc w:val="left"/>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12.1.8</w:t>
      </w:r>
      <w:r>
        <w:rPr>
          <w:color w:val="000000" w:themeColor="text1"/>
          <w:szCs w:val="24"/>
          <w14:textFill>
            <w14:solidFill>
              <w14:schemeClr w14:val="tx1"/>
            </w14:solidFill>
          </w14:textFill>
        </w:rPr>
        <w:t xml:space="preserve">  </w:t>
      </w:r>
      <w:r>
        <w:rPr>
          <w:rFonts w:hint="eastAsia"/>
          <w:color w:val="000000" w:themeColor="text1"/>
          <w:szCs w:val="24"/>
          <w14:textFill>
            <w14:solidFill>
              <w14:schemeClr w14:val="tx1"/>
            </w14:solidFill>
          </w14:textFill>
        </w:rPr>
        <w:t>应急救援物资使用人员应接受相应的培训，熟悉装备的用途、技术性能及使用说明。罐区醒目位置应明示与应急工作相关联的单位和人员通信联系方式。</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72" w:name="_Toc118962047"/>
      <w:r>
        <w:rPr>
          <w:rFonts w:ascii="黑体" w:eastAsia="黑体"/>
          <w:color w:val="000000" w:themeColor="text1"/>
          <w:kern w:val="2"/>
          <w:sz w:val="21"/>
          <w14:textFill>
            <w14:solidFill>
              <w14:schemeClr w14:val="tx1"/>
            </w14:solidFill>
          </w14:textFill>
        </w:rPr>
        <w:t>12.</w:t>
      </w:r>
      <w:r>
        <w:rPr>
          <w:rFonts w:hint="eastAsia" w:ascii="黑体" w:eastAsia="黑体"/>
          <w:color w:val="000000" w:themeColor="text1"/>
          <w:kern w:val="2"/>
          <w:sz w:val="21"/>
          <w14:textFill>
            <w14:solidFill>
              <w14:schemeClr w14:val="tx1"/>
            </w14:solidFill>
          </w14:textFill>
        </w:rPr>
        <w:t xml:space="preserve">2 </w:t>
      </w:r>
      <w:r>
        <w:rPr>
          <w:rFonts w:ascii="黑体" w:eastAsia="黑体"/>
          <w:color w:val="000000" w:themeColor="text1"/>
          <w:kern w:val="2"/>
          <w:sz w:val="21"/>
          <w14:textFill>
            <w14:solidFill>
              <w14:schemeClr w14:val="tx1"/>
            </w14:solidFill>
          </w14:textFill>
        </w:rPr>
        <w:t xml:space="preserve"> 火灾报警系统、</w:t>
      </w:r>
      <w:r>
        <w:rPr>
          <w:rFonts w:hint="eastAsia" w:ascii="黑体" w:eastAsia="黑体"/>
          <w:color w:val="000000" w:themeColor="text1"/>
          <w:kern w:val="2"/>
          <w:sz w:val="21"/>
          <w14:textFill>
            <w14:solidFill>
              <w14:schemeClr w14:val="tx1"/>
            </w14:solidFill>
          </w14:textFill>
        </w:rPr>
        <w:t>应急广播、</w:t>
      </w:r>
      <w:r>
        <w:rPr>
          <w:rFonts w:ascii="黑体" w:eastAsia="黑体"/>
          <w:color w:val="000000" w:themeColor="text1"/>
          <w:kern w:val="2"/>
          <w:sz w:val="21"/>
          <w14:textFill>
            <w14:solidFill>
              <w14:schemeClr w14:val="tx1"/>
            </w14:solidFill>
          </w14:textFill>
        </w:rPr>
        <w:t>消防喷淋系统管理</w:t>
      </w:r>
      <w:bookmarkEnd w:id="72"/>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ascii="Times New Roman"/>
          <w:color w:val="000000" w:themeColor="text1"/>
          <w:szCs w:val="24"/>
          <w14:textFill>
            <w14:solidFill>
              <w14:schemeClr w14:val="tx1"/>
            </w14:solidFill>
          </w14:textFill>
        </w:rPr>
        <w:t>应建立火灾自动报警系统的技术档案，建立操作规程和岗位规章制度。</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2  </w:t>
      </w:r>
      <w:r>
        <w:rPr>
          <w:rFonts w:hint="eastAsia" w:ascii="Times New Roman"/>
          <w:color w:val="000000" w:themeColor="text1"/>
          <w:szCs w:val="24"/>
          <w14:textFill>
            <w14:solidFill>
              <w14:schemeClr w14:val="tx1"/>
            </w14:solidFill>
          </w14:textFill>
        </w:rPr>
        <w:t>建立</w:t>
      </w:r>
      <w:r>
        <w:rPr>
          <w:rFonts w:ascii="Times New Roman"/>
          <w:color w:val="000000" w:themeColor="text1"/>
          <w:szCs w:val="24"/>
          <w14:textFill>
            <w14:solidFill>
              <w14:schemeClr w14:val="tx1"/>
            </w14:solidFill>
          </w14:textFill>
        </w:rPr>
        <w:t>24小时值班制度，</w:t>
      </w:r>
      <w:r>
        <w:rPr>
          <w:rFonts w:hint="eastAsia" w:ascii="Times New Roman"/>
          <w:color w:val="000000" w:themeColor="text1"/>
          <w:szCs w:val="24"/>
          <w14:textFill>
            <w14:solidFill>
              <w14:schemeClr w14:val="tx1"/>
            </w14:solidFill>
          </w14:textFill>
        </w:rPr>
        <w:t>消防</w:t>
      </w:r>
      <w:r>
        <w:rPr>
          <w:rFonts w:ascii="Times New Roman"/>
          <w:color w:val="000000" w:themeColor="text1"/>
          <w:szCs w:val="24"/>
          <w14:textFill>
            <w14:solidFill>
              <w14:schemeClr w14:val="tx1"/>
            </w14:solidFill>
          </w14:textFill>
        </w:rPr>
        <w:t>系统的操作和维护人员应经专业培训，取得</w:t>
      </w:r>
      <w:r>
        <w:rPr>
          <w:rFonts w:hint="eastAsia" w:ascii="Times New Roman"/>
          <w:color w:val="000000" w:themeColor="text1"/>
          <w:szCs w:val="24"/>
          <w14:textFill>
            <w14:solidFill>
              <w14:schemeClr w14:val="tx1"/>
            </w14:solidFill>
          </w14:textFill>
        </w:rPr>
        <w:t>消防培训资格证书。</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3  </w:t>
      </w:r>
      <w:r>
        <w:rPr>
          <w:rFonts w:hint="eastAsia" w:ascii="Times New Roman"/>
          <w:color w:val="000000" w:themeColor="text1"/>
          <w:szCs w:val="24"/>
          <w14:textFill>
            <w14:solidFill>
              <w14:schemeClr w14:val="tx1"/>
            </w14:solidFill>
          </w14:textFill>
        </w:rPr>
        <w:t>现场</w:t>
      </w:r>
      <w:r>
        <w:rPr>
          <w:rFonts w:ascii="Times New Roman"/>
          <w:color w:val="000000" w:themeColor="text1"/>
          <w:szCs w:val="24"/>
          <w14:textFill>
            <w14:solidFill>
              <w14:schemeClr w14:val="tx1"/>
            </w14:solidFill>
          </w14:textFill>
        </w:rPr>
        <w:t>操作人员应熟悉本系统的工作原理和操作规程，应掌握</w:t>
      </w:r>
      <w:r>
        <w:rPr>
          <w:rFonts w:hint="eastAsia" w:ascii="Times New Roman"/>
          <w:color w:val="000000" w:themeColor="text1"/>
          <w:szCs w:val="24"/>
          <w14:textFill>
            <w14:solidFill>
              <w14:schemeClr w14:val="tx1"/>
            </w14:solidFill>
          </w14:textFill>
        </w:rPr>
        <w:t>现场布置和</w:t>
      </w:r>
      <w:r>
        <w:rPr>
          <w:rFonts w:ascii="Times New Roman"/>
          <w:color w:val="000000" w:themeColor="text1"/>
          <w:szCs w:val="24"/>
          <w14:textFill>
            <w14:solidFill>
              <w14:schemeClr w14:val="tx1"/>
            </w14:solidFill>
          </w14:textFill>
        </w:rPr>
        <w:t>火灾报警装置</w:t>
      </w:r>
      <w:r>
        <w:rPr>
          <w:rFonts w:hint="eastAsia" w:ascii="Times New Roman"/>
          <w:color w:val="000000" w:themeColor="text1"/>
          <w:szCs w:val="24"/>
          <w14:textFill>
            <w14:solidFill>
              <w14:schemeClr w14:val="tx1"/>
            </w14:solidFill>
          </w14:textFill>
        </w:rPr>
        <w:t>的安装位置</w:t>
      </w:r>
      <w:r>
        <w:rPr>
          <w:rFonts w:ascii="Times New Roman"/>
          <w:color w:val="000000" w:themeColor="text1"/>
          <w:szCs w:val="24"/>
          <w14:textFill>
            <w14:solidFill>
              <w14:schemeClr w14:val="tx1"/>
            </w14:solidFill>
          </w14:textFill>
        </w:rPr>
        <w:t>。</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4  </w:t>
      </w:r>
      <w:r>
        <w:rPr>
          <w:rFonts w:hint="eastAsia" w:ascii="Times New Roman"/>
          <w:color w:val="000000" w:themeColor="text1"/>
          <w:szCs w:val="24"/>
          <w14:textFill>
            <w14:solidFill>
              <w14:schemeClr w14:val="tx1"/>
            </w14:solidFill>
          </w14:textFill>
        </w:rPr>
        <w:t>企业</w:t>
      </w:r>
      <w:r>
        <w:rPr>
          <w:rFonts w:ascii="Times New Roman"/>
          <w:color w:val="000000" w:themeColor="text1"/>
          <w:szCs w:val="24"/>
          <w14:textFill>
            <w14:solidFill>
              <w14:schemeClr w14:val="tx1"/>
            </w14:solidFill>
          </w14:textFill>
        </w:rPr>
        <w:t>每季度对火灾自动报警系统进行</w:t>
      </w:r>
      <w:r>
        <w:rPr>
          <w:rFonts w:hint="eastAsia" w:ascii="Times New Roman"/>
          <w:color w:val="000000" w:themeColor="text1"/>
          <w:szCs w:val="24"/>
          <w14:textFill>
            <w14:solidFill>
              <w14:schemeClr w14:val="tx1"/>
            </w14:solidFill>
          </w14:textFill>
        </w:rPr>
        <w:t>1</w:t>
      </w:r>
      <w:r>
        <w:rPr>
          <w:rFonts w:ascii="Times New Roman"/>
          <w:color w:val="000000" w:themeColor="text1"/>
          <w:szCs w:val="24"/>
          <w14:textFill>
            <w14:solidFill>
              <w14:schemeClr w14:val="tx1"/>
            </w14:solidFill>
          </w14:textFill>
        </w:rPr>
        <w:t>次检查和试验，检查和试验火灾自动报警系统的主要功能，并填写检查和试验记录。</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5  </w:t>
      </w:r>
      <w:r>
        <w:rPr>
          <w:rFonts w:ascii="Times New Roman"/>
          <w:color w:val="000000" w:themeColor="text1"/>
          <w:szCs w:val="24"/>
          <w14:textFill>
            <w14:solidFill>
              <w14:schemeClr w14:val="tx1"/>
            </w14:solidFill>
          </w14:textFill>
        </w:rPr>
        <w:t>罐区喷淋（雾）系统每年至少</w:t>
      </w:r>
      <w:r>
        <w:rPr>
          <w:rFonts w:hint="eastAsia" w:ascii="Times New Roman"/>
          <w:color w:val="000000" w:themeColor="text1"/>
          <w:szCs w:val="24"/>
          <w14:textFill>
            <w14:solidFill>
              <w14:schemeClr w14:val="tx1"/>
            </w14:solidFill>
          </w14:textFill>
        </w:rPr>
        <w:t>1</w:t>
      </w:r>
      <w:r>
        <w:rPr>
          <w:rFonts w:ascii="Times New Roman"/>
          <w:color w:val="000000" w:themeColor="text1"/>
          <w:szCs w:val="24"/>
          <w14:textFill>
            <w14:solidFill>
              <w14:schemeClr w14:val="tx1"/>
            </w14:solidFill>
          </w14:textFill>
        </w:rPr>
        <w:t>次系统功能联动试验。</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6  </w:t>
      </w:r>
      <w:r>
        <w:rPr>
          <w:rFonts w:hint="eastAsia" w:ascii="Times New Roman"/>
          <w:color w:val="000000" w:themeColor="text1"/>
          <w:szCs w:val="24"/>
          <w14:textFill>
            <w14:solidFill>
              <w14:schemeClr w14:val="tx1"/>
            </w14:solidFill>
          </w14:textFill>
        </w:rPr>
        <w:t>每季度应对消防应急广播或扩音对讲系统进行试验。</w:t>
      </w:r>
    </w:p>
    <w:p>
      <w:pPr>
        <w:pStyle w:val="81"/>
        <w:spacing w:before="158" w:beforeLines="50" w:after="158" w:afterLines="50" w:line="240" w:lineRule="auto"/>
        <w:ind w:firstLine="0" w:firstLineChars="0"/>
        <w:outlineLvl w:val="1"/>
        <w:rPr>
          <w:rFonts w:ascii="黑体" w:eastAsia="黑体"/>
          <w:color w:val="000000" w:themeColor="text1"/>
          <w:kern w:val="2"/>
          <w:sz w:val="21"/>
          <w14:textFill>
            <w14:solidFill>
              <w14:schemeClr w14:val="tx1"/>
            </w14:solidFill>
          </w14:textFill>
        </w:rPr>
      </w:pPr>
      <w:bookmarkStart w:id="73" w:name="_Toc118962048"/>
      <w:r>
        <w:rPr>
          <w:rFonts w:hint="eastAsia" w:ascii="黑体" w:eastAsia="黑体"/>
          <w:color w:val="000000" w:themeColor="text1"/>
          <w:kern w:val="2"/>
          <w:sz w:val="21"/>
          <w14:textFill>
            <w14:solidFill>
              <w14:schemeClr w14:val="tx1"/>
            </w14:solidFill>
          </w14:textFill>
        </w:rPr>
        <w:t>12.3</w:t>
      </w:r>
      <w:r>
        <w:rPr>
          <w:rFonts w:ascii="黑体" w:eastAsia="黑体"/>
          <w:color w:val="000000" w:themeColor="text1"/>
          <w:kern w:val="2"/>
          <w:sz w:val="21"/>
          <w14:textFill>
            <w14:solidFill>
              <w14:schemeClr w14:val="tx1"/>
            </w14:solidFill>
          </w14:textFill>
        </w:rPr>
        <w:t xml:space="preserve">  </w:t>
      </w:r>
      <w:r>
        <w:rPr>
          <w:rFonts w:hint="eastAsia" w:ascii="黑体" w:eastAsia="黑体"/>
          <w:color w:val="000000" w:themeColor="text1"/>
          <w:kern w:val="2"/>
          <w:sz w:val="21"/>
          <w14:textFill>
            <w14:solidFill>
              <w14:schemeClr w14:val="tx1"/>
            </w14:solidFill>
          </w14:textFill>
        </w:rPr>
        <w:t>应急响应</w:t>
      </w:r>
      <w:bookmarkEnd w:id="73"/>
    </w:p>
    <w:p>
      <w:pPr>
        <w:pStyle w:val="71"/>
        <w:ind w:firstLine="0" w:firstLineChars="0"/>
        <w:jc w:val="left"/>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1  </w:t>
      </w:r>
      <w:r>
        <w:rPr>
          <w:rFonts w:hint="eastAsia" w:ascii="Times New Roman"/>
          <w:color w:val="000000" w:themeColor="text1"/>
          <w:szCs w:val="24"/>
          <w14:textFill>
            <w14:solidFill>
              <w14:schemeClr w14:val="tx1"/>
            </w14:solidFill>
          </w14:textFill>
        </w:rPr>
        <w:t>发生事故时企业应启动应急响应机制，第一时间成立现场应急指挥部，统一指挥协调现场应急处置工作。</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2  </w:t>
      </w:r>
      <w:r>
        <w:rPr>
          <w:rFonts w:hint="eastAsia" w:ascii="Times New Roman"/>
          <w:color w:val="000000" w:themeColor="text1"/>
          <w:szCs w:val="24"/>
          <w14:textFill>
            <w14:solidFill>
              <w14:schemeClr w14:val="tx1"/>
            </w14:solidFill>
          </w14:textFill>
        </w:rPr>
        <w:t>应急响应应以人为本。应急救援前要科学研判风险，明确防范措施，遇到突发情况危及救援人员安全时，应迅速撤离现场。</w:t>
      </w:r>
    </w:p>
    <w:p>
      <w:pPr>
        <w:pStyle w:val="149"/>
        <w:numPr>
          <w:ilvl w:val="255"/>
          <w:numId w:val="0"/>
        </w:numPr>
        <w:tabs>
          <w:tab w:val="left" w:pos="851"/>
        </w:tabs>
        <w:spacing w:line="240" w:lineRule="auto"/>
        <w:ind w:left="6"/>
        <w:rPr>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 xml:space="preserve">12.3.3  </w:t>
      </w:r>
      <w:r>
        <w:rPr>
          <w:rFonts w:hint="eastAsia"/>
          <w:color w:val="000000" w:themeColor="text1"/>
          <w:szCs w:val="24"/>
          <w14:textFill>
            <w14:solidFill>
              <w14:schemeClr w14:val="tx1"/>
            </w14:solidFill>
          </w14:textFill>
        </w:rPr>
        <w:t>企业在确认发生事故时，应快速采取能量隔离、切断物料、退守稳态等关键操作；及时启动消气防联动，开展应急处置工作。</w:t>
      </w:r>
    </w:p>
    <w:p>
      <w:pPr>
        <w:pStyle w:val="71"/>
        <w:ind w:firstLine="0" w:firstLineChars="0"/>
        <w:rPr>
          <w:rFonts w:ascii="Times New Roman"/>
          <w:color w:val="000000" w:themeColor="text1"/>
          <w:szCs w:val="24"/>
          <w14:textFill>
            <w14:solidFill>
              <w14:schemeClr w14:val="tx1"/>
            </w14:solidFill>
          </w14:textFill>
        </w:rPr>
      </w:pPr>
      <w:r>
        <w:rPr>
          <w:rFonts w:ascii="黑体" w:hAnsi="黑体" w:eastAsia="黑体"/>
          <w:color w:val="000000" w:themeColor="text1"/>
          <w14:textFill>
            <w14:solidFill>
              <w14:schemeClr w14:val="tx1"/>
            </w14:solidFill>
          </w14:textFill>
        </w:rPr>
        <w:t>12</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3</w:t>
      </w:r>
      <w:r>
        <w:rPr>
          <w:rFonts w:ascii="黑体" w:hAnsi="黑体" w:eastAsia="黑体"/>
          <w:color w:val="000000" w:themeColor="text1"/>
          <w:u w:color="000000"/>
          <w14:textFill>
            <w14:solidFill>
              <w14:schemeClr w14:val="tx1"/>
            </w14:solidFill>
          </w14:textFill>
        </w:rPr>
        <w:t>.</w:t>
      </w:r>
      <w:r>
        <w:rPr>
          <w:rFonts w:ascii="黑体" w:hAnsi="黑体" w:eastAsia="黑体"/>
          <w:color w:val="000000" w:themeColor="text1"/>
          <w14:textFill>
            <w14:solidFill>
              <w14:schemeClr w14:val="tx1"/>
            </w14:solidFill>
          </w14:textFill>
        </w:rPr>
        <w:t xml:space="preserve">4  </w:t>
      </w:r>
      <w:r>
        <w:rPr>
          <w:rFonts w:hint="eastAsia" w:ascii="Times New Roman"/>
          <w:color w:val="000000" w:themeColor="text1"/>
          <w:szCs w:val="24"/>
          <w14:textFill>
            <w14:solidFill>
              <w14:schemeClr w14:val="tx1"/>
            </w14:solidFill>
          </w14:textFill>
        </w:rPr>
        <w:t>险情初期需要切断电源、进出料阀时，应采取远程切断模式。</w:t>
      </w:r>
    </w:p>
    <w:p>
      <w:pPr>
        <w:pStyle w:val="71"/>
        <w:ind w:firstLine="0" w:firstLineChars="0"/>
        <w:rPr>
          <w:rFonts w:ascii="黑体"/>
          <w:color w:val="000000" w:themeColor="text1"/>
          <w:sz w:val="28"/>
          <w:szCs w:val="28"/>
          <w14:textFill>
            <w14:solidFill>
              <w14:schemeClr w14:val="tx1"/>
            </w14:solidFill>
          </w14:textFill>
        </w:rPr>
      </w:pPr>
    </w:p>
    <w:p>
      <w:pPr>
        <w:spacing w:line="240" w:lineRule="auto"/>
        <w:jc w:val="left"/>
        <w:rPr>
          <w:rFonts w:ascii="宋体" w:hAnsi="宋体"/>
          <w:color w:val="000000" w:themeColor="text1"/>
          <w:sz w:val="28"/>
          <w:szCs w:val="28"/>
          <w14:textFill>
            <w14:solidFill>
              <w14:schemeClr w14:val="tx1"/>
            </w14:solidFill>
          </w14:textFill>
        </w:rPr>
      </w:pPr>
    </w:p>
    <w:p>
      <w:pPr>
        <w:pStyle w:val="117"/>
        <w:keepNext/>
        <w:tabs>
          <w:tab w:val="left" w:pos="360"/>
        </w:tabs>
        <w:spacing w:before="0" w:after="0" w:line="312" w:lineRule="auto"/>
        <w:rPr>
          <w:color w:val="000000" w:themeColor="text1"/>
          <w:sz w:val="28"/>
          <w:szCs w:val="24"/>
          <w14:textFill>
            <w14:solidFill>
              <w14:schemeClr w14:val="tx1"/>
            </w14:solidFill>
          </w14:textFill>
        </w:rPr>
        <w:sectPr>
          <w:headerReference r:id="rId19" w:type="first"/>
          <w:headerReference r:id="rId17" w:type="default"/>
          <w:footerReference r:id="rId20" w:type="default"/>
          <w:headerReference r:id="rId18" w:type="even"/>
          <w:footerReference r:id="rId21" w:type="even"/>
          <w:pgSz w:w="11907" w:h="16839"/>
          <w:pgMar w:top="1418" w:right="1134" w:bottom="1134" w:left="1985" w:header="1418" w:footer="851" w:gutter="0"/>
          <w:pgNumType w:start="1"/>
          <w:cols w:space="720" w:num="1"/>
          <w:docGrid w:type="lines" w:linePitch="317" w:charSpace="0"/>
        </w:sectPr>
      </w:pPr>
    </w:p>
    <w:p>
      <w:pPr>
        <w:pStyle w:val="117"/>
        <w:keepNext/>
        <w:tabs>
          <w:tab w:val="left" w:pos="360"/>
        </w:tabs>
        <w:spacing w:line="312" w:lineRule="auto"/>
        <w:rPr>
          <w:rFonts w:hAnsi="黑体" w:cs="黑体"/>
          <w:color w:val="000000" w:themeColor="text1"/>
          <w:szCs w:val="21"/>
          <w14:textFill>
            <w14:solidFill>
              <w14:schemeClr w14:val="tx1"/>
            </w14:solidFill>
          </w14:textFill>
        </w:rPr>
      </w:pPr>
      <w:bookmarkStart w:id="74" w:name="_Toc118962049"/>
      <w:r>
        <w:rPr>
          <w:color w:val="000000" w:themeColor="text1"/>
          <w14:textFill>
            <w14:solidFill>
              <w14:schemeClr w14:val="tx1"/>
            </w14:solidFill>
          </w14:textFill>
        </w:rPr>
        <w:t>附 录</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A</w:t>
      </w:r>
      <w:r>
        <w:rPr>
          <w:color w:val="000000" w:themeColor="text1"/>
          <w14:textFill>
            <w14:solidFill>
              <w14:schemeClr w14:val="tx1"/>
            </w14:solidFill>
          </w14:textFill>
        </w:rPr>
        <w:br w:type="textWrapping"/>
      </w:r>
      <w:r>
        <w:rPr>
          <w:color w:val="000000" w:themeColor="text1"/>
          <w14:textFill>
            <w14:solidFill>
              <w14:schemeClr w14:val="tx1"/>
            </w14:solidFill>
          </w14:textFill>
        </w:rPr>
        <w:t>（</w:t>
      </w:r>
      <w:r>
        <w:rPr>
          <w:rFonts w:hint="eastAsia"/>
          <w:color w:val="000000" w:themeColor="text1"/>
          <w14:textFill>
            <w14:solidFill>
              <w14:schemeClr w14:val="tx1"/>
            </w14:solidFill>
          </w14:textFill>
        </w:rPr>
        <w:t>资料</w:t>
      </w:r>
      <w:r>
        <w:rPr>
          <w:color w:val="000000" w:themeColor="text1"/>
          <w14:textFill>
            <w14:solidFill>
              <w14:schemeClr w14:val="tx1"/>
            </w14:solidFill>
          </w14:textFill>
        </w:rPr>
        <w:t>性）</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规划选址</w:t>
      </w:r>
      <w:bookmarkEnd w:id="74"/>
    </w:p>
    <w:p>
      <w:pPr>
        <w:widowControl w:val="0"/>
        <w:autoSpaceDE w:val="0"/>
        <w:autoSpaceDN w:val="0"/>
        <w:adjustRightInd w:val="0"/>
        <w:spacing w:line="240" w:lineRule="auto"/>
        <w:textAlignment w:val="auto"/>
        <w:rPr>
          <w:rFonts w:ascii="宋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A</w:t>
      </w:r>
      <w:r>
        <w:rPr>
          <w:rFonts w:hint="eastAsia" w:ascii="黑体" w:hAnsi="黑体" w:eastAsia="黑体"/>
          <w:color w:val="000000" w:themeColor="text1"/>
          <w:szCs w:val="21"/>
          <w14:textFill>
            <w14:solidFill>
              <w14:schemeClr w14:val="tx1"/>
            </w14:solidFill>
          </w14:textFill>
        </w:rPr>
        <w:t>.1</w:t>
      </w:r>
      <w:r>
        <w:rPr>
          <w:rFonts w:ascii="黑体" w:hAnsi="黑体" w:eastAsia="黑体"/>
          <w:color w:val="000000" w:themeColor="text1"/>
          <w:szCs w:val="21"/>
          <w14:textFill>
            <w14:solidFill>
              <w14:schemeClr w14:val="tx1"/>
            </w14:solidFill>
          </w14:textFill>
        </w:rPr>
        <w:t xml:space="preserve"> </w:t>
      </w:r>
      <w:r>
        <w:rPr>
          <w:rFonts w:hint="eastAsia" w:ascii="黑体" w:hAnsi="黑体" w:eastAsia="黑体"/>
          <w:color w:val="000000" w:themeColor="text1"/>
          <w:szCs w:val="21"/>
          <w14:textFill>
            <w14:solidFill>
              <w14:schemeClr w14:val="tx1"/>
            </w14:solidFill>
          </w14:textFill>
        </w:rPr>
        <w:t xml:space="preserve"> </w:t>
      </w:r>
      <w:r>
        <w:rPr>
          <w:rFonts w:hint="eastAsia" w:ascii="宋体"/>
          <w:color w:val="000000" w:themeColor="text1"/>
          <w:szCs w:val="21"/>
          <w14:textFill>
            <w14:solidFill>
              <w14:schemeClr w14:val="tx1"/>
            </w14:solidFill>
          </w14:textFill>
        </w:rPr>
        <w:t>液化烃储罐区选址位置应远离人口密集区、饮用水源地、重要交通枢纽等区域，并宜位于临近城镇或居民区全年最小频率风向的上风侧。</w:t>
      </w:r>
    </w:p>
    <w:p>
      <w:pPr>
        <w:widowControl w:val="0"/>
        <w:autoSpaceDE w:val="0"/>
        <w:autoSpaceDN w:val="0"/>
        <w:adjustRightInd w:val="0"/>
        <w:spacing w:line="240" w:lineRule="auto"/>
        <w:textAlignment w:val="auto"/>
        <w:rPr>
          <w:rFonts w:ascii="宋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A</w:t>
      </w:r>
      <w:r>
        <w:rPr>
          <w:rFonts w:hint="eastAsia" w:ascii="黑体" w:hAnsi="黑体" w:eastAsia="黑体"/>
          <w:color w:val="000000" w:themeColor="text1"/>
          <w:szCs w:val="21"/>
          <w14:textFill>
            <w14:solidFill>
              <w14:schemeClr w14:val="tx1"/>
            </w14:solidFill>
          </w14:textFill>
        </w:rPr>
        <w:t xml:space="preserve">.2 </w:t>
      </w:r>
      <w:r>
        <w:rPr>
          <w:rFonts w:ascii="黑体" w:hAnsi="黑体" w:eastAsia="黑体"/>
          <w:color w:val="000000" w:themeColor="text1"/>
          <w:szCs w:val="21"/>
          <w14:textFill>
            <w14:solidFill>
              <w14:schemeClr w14:val="tx1"/>
            </w14:solidFill>
          </w14:textFill>
        </w:rPr>
        <w:t xml:space="preserve"> </w:t>
      </w:r>
      <w:r>
        <w:rPr>
          <w:rFonts w:hint="eastAsia" w:ascii="宋体"/>
          <w:color w:val="000000" w:themeColor="text1"/>
          <w:szCs w:val="21"/>
          <w14:textFill>
            <w14:solidFill>
              <w14:schemeClr w14:val="tx1"/>
            </w14:solidFill>
          </w14:textFill>
        </w:rPr>
        <w:t>液化烃储罐区规划选址在山区或丘陵地区时，应避免布置在窝风地带。</w:t>
      </w:r>
    </w:p>
    <w:p>
      <w:pPr>
        <w:widowControl w:val="0"/>
        <w:autoSpaceDE w:val="0"/>
        <w:autoSpaceDN w:val="0"/>
        <w:adjustRightInd w:val="0"/>
        <w:spacing w:line="240" w:lineRule="auto"/>
        <w:textAlignment w:val="auto"/>
        <w:rPr>
          <w:rFonts w:ascii="宋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A</w:t>
      </w:r>
      <w:r>
        <w:rPr>
          <w:rFonts w:hint="eastAsia" w:ascii="黑体" w:hAnsi="黑体" w:eastAsia="黑体"/>
          <w:color w:val="000000" w:themeColor="text1"/>
          <w:szCs w:val="21"/>
          <w14:textFill>
            <w14:solidFill>
              <w14:schemeClr w14:val="tx1"/>
            </w14:solidFill>
          </w14:textFill>
        </w:rPr>
        <w:t xml:space="preserve">.3 </w:t>
      </w:r>
      <w:r>
        <w:rPr>
          <w:rFonts w:ascii="黑体" w:hAnsi="黑体" w:eastAsia="黑体"/>
          <w:color w:val="000000" w:themeColor="text1"/>
          <w:szCs w:val="21"/>
          <w14:textFill>
            <w14:solidFill>
              <w14:schemeClr w14:val="tx1"/>
            </w14:solidFill>
          </w14:textFill>
        </w:rPr>
        <w:t xml:space="preserve"> </w:t>
      </w:r>
      <w:r>
        <w:rPr>
          <w:rFonts w:hint="eastAsia" w:ascii="宋体"/>
          <w:color w:val="000000" w:themeColor="text1"/>
          <w:szCs w:val="21"/>
          <w14:textFill>
            <w14:solidFill>
              <w14:schemeClr w14:val="tx1"/>
            </w14:solidFill>
          </w14:textFill>
        </w:rPr>
        <w:t>液化烃储罐区沿江、河岸布置时，宜位于临近江河的城镇、重要桥梁、大型锚地、船厂等重要建筑物或构筑物的下游，并采取防止泄漏液体流入水域的措施。</w:t>
      </w:r>
    </w:p>
    <w:p>
      <w:pPr>
        <w:widowControl w:val="0"/>
        <w:autoSpaceDE w:val="0"/>
        <w:autoSpaceDN w:val="0"/>
        <w:adjustRightInd w:val="0"/>
        <w:spacing w:line="240" w:lineRule="auto"/>
        <w:textAlignment w:val="auto"/>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A</w:t>
      </w:r>
      <w:r>
        <w:rPr>
          <w:rFonts w:hint="eastAsia" w:ascii="黑体" w:hAnsi="黑体" w:eastAsia="黑体"/>
          <w:color w:val="000000" w:themeColor="text1"/>
          <w:szCs w:val="21"/>
          <w14:textFill>
            <w14:solidFill>
              <w14:schemeClr w14:val="tx1"/>
            </w14:solidFill>
          </w14:textFill>
        </w:rPr>
        <w:t xml:space="preserve">.4 </w:t>
      </w:r>
      <w:r>
        <w:rPr>
          <w:rFonts w:ascii="黑体" w:hAnsi="黑体" w:eastAsia="黑体"/>
          <w:color w:val="000000" w:themeColor="text1"/>
          <w:szCs w:val="21"/>
          <w14:textFill>
            <w14:solidFill>
              <w14:schemeClr w14:val="tx1"/>
            </w14:solidFill>
          </w14:textFill>
        </w:rPr>
        <w:t xml:space="preserve"> </w:t>
      </w:r>
      <w:r>
        <w:rPr>
          <w:rFonts w:hint="eastAsia" w:ascii="宋体"/>
          <w:color w:val="000000" w:themeColor="text1"/>
          <w:szCs w:val="21"/>
          <w14:textFill>
            <w14:solidFill>
              <w14:schemeClr w14:val="tx1"/>
            </w14:solidFill>
          </w14:textFill>
        </w:rPr>
        <w:t>液化烃储罐区选址位置应具备良好的地质条件，不应布局在有土崩、断层、滑坡、沼泽、流沙、库坝决溃后可能淹没及泥石流的地区和地下矿藏开采后有可能塌陷的地区。</w:t>
      </w:r>
    </w:p>
    <w:p>
      <w:pPr>
        <w:widowControl w:val="0"/>
        <w:autoSpaceDE w:val="0"/>
        <w:autoSpaceDN w:val="0"/>
        <w:adjustRightInd w:val="0"/>
        <w:spacing w:line="240" w:lineRule="auto"/>
        <w:textAlignment w:val="auto"/>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A</w:t>
      </w:r>
      <w:r>
        <w:rPr>
          <w:rFonts w:hint="eastAsia" w:ascii="黑体" w:hAnsi="黑体" w:eastAsia="黑体"/>
          <w:color w:val="000000" w:themeColor="text1"/>
          <w:szCs w:val="21"/>
          <w14:textFill>
            <w14:solidFill>
              <w14:schemeClr w14:val="tx1"/>
            </w14:solidFill>
          </w14:textFill>
        </w:rPr>
        <w:t>.5</w:t>
      </w:r>
      <w:r>
        <w:rPr>
          <w:rFonts w:ascii="黑体" w:hAnsi="黑体" w:eastAsia="黑体"/>
          <w:color w:val="000000" w:themeColor="text1"/>
          <w:szCs w:val="21"/>
          <w14:textFill>
            <w14:solidFill>
              <w14:schemeClr w14:val="tx1"/>
            </w14:solidFill>
          </w14:textFill>
        </w:rPr>
        <w:t xml:space="preserve"> </w:t>
      </w:r>
      <w:r>
        <w:rPr>
          <w:rFonts w:hint="eastAsia" w:ascii="黑体" w:hAnsi="黑体" w:eastAsia="黑体"/>
          <w:color w:val="000000" w:themeColor="text1"/>
          <w:szCs w:val="21"/>
          <w14:textFill>
            <w14:solidFill>
              <w14:schemeClr w14:val="tx1"/>
            </w14:solidFill>
          </w14:textFill>
        </w:rPr>
        <w:t xml:space="preserve"> </w:t>
      </w:r>
      <w:r>
        <w:rPr>
          <w:rFonts w:hint="eastAsia" w:ascii="宋体"/>
          <w:color w:val="000000" w:themeColor="text1"/>
          <w:szCs w:val="21"/>
          <w14:textFill>
            <w14:solidFill>
              <w14:schemeClr w14:val="tx1"/>
            </w14:solidFill>
          </w14:textFill>
        </w:rPr>
        <w:t>液化烃储罐区不应布局在抗震设防烈度为9度及以上的地区；不宜建在抗震设防烈度为8度的IV类场地地区。</w:t>
      </w:r>
    </w:p>
    <w:p>
      <w:pPr>
        <w:widowControl w:val="0"/>
        <w:autoSpaceDE w:val="0"/>
        <w:autoSpaceDN w:val="0"/>
        <w:adjustRightInd w:val="0"/>
        <w:spacing w:line="240" w:lineRule="auto"/>
        <w:textAlignment w:val="auto"/>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A</w:t>
      </w:r>
      <w:r>
        <w:rPr>
          <w:rFonts w:hint="eastAsia" w:ascii="黑体" w:hAnsi="黑体" w:eastAsia="黑体"/>
          <w:color w:val="000000" w:themeColor="text1"/>
          <w:szCs w:val="21"/>
          <w14:textFill>
            <w14:solidFill>
              <w14:schemeClr w14:val="tx1"/>
            </w14:solidFill>
          </w14:textFill>
        </w:rPr>
        <w:t xml:space="preserve">.6 </w:t>
      </w:r>
      <w:r>
        <w:rPr>
          <w:rFonts w:ascii="黑体" w:hAnsi="黑体" w:eastAsia="黑体"/>
          <w:color w:val="000000" w:themeColor="text1"/>
          <w:szCs w:val="21"/>
          <w14:textFill>
            <w14:solidFill>
              <w14:schemeClr w14:val="tx1"/>
            </w14:solidFill>
          </w14:textFill>
        </w:rPr>
        <w:t xml:space="preserve"> </w:t>
      </w:r>
      <w:r>
        <w:rPr>
          <w:rFonts w:hint="eastAsia" w:ascii="宋体"/>
          <w:color w:val="000000" w:themeColor="text1"/>
          <w:szCs w:val="21"/>
          <w14:textFill>
            <w14:solidFill>
              <w14:schemeClr w14:val="tx1"/>
            </w14:solidFill>
          </w14:textFill>
        </w:rPr>
        <w:t>液化烃储罐区应布局在不受洪水、潮水或内涝威胁的地带，当不可避免时，应采取可靠的防洪、排涝措施。</w:t>
      </w:r>
    </w:p>
    <w:p>
      <w:pPr>
        <w:widowControl w:val="0"/>
        <w:autoSpaceDE w:val="0"/>
        <w:autoSpaceDN w:val="0"/>
        <w:adjustRightInd w:val="0"/>
        <w:spacing w:line="240" w:lineRule="auto"/>
        <w:textAlignment w:val="auto"/>
        <w:rPr>
          <w:rFonts w:ascii="黑体" w:hAnsi="黑体" w:eastAsia="黑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A</w:t>
      </w:r>
      <w:r>
        <w:rPr>
          <w:rFonts w:hint="eastAsia" w:ascii="黑体" w:hAnsi="黑体" w:eastAsia="黑体"/>
          <w:color w:val="000000" w:themeColor="text1"/>
          <w:szCs w:val="21"/>
          <w14:textFill>
            <w14:solidFill>
              <w14:schemeClr w14:val="tx1"/>
            </w14:solidFill>
          </w14:textFill>
        </w:rPr>
        <w:t>.7</w:t>
      </w:r>
      <w:r>
        <w:rPr>
          <w:rFonts w:ascii="黑体" w:hAnsi="黑体" w:eastAsia="黑体"/>
          <w:color w:val="000000" w:themeColor="text1"/>
          <w:szCs w:val="21"/>
          <w14:textFill>
            <w14:solidFill>
              <w14:schemeClr w14:val="tx1"/>
            </w14:solidFill>
          </w14:textFill>
        </w:rPr>
        <w:t xml:space="preserve"> </w:t>
      </w:r>
      <w:r>
        <w:rPr>
          <w:rFonts w:hint="eastAsia" w:ascii="黑体" w:hAnsi="黑体" w:eastAsia="黑体"/>
          <w:color w:val="000000" w:themeColor="text1"/>
          <w:szCs w:val="21"/>
          <w14:textFill>
            <w14:solidFill>
              <w14:schemeClr w14:val="tx1"/>
            </w14:solidFill>
          </w14:textFill>
        </w:rPr>
        <w:t xml:space="preserve"> </w:t>
      </w:r>
      <w:r>
        <w:rPr>
          <w:rFonts w:hint="eastAsia" w:ascii="宋体"/>
          <w:color w:val="000000" w:themeColor="text1"/>
          <w:szCs w:val="21"/>
          <w14:textFill>
            <w14:solidFill>
              <w14:schemeClr w14:val="tx1"/>
            </w14:solidFill>
          </w14:textFill>
        </w:rPr>
        <w:t>液化烃储罐区防洪标准应按重现期不小于200年设计。</w:t>
      </w:r>
    </w:p>
    <w:p>
      <w:pPr>
        <w:widowControl w:val="0"/>
        <w:autoSpaceDE w:val="0"/>
        <w:autoSpaceDN w:val="0"/>
        <w:adjustRightInd w:val="0"/>
        <w:spacing w:line="240" w:lineRule="auto"/>
        <w:textAlignment w:val="auto"/>
        <w:rPr>
          <w:rFonts w:ascii="宋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A</w:t>
      </w:r>
      <w:r>
        <w:rPr>
          <w:rFonts w:hint="eastAsia" w:ascii="黑体" w:hAnsi="黑体" w:eastAsia="黑体"/>
          <w:color w:val="000000" w:themeColor="text1"/>
          <w:szCs w:val="21"/>
          <w14:textFill>
            <w14:solidFill>
              <w14:schemeClr w14:val="tx1"/>
            </w14:solidFill>
          </w14:textFill>
        </w:rPr>
        <w:t xml:space="preserve">.8 </w:t>
      </w:r>
      <w:r>
        <w:rPr>
          <w:rFonts w:ascii="黑体" w:hAnsi="黑体" w:eastAsia="黑体"/>
          <w:color w:val="000000" w:themeColor="text1"/>
          <w:szCs w:val="21"/>
          <w14:textFill>
            <w14:solidFill>
              <w14:schemeClr w14:val="tx1"/>
            </w14:solidFill>
          </w14:textFill>
        </w:rPr>
        <w:t xml:space="preserve"> </w:t>
      </w:r>
      <w:r>
        <w:rPr>
          <w:rFonts w:hint="eastAsia" w:ascii="宋体"/>
          <w:color w:val="000000" w:themeColor="text1"/>
          <w:szCs w:val="21"/>
          <w14:textFill>
            <w14:solidFill>
              <w14:schemeClr w14:val="tx1"/>
            </w14:solidFill>
          </w14:textFill>
        </w:rPr>
        <w:t>液化烃储罐区应选址在具备满足生产、消防、生活所需要的水源和电源条件，还应具备污水排放条件的地区。</w:t>
      </w:r>
    </w:p>
    <w:p>
      <w:pPr>
        <w:rPr>
          <w:color w:val="000000" w:themeColor="text1"/>
          <w:sz w:val="16"/>
          <w:szCs w:val="15"/>
          <w14:textFill>
            <w14:solidFill>
              <w14:schemeClr w14:val="tx1"/>
            </w14:solidFill>
          </w14:textFill>
        </w:rPr>
      </w:pPr>
      <w:r>
        <w:rPr>
          <w:rFonts w:hint="eastAsia" w:ascii="宋体"/>
          <w:color w:val="000000" w:themeColor="text1"/>
          <w:szCs w:val="21"/>
          <w14:textFill>
            <w14:solidFill>
              <w14:schemeClr w14:val="tx1"/>
            </w14:solidFill>
          </w14:textFill>
        </w:rPr>
        <w:br w:type="page"/>
      </w:r>
    </w:p>
    <w:p>
      <w:pPr>
        <w:pStyle w:val="117"/>
        <w:keepNext/>
        <w:tabs>
          <w:tab w:val="left" w:pos="360"/>
        </w:tabs>
        <w:spacing w:line="312" w:lineRule="auto"/>
        <w:rPr>
          <w:color w:val="000000" w:themeColor="text1"/>
          <w14:textFill>
            <w14:solidFill>
              <w14:schemeClr w14:val="tx1"/>
            </w14:solidFill>
          </w14:textFill>
        </w:rPr>
      </w:pPr>
      <w:bookmarkStart w:id="75" w:name="_Toc118962050"/>
      <w:bookmarkStart w:id="76" w:name="_Toc111573811"/>
      <w:r>
        <w:rPr>
          <w:color w:val="000000" w:themeColor="text1"/>
          <w14:textFill>
            <w14:solidFill>
              <w14:schemeClr w14:val="tx1"/>
            </w14:solidFill>
          </w14:textFill>
        </w:rPr>
        <w:t>附</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录</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B</w:t>
      </w:r>
      <w:r>
        <w:rPr>
          <w:color w:val="000000" w:themeColor="text1"/>
          <w14:textFill>
            <w14:solidFill>
              <w14:schemeClr w14:val="tx1"/>
            </w14:solidFill>
          </w14:textFill>
        </w:rPr>
        <w:br w:type="textWrapping"/>
      </w:r>
      <w:r>
        <w:rPr>
          <w:color w:val="000000" w:themeColor="text1"/>
          <w14:textFill>
            <w14:solidFill>
              <w14:schemeClr w14:val="tx1"/>
            </w14:solidFill>
          </w14:textFill>
        </w:rPr>
        <w:t>（</w:t>
      </w:r>
      <w:r>
        <w:rPr>
          <w:rFonts w:hint="eastAsia"/>
          <w:color w:val="000000" w:themeColor="text1"/>
          <w14:textFill>
            <w14:solidFill>
              <w14:schemeClr w14:val="tx1"/>
            </w14:solidFill>
          </w14:textFill>
        </w:rPr>
        <w:t>规范</w:t>
      </w:r>
      <w:r>
        <w:rPr>
          <w:color w:val="000000" w:themeColor="text1"/>
          <w14:textFill>
            <w14:solidFill>
              <w14:schemeClr w14:val="tx1"/>
            </w14:solidFill>
          </w14:textFill>
        </w:rPr>
        <w:t>性）</w:t>
      </w:r>
      <w:r>
        <w:rPr>
          <w:color w:val="000000" w:themeColor="text1"/>
          <w14:textFill>
            <w14:solidFill>
              <w14:schemeClr w14:val="tx1"/>
            </w14:solidFill>
          </w14:textFill>
        </w:rPr>
        <w:br w:type="textWrapping"/>
      </w:r>
      <w:r>
        <w:rPr>
          <w:rFonts w:hint="eastAsia"/>
          <w:color w:val="000000" w:themeColor="text1"/>
          <w14:textFill>
            <w14:solidFill>
              <w14:schemeClr w14:val="tx1"/>
            </w14:solidFill>
          </w14:textFill>
        </w:rPr>
        <w:t>全压力式液化烃储罐区注水系统设计规定</w:t>
      </w:r>
      <w:bookmarkEnd w:id="75"/>
    </w:p>
    <w:bookmarkEnd w:id="76"/>
    <w:p>
      <w:pPr>
        <w:widowControl w:val="0"/>
        <w:autoSpaceDE w:val="0"/>
        <w:autoSpaceDN w:val="0"/>
        <w:adjustRightInd w:val="0"/>
        <w:spacing w:line="240" w:lineRule="auto"/>
        <w:textAlignment w:val="auto"/>
        <w:rPr>
          <w:rFonts w:ascii="宋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B</w:t>
      </w:r>
      <w:r>
        <w:rPr>
          <w:rFonts w:hint="eastAsia" w:ascii="黑体" w:hAnsi="黑体" w:eastAsia="黑体"/>
          <w:color w:val="000000" w:themeColor="text1"/>
          <w:szCs w:val="21"/>
          <w14:textFill>
            <w14:solidFill>
              <w14:schemeClr w14:val="tx1"/>
            </w14:solidFill>
          </w14:textFill>
        </w:rPr>
        <w:t>.1</w:t>
      </w:r>
      <w:r>
        <w:rPr>
          <w:rFonts w:ascii="黑体" w:hAnsi="黑体" w:eastAsia="黑体"/>
          <w:color w:val="000000" w:themeColor="text1"/>
          <w:szCs w:val="21"/>
          <w14:textFill>
            <w14:solidFill>
              <w14:schemeClr w14:val="tx1"/>
            </w14:solidFill>
          </w14:textFill>
        </w:rPr>
        <w:t xml:space="preserve"> </w:t>
      </w:r>
      <w:r>
        <w:rPr>
          <w:rFonts w:hint="eastAsia" w:ascii="宋体"/>
          <w:color w:val="000000" w:themeColor="text1"/>
          <w:szCs w:val="21"/>
          <w14:textFill>
            <w14:solidFill>
              <w14:schemeClr w14:val="tx1"/>
            </w14:solidFill>
          </w14:textFill>
        </w:rPr>
        <w:t>全压力式储罐</w:t>
      </w:r>
      <w:r>
        <w:rPr>
          <w:rFonts w:ascii="宋体"/>
          <w:color w:val="000000" w:themeColor="text1"/>
          <w:szCs w:val="21"/>
          <w14:textFill>
            <w14:solidFill>
              <w14:schemeClr w14:val="tx1"/>
            </w14:solidFill>
          </w14:textFill>
        </w:rPr>
        <w:t>应视储存物料性质设置合理的注水系统</w:t>
      </w:r>
      <w:r>
        <w:rPr>
          <w:rFonts w:hint="eastAsia" w:ascii="宋体"/>
          <w:color w:val="000000" w:themeColor="text1"/>
          <w:szCs w:val="21"/>
          <w14:textFill>
            <w14:solidFill>
              <w14:schemeClr w14:val="tx1"/>
            </w14:solidFill>
          </w14:textFill>
        </w:rPr>
        <w:t>。</w:t>
      </w:r>
      <w:r>
        <w:rPr>
          <w:rFonts w:ascii="宋体"/>
          <w:color w:val="000000" w:themeColor="text1"/>
          <w:szCs w:val="21"/>
          <w14:textFill>
            <w14:solidFill>
              <w14:schemeClr w14:val="tx1"/>
            </w14:solidFill>
          </w14:textFill>
        </w:rPr>
        <w:t>注水设施的设计应安全、快速</w:t>
      </w:r>
      <w:r>
        <w:rPr>
          <w:rFonts w:hint="eastAsia" w:ascii="宋体"/>
          <w:color w:val="000000" w:themeColor="text1"/>
          <w:szCs w:val="21"/>
          <w14:textFill>
            <w14:solidFill>
              <w14:schemeClr w14:val="tx1"/>
            </w14:solidFill>
          </w14:textFill>
        </w:rPr>
        <w:t>、</w:t>
      </w:r>
      <w:r>
        <w:rPr>
          <w:rFonts w:ascii="宋体"/>
          <w:color w:val="000000" w:themeColor="text1"/>
          <w:szCs w:val="21"/>
          <w14:textFill>
            <w14:solidFill>
              <w14:schemeClr w14:val="tx1"/>
            </w14:solidFill>
          </w14:textFill>
        </w:rPr>
        <w:t>可操作性强</w:t>
      </w:r>
      <w:r>
        <w:rPr>
          <w:rFonts w:hint="eastAsia" w:ascii="宋体"/>
          <w:color w:val="000000" w:themeColor="text1"/>
          <w:szCs w:val="21"/>
          <w14:textFill>
            <w14:solidFill>
              <w14:schemeClr w14:val="tx1"/>
            </w14:solidFill>
          </w14:textFill>
        </w:rPr>
        <w:t>。</w:t>
      </w:r>
    </w:p>
    <w:p>
      <w:pPr>
        <w:widowControl w:val="0"/>
        <w:autoSpaceDE w:val="0"/>
        <w:autoSpaceDN w:val="0"/>
        <w:adjustRightInd w:val="0"/>
        <w:spacing w:line="240" w:lineRule="auto"/>
        <w:textAlignment w:val="auto"/>
        <w:rPr>
          <w:rFonts w:ascii="宋体"/>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B</w:t>
      </w:r>
      <w:r>
        <w:rPr>
          <w:rFonts w:ascii="Arial" w:hAnsi="宋体" w:cs="Arial"/>
          <w:color w:val="000000" w:themeColor="text1"/>
          <w:szCs w:val="21"/>
          <w14:textFill>
            <w14:solidFill>
              <w14:schemeClr w14:val="tx1"/>
            </w14:solidFill>
          </w14:textFill>
        </w:rPr>
        <w:t xml:space="preserve">.2 </w:t>
      </w:r>
      <w:r>
        <w:rPr>
          <w:rFonts w:ascii="宋体"/>
          <w:color w:val="000000" w:themeColor="text1"/>
          <w:szCs w:val="21"/>
          <w14:textFill>
            <w14:solidFill>
              <w14:schemeClr w14:val="tx1"/>
            </w14:solidFill>
          </w14:textFill>
        </w:rPr>
        <w:t>具有以下情况之一</w:t>
      </w:r>
      <w:r>
        <w:rPr>
          <w:rFonts w:hint="eastAsia" w:ascii="宋体"/>
          <w:color w:val="000000" w:themeColor="text1"/>
          <w:szCs w:val="21"/>
          <w14:textFill>
            <w14:solidFill>
              <w14:schemeClr w14:val="tx1"/>
            </w14:solidFill>
          </w14:textFill>
        </w:rPr>
        <w:t>时</w:t>
      </w:r>
      <w:r>
        <w:rPr>
          <w:rFonts w:ascii="宋体"/>
          <w:color w:val="000000" w:themeColor="text1"/>
          <w:szCs w:val="21"/>
          <w14:textFill>
            <w14:solidFill>
              <w14:schemeClr w14:val="tx1"/>
            </w14:solidFill>
          </w14:textFill>
        </w:rPr>
        <w:t>不</w:t>
      </w:r>
      <w:r>
        <w:rPr>
          <w:rFonts w:hint="eastAsia" w:ascii="宋体"/>
          <w:color w:val="000000" w:themeColor="text1"/>
          <w:szCs w:val="21"/>
          <w14:textFill>
            <w14:solidFill>
              <w14:schemeClr w14:val="tx1"/>
            </w14:solidFill>
          </w14:textFill>
        </w:rPr>
        <w:t>应选择</w:t>
      </w:r>
      <w:r>
        <w:rPr>
          <w:rFonts w:ascii="宋体"/>
          <w:color w:val="000000" w:themeColor="text1"/>
          <w:szCs w:val="21"/>
          <w14:textFill>
            <w14:solidFill>
              <w14:schemeClr w14:val="tx1"/>
            </w14:solidFill>
          </w14:textFill>
        </w:rPr>
        <w:t>注水，应采用其</w:t>
      </w:r>
      <w:r>
        <w:rPr>
          <w:rFonts w:hint="eastAsia" w:ascii="宋体"/>
          <w:color w:val="000000" w:themeColor="text1"/>
          <w:szCs w:val="21"/>
          <w14:textFill>
            <w14:solidFill>
              <w14:schemeClr w14:val="tx1"/>
            </w14:solidFill>
          </w14:textFill>
        </w:rPr>
        <w:t>他措施</w:t>
      </w:r>
      <w:r>
        <w:rPr>
          <w:rFonts w:ascii="宋体"/>
          <w:color w:val="000000" w:themeColor="text1"/>
          <w:szCs w:val="21"/>
          <w14:textFill>
            <w14:solidFill>
              <w14:schemeClr w14:val="tx1"/>
            </w14:solidFill>
          </w14:textFill>
        </w:rPr>
        <w:t>阻止泄漏：</w:t>
      </w:r>
    </w:p>
    <w:p>
      <w:pPr>
        <w:pStyle w:val="71"/>
        <w:numPr>
          <w:ilvl w:val="0"/>
          <w:numId w:val="45"/>
        </w:numPr>
        <w:ind w:firstLineChars="0"/>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物料能与水</w:t>
      </w:r>
      <w:r>
        <w:rPr>
          <w:rFonts w:hint="eastAsia" w:ascii="Times New Roman"/>
          <w:color w:val="000000" w:themeColor="text1"/>
          <w:szCs w:val="24"/>
          <w14:textFill>
            <w14:solidFill>
              <w14:schemeClr w14:val="tx1"/>
            </w14:solidFill>
          </w14:textFill>
        </w:rPr>
        <w:t>发生化学</w:t>
      </w:r>
      <w:r>
        <w:rPr>
          <w:rFonts w:ascii="Times New Roman"/>
          <w:color w:val="000000" w:themeColor="text1"/>
          <w:szCs w:val="24"/>
          <w14:textFill>
            <w14:solidFill>
              <w14:schemeClr w14:val="tx1"/>
            </w14:solidFill>
          </w14:textFill>
        </w:rPr>
        <w:t>反应</w:t>
      </w:r>
      <w:r>
        <w:rPr>
          <w:rFonts w:hint="eastAsia" w:ascii="Times New Roman"/>
          <w:color w:val="000000" w:themeColor="text1"/>
          <w:szCs w:val="24"/>
          <w14:textFill>
            <w14:solidFill>
              <w14:schemeClr w14:val="tx1"/>
            </w14:solidFill>
          </w14:textFill>
        </w:rPr>
        <w:t>导致</w:t>
      </w:r>
      <w:r>
        <w:rPr>
          <w:rFonts w:ascii="Times New Roman"/>
          <w:color w:val="000000" w:themeColor="text1"/>
          <w:szCs w:val="24"/>
          <w14:textFill>
            <w14:solidFill>
              <w14:schemeClr w14:val="tx1"/>
            </w14:solidFill>
          </w14:textFill>
        </w:rPr>
        <w:t>严重</w:t>
      </w:r>
      <w:r>
        <w:rPr>
          <w:rFonts w:hint="eastAsia" w:ascii="Times New Roman"/>
          <w:color w:val="000000" w:themeColor="text1"/>
          <w:szCs w:val="24"/>
          <w14:textFill>
            <w14:solidFill>
              <w14:schemeClr w14:val="tx1"/>
            </w14:solidFill>
          </w14:textFill>
        </w:rPr>
        <w:t>后果的</w:t>
      </w:r>
      <w:r>
        <w:rPr>
          <w:rFonts w:ascii="Times New Roman"/>
          <w:color w:val="000000" w:themeColor="text1"/>
          <w:szCs w:val="24"/>
          <w14:textFill>
            <w14:solidFill>
              <w14:schemeClr w14:val="tx1"/>
            </w14:solidFill>
          </w14:textFill>
        </w:rPr>
        <w:t>；</w:t>
      </w:r>
    </w:p>
    <w:p>
      <w:pPr>
        <w:pStyle w:val="71"/>
        <w:numPr>
          <w:ilvl w:val="0"/>
          <w:numId w:val="45"/>
        </w:numPr>
        <w:ind w:firstLineChars="0"/>
        <w:rPr>
          <w:rFonts w:ascii="Times New Roman"/>
          <w:color w:val="000000" w:themeColor="text1"/>
          <w:szCs w:val="24"/>
          <w14:textFill>
            <w14:solidFill>
              <w14:schemeClr w14:val="tx1"/>
            </w14:solidFill>
          </w14:textFill>
        </w:rPr>
      </w:pPr>
      <w:r>
        <w:rPr>
          <w:rFonts w:ascii="Times New Roman"/>
          <w:color w:val="000000" w:themeColor="text1"/>
          <w:szCs w:val="24"/>
          <w14:textFill>
            <w14:solidFill>
              <w14:schemeClr w14:val="tx1"/>
            </w14:solidFill>
          </w14:textFill>
        </w:rPr>
        <w:t>物料</w:t>
      </w:r>
      <w:r>
        <w:rPr>
          <w:rFonts w:hint="eastAsia" w:ascii="Times New Roman"/>
          <w:color w:val="000000" w:themeColor="text1"/>
          <w:szCs w:val="24"/>
          <w14:textFill>
            <w14:solidFill>
              <w14:schemeClr w14:val="tx1"/>
            </w14:solidFill>
          </w14:textFill>
        </w:rPr>
        <w:t>易</w:t>
      </w:r>
      <w:r>
        <w:rPr>
          <w:rFonts w:ascii="Times New Roman"/>
          <w:color w:val="000000" w:themeColor="text1"/>
          <w:szCs w:val="24"/>
          <w14:textFill>
            <w14:solidFill>
              <w14:schemeClr w14:val="tx1"/>
            </w14:solidFill>
          </w14:textFill>
        </w:rPr>
        <w:t>溶于水</w:t>
      </w:r>
      <w:r>
        <w:rPr>
          <w:rFonts w:hint="eastAsia" w:ascii="Times New Roman"/>
          <w:color w:val="000000" w:themeColor="text1"/>
          <w:szCs w:val="24"/>
          <w14:textFill>
            <w14:solidFill>
              <w14:schemeClr w14:val="tx1"/>
            </w14:solidFill>
          </w14:textFill>
        </w:rPr>
        <w:t>且导致通过注水达不到预期防止泄漏效果的，</w:t>
      </w:r>
      <w:r>
        <w:rPr>
          <w:rFonts w:ascii="Times New Roman"/>
          <w:color w:val="000000" w:themeColor="text1"/>
          <w:szCs w:val="24"/>
          <w14:textFill>
            <w14:solidFill>
              <w14:schemeClr w14:val="tx1"/>
            </w14:solidFill>
          </w14:textFill>
        </w:rPr>
        <w:t>如环氧乙烷</w:t>
      </w:r>
      <w:r>
        <w:rPr>
          <w:rFonts w:hint="eastAsia" w:ascii="Times New Roman"/>
          <w:color w:val="000000" w:themeColor="text1"/>
          <w:szCs w:val="24"/>
          <w14:textFill>
            <w14:solidFill>
              <w14:schemeClr w14:val="tx1"/>
            </w14:solidFill>
          </w14:textFill>
        </w:rPr>
        <w:t>、氨等；</w:t>
      </w:r>
    </w:p>
    <w:p>
      <w:pPr>
        <w:pStyle w:val="71"/>
        <w:numPr>
          <w:ilvl w:val="0"/>
          <w:numId w:val="45"/>
        </w:numPr>
        <w:ind w:firstLineChars="0"/>
        <w:rPr>
          <w:rFonts w:ascii="Times New Roman"/>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物料低于0℃的储罐不应注水。</w:t>
      </w:r>
    </w:p>
    <w:p>
      <w:pPr>
        <w:widowControl w:val="0"/>
        <w:autoSpaceDE w:val="0"/>
        <w:autoSpaceDN w:val="0"/>
        <w:adjustRightInd w:val="0"/>
        <w:spacing w:line="240" w:lineRule="auto"/>
        <w:textAlignment w:val="auto"/>
        <w:rPr>
          <w:rFonts w:ascii="Arial" w:hAnsi="宋体" w:cs="Arial"/>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B</w:t>
      </w:r>
      <w:r>
        <w:rPr>
          <w:rFonts w:ascii="Arial" w:hAnsi="宋体" w:cs="Arial"/>
          <w:color w:val="000000" w:themeColor="text1"/>
          <w:szCs w:val="21"/>
          <w14:textFill>
            <w14:solidFill>
              <w14:schemeClr w14:val="tx1"/>
            </w14:solidFill>
          </w14:textFill>
        </w:rPr>
        <w:t xml:space="preserve">.3 </w:t>
      </w:r>
      <w:r>
        <w:rPr>
          <w:rFonts w:hint="eastAsia" w:ascii="Arial" w:hAnsi="宋体" w:cs="Arial"/>
          <w:color w:val="000000" w:themeColor="text1"/>
          <w:szCs w:val="21"/>
          <w14:textFill>
            <w14:solidFill>
              <w14:schemeClr w14:val="tx1"/>
            </w14:solidFill>
          </w14:textFill>
        </w:rPr>
        <w:t>注水水源</w:t>
      </w:r>
    </w:p>
    <w:p>
      <w:pPr>
        <w:widowControl w:val="0"/>
        <w:autoSpaceDE w:val="0"/>
        <w:autoSpaceDN w:val="0"/>
        <w:adjustRightInd w:val="0"/>
        <w:spacing w:line="240" w:lineRule="auto"/>
        <w:ind w:firstLine="420" w:firstLineChars="200"/>
        <w:textAlignment w:val="auto"/>
        <w:rPr>
          <w:rFonts w:ascii="宋体"/>
          <w:color w:val="000000" w:themeColor="text1"/>
          <w:szCs w:val="21"/>
          <w14:textFill>
            <w14:solidFill>
              <w14:schemeClr w14:val="tx1"/>
            </w14:solidFill>
          </w14:textFill>
        </w:rPr>
      </w:pPr>
      <w:r>
        <w:rPr>
          <w:rFonts w:ascii="Arial" w:hAnsi="宋体" w:cs="Arial"/>
          <w:color w:val="000000" w:themeColor="text1"/>
          <w:szCs w:val="21"/>
          <w14:textFill>
            <w14:solidFill>
              <w14:schemeClr w14:val="tx1"/>
            </w14:solidFill>
          </w14:textFill>
        </w:rPr>
        <w:tab/>
      </w:r>
      <w:r>
        <w:rPr>
          <w:rFonts w:hint="eastAsia" w:ascii="Arial" w:hAnsi="宋体" w:cs="Arial"/>
          <w:color w:val="000000" w:themeColor="text1"/>
          <w:szCs w:val="21"/>
          <w14:textFill>
            <w14:solidFill>
              <w14:schemeClr w14:val="tx1"/>
            </w14:solidFill>
          </w14:textFill>
        </w:rPr>
        <w:t>注水水源</w:t>
      </w:r>
      <w:r>
        <w:rPr>
          <w:rFonts w:hint="eastAsia" w:ascii="宋体"/>
          <w:color w:val="000000" w:themeColor="text1"/>
          <w:szCs w:val="21"/>
          <w14:textFill>
            <w14:solidFill>
              <w14:schemeClr w14:val="tx1"/>
            </w14:solidFill>
          </w14:textFill>
        </w:rPr>
        <w:t>可采用稳高压消防水系统作为事故状态下的注水水源。</w:t>
      </w:r>
    </w:p>
    <w:p>
      <w:pPr>
        <w:widowControl w:val="0"/>
        <w:autoSpaceDE w:val="0"/>
        <w:autoSpaceDN w:val="0"/>
        <w:adjustRightInd w:val="0"/>
        <w:spacing w:line="240" w:lineRule="auto"/>
        <w:textAlignment w:val="auto"/>
        <w:rPr>
          <w:rFonts w:ascii="Arial" w:hAnsi="宋体" w:cs="Arial"/>
          <w:color w:val="000000" w:themeColor="text1"/>
          <w:szCs w:val="21"/>
          <w14:textFill>
            <w14:solidFill>
              <w14:schemeClr w14:val="tx1"/>
            </w14:solidFill>
          </w14:textFill>
        </w:rPr>
      </w:pPr>
      <w:r>
        <w:rPr>
          <w:rFonts w:ascii="Arial" w:hAnsi="宋体" w:cs="Arial"/>
          <w:color w:val="000000" w:themeColor="text1"/>
          <w:szCs w:val="21"/>
          <w14:textFill>
            <w14:solidFill>
              <w14:schemeClr w14:val="tx1"/>
            </w14:solidFill>
          </w14:textFill>
        </w:rPr>
        <w:t>B.4 注水水量</w:t>
      </w:r>
      <w:r>
        <w:rPr>
          <w:rFonts w:hint="eastAsia" w:ascii="Arial" w:hAnsi="宋体" w:cs="Arial"/>
          <w:color w:val="000000" w:themeColor="text1"/>
          <w:szCs w:val="21"/>
          <w14:textFill>
            <w14:solidFill>
              <w14:schemeClr w14:val="tx1"/>
            </w14:solidFill>
          </w14:textFill>
        </w:rPr>
        <w:t>的确定</w:t>
      </w:r>
    </w:p>
    <w:p>
      <w:pPr>
        <w:widowControl w:val="0"/>
        <w:autoSpaceDE w:val="0"/>
        <w:autoSpaceDN w:val="0"/>
        <w:adjustRightInd w:val="0"/>
        <w:spacing w:line="240" w:lineRule="auto"/>
        <w:ind w:firstLine="420" w:firstLineChars="200"/>
        <w:textAlignment w:val="auto"/>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在进行稳高压消防水系统管网的设计时需考虑球形储罐泄漏状态下</w:t>
      </w:r>
      <w:r>
        <w:rPr>
          <w:rFonts w:ascii="宋体"/>
          <w:color w:val="000000" w:themeColor="text1"/>
          <w:szCs w:val="21"/>
          <w14:textFill>
            <w14:solidFill>
              <w14:schemeClr w14:val="tx1"/>
            </w14:solidFill>
          </w14:textFill>
        </w:rPr>
        <w:t>50t/h</w:t>
      </w:r>
      <w:r>
        <w:rPr>
          <w:rFonts w:hint="eastAsia" w:ascii="宋体"/>
          <w:color w:val="000000" w:themeColor="text1"/>
          <w:szCs w:val="21"/>
          <w14:textFill>
            <w14:solidFill>
              <w14:schemeClr w14:val="tx1"/>
            </w14:solidFill>
          </w14:textFill>
        </w:rPr>
        <w:t>～</w:t>
      </w:r>
      <w:r>
        <w:rPr>
          <w:rFonts w:ascii="宋体"/>
          <w:color w:val="000000" w:themeColor="text1"/>
          <w:szCs w:val="21"/>
          <w14:textFill>
            <w14:solidFill>
              <w14:schemeClr w14:val="tx1"/>
            </w14:solidFill>
          </w14:textFill>
        </w:rPr>
        <w:t>100t/h</w:t>
      </w:r>
      <w:r>
        <w:rPr>
          <w:rFonts w:hint="eastAsia" w:ascii="宋体"/>
          <w:color w:val="000000" w:themeColor="text1"/>
          <w:szCs w:val="21"/>
          <w14:textFill>
            <w14:solidFill>
              <w14:schemeClr w14:val="tx1"/>
            </w14:solidFill>
          </w14:textFill>
        </w:rPr>
        <w:t>的用水需求。</w:t>
      </w:r>
    </w:p>
    <w:p>
      <w:pPr>
        <w:widowControl w:val="0"/>
        <w:autoSpaceDE w:val="0"/>
        <w:autoSpaceDN w:val="0"/>
        <w:adjustRightInd w:val="0"/>
        <w:spacing w:line="240" w:lineRule="auto"/>
        <w:ind w:firstLine="420" w:firstLineChars="200"/>
        <w:textAlignment w:val="auto"/>
        <w:rPr>
          <w:rFonts w:hAnsi="宋体"/>
          <w:bCs/>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通过注水管道向储罐内注入的水量应大于或等于从泄漏处流出的水量，并满足一处法兰泄漏所需注水量，</w:t>
      </w:r>
      <w:r>
        <w:rPr>
          <w:rFonts w:hint="eastAsia" w:hAnsi="宋体"/>
          <w:bCs/>
          <w:color w:val="000000" w:themeColor="text1"/>
          <w:szCs w:val="21"/>
          <w14:textFill>
            <w14:solidFill>
              <w14:schemeClr w14:val="tx1"/>
            </w14:solidFill>
          </w14:textFill>
        </w:rPr>
        <w:t>实际泄漏量按缠绕式垫片的破损裂缝不超过圆周的</w:t>
      </w:r>
      <w:r>
        <w:rPr>
          <w:rFonts w:hAnsi="宋体"/>
          <w:bCs/>
          <w:color w:val="000000" w:themeColor="text1"/>
          <w:szCs w:val="21"/>
          <w14:textFill>
            <w14:solidFill>
              <w14:schemeClr w14:val="tx1"/>
            </w14:solidFill>
          </w14:textFill>
        </w:rPr>
        <w:t>1/7</w:t>
      </w:r>
      <w:r>
        <w:rPr>
          <w:rFonts w:hint="eastAsia" w:hAnsi="宋体"/>
          <w:bCs/>
          <w:color w:val="000000" w:themeColor="text1"/>
          <w:szCs w:val="21"/>
          <w14:textFill>
            <w14:solidFill>
              <w14:schemeClr w14:val="tx1"/>
            </w14:solidFill>
          </w14:textFill>
        </w:rPr>
        <w:t>（对应于圆心角约</w:t>
      </w:r>
      <w:r>
        <w:rPr>
          <w:rFonts w:hAnsi="宋体"/>
          <w:bCs/>
          <w:color w:val="000000" w:themeColor="text1"/>
          <w:szCs w:val="21"/>
          <w14:textFill>
            <w14:solidFill>
              <w14:schemeClr w14:val="tx1"/>
            </w14:solidFill>
          </w14:textFill>
        </w:rPr>
        <w:t>51</w:t>
      </w:r>
      <w:r>
        <w:rPr>
          <w:rFonts w:hint="eastAsia" w:hAnsi="宋体"/>
          <w:bCs/>
          <w:color w:val="000000" w:themeColor="text1"/>
          <w:szCs w:val="21"/>
          <w14:textFill>
            <w14:solidFill>
              <w14:schemeClr w14:val="tx1"/>
            </w14:solidFill>
          </w14:textFill>
        </w:rPr>
        <w:t>°）进行计算。</w:t>
      </w:r>
    </w:p>
    <w:p>
      <w:pPr>
        <w:widowControl w:val="0"/>
        <w:autoSpaceDE w:val="0"/>
        <w:autoSpaceDN w:val="0"/>
        <w:adjustRightInd w:val="0"/>
        <w:spacing w:line="240" w:lineRule="auto"/>
        <w:ind w:firstLine="420" w:firstLineChars="200"/>
        <w:textAlignment w:val="auto"/>
        <w:rPr>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泄漏</w:t>
      </w:r>
      <w:r>
        <w:rPr>
          <w:rFonts w:hint="eastAsia"/>
          <w:color w:val="000000" w:themeColor="text1"/>
          <w:szCs w:val="21"/>
          <w14:textFill>
            <w14:solidFill>
              <w14:schemeClr w14:val="tx1"/>
            </w14:solidFill>
          </w14:textFill>
        </w:rPr>
        <w:t>点按法兰密封破损考虑，泄漏量可按公式（1）计算。</w:t>
      </w:r>
    </w:p>
    <w:p>
      <w:pPr>
        <w:spacing w:line="360" w:lineRule="auto"/>
        <w:ind w:firstLine="630" w:firstLineChars="300"/>
        <w:rPr>
          <w:color w:val="000000" w:themeColor="text1"/>
          <w:szCs w:val="21"/>
          <w14:textFill>
            <w14:solidFill>
              <w14:schemeClr w14:val="tx1"/>
            </w14:solidFill>
          </w14:textFill>
        </w:rPr>
      </w:pPr>
      <w:r>
        <w:rPr>
          <w:color w:val="000000" w:themeColor="text1"/>
          <w:szCs w:val="21"/>
          <w14:textFill>
            <w14:solidFill>
              <w14:schemeClr w14:val="tx1"/>
            </w14:solidFill>
          </w14:textFill>
        </w:rPr>
        <w:object>
          <v:shape id="_x0000_i1025" o:spt="75" type="#_x0000_t75" style="height:22.35pt;width:159.85pt;" o:ole="t" filled="f" o:preferrelative="t" stroked="f" coordsize="21600,21600">
            <v:path/>
            <v:fill on="f" focussize="0,0"/>
            <v:stroke on="f" joinstyle="miter"/>
            <v:imagedata r:id="rId37" o:title=""/>
            <o:lock v:ext="edit" aspectratio="t"/>
            <w10:wrap type="none"/>
            <w10:anchorlock/>
          </v:shape>
          <o:OLEObject Type="Embed" ProgID="Equation.3" ShapeID="_x0000_i1025" DrawAspect="Content" ObjectID="_1468075725" r:id="rId36">
            <o:LockedField>false</o:LockedField>
          </o:OLEObject>
        </w:objec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（1）</w:t>
      </w:r>
    </w:p>
    <w:p>
      <w:pPr>
        <w:spacing w:line="360" w:lineRule="auto"/>
        <w:ind w:firstLine="630" w:firstLineChars="3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式中：</w:t>
      </w:r>
    </w:p>
    <w:p>
      <w:pPr>
        <w:spacing w:line="24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Q  —泄漏量，m</w:t>
      </w:r>
      <w:r>
        <w:rPr>
          <w:rFonts w:hint="eastAsia"/>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 xml:space="preserve"> /h；</w:t>
      </w:r>
    </w:p>
    <w:p>
      <w:pPr>
        <w:spacing w:line="24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P  </w:t>
      </w:r>
      <w:r>
        <w:rPr>
          <w:rFonts w:hint="eastAsia"/>
          <w:color w:val="000000" w:themeColor="text1"/>
          <w:szCs w:val="21"/>
          <w14:textFill>
            <w14:solidFill>
              <w14:schemeClr w14:val="tx1"/>
            </w14:solidFill>
          </w14:textFill>
        </w:rPr>
        <w:t>—气相饱和蒸汽压，</w:t>
      </w:r>
      <w:r>
        <w:rPr>
          <w:color w:val="000000" w:themeColor="text1"/>
          <w:szCs w:val="21"/>
          <w14:textFill>
            <w14:solidFill>
              <w14:schemeClr w14:val="tx1"/>
            </w14:solidFill>
          </w14:textFill>
        </w:rPr>
        <w:t>Pa</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a</w:t>
      </w:r>
      <w:r>
        <w:rPr>
          <w:rFonts w:hint="eastAsia"/>
          <w:color w:val="000000" w:themeColor="text1"/>
          <w:szCs w:val="21"/>
          <w14:textFill>
            <w14:solidFill>
              <w14:schemeClr w14:val="tx1"/>
            </w14:solidFill>
          </w14:textFill>
        </w:rPr>
        <w:t>）；</w:t>
      </w:r>
    </w:p>
    <w:p>
      <w:pPr>
        <w:spacing w:line="240"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P</w:t>
      </w:r>
      <w:r>
        <w:rPr>
          <w:color w:val="000000" w:themeColor="text1"/>
          <w:szCs w:val="21"/>
          <w:vertAlign w:val="subscript"/>
          <w14:textFill>
            <w14:solidFill>
              <w14:schemeClr w14:val="tx1"/>
            </w14:solidFill>
          </w14:textFill>
        </w:rPr>
        <w:t>0</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—大气压，</w:t>
      </w:r>
      <w:r>
        <w:rPr>
          <w:color w:val="000000" w:themeColor="text1"/>
          <w:szCs w:val="21"/>
          <w14:textFill>
            <w14:solidFill>
              <w14:schemeClr w14:val="tx1"/>
            </w14:solidFill>
          </w14:textFill>
        </w:rPr>
        <w:t>Pa</w:t>
      </w:r>
      <w:r>
        <w:rPr>
          <w:rFonts w:hint="eastAsia"/>
          <w:color w:val="000000" w:themeColor="text1"/>
          <w:szCs w:val="21"/>
          <w14:textFill>
            <w14:solidFill>
              <w14:schemeClr w14:val="tx1"/>
            </w14:solidFill>
          </w14:textFill>
        </w:rPr>
        <w:t>；</w:t>
      </w:r>
    </w:p>
    <w:p>
      <w:pPr>
        <w:spacing w:line="240" w:lineRule="auto"/>
        <w:ind w:firstLine="420" w:firstLineChars="200"/>
        <w:rPr>
          <w:color w:val="000000" w:themeColor="text1"/>
          <w:szCs w:val="21"/>
          <w14:textFill>
            <w14:solidFill>
              <w14:schemeClr w14:val="tx1"/>
            </w14:solidFill>
          </w14:textFill>
        </w:rPr>
      </w:pPr>
      <w:r>
        <w:rPr>
          <w:position w:val="-10"/>
        </w:rPr>
        <w:object>
          <v:shape id="_x0000_i1026" o:spt="75" type="#_x0000_t75" style="height:13.1pt;width:10.35pt;" o:ole="t" filled="f" o:preferrelative="t" stroked="f" coordsize="21600,21600">
            <v:path/>
            <v:fill on="f" focussize="0,0"/>
            <v:stroke on="f" joinstyle="miter"/>
            <v:imagedata r:id="rId39" o:title=""/>
            <o:lock v:ext="edit" aspectratio="t"/>
            <w10:wrap type="none"/>
            <w10:anchorlock/>
          </v:shape>
          <o:OLEObject Type="Embed" ProgID="Equation.DSMT4" ShapeID="_x0000_i1026" DrawAspect="Content" ObjectID="_1468075726" r:id="rId38">
            <o:LockedField>false</o:LockedField>
          </o:OLEObject>
        </w:objec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—密度，</w:t>
      </w:r>
      <w:r>
        <w:rPr>
          <w:color w:val="000000" w:themeColor="text1"/>
          <w:szCs w:val="21"/>
          <w14:textFill>
            <w14:solidFill>
              <w14:schemeClr w14:val="tx1"/>
            </w14:solidFill>
          </w14:textFill>
        </w:rPr>
        <w:t>kg/m</w:t>
      </w:r>
      <w:r>
        <w:rPr>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w:t>
      </w:r>
    </w:p>
    <w:p>
      <w:pPr>
        <w:spacing w:line="24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μ </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—流量系数，0.62；</w:t>
      </w:r>
    </w:p>
    <w:p>
      <w:pPr>
        <w:spacing w:line="24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g  —重力加速度，9.8m/s</w:t>
      </w:r>
      <w:r>
        <w:rPr>
          <w:rFonts w:hint="eastAsia"/>
          <w:color w:val="000000" w:themeColor="text1"/>
          <w:szCs w:val="21"/>
          <w:vertAlign w:val="superscript"/>
          <w14:textFill>
            <w14:solidFill>
              <w14:schemeClr w14:val="tx1"/>
            </w14:solidFill>
          </w14:textFill>
        </w:rPr>
        <w:t>2</w:t>
      </w:r>
      <w:r>
        <w:rPr>
          <w:rFonts w:hint="eastAsia"/>
          <w:color w:val="000000" w:themeColor="text1"/>
          <w:szCs w:val="21"/>
          <w14:textFill>
            <w14:solidFill>
              <w14:schemeClr w14:val="tx1"/>
            </w14:solidFill>
          </w14:textFill>
        </w:rPr>
        <w:t>；</w:t>
      </w:r>
    </w:p>
    <w:p>
      <w:pPr>
        <w:spacing w:line="24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h  —从罐的最高液位到泄漏点的高差，m；</w:t>
      </w:r>
    </w:p>
    <w:p>
      <w:pPr>
        <w:spacing w:line="240"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A  —破损处泄漏面积，m</w:t>
      </w:r>
      <w:r>
        <w:rPr>
          <w:rFonts w:hint="eastAsia"/>
          <w:color w:val="000000" w:themeColor="text1"/>
          <w:szCs w:val="21"/>
          <w:vertAlign w:val="superscript"/>
          <w14:textFill>
            <w14:solidFill>
              <w14:schemeClr w14:val="tx1"/>
            </w14:solidFill>
          </w14:textFill>
        </w:rPr>
        <w:t>2</w:t>
      </w:r>
      <w:r>
        <w:rPr>
          <w:rFonts w:hint="eastAsia"/>
          <w:color w:val="000000" w:themeColor="text1"/>
          <w:szCs w:val="21"/>
          <w14:textFill>
            <w14:solidFill>
              <w14:schemeClr w14:val="tx1"/>
            </w14:solidFill>
          </w14:textFill>
        </w:rPr>
        <w:t>。</w:t>
      </w:r>
    </w:p>
    <w:p>
      <w:pPr>
        <w:spacing w:line="360" w:lineRule="auto"/>
        <w:ind w:firstLine="630" w:firstLineChars="300"/>
        <w:rPr>
          <w:color w:val="000000" w:themeColor="text1"/>
          <w:szCs w:val="21"/>
          <w14:textFill>
            <w14:solidFill>
              <w14:schemeClr w14:val="tx1"/>
            </w14:solidFill>
          </w14:textFill>
        </w:rPr>
      </w:pPr>
      <w:r>
        <w:rPr>
          <w:color w:val="000000" w:themeColor="text1"/>
          <w:szCs w:val="21"/>
          <w14:textFill>
            <w14:solidFill>
              <w14:schemeClr w14:val="tx1"/>
            </w14:solidFill>
          </w14:textFill>
        </w:rPr>
        <w:t>C</w:t>
      </w:r>
      <w:r>
        <w:rPr>
          <w:color w:val="000000" w:themeColor="text1"/>
          <w:szCs w:val="21"/>
          <w:vertAlign w:val="subscript"/>
          <w14:textFill>
            <w14:solidFill>
              <w14:schemeClr w14:val="tx1"/>
            </w14:solidFill>
          </w14:textFill>
        </w:rPr>
        <w:t>4</w:t>
      </w:r>
      <w:r>
        <w:rPr>
          <w:rFonts w:hint="eastAsia"/>
          <w:color w:val="000000" w:themeColor="text1"/>
          <w:szCs w:val="21"/>
          <w14:textFill>
            <w14:solidFill>
              <w14:schemeClr w14:val="tx1"/>
            </w14:solidFill>
          </w14:textFill>
        </w:rPr>
        <w:t>泄漏量计算表、丙烯泄漏量计算表见表</w:t>
      </w:r>
      <w:r>
        <w:rPr>
          <w:color w:val="000000" w:themeColor="text1"/>
          <w:szCs w:val="21"/>
          <w14:textFill>
            <w14:solidFill>
              <w14:schemeClr w14:val="tx1"/>
            </w14:solidFill>
          </w14:textFill>
        </w:rPr>
        <w:t>B</w:t>
      </w: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B</w:t>
      </w:r>
      <w:r>
        <w:rPr>
          <w:rFonts w:hint="eastAsia"/>
          <w:color w:val="000000" w:themeColor="text1"/>
          <w:szCs w:val="21"/>
          <w14:textFill>
            <w14:solidFill>
              <w14:schemeClr w14:val="tx1"/>
            </w14:solidFill>
          </w14:textFill>
        </w:rPr>
        <w:t>.2。</w:t>
      </w:r>
    </w:p>
    <w:p>
      <w:pPr>
        <w:spacing w:before="158" w:beforeLines="50" w:after="158" w:afterLines="50" w:line="360" w:lineRule="exact"/>
        <w:jc w:val="center"/>
        <w:rPr>
          <w:rFonts w:ascii="黑体" w:hAnsi="黑体" w:eastAsia="黑体"/>
          <w:b/>
          <w:bCs/>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表</w:t>
      </w:r>
      <w:r>
        <w:rPr>
          <w:rFonts w:ascii="黑体" w:hAnsi="黑体" w:eastAsia="黑体"/>
          <w:color w:val="000000" w:themeColor="text1"/>
          <w:szCs w:val="21"/>
          <w14:textFill>
            <w14:solidFill>
              <w14:schemeClr w14:val="tx1"/>
            </w14:solidFill>
          </w14:textFill>
        </w:rPr>
        <w:t>B</w:t>
      </w:r>
      <w:r>
        <w:rPr>
          <w:rFonts w:hint="eastAsia" w:ascii="黑体" w:hAnsi="黑体" w:eastAsia="黑体"/>
          <w:color w:val="000000" w:themeColor="text1"/>
          <w:szCs w:val="21"/>
          <w14:textFill>
            <w14:solidFill>
              <w14:schemeClr w14:val="tx1"/>
            </w14:solidFill>
          </w14:textFill>
        </w:rPr>
        <w:t>.</w:t>
      </w:r>
      <w:r>
        <w:rPr>
          <w:rFonts w:ascii="黑体" w:hAnsi="黑体" w:eastAsia="黑体"/>
          <w:color w:val="000000" w:themeColor="text1"/>
          <w:szCs w:val="21"/>
          <w14:textFill>
            <w14:solidFill>
              <w14:schemeClr w14:val="tx1"/>
            </w14:solidFill>
          </w14:textFill>
        </w:rPr>
        <w:t>1  C</w:t>
      </w:r>
      <w:r>
        <w:rPr>
          <w:rFonts w:ascii="黑体" w:hAnsi="黑体" w:eastAsia="黑体"/>
          <w:color w:val="000000" w:themeColor="text1"/>
          <w:szCs w:val="21"/>
          <w:vertAlign w:val="subscript"/>
          <w14:textFill>
            <w14:solidFill>
              <w14:schemeClr w14:val="tx1"/>
            </w14:solidFill>
          </w14:textFill>
        </w:rPr>
        <w:t>4</w:t>
      </w:r>
      <w:r>
        <w:rPr>
          <w:rFonts w:hint="eastAsia" w:ascii="黑体" w:hAnsi="黑体" w:eastAsia="黑体"/>
          <w:color w:val="000000" w:themeColor="text1"/>
          <w:szCs w:val="21"/>
          <w14:textFill>
            <w14:solidFill>
              <w14:schemeClr w14:val="tx1"/>
            </w14:solidFill>
          </w14:textFill>
        </w:rPr>
        <w:t>泄漏量计算表</w:t>
      </w:r>
    </w:p>
    <w:tbl>
      <w:tblPr>
        <w:tblStyle w:val="50"/>
        <w:tblW w:w="9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417"/>
        <w:gridCol w:w="1405"/>
        <w:gridCol w:w="1843"/>
        <w:gridCol w:w="1911"/>
        <w:gridCol w:w="2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88" w:type="dxa"/>
            <w:shd w:val="clear" w:color="auto" w:fill="auto"/>
          </w:tcPr>
          <w:p>
            <w:pPr>
              <w:spacing w:line="360" w:lineRule="exact"/>
              <w:ind w:left="153" w:hanging="153" w:hangingChars="85"/>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储罐容积</w:t>
            </w:r>
          </w:p>
          <w:p>
            <w:pPr>
              <w:spacing w:line="360" w:lineRule="exact"/>
              <w:ind w:left="153" w:hanging="153" w:hangingChars="85"/>
              <w:jc w:val="center"/>
              <w:rPr>
                <w:rFonts w:ascii="宋体" w:hAnsi="宋体" w:cs="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m</w:t>
            </w:r>
            <w:r>
              <w:rPr>
                <w:rFonts w:hint="eastAsia" w:ascii="宋体" w:hAnsi="宋体"/>
                <w:bCs/>
                <w:color w:val="000000" w:themeColor="text1"/>
                <w:sz w:val="18"/>
                <w:szCs w:val="18"/>
                <w:vertAlign w:val="superscript"/>
                <w14:textFill>
                  <w14:solidFill>
                    <w14:schemeClr w14:val="tx1"/>
                  </w14:solidFill>
                </w14:textFill>
              </w:rPr>
              <w:t>3</w:t>
            </w:r>
          </w:p>
        </w:tc>
        <w:tc>
          <w:tcPr>
            <w:tcW w:w="1417"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球形储罐直径</w:t>
            </w:r>
          </w:p>
          <w:p>
            <w:pPr>
              <w:spacing w:line="360" w:lineRule="exact"/>
              <w:jc w:val="center"/>
              <w:rPr>
                <w:rFonts w:ascii="宋体" w:hAnsi="宋体" w:cs="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m</w:t>
            </w:r>
          </w:p>
        </w:tc>
        <w:tc>
          <w:tcPr>
            <w:tcW w:w="1405" w:type="dxa"/>
            <w:shd w:val="clear" w:color="auto" w:fill="auto"/>
          </w:tcPr>
          <w:p>
            <w:pPr>
              <w:spacing w:line="360" w:lineRule="exact"/>
              <w:jc w:val="center"/>
              <w:rPr>
                <w:rFonts w:ascii="宋体" w:hAnsi="宋体" w:cs="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最高液位到泄漏点的高差m</w:t>
            </w:r>
          </w:p>
        </w:tc>
        <w:tc>
          <w:tcPr>
            <w:tcW w:w="1843"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泄漏管DN150泄漏量</w:t>
            </w:r>
          </w:p>
          <w:p>
            <w:pPr>
              <w:spacing w:line="360" w:lineRule="exact"/>
              <w:jc w:val="center"/>
              <w:rPr>
                <w:rFonts w:ascii="宋体" w:hAnsi="宋体" w:cs="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m</w:t>
            </w:r>
            <w:r>
              <w:rPr>
                <w:rFonts w:hint="eastAsia" w:ascii="宋体" w:hAnsi="宋体"/>
                <w:bCs/>
                <w:color w:val="000000" w:themeColor="text1"/>
                <w:sz w:val="18"/>
                <w:szCs w:val="18"/>
                <w:vertAlign w:val="superscript"/>
                <w14:textFill>
                  <w14:solidFill>
                    <w14:schemeClr w14:val="tx1"/>
                  </w14:solidFill>
                </w14:textFill>
              </w:rPr>
              <w:t>3</w:t>
            </w:r>
            <w:r>
              <w:rPr>
                <w:rFonts w:hint="eastAsia" w:ascii="宋体" w:hAnsi="宋体"/>
                <w:bCs/>
                <w:color w:val="000000" w:themeColor="text1"/>
                <w:sz w:val="18"/>
                <w:szCs w:val="18"/>
                <w14:textFill>
                  <w14:solidFill>
                    <w14:schemeClr w14:val="tx1"/>
                  </w14:solidFill>
                </w14:textFill>
              </w:rPr>
              <w:t>/h</w:t>
            </w:r>
          </w:p>
        </w:tc>
        <w:tc>
          <w:tcPr>
            <w:tcW w:w="1911"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泄漏管DN200泄漏量</w:t>
            </w:r>
          </w:p>
          <w:p>
            <w:pPr>
              <w:spacing w:line="360" w:lineRule="exact"/>
              <w:jc w:val="center"/>
              <w:rPr>
                <w:rFonts w:ascii="宋体" w:hAnsi="宋体" w:cs="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m</w:t>
            </w:r>
            <w:r>
              <w:rPr>
                <w:rFonts w:hint="eastAsia" w:ascii="宋体" w:hAnsi="宋体"/>
                <w:bCs/>
                <w:color w:val="000000" w:themeColor="text1"/>
                <w:sz w:val="18"/>
                <w:szCs w:val="18"/>
                <w:vertAlign w:val="superscript"/>
                <w14:textFill>
                  <w14:solidFill>
                    <w14:schemeClr w14:val="tx1"/>
                  </w14:solidFill>
                </w14:textFill>
              </w:rPr>
              <w:t>3</w:t>
            </w:r>
            <w:r>
              <w:rPr>
                <w:rFonts w:hint="eastAsia" w:ascii="宋体" w:hAnsi="宋体"/>
                <w:bCs/>
                <w:color w:val="000000" w:themeColor="text1"/>
                <w:sz w:val="18"/>
                <w:szCs w:val="18"/>
                <w14:textFill>
                  <w14:solidFill>
                    <w14:schemeClr w14:val="tx1"/>
                  </w14:solidFill>
                </w14:textFill>
              </w:rPr>
              <w:t>/h</w:t>
            </w:r>
          </w:p>
        </w:tc>
        <w:tc>
          <w:tcPr>
            <w:tcW w:w="2060"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泄漏管DN250泄漏量</w:t>
            </w:r>
          </w:p>
          <w:p>
            <w:pPr>
              <w:spacing w:line="360" w:lineRule="exact"/>
              <w:jc w:val="center"/>
              <w:rPr>
                <w:rFonts w:ascii="宋体" w:hAnsi="宋体" w:cs="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m</w:t>
            </w:r>
            <w:r>
              <w:rPr>
                <w:rFonts w:hint="eastAsia" w:ascii="宋体" w:hAnsi="宋体"/>
                <w:bCs/>
                <w:color w:val="000000" w:themeColor="text1"/>
                <w:sz w:val="18"/>
                <w:szCs w:val="18"/>
                <w:vertAlign w:val="superscript"/>
                <w14:textFill>
                  <w14:solidFill>
                    <w14:schemeClr w14:val="tx1"/>
                  </w14:solidFill>
                </w14:textFill>
              </w:rPr>
              <w:t>3</w:t>
            </w:r>
            <w:r>
              <w:rPr>
                <w:rFonts w:hint="eastAsia" w:ascii="宋体" w:hAnsi="宋体"/>
                <w:bCs/>
                <w:color w:val="000000" w:themeColor="text1"/>
                <w:sz w:val="18"/>
                <w:szCs w:val="18"/>
                <w14:textFill>
                  <w14:solidFill>
                    <w14:schemeClr w14:val="tx1"/>
                  </w14:solidFill>
                </w14:textFill>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88"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1000</w:t>
            </w:r>
          </w:p>
        </w:tc>
        <w:tc>
          <w:tcPr>
            <w:tcW w:w="1417"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12.3</w:t>
            </w:r>
          </w:p>
        </w:tc>
        <w:tc>
          <w:tcPr>
            <w:tcW w:w="1405" w:type="dxa"/>
            <w:shd w:val="clear" w:color="auto" w:fill="auto"/>
            <w:vAlign w:val="center"/>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11.29</w:t>
            </w:r>
          </w:p>
        </w:tc>
        <w:tc>
          <w:tcPr>
            <w:tcW w:w="1843"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25.5</w:t>
            </w:r>
          </w:p>
        </w:tc>
        <w:tc>
          <w:tcPr>
            <w:tcW w:w="1911"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34.06</w:t>
            </w:r>
          </w:p>
        </w:tc>
        <w:tc>
          <w:tcPr>
            <w:tcW w:w="2060"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42.57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88"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2000</w:t>
            </w:r>
          </w:p>
        </w:tc>
        <w:tc>
          <w:tcPr>
            <w:tcW w:w="1417"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15.7</w:t>
            </w:r>
          </w:p>
        </w:tc>
        <w:tc>
          <w:tcPr>
            <w:tcW w:w="1405" w:type="dxa"/>
            <w:shd w:val="clear" w:color="auto" w:fill="auto"/>
            <w:vAlign w:val="center"/>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14.02</w:t>
            </w:r>
          </w:p>
        </w:tc>
        <w:tc>
          <w:tcPr>
            <w:tcW w:w="1843"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25.9</w:t>
            </w:r>
          </w:p>
        </w:tc>
        <w:tc>
          <w:tcPr>
            <w:tcW w:w="1911"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34.65</w:t>
            </w:r>
          </w:p>
        </w:tc>
        <w:tc>
          <w:tcPr>
            <w:tcW w:w="2060"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43.31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88"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3000</w:t>
            </w:r>
          </w:p>
        </w:tc>
        <w:tc>
          <w:tcPr>
            <w:tcW w:w="1417"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18</w:t>
            </w:r>
          </w:p>
        </w:tc>
        <w:tc>
          <w:tcPr>
            <w:tcW w:w="1405" w:type="dxa"/>
            <w:shd w:val="clear" w:color="auto" w:fill="auto"/>
            <w:vAlign w:val="center"/>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15.87</w:t>
            </w:r>
          </w:p>
        </w:tc>
        <w:tc>
          <w:tcPr>
            <w:tcW w:w="1843"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26.25</w:t>
            </w:r>
          </w:p>
        </w:tc>
        <w:tc>
          <w:tcPr>
            <w:tcW w:w="1911"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35</w:t>
            </w:r>
          </w:p>
        </w:tc>
        <w:tc>
          <w:tcPr>
            <w:tcW w:w="2060"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44.00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9624" w:type="dxa"/>
            <w:gridSpan w:val="6"/>
            <w:shd w:val="clear" w:color="auto" w:fill="auto"/>
          </w:tcPr>
          <w:p>
            <w:pPr>
              <w:spacing w:line="360" w:lineRule="exact"/>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注1：以C</w:t>
            </w:r>
            <w:r>
              <w:rPr>
                <w:rFonts w:hint="eastAsia" w:ascii="宋体" w:hAnsi="宋体"/>
                <w:bCs/>
                <w:color w:val="000000" w:themeColor="text1"/>
                <w:sz w:val="18"/>
                <w:szCs w:val="18"/>
                <w:vertAlign w:val="subscript"/>
                <w14:textFill>
                  <w14:solidFill>
                    <w14:schemeClr w14:val="tx1"/>
                  </w14:solidFill>
                </w14:textFill>
              </w:rPr>
              <w:t>4</w:t>
            </w:r>
            <w:r>
              <w:rPr>
                <w:rFonts w:hint="eastAsia" w:ascii="宋体" w:hAnsi="宋体"/>
                <w:bCs/>
                <w:color w:val="000000" w:themeColor="text1"/>
                <w:sz w:val="18"/>
                <w:szCs w:val="18"/>
                <w14:textFill>
                  <w14:solidFill>
                    <w14:schemeClr w14:val="tx1"/>
                  </w14:solidFill>
                </w14:textFill>
              </w:rPr>
              <w:t>为例，物料密度为</w:t>
            </w:r>
            <w:r>
              <w:rPr>
                <w:rFonts w:ascii="宋体" w:hAnsi="宋体"/>
                <w:bCs/>
                <w:color w:val="000000" w:themeColor="text1"/>
                <w:sz w:val="18"/>
                <w:szCs w:val="18"/>
                <w14:textFill>
                  <w14:solidFill>
                    <w14:schemeClr w14:val="tx1"/>
                  </w14:solidFill>
                </w14:textFill>
              </w:rPr>
              <w:t>580</w:t>
            </w:r>
            <w:r>
              <w:rPr>
                <w:rFonts w:hint="eastAsia" w:ascii="宋体" w:hAnsi="宋体"/>
                <w:bCs/>
                <w:color w:val="000000" w:themeColor="text1"/>
                <w:sz w:val="18"/>
                <w:szCs w:val="18"/>
                <w14:textFill>
                  <w14:solidFill>
                    <w14:schemeClr w14:val="tx1"/>
                  </w14:solidFill>
                </w14:textFill>
              </w:rPr>
              <w:t>kg</w:t>
            </w:r>
            <w:r>
              <w:rPr>
                <w:rFonts w:ascii="宋体" w:hAnsi="宋体"/>
                <w:bCs/>
                <w:color w:val="000000" w:themeColor="text1"/>
                <w:sz w:val="18"/>
                <w:szCs w:val="18"/>
                <w14:textFill>
                  <w14:solidFill>
                    <w14:schemeClr w14:val="tx1"/>
                  </w14:solidFill>
                </w14:textFill>
              </w:rPr>
              <w:t>/</w:t>
            </w:r>
            <w:r>
              <w:rPr>
                <w:rFonts w:hint="eastAsia" w:ascii="宋体" w:hAnsi="宋体"/>
                <w:bCs/>
                <w:color w:val="000000" w:themeColor="text1"/>
                <w:sz w:val="18"/>
                <w:szCs w:val="18"/>
                <w14:textFill>
                  <w14:solidFill>
                    <w14:schemeClr w14:val="tx1"/>
                  </w14:solidFill>
                </w14:textFill>
              </w:rPr>
              <w:t>m</w:t>
            </w:r>
            <w:r>
              <w:rPr>
                <w:rFonts w:ascii="宋体" w:hAnsi="宋体"/>
                <w:bCs/>
                <w:color w:val="000000" w:themeColor="text1"/>
                <w:sz w:val="18"/>
                <w:szCs w:val="18"/>
                <w:vertAlign w:val="superscript"/>
                <w14:textFill>
                  <w14:solidFill>
                    <w14:schemeClr w14:val="tx1"/>
                  </w14:solidFill>
                </w14:textFill>
              </w:rPr>
              <w:t>3</w:t>
            </w:r>
            <w:r>
              <w:rPr>
                <w:rFonts w:hint="eastAsia" w:ascii="宋体" w:hAnsi="宋体"/>
                <w:bCs/>
                <w:color w:val="000000" w:themeColor="text1"/>
                <w:sz w:val="18"/>
                <w:szCs w:val="18"/>
                <w14:textFill>
                  <w14:solidFill>
                    <w14:schemeClr w14:val="tx1"/>
                  </w14:solidFill>
                </w14:textFill>
              </w:rPr>
              <w:t>；罐底和管线的高差确定为1.4m，罐的操作压力0.35MPa(g)。</w:t>
            </w:r>
          </w:p>
        </w:tc>
      </w:tr>
    </w:tbl>
    <w:p>
      <w:pPr>
        <w:spacing w:before="158" w:beforeLines="50" w:after="158" w:afterLines="50" w:line="360" w:lineRule="exact"/>
        <w:jc w:val="center"/>
        <w:rPr>
          <w:rFonts w:ascii="黑体" w:hAnsi="黑体" w:eastAsia="黑体"/>
          <w:color w:val="000000" w:themeColor="text1"/>
          <w:szCs w:val="21"/>
          <w14:textFill>
            <w14:solidFill>
              <w14:schemeClr w14:val="tx1"/>
            </w14:solidFill>
          </w14:textFill>
        </w:rPr>
      </w:pPr>
    </w:p>
    <w:p>
      <w:pPr>
        <w:spacing w:before="158" w:beforeLines="50" w:after="158" w:afterLines="50" w:line="360" w:lineRule="exact"/>
        <w:jc w:val="center"/>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表</w:t>
      </w:r>
      <w:r>
        <w:rPr>
          <w:rFonts w:ascii="黑体" w:hAnsi="黑体" w:eastAsia="黑体"/>
          <w:color w:val="000000" w:themeColor="text1"/>
          <w:szCs w:val="21"/>
          <w14:textFill>
            <w14:solidFill>
              <w14:schemeClr w14:val="tx1"/>
            </w14:solidFill>
          </w14:textFill>
        </w:rPr>
        <w:t>B</w:t>
      </w:r>
      <w:r>
        <w:rPr>
          <w:rFonts w:hint="eastAsia" w:ascii="黑体" w:hAnsi="黑体" w:eastAsia="黑体"/>
          <w:color w:val="000000" w:themeColor="text1"/>
          <w:szCs w:val="21"/>
          <w14:textFill>
            <w14:solidFill>
              <w14:schemeClr w14:val="tx1"/>
            </w14:solidFill>
          </w14:textFill>
        </w:rPr>
        <w:t>.</w:t>
      </w:r>
      <w:r>
        <w:rPr>
          <w:rFonts w:ascii="黑体" w:hAnsi="黑体" w:eastAsia="黑体"/>
          <w:color w:val="000000" w:themeColor="text1"/>
          <w:szCs w:val="21"/>
          <w14:textFill>
            <w14:solidFill>
              <w14:schemeClr w14:val="tx1"/>
            </w14:solidFill>
          </w14:textFill>
        </w:rPr>
        <w:t xml:space="preserve">2  </w:t>
      </w:r>
      <w:r>
        <w:rPr>
          <w:rFonts w:hint="eastAsia" w:ascii="黑体" w:hAnsi="黑体" w:eastAsia="黑体"/>
          <w:color w:val="000000" w:themeColor="text1"/>
          <w:szCs w:val="21"/>
          <w14:textFill>
            <w14:solidFill>
              <w14:schemeClr w14:val="tx1"/>
            </w14:solidFill>
          </w14:textFill>
        </w:rPr>
        <w:t>丙烯泄漏量计算表</w:t>
      </w:r>
    </w:p>
    <w:tbl>
      <w:tblPr>
        <w:tblStyle w:val="50"/>
        <w:tblW w:w="9624"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084"/>
        <w:gridCol w:w="1463"/>
        <w:gridCol w:w="1438"/>
        <w:gridCol w:w="1879"/>
        <w:gridCol w:w="1880"/>
        <w:gridCol w:w="1880"/>
      </w:tblGrid>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20" w:hRule="atLeast"/>
          <w:jc w:val="center"/>
        </w:trPr>
        <w:tc>
          <w:tcPr>
            <w:tcW w:w="1084" w:type="dxa"/>
            <w:tcBorders>
              <w:left w:val="single" w:color="auto" w:sz="4" w:space="0"/>
            </w:tcBorders>
            <w:shd w:val="clear" w:color="auto" w:fill="auto"/>
          </w:tcPr>
          <w:p>
            <w:pPr>
              <w:spacing w:line="360" w:lineRule="exact"/>
              <w:ind w:left="153" w:hanging="153" w:hangingChars="85"/>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储罐容积</w:t>
            </w:r>
          </w:p>
          <w:p>
            <w:pPr>
              <w:spacing w:line="360" w:lineRule="exact"/>
              <w:ind w:left="153" w:hanging="153" w:hangingChars="85"/>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m</w:t>
            </w:r>
            <w:r>
              <w:rPr>
                <w:rFonts w:hint="eastAsia" w:ascii="宋体" w:hAnsi="宋体"/>
                <w:bCs/>
                <w:color w:val="000000" w:themeColor="text1"/>
                <w:sz w:val="18"/>
                <w:szCs w:val="18"/>
                <w:vertAlign w:val="superscript"/>
                <w14:textFill>
                  <w14:solidFill>
                    <w14:schemeClr w14:val="tx1"/>
                  </w14:solidFill>
                </w14:textFill>
              </w:rPr>
              <w:t>3</w:t>
            </w:r>
          </w:p>
        </w:tc>
        <w:tc>
          <w:tcPr>
            <w:tcW w:w="1463"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球形储罐直径</w:t>
            </w:r>
          </w:p>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m</w:t>
            </w:r>
          </w:p>
        </w:tc>
        <w:tc>
          <w:tcPr>
            <w:tcW w:w="1438"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最高液位到泄漏点的高差m</w:t>
            </w:r>
          </w:p>
        </w:tc>
        <w:tc>
          <w:tcPr>
            <w:tcW w:w="1879"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泄漏管DN150泄漏量</w:t>
            </w:r>
          </w:p>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m</w:t>
            </w:r>
            <w:r>
              <w:rPr>
                <w:rFonts w:hint="eastAsia" w:ascii="宋体" w:hAnsi="宋体"/>
                <w:bCs/>
                <w:color w:val="000000" w:themeColor="text1"/>
                <w:sz w:val="18"/>
                <w:szCs w:val="18"/>
                <w:vertAlign w:val="superscript"/>
                <w14:textFill>
                  <w14:solidFill>
                    <w14:schemeClr w14:val="tx1"/>
                  </w14:solidFill>
                </w14:textFill>
              </w:rPr>
              <w:t>3</w:t>
            </w:r>
            <w:r>
              <w:rPr>
                <w:rFonts w:hint="eastAsia" w:ascii="宋体" w:hAnsi="宋体"/>
                <w:bCs/>
                <w:color w:val="000000" w:themeColor="text1"/>
                <w:sz w:val="18"/>
                <w:szCs w:val="18"/>
                <w14:textFill>
                  <w14:solidFill>
                    <w14:schemeClr w14:val="tx1"/>
                  </w14:solidFill>
                </w14:textFill>
              </w:rPr>
              <w:t>/h</w:t>
            </w:r>
          </w:p>
        </w:tc>
        <w:tc>
          <w:tcPr>
            <w:tcW w:w="1880"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泄漏管DN200泄漏量</w:t>
            </w:r>
          </w:p>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m</w:t>
            </w:r>
            <w:r>
              <w:rPr>
                <w:rFonts w:hint="eastAsia" w:ascii="宋体" w:hAnsi="宋体"/>
                <w:bCs/>
                <w:color w:val="000000" w:themeColor="text1"/>
                <w:sz w:val="18"/>
                <w:szCs w:val="18"/>
                <w:vertAlign w:val="superscript"/>
                <w14:textFill>
                  <w14:solidFill>
                    <w14:schemeClr w14:val="tx1"/>
                  </w14:solidFill>
                </w14:textFill>
              </w:rPr>
              <w:t>3</w:t>
            </w:r>
            <w:r>
              <w:rPr>
                <w:rFonts w:hint="eastAsia" w:ascii="宋体" w:hAnsi="宋体"/>
                <w:bCs/>
                <w:color w:val="000000" w:themeColor="text1"/>
                <w:sz w:val="18"/>
                <w:szCs w:val="18"/>
                <w14:textFill>
                  <w14:solidFill>
                    <w14:schemeClr w14:val="tx1"/>
                  </w14:solidFill>
                </w14:textFill>
              </w:rPr>
              <w:t>/h</w:t>
            </w:r>
          </w:p>
        </w:tc>
        <w:tc>
          <w:tcPr>
            <w:tcW w:w="1880" w:type="dxa"/>
            <w:tcBorders>
              <w:right w:val="single" w:color="auto" w:sz="4" w:space="0"/>
            </w:tcBorders>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泄漏管DN250泄漏量</w:t>
            </w:r>
          </w:p>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m</w:t>
            </w:r>
            <w:r>
              <w:rPr>
                <w:rFonts w:hint="eastAsia" w:ascii="宋体" w:hAnsi="宋体"/>
                <w:bCs/>
                <w:color w:val="000000" w:themeColor="text1"/>
                <w:sz w:val="18"/>
                <w:szCs w:val="18"/>
                <w:vertAlign w:val="superscript"/>
                <w14:textFill>
                  <w14:solidFill>
                    <w14:schemeClr w14:val="tx1"/>
                  </w14:solidFill>
                </w14:textFill>
              </w:rPr>
              <w:t>3</w:t>
            </w:r>
            <w:r>
              <w:rPr>
                <w:rFonts w:hint="eastAsia" w:ascii="宋体" w:hAnsi="宋体"/>
                <w:bCs/>
                <w:color w:val="000000" w:themeColor="text1"/>
                <w:sz w:val="18"/>
                <w:szCs w:val="18"/>
                <w14:textFill>
                  <w14:solidFill>
                    <w14:schemeClr w14:val="tx1"/>
                  </w14:solidFill>
                </w14:textFill>
              </w:rPr>
              <w:t>/h</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20" w:hRule="atLeast"/>
          <w:jc w:val="center"/>
        </w:trPr>
        <w:tc>
          <w:tcPr>
            <w:tcW w:w="1084" w:type="dxa"/>
            <w:tcBorders>
              <w:left w:val="single" w:color="auto" w:sz="4" w:space="0"/>
            </w:tcBorders>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1000</w:t>
            </w:r>
          </w:p>
        </w:tc>
        <w:tc>
          <w:tcPr>
            <w:tcW w:w="1463"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12.3</w:t>
            </w:r>
          </w:p>
        </w:tc>
        <w:tc>
          <w:tcPr>
            <w:tcW w:w="1438" w:type="dxa"/>
            <w:shd w:val="clear" w:color="auto" w:fill="auto"/>
            <w:vAlign w:val="center"/>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11.29</w:t>
            </w:r>
          </w:p>
        </w:tc>
        <w:tc>
          <w:tcPr>
            <w:tcW w:w="1879"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53.79</w:t>
            </w:r>
          </w:p>
        </w:tc>
        <w:tc>
          <w:tcPr>
            <w:tcW w:w="1880"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71.71</w:t>
            </w:r>
          </w:p>
        </w:tc>
        <w:tc>
          <w:tcPr>
            <w:tcW w:w="1880" w:type="dxa"/>
            <w:tcBorders>
              <w:right w:val="single" w:color="auto" w:sz="4" w:space="0"/>
            </w:tcBorders>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89.6</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20" w:hRule="atLeast"/>
          <w:jc w:val="center"/>
        </w:trPr>
        <w:tc>
          <w:tcPr>
            <w:tcW w:w="1084" w:type="dxa"/>
            <w:tcBorders>
              <w:left w:val="single" w:color="auto" w:sz="4" w:space="0"/>
            </w:tcBorders>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2000</w:t>
            </w:r>
          </w:p>
        </w:tc>
        <w:tc>
          <w:tcPr>
            <w:tcW w:w="1463"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15.7</w:t>
            </w:r>
          </w:p>
        </w:tc>
        <w:tc>
          <w:tcPr>
            <w:tcW w:w="1438" w:type="dxa"/>
            <w:shd w:val="clear" w:color="auto" w:fill="auto"/>
            <w:vAlign w:val="center"/>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14.02</w:t>
            </w:r>
          </w:p>
        </w:tc>
        <w:tc>
          <w:tcPr>
            <w:tcW w:w="1879"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54</w:t>
            </w:r>
          </w:p>
        </w:tc>
        <w:tc>
          <w:tcPr>
            <w:tcW w:w="1880"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72</w:t>
            </w:r>
          </w:p>
        </w:tc>
        <w:tc>
          <w:tcPr>
            <w:tcW w:w="1880" w:type="dxa"/>
            <w:tcBorders>
              <w:right w:val="single" w:color="auto" w:sz="4" w:space="0"/>
            </w:tcBorders>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90</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20" w:hRule="atLeast"/>
          <w:jc w:val="center"/>
        </w:trPr>
        <w:tc>
          <w:tcPr>
            <w:tcW w:w="1084" w:type="dxa"/>
            <w:tcBorders>
              <w:left w:val="single" w:color="auto" w:sz="4" w:space="0"/>
            </w:tcBorders>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3000</w:t>
            </w:r>
          </w:p>
        </w:tc>
        <w:tc>
          <w:tcPr>
            <w:tcW w:w="1463"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18</w:t>
            </w:r>
          </w:p>
        </w:tc>
        <w:tc>
          <w:tcPr>
            <w:tcW w:w="1438" w:type="dxa"/>
            <w:shd w:val="clear" w:color="auto" w:fill="auto"/>
            <w:vAlign w:val="center"/>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15.87</w:t>
            </w:r>
          </w:p>
        </w:tc>
        <w:tc>
          <w:tcPr>
            <w:tcW w:w="1879"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54.21</w:t>
            </w:r>
          </w:p>
        </w:tc>
        <w:tc>
          <w:tcPr>
            <w:tcW w:w="1880" w:type="dxa"/>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72.3</w:t>
            </w:r>
          </w:p>
        </w:tc>
        <w:tc>
          <w:tcPr>
            <w:tcW w:w="1880" w:type="dxa"/>
            <w:tcBorders>
              <w:right w:val="single" w:color="auto" w:sz="4" w:space="0"/>
            </w:tcBorders>
            <w:shd w:val="clear" w:color="auto" w:fill="auto"/>
          </w:tcPr>
          <w:p>
            <w:pPr>
              <w:spacing w:line="360" w:lineRule="exact"/>
              <w:jc w:val="center"/>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90.36</w:t>
            </w:r>
          </w:p>
        </w:tc>
      </w:tr>
      <w:tr>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20" w:hRule="atLeast"/>
          <w:jc w:val="center"/>
        </w:trPr>
        <w:tc>
          <w:tcPr>
            <w:tcW w:w="9624" w:type="dxa"/>
            <w:gridSpan w:val="6"/>
            <w:tcBorders>
              <w:left w:val="single" w:color="auto" w:sz="4" w:space="0"/>
              <w:right w:val="single" w:color="auto" w:sz="4" w:space="0"/>
            </w:tcBorders>
            <w:shd w:val="clear" w:color="auto" w:fill="auto"/>
          </w:tcPr>
          <w:p>
            <w:pPr>
              <w:spacing w:line="360" w:lineRule="exact"/>
              <w:ind w:left="508" w:hanging="507" w:hangingChars="282"/>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注1：以C</w:t>
            </w:r>
            <w:r>
              <w:rPr>
                <w:rFonts w:hint="eastAsia" w:ascii="宋体" w:hAnsi="宋体"/>
                <w:bCs/>
                <w:color w:val="000000" w:themeColor="text1"/>
                <w:sz w:val="18"/>
                <w:szCs w:val="18"/>
                <w:vertAlign w:val="subscript"/>
                <w14:textFill>
                  <w14:solidFill>
                    <w14:schemeClr w14:val="tx1"/>
                  </w14:solidFill>
                </w14:textFill>
              </w:rPr>
              <w:t>3</w:t>
            </w:r>
            <w:r>
              <w:rPr>
                <w:rFonts w:hint="eastAsia" w:ascii="宋体" w:hAnsi="宋体"/>
                <w:bCs/>
                <w:color w:val="000000" w:themeColor="text1"/>
                <w:sz w:val="18"/>
                <w:szCs w:val="18"/>
                <w14:textFill>
                  <w14:solidFill>
                    <w14:schemeClr w14:val="tx1"/>
                  </w14:solidFill>
                </w14:textFill>
              </w:rPr>
              <w:t>丙烯物料为例，物料密度为</w:t>
            </w:r>
            <w:r>
              <w:rPr>
                <w:rFonts w:ascii="宋体" w:hAnsi="宋体"/>
                <w:bCs/>
                <w:color w:val="000000" w:themeColor="text1"/>
                <w:sz w:val="18"/>
                <w:szCs w:val="18"/>
                <w14:textFill>
                  <w14:solidFill>
                    <w14:schemeClr w14:val="tx1"/>
                  </w14:solidFill>
                </w14:textFill>
              </w:rPr>
              <w:t>512</w:t>
            </w:r>
            <w:r>
              <w:rPr>
                <w:rFonts w:hint="eastAsia" w:ascii="宋体" w:hAnsi="宋体"/>
                <w:bCs/>
                <w:color w:val="000000" w:themeColor="text1"/>
                <w:sz w:val="18"/>
                <w:szCs w:val="18"/>
                <w14:textFill>
                  <w14:solidFill>
                    <w14:schemeClr w14:val="tx1"/>
                  </w14:solidFill>
                </w14:textFill>
              </w:rPr>
              <w:t xml:space="preserve"> kg</w:t>
            </w:r>
            <w:r>
              <w:rPr>
                <w:rFonts w:ascii="宋体" w:hAnsi="宋体"/>
                <w:bCs/>
                <w:color w:val="000000" w:themeColor="text1"/>
                <w:sz w:val="18"/>
                <w:szCs w:val="18"/>
                <w14:textFill>
                  <w14:solidFill>
                    <w14:schemeClr w14:val="tx1"/>
                  </w14:solidFill>
                </w14:textFill>
              </w:rPr>
              <w:t>/</w:t>
            </w:r>
            <w:r>
              <w:rPr>
                <w:rFonts w:hint="eastAsia" w:ascii="宋体" w:hAnsi="宋体"/>
                <w:bCs/>
                <w:color w:val="000000" w:themeColor="text1"/>
                <w:sz w:val="18"/>
                <w:szCs w:val="18"/>
                <w14:textFill>
                  <w14:solidFill>
                    <w14:schemeClr w14:val="tx1"/>
                  </w14:solidFill>
                </w14:textFill>
              </w:rPr>
              <w:t>m</w:t>
            </w:r>
            <w:r>
              <w:rPr>
                <w:rFonts w:ascii="宋体" w:hAnsi="宋体"/>
                <w:bCs/>
                <w:color w:val="000000" w:themeColor="text1"/>
                <w:sz w:val="18"/>
                <w:szCs w:val="18"/>
                <w:vertAlign w:val="superscript"/>
                <w14:textFill>
                  <w14:solidFill>
                    <w14:schemeClr w14:val="tx1"/>
                  </w14:solidFill>
                </w14:textFill>
              </w:rPr>
              <w:t>3</w:t>
            </w:r>
            <w:r>
              <w:rPr>
                <w:rFonts w:hint="eastAsia" w:ascii="宋体" w:hAnsi="宋体"/>
                <w:bCs/>
                <w:color w:val="000000" w:themeColor="text1"/>
                <w:sz w:val="18"/>
                <w:szCs w:val="18"/>
                <w14:textFill>
                  <w14:solidFill>
                    <w14:schemeClr w14:val="tx1"/>
                  </w14:solidFill>
                </w14:textFill>
              </w:rPr>
              <w:t>；罐底和管线的高差确定为1.4m，罐的操作压力1.57MPa(g)。</w:t>
            </w:r>
          </w:p>
        </w:tc>
      </w:tr>
    </w:tbl>
    <w:p>
      <w:pPr>
        <w:widowControl w:val="0"/>
        <w:autoSpaceDE w:val="0"/>
        <w:autoSpaceDN w:val="0"/>
        <w:adjustRightInd w:val="0"/>
        <w:spacing w:line="240" w:lineRule="auto"/>
        <w:textAlignment w:val="auto"/>
        <w:rPr>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B</w:t>
      </w:r>
      <w:r>
        <w:rPr>
          <w:rFonts w:hint="eastAsia" w:ascii="黑体" w:hAnsi="黑体" w:eastAsia="黑体"/>
          <w:color w:val="000000" w:themeColor="text1"/>
          <w:szCs w:val="21"/>
          <w14:textFill>
            <w14:solidFill>
              <w14:schemeClr w14:val="tx1"/>
            </w14:solidFill>
          </w14:textFill>
        </w:rPr>
        <w:t>.</w:t>
      </w:r>
      <w:r>
        <w:rPr>
          <w:rFonts w:ascii="黑体" w:hAnsi="黑体" w:eastAsia="黑体"/>
          <w:color w:val="000000" w:themeColor="text1"/>
          <w:szCs w:val="21"/>
          <w14:textFill>
            <w14:solidFill>
              <w14:schemeClr w14:val="tx1"/>
            </w14:solidFill>
          </w14:textFill>
        </w:rPr>
        <w:t>5</w:t>
      </w:r>
      <w:r>
        <w:rPr>
          <w:rFonts w:hint="eastAsia" w:ascii="黑体" w:hAnsi="黑体" w:eastAsia="黑体"/>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注水泵排量及注水压力应符合下列规定：</w:t>
      </w:r>
    </w:p>
    <w:p>
      <w:pPr>
        <w:widowControl w:val="0"/>
        <w:autoSpaceDE w:val="0"/>
        <w:autoSpaceDN w:val="0"/>
        <w:adjustRightInd w:val="0"/>
        <w:spacing w:line="240" w:lineRule="auto"/>
        <w:ind w:firstLine="420" w:firstLineChars="200"/>
        <w:textAlignment w:val="auto"/>
        <w:rPr>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注水泵的排量应大于或等于从泄漏处流出的水量；</w:t>
      </w:r>
    </w:p>
    <w:p>
      <w:pPr>
        <w:widowControl w:val="0"/>
        <w:autoSpaceDE w:val="0"/>
        <w:autoSpaceDN w:val="0"/>
        <w:adjustRightInd w:val="0"/>
        <w:spacing w:line="24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注水泵应具备足够的压力将消防水送入球形储罐，此压力应大于沿程摩阻、局部摩阻、破损处的压力（为液化烃在操作温度下的饱和蒸气压+该处的位能差引起的压力）之和。</w:t>
      </w:r>
    </w:p>
    <w:p>
      <w:pPr>
        <w:widowControl w:val="0"/>
        <w:autoSpaceDE w:val="0"/>
        <w:autoSpaceDN w:val="0"/>
        <w:adjustRightInd w:val="0"/>
        <w:spacing w:line="240" w:lineRule="auto"/>
        <w:textAlignment w:val="auto"/>
        <w:rPr>
          <w:rFonts w:ascii="Arial" w:hAnsi="宋体" w:cs="Arial"/>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B</w:t>
      </w:r>
      <w:r>
        <w:rPr>
          <w:rFonts w:ascii="Arial" w:hAnsi="宋体" w:cs="Arial"/>
          <w:color w:val="000000" w:themeColor="text1"/>
          <w:szCs w:val="21"/>
          <w14:textFill>
            <w14:solidFill>
              <w14:schemeClr w14:val="tx1"/>
            </w14:solidFill>
          </w14:textFill>
        </w:rPr>
        <w:t xml:space="preserve">.6  </w:t>
      </w:r>
      <w:r>
        <w:rPr>
          <w:rFonts w:hint="eastAsia" w:ascii="Arial" w:hAnsi="宋体" w:cs="Arial"/>
          <w:color w:val="000000" w:themeColor="text1"/>
          <w:szCs w:val="21"/>
          <w14:textFill>
            <w14:solidFill>
              <w14:schemeClr w14:val="tx1"/>
            </w14:solidFill>
          </w14:textFill>
        </w:rPr>
        <w:t>注水方案</w:t>
      </w:r>
    </w:p>
    <w:p>
      <w:pPr>
        <w:widowControl w:val="0"/>
        <w:autoSpaceDE w:val="0"/>
        <w:autoSpaceDN w:val="0"/>
        <w:adjustRightInd w:val="0"/>
        <w:spacing w:line="24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液化烃球形储罐可以采用消防水直接注水或借用工艺泵或设置专用注水泵的间接注水的方案。采用何种方案，应根据事故状况下高压消防管网压力和液化烃罐的压力进行综合判断后确定，具体包括以下几种方案：</w:t>
      </w:r>
    </w:p>
    <w:p>
      <w:pPr>
        <w:pStyle w:val="71"/>
        <w:numPr>
          <w:ilvl w:val="0"/>
          <w:numId w:val="46"/>
        </w:numPr>
        <w:ind w:firstLineChars="0"/>
        <w:rPr>
          <w:rFonts w:ascii="Times New Roman"/>
          <w:color w:val="000000" w:themeColor="text1"/>
          <w:szCs w:val="24"/>
          <w14:textFill>
            <w14:solidFill>
              <w14:schemeClr w14:val="tx1"/>
            </w14:solidFill>
          </w14:textFill>
        </w:rPr>
      </w:pPr>
      <w:r>
        <w:rPr>
          <w:rFonts w:hint="eastAsia" w:ascii="Times New Roman" w:hAnsi="宋体" w:cs="Arial"/>
          <w:color w:val="000000" w:themeColor="text1"/>
          <w:szCs w:val="24"/>
          <w14:textFill>
            <w14:solidFill>
              <w14:schemeClr w14:val="tx1"/>
            </w14:solidFill>
          </w14:textFill>
        </w:rPr>
        <w:t>直接注水方案：对于储存介质操作压力≤</w:t>
      </w:r>
      <w:r>
        <w:rPr>
          <w:rFonts w:ascii="Times New Roman" w:hAnsi="宋体" w:cs="Arial"/>
          <w:color w:val="000000" w:themeColor="text1"/>
          <w:szCs w:val="24"/>
          <w14:textFill>
            <w14:solidFill>
              <w14:schemeClr w14:val="tx1"/>
            </w14:solidFill>
          </w14:textFill>
        </w:rPr>
        <w:t>0.4MPa</w:t>
      </w:r>
      <w:r>
        <w:rPr>
          <w:rFonts w:hint="eastAsia" w:ascii="Times New Roman" w:hAnsi="宋体" w:cs="Arial"/>
          <w:color w:val="000000" w:themeColor="text1"/>
          <w:szCs w:val="24"/>
          <w14:textFill>
            <w14:solidFill>
              <w14:schemeClr w14:val="tx1"/>
            </w14:solidFill>
          </w14:textFill>
        </w:rPr>
        <w:t>（</w:t>
      </w:r>
      <w:r>
        <w:rPr>
          <w:rFonts w:ascii="Times New Roman" w:hAnsi="宋体" w:cs="Arial"/>
          <w:color w:val="000000" w:themeColor="text1"/>
          <w:szCs w:val="24"/>
          <w14:textFill>
            <w14:solidFill>
              <w14:schemeClr w14:val="tx1"/>
            </w14:solidFill>
          </w14:textFill>
        </w:rPr>
        <w:t>G</w:t>
      </w:r>
      <w:r>
        <w:rPr>
          <w:rFonts w:hint="eastAsia" w:ascii="Times New Roman" w:hAnsi="宋体" w:cs="Arial"/>
          <w:color w:val="000000" w:themeColor="text1"/>
          <w:szCs w:val="24"/>
          <w14:textFill>
            <w14:solidFill>
              <w14:schemeClr w14:val="tx1"/>
            </w14:solidFill>
          </w14:textFill>
        </w:rPr>
        <w:t>）的液化烃储罐，当环罐组四周的高压消防水系统压力≥</w:t>
      </w:r>
      <w:r>
        <w:rPr>
          <w:rFonts w:ascii="Times New Roman" w:hAnsi="宋体" w:cs="Arial"/>
          <w:color w:val="000000" w:themeColor="text1"/>
          <w:szCs w:val="24"/>
          <w14:textFill>
            <w14:solidFill>
              <w14:schemeClr w14:val="tx1"/>
            </w14:solidFill>
          </w14:textFill>
        </w:rPr>
        <w:t>0.7MPa</w:t>
      </w:r>
      <w:r>
        <w:rPr>
          <w:rFonts w:hint="eastAsia" w:ascii="Times New Roman" w:hAnsi="宋体" w:cs="Arial"/>
          <w:color w:val="000000" w:themeColor="text1"/>
          <w:szCs w:val="24"/>
          <w14:textFill>
            <w14:solidFill>
              <w14:schemeClr w14:val="tx1"/>
            </w14:solidFill>
          </w14:textFill>
        </w:rPr>
        <w:t>时，可采用直接注水方案。</w:t>
      </w:r>
      <w:r>
        <w:rPr>
          <w:rFonts w:hint="eastAsia" w:ascii="Times New Roman"/>
          <w:color w:val="000000" w:themeColor="text1"/>
          <w:szCs w:val="24"/>
          <w14:textFill>
            <w14:solidFill>
              <w14:schemeClr w14:val="tx1"/>
            </w14:solidFill>
          </w14:textFill>
        </w:rPr>
        <w:t>直接注水系统示意流程见图</w:t>
      </w:r>
      <w:r>
        <w:rPr>
          <w:rFonts w:ascii="Times New Roman"/>
          <w:color w:val="000000" w:themeColor="text1"/>
          <w:szCs w:val="24"/>
          <w14:textFill>
            <w14:solidFill>
              <w14:schemeClr w14:val="tx1"/>
            </w14:solidFill>
          </w14:textFill>
        </w:rPr>
        <w:t>B</w:t>
      </w:r>
      <w:r>
        <w:rPr>
          <w:rFonts w:hint="eastAsia" w:ascii="Times New Roman"/>
          <w:color w:val="000000" w:themeColor="text1"/>
          <w:szCs w:val="24"/>
          <w14:textFill>
            <w14:solidFill>
              <w14:schemeClr w14:val="tx1"/>
            </w14:solidFill>
          </w14:textFill>
        </w:rPr>
        <w:t>.</w:t>
      </w:r>
      <w:r>
        <w:rPr>
          <w:rFonts w:ascii="Times New Roman"/>
          <w:color w:val="000000" w:themeColor="text1"/>
          <w:szCs w:val="24"/>
          <w14:textFill>
            <w14:solidFill>
              <w14:schemeClr w14:val="tx1"/>
            </w14:solidFill>
          </w14:textFill>
        </w:rPr>
        <w:t>1</w:t>
      </w:r>
      <w:r>
        <w:rPr>
          <w:rFonts w:hint="eastAsia" w:ascii="Times New Roman"/>
          <w:color w:val="000000" w:themeColor="text1"/>
          <w:szCs w:val="24"/>
          <w14:textFill>
            <w14:solidFill>
              <w14:schemeClr w14:val="tx1"/>
            </w14:solidFill>
          </w14:textFill>
        </w:rPr>
        <w:t>、</w:t>
      </w:r>
      <w:r>
        <w:rPr>
          <w:rFonts w:ascii="Times New Roman"/>
          <w:color w:val="000000" w:themeColor="text1"/>
          <w:szCs w:val="24"/>
          <w14:textFill>
            <w14:solidFill>
              <w14:schemeClr w14:val="tx1"/>
            </w14:solidFill>
          </w14:textFill>
        </w:rPr>
        <w:t>B.2</w:t>
      </w:r>
      <w:r>
        <w:rPr>
          <w:rFonts w:hint="eastAsia" w:ascii="Times New Roman"/>
          <w:color w:val="000000" w:themeColor="text1"/>
          <w:szCs w:val="24"/>
          <w14:textFill>
            <w14:solidFill>
              <w14:schemeClr w14:val="tx1"/>
            </w14:solidFill>
          </w14:textFill>
        </w:rPr>
        <w:t>；</w:t>
      </w:r>
    </w:p>
    <w:p>
      <w:pPr>
        <w:pStyle w:val="71"/>
        <w:numPr>
          <w:ilvl w:val="0"/>
          <w:numId w:val="46"/>
        </w:numPr>
        <w:ind w:firstLineChars="0"/>
        <w:rPr>
          <w:rFonts w:ascii="Times New Roman" w:hAnsi="宋体" w:cs="Arial"/>
          <w:color w:val="000000" w:themeColor="text1"/>
          <w:szCs w:val="24"/>
          <w14:textFill>
            <w14:solidFill>
              <w14:schemeClr w14:val="tx1"/>
            </w14:solidFill>
          </w14:textFill>
        </w:rPr>
      </w:pPr>
      <w:r>
        <w:rPr>
          <w:rFonts w:hint="eastAsia" w:ascii="Times New Roman"/>
          <w:color w:val="000000" w:themeColor="text1"/>
          <w:szCs w:val="24"/>
          <w14:textFill>
            <w14:solidFill>
              <w14:schemeClr w14:val="tx1"/>
            </w14:solidFill>
          </w14:textFill>
        </w:rPr>
        <w:t>借用工艺泵注水方案：</w:t>
      </w:r>
      <w:r>
        <w:rPr>
          <w:rFonts w:hint="eastAsia" w:ascii="Times New Roman" w:hAnsi="宋体" w:cs="Arial"/>
          <w:color w:val="000000" w:themeColor="text1"/>
          <w:szCs w:val="24"/>
          <w14:textFill>
            <w14:solidFill>
              <w14:schemeClr w14:val="tx1"/>
            </w14:solidFill>
          </w14:textFill>
        </w:rPr>
        <w:t>当确定</w:t>
      </w:r>
      <w:r>
        <w:rPr>
          <w:rFonts w:hint="eastAsia" w:ascii="Times New Roman"/>
          <w:color w:val="000000" w:themeColor="text1"/>
          <w:szCs w:val="24"/>
          <w14:textFill>
            <w14:solidFill>
              <w14:schemeClr w14:val="tx1"/>
            </w14:solidFill>
          </w14:textFill>
        </w:rPr>
        <w:t>借用工艺泵</w:t>
      </w:r>
      <w:r>
        <w:rPr>
          <w:rFonts w:hint="eastAsia" w:ascii="Times New Roman" w:hAnsi="宋体" w:cs="Arial"/>
          <w:color w:val="000000" w:themeColor="text1"/>
          <w:szCs w:val="24"/>
          <w14:textFill>
            <w14:solidFill>
              <w14:schemeClr w14:val="tx1"/>
            </w14:solidFill>
          </w14:textFill>
        </w:rPr>
        <w:t>注水方案时，此时该泵</w:t>
      </w:r>
      <w:r>
        <w:rPr>
          <w:rFonts w:hint="eastAsia" w:ascii="Times New Roman"/>
          <w:color w:val="000000" w:themeColor="text1"/>
          <w:szCs w:val="24"/>
          <w14:textFill>
            <w14:solidFill>
              <w14:schemeClr w14:val="tx1"/>
            </w14:solidFill>
          </w14:textFill>
        </w:rPr>
        <w:t>应考虑进行注水操作时电机能否满足其负荷的需要</w:t>
      </w:r>
      <w:r>
        <w:rPr>
          <w:rFonts w:hint="eastAsia" w:ascii="Times New Roman" w:hAnsi="宋体" w:cs="Arial"/>
          <w:color w:val="000000" w:themeColor="text1"/>
          <w:szCs w:val="24"/>
          <w14:textFill>
            <w14:solidFill>
              <w14:schemeClr w14:val="tx1"/>
            </w14:solidFill>
          </w14:textFill>
        </w:rPr>
        <w:t>并配有应急电源，</w:t>
      </w:r>
      <w:r>
        <w:rPr>
          <w:rFonts w:ascii="Times New Roman"/>
          <w:color w:val="000000" w:themeColor="text1"/>
          <w:szCs w:val="24"/>
          <w14:textFill>
            <w14:solidFill>
              <w14:schemeClr w14:val="tx1"/>
            </w14:solidFill>
          </w14:textFill>
        </w:rPr>
        <w:t>注水</w:t>
      </w:r>
      <w:r>
        <w:rPr>
          <w:rFonts w:hint="eastAsia" w:ascii="Times New Roman"/>
          <w:color w:val="000000" w:themeColor="text1"/>
          <w:szCs w:val="24"/>
          <w14:textFill>
            <w14:solidFill>
              <w14:schemeClr w14:val="tx1"/>
            </w14:solidFill>
          </w14:textFill>
        </w:rPr>
        <w:t>方式见图</w:t>
      </w:r>
      <w:r>
        <w:rPr>
          <w:rFonts w:ascii="Times New Roman"/>
          <w:color w:val="000000" w:themeColor="text1"/>
          <w:szCs w:val="24"/>
          <w14:textFill>
            <w14:solidFill>
              <w14:schemeClr w14:val="tx1"/>
            </w14:solidFill>
          </w14:textFill>
        </w:rPr>
        <w:t>B.1</w:t>
      </w:r>
      <w:r>
        <w:rPr>
          <w:rFonts w:hint="eastAsia" w:ascii="Times New Roman"/>
          <w:color w:val="000000" w:themeColor="text1"/>
          <w:szCs w:val="24"/>
          <w14:textFill>
            <w14:solidFill>
              <w14:schemeClr w14:val="tx1"/>
            </w14:solidFill>
          </w14:textFill>
        </w:rPr>
        <w:t>、</w:t>
      </w:r>
      <w:r>
        <w:rPr>
          <w:rFonts w:ascii="Times New Roman"/>
          <w:color w:val="000000" w:themeColor="text1"/>
          <w:szCs w:val="24"/>
          <w14:textFill>
            <w14:solidFill>
              <w14:schemeClr w14:val="tx1"/>
            </w14:solidFill>
          </w14:textFill>
        </w:rPr>
        <w:t>B.3</w:t>
      </w:r>
      <w:r>
        <w:rPr>
          <w:rFonts w:hint="eastAsia" w:ascii="Times New Roman" w:hAnsi="宋体" w:cs="Arial"/>
          <w:color w:val="000000" w:themeColor="text1"/>
          <w:szCs w:val="24"/>
          <w14:textFill>
            <w14:solidFill>
              <w14:schemeClr w14:val="tx1"/>
            </w14:solidFill>
          </w14:textFill>
        </w:rPr>
        <w:t>；</w:t>
      </w:r>
    </w:p>
    <w:p>
      <w:pPr>
        <w:pStyle w:val="71"/>
        <w:numPr>
          <w:ilvl w:val="0"/>
          <w:numId w:val="46"/>
        </w:numPr>
        <w:ind w:firstLineChars="0"/>
        <w:rPr>
          <w:rFonts w:ascii="Times New Roman"/>
          <w:color w:val="000000" w:themeColor="text1"/>
          <w:szCs w:val="24"/>
          <w14:textFill>
            <w14:solidFill>
              <w14:schemeClr w14:val="tx1"/>
            </w14:solidFill>
          </w14:textFill>
        </w:rPr>
      </w:pPr>
      <w:r>
        <w:rPr>
          <w:rFonts w:hint="eastAsia" w:ascii="Times New Roman" w:hAnsi="宋体" w:cs="Arial"/>
          <w:color w:val="000000" w:themeColor="text1"/>
          <w:szCs w:val="24"/>
          <w14:textFill>
            <w14:solidFill>
              <w14:schemeClr w14:val="tx1"/>
            </w14:solidFill>
          </w14:textFill>
        </w:rPr>
        <w:t>专用注水泵方案：</w:t>
      </w:r>
      <w:r>
        <w:rPr>
          <w:rFonts w:hint="eastAsia" w:ascii="Times New Roman"/>
          <w:color w:val="000000" w:themeColor="text1"/>
          <w:szCs w:val="24"/>
          <w14:textFill>
            <w14:solidFill>
              <w14:schemeClr w14:val="tx1"/>
            </w14:solidFill>
          </w14:textFill>
        </w:rPr>
        <w:t>当物料泵不能满足注水流量和压力的基本要求时，则需设置专用注水泵完成注水。专用注水泵的参数需符合本规定的要求，与专有注水泵相连接的管线的管路等级与需注水的工艺物料的管路等级应保持一致。与物料管线接入点位置见注水系统示意流程图，设置专用泵注水示意流程见图</w:t>
      </w:r>
      <w:r>
        <w:rPr>
          <w:rFonts w:ascii="Times New Roman"/>
          <w:color w:val="000000" w:themeColor="text1"/>
          <w:szCs w:val="24"/>
          <w14:textFill>
            <w14:solidFill>
              <w14:schemeClr w14:val="tx1"/>
            </w14:solidFill>
          </w14:textFill>
        </w:rPr>
        <w:t>B.4</w:t>
      </w:r>
      <w:r>
        <w:rPr>
          <w:rFonts w:hint="eastAsia" w:ascii="Times New Roman"/>
          <w:color w:val="000000" w:themeColor="text1"/>
          <w:szCs w:val="24"/>
          <w14:textFill>
            <w14:solidFill>
              <w14:schemeClr w14:val="tx1"/>
            </w14:solidFill>
          </w14:textFill>
        </w:rPr>
        <w:t>、</w:t>
      </w:r>
      <w:r>
        <w:rPr>
          <w:rFonts w:ascii="Times New Roman"/>
          <w:color w:val="000000" w:themeColor="text1"/>
          <w:szCs w:val="24"/>
          <w14:textFill>
            <w14:solidFill>
              <w14:schemeClr w14:val="tx1"/>
            </w14:solidFill>
          </w14:textFill>
        </w:rPr>
        <w:t>B.5</w:t>
      </w:r>
      <w:r>
        <w:rPr>
          <w:rFonts w:hint="eastAsia" w:ascii="Times New Roman"/>
          <w:color w:val="000000" w:themeColor="text1"/>
          <w:szCs w:val="24"/>
          <w14:textFill>
            <w14:solidFill>
              <w14:schemeClr w14:val="tx1"/>
            </w14:solidFill>
          </w14:textFill>
        </w:rPr>
        <w:t>；</w:t>
      </w:r>
    </w:p>
    <w:p>
      <w:pPr>
        <w:pStyle w:val="71"/>
        <w:numPr>
          <w:ilvl w:val="0"/>
          <w:numId w:val="46"/>
        </w:numPr>
        <w:ind w:firstLineChars="0"/>
        <w:rPr>
          <w:rFonts w:ascii="Times New Roman" w:hAnsi="宋体" w:cs="Arial"/>
          <w:color w:val="000000" w:themeColor="text1"/>
          <w:szCs w:val="24"/>
          <w14:textFill>
            <w14:solidFill>
              <w14:schemeClr w14:val="tx1"/>
            </w14:solidFill>
          </w14:textFill>
        </w:rPr>
      </w:pPr>
      <w:r>
        <w:rPr>
          <w:rFonts w:hint="eastAsia" w:ascii="Times New Roman" w:hAnsi="宋体" w:cs="Arial"/>
          <w:color w:val="000000" w:themeColor="text1"/>
          <w:szCs w:val="24"/>
          <w14:textFill>
            <w14:solidFill>
              <w14:schemeClr w14:val="tx1"/>
            </w14:solidFill>
          </w14:textFill>
        </w:rPr>
        <w:t>采用移动式注水泵方案；</w:t>
      </w:r>
    </w:p>
    <w:p>
      <w:pPr>
        <w:pStyle w:val="71"/>
        <w:numPr>
          <w:ilvl w:val="0"/>
          <w:numId w:val="46"/>
        </w:numPr>
        <w:ind w:firstLineChars="0"/>
        <w:rPr>
          <w:color w:val="000000" w:themeColor="text1"/>
          <w:szCs w:val="24"/>
          <w14:textFill>
            <w14:solidFill>
              <w14:schemeClr w14:val="tx1"/>
            </w14:solidFill>
          </w14:textFill>
        </w:rPr>
      </w:pPr>
      <w:r>
        <w:rPr>
          <w:rFonts w:hint="eastAsia" w:ascii="Times New Roman" w:hAnsi="宋体" w:cs="Arial"/>
          <w:color w:val="000000" w:themeColor="text1"/>
          <w:szCs w:val="24"/>
          <w14:textFill>
            <w14:solidFill>
              <w14:schemeClr w14:val="tx1"/>
            </w14:solidFill>
          </w14:textFill>
        </w:rPr>
        <w:t>用消防车注水方案。</w:t>
      </w:r>
    </w:p>
    <w:p>
      <w:pPr>
        <w:widowControl w:val="0"/>
        <w:autoSpaceDE w:val="0"/>
        <w:autoSpaceDN w:val="0"/>
        <w:adjustRightInd w:val="0"/>
        <w:spacing w:line="240" w:lineRule="auto"/>
        <w:textAlignment w:val="auto"/>
        <w:rPr>
          <w:rFonts w:ascii="Arial" w:hAnsi="宋体" w:cs="Arial"/>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B</w:t>
      </w:r>
      <w:r>
        <w:rPr>
          <w:rFonts w:ascii="Arial" w:hAnsi="宋体" w:cs="Arial"/>
          <w:color w:val="000000" w:themeColor="text1"/>
          <w:szCs w:val="21"/>
          <w14:textFill>
            <w14:solidFill>
              <w14:schemeClr w14:val="tx1"/>
            </w14:solidFill>
          </w14:textFill>
        </w:rPr>
        <w:t xml:space="preserve">.7  </w:t>
      </w:r>
      <w:r>
        <w:rPr>
          <w:rFonts w:hint="eastAsia" w:ascii="Arial" w:hAnsi="宋体" w:cs="Arial"/>
          <w:color w:val="000000" w:themeColor="text1"/>
          <w:szCs w:val="21"/>
          <w14:textFill>
            <w14:solidFill>
              <w14:schemeClr w14:val="tx1"/>
            </w14:solidFill>
          </w14:textFill>
        </w:rPr>
        <w:t>注水接入点</w:t>
      </w:r>
    </w:p>
    <w:p>
      <w:pPr>
        <w:widowControl w:val="0"/>
        <w:autoSpaceDE w:val="0"/>
        <w:autoSpaceDN w:val="0"/>
        <w:adjustRightInd w:val="0"/>
        <w:spacing w:line="240"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注水点优先采用半固定式连接。当采用半固定式连接时，快速接头应实现迅速注水。快装接头及连接软管采用LPG装卸车专用系列产品。实现半固定连接时除在连接端设双阀外尚应加设单向阀（单向阀流向为从消防水管道流往工艺管道）及检查阀。</w:t>
      </w:r>
      <w:r>
        <w:rPr>
          <w:rFonts w:hint="eastAsia" w:ascii="Arial" w:hAnsi="宋体" w:cs="Arial"/>
          <w:color w:val="000000" w:themeColor="text1"/>
          <w:szCs w:val="21"/>
          <w14:textFill>
            <w14:solidFill>
              <w14:schemeClr w14:val="tx1"/>
            </w14:solidFill>
          </w14:textFill>
        </w:rPr>
        <w:t>与水源</w:t>
      </w:r>
      <w:r>
        <w:rPr>
          <w:rFonts w:ascii="Arial" w:hAnsi="宋体" w:cs="Arial"/>
          <w:color w:val="000000" w:themeColor="text1"/>
          <w:szCs w:val="21"/>
          <w14:textFill>
            <w14:solidFill>
              <w14:schemeClr w14:val="tx1"/>
            </w14:solidFill>
          </w14:textFill>
        </w:rPr>
        <w:t>连接</w:t>
      </w:r>
      <w:r>
        <w:rPr>
          <w:rFonts w:hint="eastAsia" w:ascii="Arial" w:hAnsi="宋体" w:cs="Arial"/>
          <w:color w:val="000000" w:themeColor="text1"/>
          <w:szCs w:val="21"/>
          <w14:textFill>
            <w14:solidFill>
              <w14:schemeClr w14:val="tx1"/>
            </w14:solidFill>
          </w14:textFill>
        </w:rPr>
        <w:t>的注水</w:t>
      </w:r>
      <w:r>
        <w:rPr>
          <w:rFonts w:ascii="Arial" w:hAnsi="宋体" w:cs="Arial"/>
          <w:color w:val="000000" w:themeColor="text1"/>
          <w:szCs w:val="21"/>
          <w14:textFill>
            <w14:solidFill>
              <w14:schemeClr w14:val="tx1"/>
            </w14:solidFill>
          </w14:textFill>
        </w:rPr>
        <w:t>点应在储罐防火堤以外，水源的甩头应</w:t>
      </w:r>
      <w:r>
        <w:rPr>
          <w:rFonts w:hint="eastAsia" w:ascii="Arial" w:hAnsi="宋体" w:cs="Arial"/>
          <w:color w:val="000000" w:themeColor="text1"/>
          <w:szCs w:val="21"/>
          <w14:textFill>
            <w14:solidFill>
              <w14:schemeClr w14:val="tx1"/>
            </w14:solidFill>
          </w14:textFill>
        </w:rPr>
        <w:t>设在注水</w:t>
      </w:r>
      <w:r>
        <w:rPr>
          <w:rFonts w:ascii="Arial" w:hAnsi="宋体" w:cs="Arial"/>
          <w:color w:val="000000" w:themeColor="text1"/>
          <w:szCs w:val="21"/>
          <w14:textFill>
            <w14:solidFill>
              <w14:schemeClr w14:val="tx1"/>
            </w14:solidFill>
          </w14:textFill>
        </w:rPr>
        <w:t>点附近</w:t>
      </w:r>
      <w:r>
        <w:rPr>
          <w:rFonts w:hint="eastAsia" w:ascii="Arial" w:hAnsi="宋体" w:cs="Arial"/>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距离不大于5m。</w:t>
      </w:r>
      <w:r>
        <w:rPr>
          <w:rFonts w:hint="eastAsia" w:ascii="Arial" w:hAnsi="宋体" w:cs="Arial"/>
          <w:color w:val="000000" w:themeColor="text1"/>
          <w:szCs w:val="21"/>
          <w14:textFill>
            <w14:solidFill>
              <w14:schemeClr w14:val="tx1"/>
            </w14:solidFill>
          </w14:textFill>
        </w:rPr>
        <w:t>水源为移动供水时，水源接点靠近路边布置。</w:t>
      </w:r>
    </w:p>
    <w:p>
      <w:pPr>
        <w:widowControl w:val="0"/>
        <w:autoSpaceDE w:val="0"/>
        <w:autoSpaceDN w:val="0"/>
        <w:adjustRightInd w:val="0"/>
        <w:spacing w:line="240" w:lineRule="auto"/>
        <w:textAlignment w:val="auto"/>
        <w:rPr>
          <w:rFonts w:ascii="Arial" w:hAnsi="宋体" w:cs="Arial"/>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B</w:t>
      </w:r>
      <w:r>
        <w:rPr>
          <w:rFonts w:ascii="Arial" w:hAnsi="宋体" w:cs="Arial"/>
          <w:color w:val="000000" w:themeColor="text1"/>
          <w:szCs w:val="21"/>
          <w14:textFill>
            <w14:solidFill>
              <w14:schemeClr w14:val="tx1"/>
            </w14:solidFill>
          </w14:textFill>
        </w:rPr>
        <w:t>.8  泄漏水应排入事故水收集池。</w:t>
      </w:r>
    </w:p>
    <w:p>
      <w:pPr>
        <w:spacing w:before="158" w:beforeLines="50" w:line="240" w:lineRule="auto"/>
        <w:rPr>
          <w:rFonts w:ascii="Arial" w:hAnsi="宋体" w:cs="Arial"/>
          <w:color w:val="000000" w:themeColor="text1"/>
          <w:szCs w:val="21"/>
          <w14:textFill>
            <w14:solidFill>
              <w14:schemeClr w14:val="tx1"/>
            </w14:solidFill>
          </w14:textFill>
        </w:rPr>
      </w:pPr>
      <w:r>
        <w:rPr>
          <w:rFonts w:ascii="黑体" w:hAnsi="黑体" w:eastAsia="黑体"/>
          <w:color w:val="000000" w:themeColor="text1"/>
          <w:szCs w:val="21"/>
          <w14:textFill>
            <w14:solidFill>
              <w14:schemeClr w14:val="tx1"/>
            </w14:solidFill>
          </w14:textFill>
        </w:rPr>
        <w:t>B</w:t>
      </w:r>
      <w:r>
        <w:rPr>
          <w:rFonts w:ascii="Arial" w:hAnsi="宋体" w:cs="Arial"/>
          <w:color w:val="000000" w:themeColor="text1"/>
          <w:szCs w:val="21"/>
          <w14:textFill>
            <w14:solidFill>
              <w14:schemeClr w14:val="tx1"/>
            </w14:solidFill>
          </w14:textFill>
        </w:rPr>
        <w:t xml:space="preserve">.9  </w:t>
      </w:r>
      <w:r>
        <w:rPr>
          <w:rFonts w:hint="eastAsia" w:ascii="Arial" w:hAnsi="宋体" w:cs="Arial"/>
          <w:color w:val="000000" w:themeColor="text1"/>
          <w:szCs w:val="21"/>
          <w14:textFill>
            <w14:solidFill>
              <w14:schemeClr w14:val="tx1"/>
            </w14:solidFill>
          </w14:textFill>
        </w:rPr>
        <w:t>其它说明：</w:t>
      </w:r>
    </w:p>
    <w:p>
      <w:pPr>
        <w:widowControl w:val="0"/>
        <w:numPr>
          <w:ilvl w:val="0"/>
          <w:numId w:val="47"/>
        </w:numPr>
        <w:autoSpaceDE w:val="0"/>
        <w:autoSpaceDN w:val="0"/>
        <w:adjustRightInd w:val="0"/>
        <w:spacing w:line="240" w:lineRule="auto"/>
        <w:ind w:firstLine="420" w:firstLineChars="200"/>
        <w:textAlignment w:val="auto"/>
        <w:rPr>
          <w:rFonts w:ascii="Arial" w:hAnsi="宋体" w:cs="Arial"/>
          <w:color w:val="000000" w:themeColor="text1"/>
          <w:szCs w:val="21"/>
          <w14:textFill>
            <w14:solidFill>
              <w14:schemeClr w14:val="tx1"/>
            </w14:solidFill>
          </w14:textFill>
        </w:rPr>
      </w:pPr>
      <w:r>
        <w:rPr>
          <w:rFonts w:hint="eastAsia" w:ascii="Arial" w:hAnsi="宋体" w:cs="Arial"/>
          <w:color w:val="000000" w:themeColor="text1"/>
          <w:szCs w:val="21"/>
          <w14:textFill>
            <w14:solidFill>
              <w14:schemeClr w14:val="tx1"/>
            </w14:solidFill>
          </w14:textFill>
        </w:rPr>
        <w:t>注水阀前后应设压力测量仪表；</w:t>
      </w:r>
    </w:p>
    <w:p>
      <w:pPr>
        <w:widowControl w:val="0"/>
        <w:numPr>
          <w:ilvl w:val="0"/>
          <w:numId w:val="47"/>
        </w:numPr>
        <w:tabs>
          <w:tab w:val="left" w:pos="420"/>
        </w:tabs>
        <w:autoSpaceDE w:val="0"/>
        <w:autoSpaceDN w:val="0"/>
        <w:adjustRightInd w:val="0"/>
        <w:spacing w:line="240" w:lineRule="auto"/>
        <w:ind w:firstLine="420" w:firstLineChars="200"/>
        <w:textAlignment w:val="auto"/>
        <w:rPr>
          <w:rFonts w:ascii="Arial" w:hAnsi="宋体" w:cs="Arial"/>
          <w:color w:val="000000" w:themeColor="text1"/>
          <w:szCs w:val="21"/>
          <w14:textFill>
            <w14:solidFill>
              <w14:schemeClr w14:val="tx1"/>
            </w14:solidFill>
          </w14:textFill>
        </w:rPr>
      </w:pPr>
      <w:r>
        <w:rPr>
          <w:rFonts w:hint="eastAsia" w:ascii="Arial" w:hAnsi="宋体" w:cs="Arial"/>
          <w:color w:val="000000" w:themeColor="text1"/>
          <w:szCs w:val="21"/>
          <w14:textFill>
            <w14:solidFill>
              <w14:schemeClr w14:val="tx1"/>
            </w14:solidFill>
          </w14:textFill>
        </w:rPr>
        <w:t>寒冷地区的注水管道应采取保温、伴热等必要的防冻措施；</w:t>
      </w:r>
    </w:p>
    <w:p>
      <w:pPr>
        <w:widowControl w:val="0"/>
        <w:numPr>
          <w:ilvl w:val="0"/>
          <w:numId w:val="47"/>
        </w:numPr>
        <w:autoSpaceDE w:val="0"/>
        <w:autoSpaceDN w:val="0"/>
        <w:adjustRightInd w:val="0"/>
        <w:spacing w:line="240" w:lineRule="auto"/>
        <w:ind w:firstLine="420" w:firstLineChars="200"/>
        <w:textAlignment w:val="auto"/>
        <w:rPr>
          <w:rFonts w:ascii="Arial" w:hAnsi="宋体" w:cs="Arial"/>
          <w:color w:val="000000" w:themeColor="text1"/>
          <w:szCs w:val="21"/>
          <w14:textFill>
            <w14:solidFill>
              <w14:schemeClr w14:val="tx1"/>
            </w14:solidFill>
          </w14:textFill>
        </w:rPr>
      </w:pPr>
      <w:r>
        <w:rPr>
          <w:rFonts w:hint="eastAsia" w:ascii="Arial" w:hAnsi="宋体" w:cs="Arial"/>
          <w:color w:val="000000" w:themeColor="text1"/>
          <w:szCs w:val="21"/>
          <w14:textFill>
            <w14:solidFill>
              <w14:schemeClr w14:val="tx1"/>
            </w14:solidFill>
          </w14:textFill>
        </w:rPr>
        <w:t>正常状况下注水管线应无物料及水进入，并用氮气维持较高的压力；</w:t>
      </w:r>
    </w:p>
    <w:p>
      <w:pPr>
        <w:widowControl w:val="0"/>
        <w:numPr>
          <w:ilvl w:val="0"/>
          <w:numId w:val="47"/>
        </w:numPr>
        <w:autoSpaceDE w:val="0"/>
        <w:autoSpaceDN w:val="0"/>
        <w:adjustRightInd w:val="0"/>
        <w:spacing w:line="240" w:lineRule="auto"/>
        <w:ind w:firstLine="420" w:firstLineChars="200"/>
        <w:textAlignment w:val="auto"/>
        <w:rPr>
          <w:rFonts w:ascii="Arial" w:hAnsi="宋体" w:cs="Arial"/>
          <w:color w:val="000000" w:themeColor="text1"/>
          <w:szCs w:val="21"/>
          <w14:textFill>
            <w14:solidFill>
              <w14:schemeClr w14:val="tx1"/>
            </w14:solidFill>
          </w14:textFill>
        </w:rPr>
      </w:pPr>
      <w:r>
        <w:rPr>
          <w:rFonts w:hint="eastAsia" w:ascii="Arial" w:hAnsi="宋体" w:cs="Arial"/>
          <w:color w:val="000000" w:themeColor="text1"/>
          <w:szCs w:val="21"/>
          <w14:textFill>
            <w14:solidFill>
              <w14:schemeClr w14:val="tx1"/>
            </w14:solidFill>
          </w14:textFill>
        </w:rPr>
        <w:t>现有企业注水点已采取固定式连接而又不方便整改的，则应在水与液化烃管线之间增设盲板，但不推荐使用。</w:t>
      </w:r>
    </w:p>
    <w:p>
      <w:pPr>
        <w:widowControl w:val="0"/>
        <w:autoSpaceDE w:val="0"/>
        <w:autoSpaceDN w:val="0"/>
        <w:adjustRightInd w:val="0"/>
        <w:spacing w:line="240" w:lineRule="auto"/>
        <w:textAlignment w:val="auto"/>
        <w:rPr>
          <w:rFonts w:ascii="Arial" w:hAnsi="宋体" w:cs="Arial"/>
          <w:color w:val="000000" w:themeColor="text1"/>
          <w:szCs w:val="21"/>
          <w14:textFill>
            <w14:solidFill>
              <w14:schemeClr w14:val="tx1"/>
            </w14:solidFill>
          </w14:textFill>
        </w:rPr>
      </w:pPr>
      <w:bookmarkStart w:id="77" w:name="_Toc280041641"/>
      <w:bookmarkStart w:id="78" w:name="_Toc280859931"/>
      <w:bookmarkStart w:id="79" w:name="_Toc280169767"/>
      <w:r>
        <w:rPr>
          <w:rFonts w:ascii="Arial" w:hAnsi="宋体" w:cs="Arial"/>
          <w:color w:val="000000" w:themeColor="text1"/>
          <w:szCs w:val="21"/>
          <w14:textFill>
            <w14:solidFill>
              <w14:schemeClr w14:val="tx1"/>
            </w14:solidFill>
          </w14:textFill>
        </w:rPr>
        <w:t xml:space="preserve">B.10  </w:t>
      </w:r>
      <w:r>
        <w:rPr>
          <w:rFonts w:hint="eastAsia" w:ascii="Arial" w:hAnsi="宋体" w:cs="Arial"/>
          <w:color w:val="000000" w:themeColor="text1"/>
          <w:szCs w:val="21"/>
          <w14:textFill>
            <w14:solidFill>
              <w14:schemeClr w14:val="tx1"/>
            </w14:solidFill>
          </w14:textFill>
        </w:rPr>
        <w:t>注水系统示意流程图</w:t>
      </w:r>
      <w:bookmarkEnd w:id="77"/>
      <w:bookmarkEnd w:id="78"/>
      <w:bookmarkEnd w:id="79"/>
    </w:p>
    <w:p>
      <w:pPr>
        <w:widowControl w:val="0"/>
        <w:autoSpaceDE w:val="0"/>
        <w:autoSpaceDN w:val="0"/>
        <w:adjustRightInd w:val="0"/>
        <w:spacing w:line="240" w:lineRule="auto"/>
        <w:textAlignment w:val="auto"/>
      </w:pPr>
      <w:r>
        <w:rPr>
          <w:rFonts w:hint="eastAsia"/>
        </w:rPr>
        <w:t>直接注水及借用工艺泵注水系统示意流程见图B.1，设置专用泵注水系统示意流程见图B.2，借用工艺泵注水系统示意流程见图B.3，设置专用泵注水系统示意流程见图B.4、图B.5。</w:t>
      </w:r>
    </w:p>
    <w:p>
      <w:pPr>
        <w:rPr>
          <w:color w:val="000000" w:themeColor="text1"/>
          <w:sz w:val="16"/>
          <w:szCs w:val="15"/>
          <w14:textFill>
            <w14:solidFill>
              <w14:schemeClr w14:val="tx1"/>
            </w14:solidFill>
          </w14:textFill>
        </w:rPr>
      </w:pPr>
      <w:r>
        <w:rPr>
          <w:color w:val="000000" w:themeColor="text1"/>
          <w:sz w:val="16"/>
          <w:szCs w:val="15"/>
          <w14:textFill>
            <w14:solidFill>
              <w14:schemeClr w14:val="tx1"/>
            </w14:solidFill>
          </w14:textFill>
        </w:rPr>
        <w:object>
          <v:shape id="_x0000_i1027" o:spt="75" type="#_x0000_t75" style="height:551.05pt;width:448.35pt;" o:ole="t" filled="f" o:preferrelative="t" stroked="f" coordsize="21600,21600">
            <v:path/>
            <v:fill on="f" focussize="0,0"/>
            <v:stroke on="f" joinstyle="miter"/>
            <v:imagedata r:id="rId41" cropleft="16541f" croptop="5995f" cropright="22123f" cropbottom="10728f" o:title=""/>
            <o:lock v:ext="edit" aspectratio="t"/>
            <w10:wrap type="none"/>
            <w10:anchorlock/>
          </v:shape>
          <o:OLEObject Type="Embed" ProgID="AutoCAD.Drawing.18" ShapeID="_x0000_i1027" DrawAspect="Content" ObjectID="_1468075727" r:id="rId40">
            <o:LockedField>false</o:LockedField>
          </o:OLEObject>
        </w:object>
      </w:r>
    </w:p>
    <w:p>
      <w:pPr>
        <w:spacing w:before="158" w:beforeLines="50" w:after="158" w:afterLines="50" w:line="360" w:lineRule="exact"/>
        <w:jc w:val="center"/>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图</w:t>
      </w:r>
      <w:r>
        <w:rPr>
          <w:rFonts w:ascii="黑体" w:hAnsi="黑体" w:eastAsia="黑体"/>
          <w:color w:val="000000" w:themeColor="text1"/>
          <w:szCs w:val="21"/>
          <w14:textFill>
            <w14:solidFill>
              <w14:schemeClr w14:val="tx1"/>
            </w14:solidFill>
          </w14:textFill>
        </w:rPr>
        <w:t>B</w:t>
      </w:r>
      <w:r>
        <w:rPr>
          <w:rFonts w:hint="eastAsia" w:ascii="黑体" w:hAnsi="黑体" w:eastAsia="黑体"/>
          <w:color w:val="000000" w:themeColor="text1"/>
          <w:szCs w:val="21"/>
          <w14:textFill>
            <w14:solidFill>
              <w14:schemeClr w14:val="tx1"/>
            </w14:solidFill>
          </w14:textFill>
        </w:rPr>
        <w:t>.1  直接注水及借用工艺泵注水系统示意流程</w:t>
      </w:r>
    </w:p>
    <w:p>
      <w:pPr>
        <w:pStyle w:val="166"/>
        <w:ind w:firstLine="420"/>
        <w:rPr>
          <w:lang w:eastAsia="zh-CN"/>
        </w:rPr>
      </w:pPr>
    </w:p>
    <w:p>
      <w:pPr>
        <w:pStyle w:val="166"/>
        <w:ind w:firstLine="420"/>
        <w:rPr>
          <w:lang w:eastAsia="zh-CN"/>
        </w:rPr>
      </w:pPr>
    </w:p>
    <w:p>
      <w:pPr>
        <w:jc w:val="center"/>
        <w:rPr>
          <w:color w:val="000000" w:themeColor="text1"/>
          <w:sz w:val="16"/>
          <w:szCs w:val="15"/>
          <w14:textFill>
            <w14:solidFill>
              <w14:schemeClr w14:val="tx1"/>
            </w14:solidFill>
          </w14:textFill>
        </w:rPr>
      </w:pPr>
      <w:r>
        <w:rPr>
          <w:color w:val="000000" w:themeColor="text1"/>
          <w:sz w:val="16"/>
          <w:szCs w:val="15"/>
          <w14:textFill>
            <w14:solidFill>
              <w14:schemeClr w14:val="tx1"/>
            </w14:solidFill>
          </w14:textFill>
        </w:rPr>
        <w:drawing>
          <wp:inline distT="0" distB="0" distL="0" distR="0">
            <wp:extent cx="3874135" cy="3338195"/>
            <wp:effectExtent l="0" t="0" r="0" b="0"/>
            <wp:docPr id="22" name="图片 2" descr="e:\Users\h1989lwt\Documents\WeChat Files\LWT150102\FileStorage\Temp\1662086366207.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 descr="e:\Users\h1989lwt\Documents\WeChat Files\LWT150102\FileStorage\Temp\1662086366207.png"/>
                    <pic:cNvPicPr>
                      <a:picLocks noChangeAspect="true" noChangeArrowheads="true"/>
                    </pic:cNvPicPr>
                  </pic:nvPicPr>
                  <pic:blipFill>
                    <a:blip r:embed="rId42">
                      <a:extLst>
                        <a:ext uri="{28A0092B-C50C-407E-A947-70E740481C1C}">
                          <a14:useLocalDpi xmlns:a14="http://schemas.microsoft.com/office/drawing/2010/main" val="false"/>
                        </a:ext>
                      </a:extLst>
                    </a:blip>
                    <a:srcRect/>
                    <a:stretch>
                      <a:fillRect/>
                    </a:stretch>
                  </pic:blipFill>
                  <pic:spPr>
                    <a:xfrm>
                      <a:off x="0" y="0"/>
                      <a:ext cx="3896549" cy="3357554"/>
                    </a:xfrm>
                    <a:prstGeom prst="rect">
                      <a:avLst/>
                    </a:prstGeom>
                    <a:noFill/>
                    <a:ln>
                      <a:noFill/>
                    </a:ln>
                  </pic:spPr>
                </pic:pic>
              </a:graphicData>
            </a:graphic>
          </wp:inline>
        </w:drawing>
      </w:r>
    </w:p>
    <w:p>
      <w:pPr>
        <w:spacing w:before="158" w:beforeLines="50" w:after="158" w:afterLines="50" w:line="360" w:lineRule="exact"/>
        <w:jc w:val="center"/>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图</w:t>
      </w:r>
      <w:r>
        <w:rPr>
          <w:rFonts w:ascii="黑体" w:hAnsi="黑体" w:eastAsia="黑体"/>
          <w:color w:val="000000" w:themeColor="text1"/>
          <w:szCs w:val="21"/>
          <w14:textFill>
            <w14:solidFill>
              <w14:schemeClr w14:val="tx1"/>
            </w14:solidFill>
          </w14:textFill>
        </w:rPr>
        <w:t>B</w:t>
      </w:r>
      <w:r>
        <w:rPr>
          <w:rFonts w:hint="eastAsia" w:ascii="黑体" w:hAnsi="黑体" w:eastAsia="黑体"/>
          <w:color w:val="000000" w:themeColor="text1"/>
          <w:szCs w:val="21"/>
          <w14:textFill>
            <w14:solidFill>
              <w14:schemeClr w14:val="tx1"/>
            </w14:solidFill>
          </w14:textFill>
        </w:rPr>
        <w:t>.</w:t>
      </w:r>
      <w:r>
        <w:rPr>
          <w:rFonts w:ascii="黑体" w:hAnsi="黑体" w:eastAsia="黑体"/>
          <w:color w:val="000000" w:themeColor="text1"/>
          <w:szCs w:val="21"/>
          <w14:textFill>
            <w14:solidFill>
              <w14:schemeClr w14:val="tx1"/>
            </w14:solidFill>
          </w14:textFill>
        </w:rPr>
        <w:t xml:space="preserve">2  </w:t>
      </w:r>
      <w:r>
        <w:rPr>
          <w:rFonts w:hint="eastAsia" w:ascii="黑体" w:hAnsi="黑体" w:eastAsia="黑体"/>
          <w:color w:val="000000" w:themeColor="text1"/>
          <w:szCs w:val="21"/>
          <w14:textFill>
            <w14:solidFill>
              <w14:schemeClr w14:val="tx1"/>
            </w14:solidFill>
          </w14:textFill>
        </w:rPr>
        <w:t>直接注水系统示意流程</w:t>
      </w:r>
    </w:p>
    <w:p>
      <w:pPr>
        <w:pStyle w:val="21"/>
      </w:pPr>
    </w:p>
    <w:p>
      <w:pPr>
        <w:jc w:val="center"/>
        <w:rPr>
          <w:color w:val="000000" w:themeColor="text1"/>
          <w:sz w:val="16"/>
          <w:szCs w:val="15"/>
          <w14:textFill>
            <w14:solidFill>
              <w14:schemeClr w14:val="tx1"/>
            </w14:solidFill>
          </w14:textFill>
        </w:rPr>
      </w:pPr>
      <w:r>
        <w:rPr>
          <w:color w:val="000000" w:themeColor="text1"/>
          <w:sz w:val="16"/>
          <w:szCs w:val="15"/>
          <w14:textFill>
            <w14:solidFill>
              <w14:schemeClr w14:val="tx1"/>
            </w14:solidFill>
          </w14:textFill>
        </w:rPr>
        <w:drawing>
          <wp:inline distT="0" distB="0" distL="0" distR="0">
            <wp:extent cx="2828925" cy="3455035"/>
            <wp:effectExtent l="0" t="0" r="9525" b="0"/>
            <wp:docPr id="23"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true"/>
                    </pic:cNvPicPr>
                  </pic:nvPicPr>
                  <pic:blipFill>
                    <a:blip r:embed="rId43"/>
                    <a:stretch>
                      <a:fillRect/>
                    </a:stretch>
                  </pic:blipFill>
                  <pic:spPr>
                    <a:xfrm>
                      <a:off x="0" y="0"/>
                      <a:ext cx="2876790" cy="3513155"/>
                    </a:xfrm>
                    <a:prstGeom prst="rect">
                      <a:avLst/>
                    </a:prstGeom>
                  </pic:spPr>
                </pic:pic>
              </a:graphicData>
            </a:graphic>
          </wp:inline>
        </w:drawing>
      </w:r>
    </w:p>
    <w:p>
      <w:pPr>
        <w:spacing w:before="158" w:beforeLines="50" w:after="158" w:afterLines="50" w:line="360" w:lineRule="exact"/>
        <w:jc w:val="center"/>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图</w:t>
      </w:r>
      <w:r>
        <w:rPr>
          <w:rFonts w:ascii="黑体" w:hAnsi="黑体" w:eastAsia="黑体"/>
          <w:color w:val="000000" w:themeColor="text1"/>
          <w:szCs w:val="21"/>
          <w14:textFill>
            <w14:solidFill>
              <w14:schemeClr w14:val="tx1"/>
            </w14:solidFill>
          </w14:textFill>
        </w:rPr>
        <w:t xml:space="preserve">B.3  </w:t>
      </w:r>
      <w:r>
        <w:rPr>
          <w:rFonts w:hint="eastAsia" w:ascii="黑体" w:hAnsi="黑体" w:eastAsia="黑体"/>
          <w:color w:val="000000" w:themeColor="text1"/>
          <w:szCs w:val="21"/>
          <w14:textFill>
            <w14:solidFill>
              <w14:schemeClr w14:val="tx1"/>
            </w14:solidFill>
          </w14:textFill>
        </w:rPr>
        <w:t>借用工艺泵注水系统示意流程</w:t>
      </w:r>
    </w:p>
    <w:p>
      <w:pPr>
        <w:spacing w:line="360" w:lineRule="auto"/>
        <w:jc w:val="center"/>
        <w:rPr>
          <w:color w:val="000000" w:themeColor="text1"/>
          <w:sz w:val="16"/>
          <w:szCs w:val="15"/>
          <w14:textFill>
            <w14:solidFill>
              <w14:schemeClr w14:val="tx1"/>
            </w14:solidFill>
          </w14:textFill>
        </w:rPr>
      </w:pPr>
    </w:p>
    <w:p>
      <w:pPr>
        <w:spacing w:before="158" w:beforeLines="50" w:after="158" w:afterLines="50" w:line="240" w:lineRule="auto"/>
        <w:jc w:val="center"/>
        <w:rPr>
          <w:rFonts w:ascii="黑体" w:hAnsi="黑体" w:eastAsia="黑体"/>
          <w:color w:val="000000" w:themeColor="text1"/>
          <w:szCs w:val="21"/>
          <w14:textFill>
            <w14:solidFill>
              <w14:schemeClr w14:val="tx1"/>
            </w14:solidFill>
          </w14:textFill>
        </w:rPr>
      </w:pPr>
      <w:r>
        <w:object>
          <v:shape id="_x0000_i1028" o:spt="75" type="#_x0000_t75" style="height:540.75pt;width:447.75pt;" o:ole="t" filled="f" o:preferrelative="t" stroked="f" coordsize="21600,21600">
            <v:path/>
            <v:fill on="f" focussize="0,0"/>
            <v:stroke on="f" joinstyle="miter"/>
            <v:imagedata r:id="rId45" cropleft="13853f" croptop="11675f" cropright="21916f" o:title=""/>
            <o:lock v:ext="edit" aspectratio="t"/>
            <w10:wrap type="none"/>
            <w10:anchorlock/>
          </v:shape>
          <o:OLEObject Type="Embed" ProgID="AutoCAD.Drawing.18" ShapeID="_x0000_i1028" DrawAspect="Content" ObjectID="_1468075728" r:id="rId44">
            <o:LockedField>false</o:LockedField>
          </o:OLEObject>
        </w:object>
      </w:r>
      <w:r>
        <w:rPr>
          <w:rFonts w:hint="eastAsia" w:ascii="黑体" w:hAnsi="黑体" w:eastAsia="黑体"/>
          <w:color w:val="000000" w:themeColor="text1"/>
          <w:szCs w:val="21"/>
          <w14:textFill>
            <w14:solidFill>
              <w14:schemeClr w14:val="tx1"/>
            </w14:solidFill>
          </w14:textFill>
        </w:rPr>
        <w:t>图</w:t>
      </w:r>
      <w:r>
        <w:rPr>
          <w:rFonts w:ascii="黑体" w:hAnsi="黑体" w:eastAsia="黑体"/>
          <w:color w:val="000000" w:themeColor="text1"/>
          <w:szCs w:val="21"/>
          <w14:textFill>
            <w14:solidFill>
              <w14:schemeClr w14:val="tx1"/>
            </w14:solidFill>
          </w14:textFill>
        </w:rPr>
        <w:t xml:space="preserve">B.4  </w:t>
      </w:r>
      <w:r>
        <w:rPr>
          <w:rFonts w:hint="eastAsia" w:ascii="黑体" w:hAnsi="黑体" w:eastAsia="黑体"/>
          <w:color w:val="000000" w:themeColor="text1"/>
          <w:szCs w:val="21"/>
          <w14:textFill>
            <w14:solidFill>
              <w14:schemeClr w14:val="tx1"/>
            </w14:solidFill>
          </w14:textFill>
        </w:rPr>
        <w:t>设置专用泵注水系统示意流程一</w:t>
      </w:r>
    </w:p>
    <w:p>
      <w:pPr>
        <w:jc w:val="center"/>
      </w:pPr>
      <w:r>
        <w:drawing>
          <wp:inline distT="0" distB="0" distL="0" distR="0">
            <wp:extent cx="3191510" cy="3919855"/>
            <wp:effectExtent l="0" t="0" r="8890" b="4445"/>
            <wp:docPr id="18"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true"/>
                    </pic:cNvPicPr>
                  </pic:nvPicPr>
                  <pic:blipFill>
                    <a:blip r:embed="rId46"/>
                    <a:stretch>
                      <a:fillRect/>
                    </a:stretch>
                  </pic:blipFill>
                  <pic:spPr>
                    <a:xfrm>
                      <a:off x="0" y="0"/>
                      <a:ext cx="3204440" cy="3935913"/>
                    </a:xfrm>
                    <a:prstGeom prst="rect">
                      <a:avLst/>
                    </a:prstGeom>
                  </pic:spPr>
                </pic:pic>
              </a:graphicData>
            </a:graphic>
          </wp:inline>
        </w:drawing>
      </w:r>
    </w:p>
    <w:p>
      <w:pPr>
        <w:spacing w:before="158" w:beforeLines="50" w:after="158" w:afterLines="50" w:line="360" w:lineRule="exact"/>
        <w:jc w:val="center"/>
        <w:rPr>
          <w:rFonts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图</w:t>
      </w:r>
      <w:r>
        <w:rPr>
          <w:rFonts w:ascii="黑体" w:hAnsi="黑体" w:eastAsia="黑体"/>
          <w:color w:val="000000" w:themeColor="text1"/>
          <w:szCs w:val="21"/>
          <w14:textFill>
            <w14:solidFill>
              <w14:schemeClr w14:val="tx1"/>
            </w14:solidFill>
          </w14:textFill>
        </w:rPr>
        <w:t xml:space="preserve">B.5  </w:t>
      </w:r>
      <w:r>
        <w:rPr>
          <w:rFonts w:hint="eastAsia" w:ascii="黑体" w:hAnsi="黑体" w:eastAsia="黑体"/>
          <w:color w:val="000000" w:themeColor="text1"/>
          <w:szCs w:val="21"/>
          <w14:textFill>
            <w14:solidFill>
              <w14:schemeClr w14:val="tx1"/>
            </w14:solidFill>
          </w14:textFill>
        </w:rPr>
        <w:t>设置专用泵注水系统示意流程二</w:t>
      </w:r>
    </w:p>
    <w:p>
      <w:pPr>
        <w:pStyle w:val="117"/>
        <w:keepNext/>
        <w:tabs>
          <w:tab w:val="left" w:pos="360"/>
        </w:tabs>
        <w:spacing w:line="312" w:lineRule="auto"/>
        <w:rPr>
          <w:color w:val="000000" w:themeColor="text1"/>
          <w:szCs w:val="22"/>
          <w14:textFill>
            <w14:solidFill>
              <w14:schemeClr w14:val="tx1"/>
            </w14:solidFill>
          </w14:textFill>
        </w:rPr>
      </w:pPr>
      <w:r>
        <w:rPr>
          <w:rFonts w:ascii="宋体"/>
          <w:color w:val="000000" w:themeColor="text1"/>
          <w:sz w:val="28"/>
          <w:szCs w:val="28"/>
          <w14:textFill>
            <w14:solidFill>
              <w14:schemeClr w14:val="tx1"/>
            </w14:solidFill>
          </w14:textFill>
        </w:rPr>
        <w:br w:type="page"/>
      </w:r>
      <w:bookmarkEnd w:id="10"/>
      <w:bookmarkEnd w:id="11"/>
      <w:bookmarkEnd w:id="12"/>
      <w:bookmarkEnd w:id="13"/>
      <w:bookmarkStart w:id="80" w:name="_Toc118962051"/>
      <w:r>
        <w:rPr>
          <w:rFonts w:hint="eastAsia"/>
          <w:color w:val="000000" w:themeColor="text1"/>
          <w:szCs w:val="22"/>
          <w14:textFill>
            <w14:solidFill>
              <w14:schemeClr w14:val="tx1"/>
            </w14:solidFill>
          </w14:textFill>
        </w:rPr>
        <w:t>参考</w:t>
      </w:r>
      <w:r>
        <w:rPr>
          <w:rFonts w:hint="eastAsia"/>
          <w:color w:val="000000" w:themeColor="text1"/>
          <w14:textFill>
            <w14:solidFill>
              <w14:schemeClr w14:val="tx1"/>
            </w14:solidFill>
          </w14:textFill>
        </w:rPr>
        <w:t>文献</w:t>
      </w:r>
      <w:bookmarkEnd w:id="80"/>
    </w:p>
    <w:p>
      <w:pPr>
        <w:spacing w:line="240" w:lineRule="auto"/>
        <w:ind w:firstLine="420" w:firstLineChars="200"/>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 xml:space="preserve">[1] </w:t>
      </w:r>
      <w:r>
        <w:rPr>
          <w:rFonts w:hint="eastAsia" w:eastAsiaTheme="minorEastAsia"/>
          <w:color w:val="000000" w:themeColor="text1"/>
          <w:szCs w:val="24"/>
          <w14:textFill>
            <w14:solidFill>
              <w14:schemeClr w14:val="tx1"/>
            </w14:solidFill>
          </w14:textFill>
        </w:rPr>
        <w:t xml:space="preserve"> </w:t>
      </w:r>
      <w:r>
        <w:rPr>
          <w:rFonts w:eastAsiaTheme="minorEastAsia"/>
          <w:color w:val="000000" w:themeColor="text1"/>
          <w:szCs w:val="24"/>
          <w14:textFill>
            <w14:solidFill>
              <w14:schemeClr w14:val="tx1"/>
            </w14:solidFill>
          </w14:textFill>
        </w:rPr>
        <w:t>EEMUA 190</w:t>
      </w:r>
      <w:r>
        <w:rPr>
          <w:rFonts w:hint="eastAsia" w:eastAsiaTheme="minorEastAsia"/>
          <w:color w:val="000000" w:themeColor="text1"/>
          <w:szCs w:val="24"/>
          <w14:textFill>
            <w14:solidFill>
              <w14:schemeClr w14:val="tx1"/>
            </w14:solidFill>
          </w14:textFill>
        </w:rPr>
        <w:t>,</w:t>
      </w:r>
      <w:r>
        <w:rPr>
          <w:rFonts w:eastAsiaTheme="minorEastAsia"/>
          <w:color w:val="000000" w:themeColor="text1"/>
          <w:szCs w:val="24"/>
          <w14:textFill>
            <w14:solidFill>
              <w14:schemeClr w14:val="tx1"/>
            </w14:solidFill>
          </w14:textFill>
        </w:rPr>
        <w:t>Guide for the design, construction and use of mounded horizontal cylindrical steel vessels for pressurized storage of LPG at ambient temperatures</w:t>
      </w:r>
    </w:p>
    <w:p>
      <w:pPr>
        <w:spacing w:line="240" w:lineRule="auto"/>
        <w:ind w:firstLine="420" w:firstLineChars="200"/>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 xml:space="preserve">[2]  ACI </w:t>
      </w:r>
      <w:r>
        <w:rPr>
          <w:color w:val="000000" w:themeColor="text1"/>
          <w:szCs w:val="24"/>
          <w14:textFill>
            <w14:solidFill>
              <w14:schemeClr w14:val="tx1"/>
            </w14:solidFill>
          </w14:textFill>
        </w:rPr>
        <w:t>376M_11</w:t>
      </w:r>
      <w:r>
        <w:rPr>
          <w:rFonts w:hint="eastAsia"/>
          <w:color w:val="000000" w:themeColor="text1"/>
          <w:szCs w:val="24"/>
          <w14:textFill>
            <w14:solidFill>
              <w14:schemeClr w14:val="tx1"/>
            </w14:solidFill>
          </w14:textFill>
        </w:rPr>
        <w:t xml:space="preserve">, </w:t>
      </w:r>
      <w:r>
        <w:rPr>
          <w:color w:val="000000" w:themeColor="text1"/>
          <w:szCs w:val="24"/>
          <w14:textFill>
            <w14:solidFill>
              <w14:schemeClr w14:val="tx1"/>
            </w14:solidFill>
          </w14:textFill>
        </w:rPr>
        <w:t>Code Requirements for Design and Construction of Concrete Structures for the Containment of Refrigerated Liquefied Gases and Commentary</w:t>
      </w:r>
    </w:p>
    <w:p>
      <w:pPr>
        <w:spacing w:line="240" w:lineRule="auto"/>
        <w:ind w:firstLine="420" w:firstLineChars="200"/>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 xml:space="preserve">[3]  </w:t>
      </w:r>
      <w:r>
        <w:rPr>
          <w:rFonts w:hint="eastAsia" w:eastAsiaTheme="minorEastAsia"/>
          <w:color w:val="000000" w:themeColor="text1"/>
          <w:szCs w:val="24"/>
          <w14:textFill>
            <w14:solidFill>
              <w14:schemeClr w14:val="tx1"/>
            </w14:solidFill>
          </w14:textFill>
        </w:rPr>
        <w:t xml:space="preserve">API 620, </w:t>
      </w:r>
      <w:r>
        <w:rPr>
          <w:color w:val="000000" w:themeColor="text1"/>
          <w:szCs w:val="24"/>
          <w14:textFill>
            <w14:solidFill>
              <w14:schemeClr w14:val="tx1"/>
            </w14:solidFill>
          </w14:textFill>
        </w:rPr>
        <w:t>Design and Construction of Large, Welded, Low-pressure Storage Tanks</w:t>
      </w:r>
    </w:p>
    <w:p>
      <w:pPr>
        <w:spacing w:line="240" w:lineRule="auto"/>
        <w:ind w:firstLine="420" w:firstLineChars="200"/>
        <w:jc w:val="left"/>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 xml:space="preserve">[4]  </w:t>
      </w:r>
      <w:r>
        <w:rPr>
          <w:color w:val="000000" w:themeColor="text1"/>
          <w:szCs w:val="24"/>
          <w14:textFill>
            <w14:solidFill>
              <w14:schemeClr w14:val="tx1"/>
            </w14:solidFill>
          </w14:textFill>
        </w:rPr>
        <w:t>API 625</w:t>
      </w:r>
      <w:r>
        <w:rPr>
          <w:rFonts w:hint="eastAsia"/>
          <w:color w:val="000000" w:themeColor="text1"/>
          <w:szCs w:val="24"/>
          <w14:textFill>
            <w14:solidFill>
              <w14:schemeClr w14:val="tx1"/>
            </w14:solidFill>
          </w14:textFill>
        </w:rPr>
        <w:t xml:space="preserve">, </w:t>
      </w:r>
      <w:r>
        <w:rPr>
          <w:color w:val="000000" w:themeColor="text1"/>
          <w:szCs w:val="24"/>
          <w14:textFill>
            <w14:solidFill>
              <w14:schemeClr w14:val="tx1"/>
            </w14:solidFill>
          </w14:textFill>
        </w:rPr>
        <w:t>Tank Systems for Refrigerated Liquefied Gas Storage</w:t>
      </w:r>
    </w:p>
    <w:p>
      <w:pPr>
        <w:spacing w:line="240" w:lineRule="auto"/>
        <w:ind w:firstLine="420" w:firstLineChars="200"/>
        <w:jc w:val="left"/>
        <w:rPr>
          <w:rFonts w:cs="宋体"/>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 xml:space="preserve">[5]  </w:t>
      </w:r>
      <w:r>
        <w:rPr>
          <w:rFonts w:hint="eastAsia" w:eastAsiaTheme="minorEastAsia"/>
          <w:color w:val="000000" w:themeColor="text1"/>
          <w:szCs w:val="24"/>
          <w14:textFill>
            <w14:solidFill>
              <w14:schemeClr w14:val="tx1"/>
            </w14:solidFill>
          </w14:textFill>
        </w:rPr>
        <w:t xml:space="preserve">EN14620, </w:t>
      </w:r>
      <w:r>
        <w:rPr>
          <w:color w:val="000000" w:themeColor="text1"/>
          <w:szCs w:val="24"/>
          <w14:textFill>
            <w14:solidFill>
              <w14:schemeClr w14:val="tx1"/>
            </w14:solidFill>
          </w14:textFill>
        </w:rPr>
        <w:t>Design and manufacture of site built, vertical, cylindrical, flat-bottomed steel tanks for the storae of refrigerated, liquefied gases with operating temperatures between 0</w:t>
      </w:r>
      <w:r>
        <w:rPr>
          <w:rFonts w:hint="eastAsia" w:cs="宋体"/>
          <w:color w:val="000000" w:themeColor="text1"/>
          <w:szCs w:val="24"/>
          <w14:textFill>
            <w14:solidFill>
              <w14:schemeClr w14:val="tx1"/>
            </w14:solidFill>
          </w14:textFill>
        </w:rPr>
        <w:t>℃</w:t>
      </w:r>
      <w:r>
        <w:rPr>
          <w:color w:val="000000" w:themeColor="text1"/>
          <w:szCs w:val="24"/>
          <w14:textFill>
            <w14:solidFill>
              <w14:schemeClr w14:val="tx1"/>
            </w14:solidFill>
          </w14:textFill>
        </w:rPr>
        <w:t xml:space="preserve"> and -165</w:t>
      </w:r>
      <w:r>
        <w:rPr>
          <w:rFonts w:hint="eastAsia" w:cs="宋体"/>
          <w:color w:val="000000" w:themeColor="text1"/>
          <w:szCs w:val="24"/>
          <w14:textFill>
            <w14:solidFill>
              <w14:schemeClr w14:val="tx1"/>
            </w14:solidFill>
          </w14:textFill>
        </w:rPr>
        <w:t>℃</w:t>
      </w:r>
    </w:p>
    <w:p>
      <w:pPr>
        <w:spacing w:line="240" w:lineRule="auto"/>
        <w:ind w:firstLine="420" w:firstLineChars="200"/>
        <w:jc w:val="left"/>
        <w:rPr>
          <w:color w:val="000000" w:themeColor="text1"/>
          <w14:textFill>
            <w14:solidFill>
              <w14:schemeClr w14:val="tx1"/>
            </w14:solidFill>
          </w14:textFill>
        </w:rPr>
      </w:pPr>
      <w:r>
        <w:rPr>
          <w:rFonts w:eastAsiaTheme="minorEastAsia"/>
          <w:color w:val="000000" w:themeColor="text1"/>
          <w:szCs w:val="24"/>
          <w14:textFill>
            <w14:solidFill>
              <w14:schemeClr w14:val="tx1"/>
            </w14:solidFill>
          </w14:textFill>
        </w:rPr>
        <w:t>[</w:t>
      </w:r>
      <w:r>
        <w:rPr>
          <w:rFonts w:eastAsiaTheme="minorEastAsia"/>
          <w:color w:val="000000" w:themeColor="text1"/>
          <w14:textFill>
            <w14:solidFill>
              <w14:schemeClr w14:val="tx1"/>
            </w14:solidFill>
          </w14:textFill>
        </w:rPr>
        <w:t>6</w:t>
      </w:r>
      <w:r>
        <w:rPr>
          <w:rFonts w:eastAsiaTheme="minorEastAsia"/>
          <w:color w:val="000000" w:themeColor="text1"/>
          <w:szCs w:val="24"/>
          <w14:textFill>
            <w14:solidFill>
              <w14:schemeClr w14:val="tx1"/>
            </w14:solidFill>
          </w14:textFill>
        </w:rPr>
        <w:t xml:space="preserve">]  </w:t>
      </w:r>
      <w:r>
        <w:rPr>
          <w:rFonts w:hint="eastAsia"/>
          <w:color w:val="000000" w:themeColor="text1"/>
          <w14:textFill>
            <w14:solidFill>
              <w14:schemeClr w14:val="tx1"/>
            </w14:solidFill>
          </w14:textFill>
        </w:rPr>
        <w:t>《危险化学品企业安全风险隐患排查治理导则》（应急〔2019〕78号）</w:t>
      </w:r>
    </w:p>
    <w:p>
      <w:pPr>
        <w:spacing w:line="240" w:lineRule="auto"/>
        <w:jc w:val="center"/>
        <w:rPr>
          <w:rFonts w:asciiTheme="minorEastAsia" w:hAnsiTheme="minorEastAsia" w:eastAsiaTheme="minorEastAsia"/>
          <w:color w:val="000000" w:themeColor="text1"/>
          <w:sz w:val="28"/>
          <w:szCs w:val="28"/>
          <w14:textFill>
            <w14:solidFill>
              <w14:schemeClr w14:val="tx1"/>
            </w14:solidFill>
          </w14:textFill>
        </w:rPr>
      </w:pPr>
    </w:p>
    <w:p/>
    <w:p>
      <w:pPr>
        <w:spacing w:line="240" w:lineRule="auto"/>
        <w:jc w:val="center"/>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2082800</wp:posOffset>
                </wp:positionH>
                <wp:positionV relativeFrom="paragraph">
                  <wp:posOffset>148590</wp:posOffset>
                </wp:positionV>
                <wp:extent cx="1428750" cy="0"/>
                <wp:effectExtent l="0" t="0" r="0" b="0"/>
                <wp:wrapNone/>
                <wp:docPr id="8" name="直接连接符 8"/>
                <wp:cNvGraphicFramePr/>
                <a:graphic xmlns:a="http://schemas.openxmlformats.org/drawingml/2006/main">
                  <a:graphicData uri="http://schemas.microsoft.com/office/word/2010/wordprocessingShape">
                    <wps:wsp>
                      <wps:cNvCnPr>
                        <a:cxnSpLocks noChangeShapeType="true"/>
                      </wps:cNvCnPr>
                      <wps:spPr bwMode="auto">
                        <a:xfrm>
                          <a:off x="0" y="0"/>
                          <a:ext cx="142875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4pt;margin-top:11.7pt;height:0pt;width:112.5pt;z-index:251666432;mso-width-relative:page;mso-height-relative:page;" filled="f" stroked="t" coordsize="21600,21600" o:gfxdata="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A5dHp1gAAAAkBAAAP&#10;AAAAAAAAAAEAIAAAADgAAABkcnMvZG93bnJldi54bWxQSwECFAAUAAAACACHTuJAW/j7mssBAABf&#10;AwAADgAAAAAAAAABACAAAAA7AQAAZHJzL2Uyb0RvYy54bWxQSwUGAAAAAAYABgBZAQAAeAUAAAAA&#10;">
                <v:fill on="f" focussize="0,0"/>
                <v:stroke color="#000000" joinstyle="round"/>
                <v:imagedata o:title=""/>
                <o:lock v:ext="edit" aspectratio="f"/>
              </v:line>
            </w:pict>
          </mc:Fallback>
        </mc:AlternateContent>
      </w:r>
    </w:p>
    <w:p>
      <w:pPr>
        <w:spacing w:line="240" w:lineRule="auto"/>
        <w:jc w:val="center"/>
        <w:rPr>
          <w:rFonts w:ascii="宋体" w:hAnsi="宋体"/>
          <w:color w:val="000000" w:themeColor="text1"/>
          <w:sz w:val="28"/>
          <w:szCs w:val="28"/>
          <w14:textFill>
            <w14:solidFill>
              <w14:schemeClr w14:val="tx1"/>
            </w14:solidFill>
          </w14:textFill>
        </w:rPr>
      </w:pPr>
    </w:p>
    <w:p>
      <w:pPr>
        <w:spacing w:line="240" w:lineRule="auto"/>
        <w:ind w:left="420"/>
        <w:jc w:val="center"/>
        <w:rPr>
          <w:rFonts w:ascii="宋体" w:hAnsi="宋体"/>
          <w:color w:val="000000" w:themeColor="text1"/>
          <w:sz w:val="28"/>
          <w:szCs w:val="28"/>
          <w14:textFill>
            <w14:solidFill>
              <w14:schemeClr w14:val="tx1"/>
            </w14:solidFill>
          </w14:textFill>
        </w:rPr>
        <w:sectPr>
          <w:headerReference r:id="rId22" w:type="first"/>
          <w:footerReference r:id="rId23" w:type="default"/>
          <w:footerReference r:id="rId24" w:type="even"/>
          <w:pgSz w:w="11907" w:h="16839"/>
          <w:pgMar w:top="1418" w:right="1134" w:bottom="1134" w:left="1985" w:header="1418" w:footer="851" w:gutter="0"/>
          <w:cols w:space="720" w:num="1"/>
          <w:docGrid w:type="lines" w:linePitch="317" w:charSpace="0"/>
        </w:sectPr>
      </w:pPr>
    </w:p>
    <w:p>
      <w:pPr>
        <w:jc w:val="center"/>
        <w:rPr>
          <w:rFonts w:hint="eastAsia" w:ascii="宋体" w:hAnsi="宋体"/>
          <w:sz w:val="32"/>
          <w:szCs w:val="32"/>
        </w:rPr>
      </w:pPr>
    </w:p>
    <w:p>
      <w:pPr>
        <w:pStyle w:val="2"/>
        <w:rPr>
          <w:rFonts w:hint="default"/>
          <w:sz w:val="24"/>
          <w:szCs w:val="24"/>
        </w:rPr>
      </w:pPr>
    </w:p>
    <w:p>
      <w:pPr>
        <w:jc w:val="center"/>
        <w:rPr>
          <w:rFonts w:hint="eastAsia" w:ascii="宋体" w:hAnsi="宋体"/>
          <w:sz w:val="32"/>
          <w:szCs w:val="32"/>
        </w:rPr>
      </w:pPr>
    </w:p>
    <w:p>
      <w:pPr>
        <w:jc w:val="center"/>
        <w:rPr>
          <w:rFonts w:hint="eastAsia" w:ascii="宋体" w:hAnsi="宋体"/>
          <w:sz w:val="32"/>
          <w:szCs w:val="32"/>
        </w:rPr>
      </w:pPr>
    </w:p>
    <w:p>
      <w:pPr>
        <w:jc w:val="center"/>
        <w:rPr>
          <w:rFonts w:hint="eastAsia" w:ascii="宋体" w:hAnsi="宋体" w:eastAsia="方正小标宋_GBK" w:cs="方正小标宋_GBK"/>
          <w:sz w:val="32"/>
          <w:szCs w:val="32"/>
        </w:rPr>
      </w:pPr>
    </w:p>
    <w:p>
      <w:pPr>
        <w:jc w:val="center"/>
        <w:rPr>
          <w:rFonts w:hint="eastAsia" w:ascii="宋体" w:hAnsi="宋体" w:eastAsia="方正小标宋_GBK" w:cs="方正小标宋_GBK"/>
          <w:b w:val="0"/>
          <w:bCs w:val="0"/>
          <w:w w:val="96"/>
          <w:sz w:val="52"/>
          <w:szCs w:val="52"/>
        </w:rPr>
      </w:pPr>
      <w:r>
        <w:rPr>
          <w:rFonts w:hint="eastAsia" w:ascii="宋体" w:hAnsi="宋体" w:eastAsia="方正小标宋_GBK" w:cs="方正小标宋_GBK"/>
          <w:b w:val="0"/>
          <w:bCs w:val="0"/>
          <w:w w:val="96"/>
          <w:sz w:val="52"/>
          <w:szCs w:val="52"/>
        </w:rPr>
        <w:t>《</w:t>
      </w:r>
      <w:r>
        <w:rPr>
          <w:rFonts w:hint="eastAsia" w:ascii="宋体" w:hAnsi="宋体" w:eastAsia="方正小标宋_GBK" w:cs="方正小标宋_GBK"/>
          <w:b w:val="0"/>
          <w:bCs w:val="0"/>
          <w:w w:val="96"/>
          <w:sz w:val="52"/>
          <w:szCs w:val="52"/>
          <w:lang w:eastAsia="zh-CN"/>
        </w:rPr>
        <w:t>化工企业</w:t>
      </w:r>
      <w:r>
        <w:rPr>
          <w:rFonts w:hint="eastAsia" w:ascii="宋体" w:hAnsi="宋体" w:eastAsia="方正小标宋_GBK" w:cs="方正小标宋_GBK"/>
          <w:b w:val="0"/>
          <w:bCs w:val="0"/>
          <w:w w:val="96"/>
          <w:sz w:val="52"/>
          <w:szCs w:val="52"/>
        </w:rPr>
        <w:t>液化烃储罐区安全管理规范》</w:t>
      </w:r>
    </w:p>
    <w:p>
      <w:pPr>
        <w:jc w:val="center"/>
        <w:rPr>
          <w:rFonts w:hint="eastAsia" w:ascii="楷体_GB2312" w:hAnsi="楷体_GB2312" w:eastAsia="楷体_GB2312" w:cs="楷体_GB2312"/>
          <w:b/>
          <w:bCs w:val="0"/>
          <w:spacing w:val="0"/>
          <w:sz w:val="36"/>
          <w:szCs w:val="36"/>
        </w:rPr>
      </w:pPr>
      <w:r>
        <w:rPr>
          <w:rFonts w:hint="eastAsia" w:ascii="楷体_GB2312" w:hAnsi="楷体_GB2312" w:eastAsia="楷体_GB2312" w:cs="楷体_GB2312"/>
          <w:b/>
          <w:bCs w:val="0"/>
          <w:spacing w:val="0"/>
          <w:sz w:val="36"/>
          <w:szCs w:val="36"/>
          <w:lang w:eastAsia="zh-CN"/>
        </w:rPr>
        <w:t>（征求意见稿）</w:t>
      </w:r>
    </w:p>
    <w:p>
      <w:pPr>
        <w:jc w:val="center"/>
        <w:rPr>
          <w:rFonts w:hint="eastAsia" w:ascii="宋体" w:hAnsi="宋体" w:eastAsia="黑体"/>
          <w:bCs/>
          <w:spacing w:val="52"/>
          <w:sz w:val="48"/>
          <w:szCs w:val="48"/>
        </w:rPr>
      </w:pPr>
    </w:p>
    <w:p>
      <w:pPr>
        <w:jc w:val="center"/>
        <w:rPr>
          <w:rFonts w:hint="eastAsia" w:ascii="宋体" w:hAnsi="宋体" w:eastAsia="黑体"/>
          <w:bCs/>
          <w:spacing w:val="52"/>
          <w:sz w:val="48"/>
          <w:szCs w:val="48"/>
        </w:rPr>
      </w:pPr>
    </w:p>
    <w:p>
      <w:pPr>
        <w:jc w:val="center"/>
        <w:rPr>
          <w:rFonts w:hint="eastAsia" w:ascii="宋体" w:hAnsi="宋体" w:eastAsia="方正小标宋_GBK" w:cs="方正小标宋_GBK"/>
          <w:bCs/>
          <w:spacing w:val="52"/>
          <w:sz w:val="48"/>
          <w:szCs w:val="48"/>
        </w:rPr>
      </w:pPr>
      <w:r>
        <w:rPr>
          <w:rFonts w:hint="eastAsia" w:ascii="宋体" w:hAnsi="宋体" w:eastAsia="方正小标宋_GBK" w:cs="方正小标宋_GBK"/>
          <w:bCs/>
          <w:spacing w:val="52"/>
          <w:sz w:val="48"/>
          <w:szCs w:val="48"/>
        </w:rPr>
        <w:t>编制说明</w:t>
      </w:r>
    </w:p>
    <w:p>
      <w:pPr>
        <w:jc w:val="center"/>
        <w:rPr>
          <w:rFonts w:hint="eastAsia" w:ascii="宋体" w:hAnsi="宋体"/>
          <w:b/>
          <w:bCs/>
          <w:sz w:val="32"/>
          <w:szCs w:val="32"/>
        </w:rPr>
      </w:pPr>
    </w:p>
    <w:p>
      <w:pPr>
        <w:jc w:val="center"/>
        <w:rPr>
          <w:rFonts w:hint="eastAsia" w:ascii="宋体" w:hAnsi="宋体"/>
          <w:b/>
          <w:bCs/>
          <w:sz w:val="32"/>
          <w:szCs w:val="32"/>
        </w:rPr>
      </w:pPr>
    </w:p>
    <w:p>
      <w:pPr>
        <w:jc w:val="center"/>
        <w:rPr>
          <w:rFonts w:hint="eastAsia" w:ascii="宋体" w:hAnsi="宋体"/>
          <w:b/>
          <w:bCs/>
          <w:sz w:val="32"/>
          <w:szCs w:val="32"/>
        </w:rPr>
      </w:pPr>
    </w:p>
    <w:p>
      <w:pPr>
        <w:tabs>
          <w:tab w:val="left" w:pos="3670"/>
        </w:tabs>
        <w:jc w:val="left"/>
        <w:rPr>
          <w:rFonts w:hint="eastAsia" w:ascii="宋体" w:hAnsi="宋体" w:eastAsia="宋体"/>
          <w:b/>
          <w:bCs/>
          <w:sz w:val="32"/>
          <w:szCs w:val="32"/>
          <w:lang w:eastAsia="zh-CN"/>
        </w:rPr>
      </w:pPr>
      <w:r>
        <w:rPr>
          <w:rFonts w:hint="eastAsia" w:ascii="宋体" w:hAnsi="宋体"/>
          <w:b/>
          <w:bCs/>
          <w:sz w:val="32"/>
          <w:szCs w:val="32"/>
          <w:lang w:eastAsia="zh-CN"/>
        </w:rPr>
        <w:tab/>
      </w:r>
    </w:p>
    <w:p>
      <w:pPr>
        <w:jc w:val="center"/>
        <w:rPr>
          <w:rFonts w:hint="eastAsia" w:ascii="宋体" w:hAnsi="宋体"/>
          <w:b/>
          <w:bCs/>
          <w:sz w:val="32"/>
          <w:szCs w:val="32"/>
        </w:rPr>
      </w:pPr>
    </w:p>
    <w:p>
      <w:pPr>
        <w:jc w:val="center"/>
        <w:rPr>
          <w:rFonts w:hint="eastAsia" w:ascii="宋体" w:hAnsi="宋体"/>
          <w:b/>
          <w:bCs/>
          <w:sz w:val="32"/>
          <w:szCs w:val="32"/>
        </w:rPr>
      </w:pPr>
    </w:p>
    <w:p>
      <w:pPr>
        <w:rPr>
          <w:rFonts w:hint="eastAsia" w:ascii="宋体" w:hAnsi="宋体"/>
          <w:b/>
          <w:bCs/>
          <w:sz w:val="32"/>
          <w:szCs w:val="32"/>
        </w:rPr>
      </w:pPr>
    </w:p>
    <w:p>
      <w:pPr>
        <w:jc w:val="center"/>
        <w:rPr>
          <w:rFonts w:hint="eastAsia" w:ascii="宋体" w:hAnsi="宋体" w:eastAsia="仿宋_GB2312" w:cs="仿宋_GB2312"/>
          <w:b/>
          <w:bCs/>
          <w:sz w:val="32"/>
          <w:szCs w:val="32"/>
        </w:rPr>
      </w:pPr>
    </w:p>
    <w:p>
      <w:pPr>
        <w:jc w:val="center"/>
        <w:rPr>
          <w:rFonts w:hint="eastAsia" w:ascii="宋体" w:hAnsi="宋体" w:eastAsia="仿宋_GB2312" w:cs="仿宋_GB2312"/>
          <w:b/>
          <w:bCs/>
          <w:sz w:val="32"/>
          <w:szCs w:val="32"/>
        </w:rPr>
      </w:pPr>
    </w:p>
    <w:p>
      <w:pPr>
        <w:jc w:val="center"/>
        <w:rPr>
          <w:rFonts w:hint="eastAsia" w:ascii="宋体" w:hAnsi="宋体"/>
          <w:sz w:val="32"/>
          <w:szCs w:val="32"/>
        </w:rPr>
      </w:pPr>
    </w:p>
    <w:p>
      <w:pPr>
        <w:jc w:val="center"/>
        <w:rPr>
          <w:rFonts w:hint="eastAsia" w:ascii="宋体" w:hAnsi="宋体"/>
          <w:sz w:val="32"/>
          <w:szCs w:val="32"/>
        </w:rPr>
      </w:pPr>
    </w:p>
    <w:p>
      <w:pPr>
        <w:jc w:val="center"/>
        <w:rPr>
          <w:rFonts w:hint="eastAsia" w:ascii="宋体" w:hAnsi="宋体"/>
          <w:sz w:val="32"/>
          <w:szCs w:val="32"/>
        </w:rPr>
        <w:sectPr>
          <w:headerReference r:id="rId26" w:type="first"/>
          <w:footerReference r:id="rId28" w:type="first"/>
          <w:headerReference r:id="rId25" w:type="default"/>
          <w:footerReference r:id="rId27" w:type="default"/>
          <w:pgSz w:w="11906" w:h="16838"/>
          <w:pgMar w:top="1701" w:right="1588" w:bottom="1474" w:left="1588" w:header="851" w:footer="992" w:gutter="0"/>
          <w:pgNumType w:start="0"/>
          <w:cols w:space="720" w:num="1"/>
          <w:titlePg/>
          <w:docGrid w:type="lines" w:linePitch="312" w:charSpace="0"/>
        </w:sectPr>
      </w:pPr>
    </w:p>
    <w:p>
      <w:pPr>
        <w:spacing w:line="560" w:lineRule="exact"/>
        <w:ind w:firstLine="640" w:firstLineChars="200"/>
        <w:rPr>
          <w:rFonts w:ascii="宋体" w:hAnsi="宋体" w:eastAsia="黑体"/>
          <w:sz w:val="32"/>
          <w:szCs w:val="32"/>
        </w:rPr>
      </w:pPr>
      <w:r>
        <w:rPr>
          <w:rFonts w:hint="eastAsia" w:ascii="宋体" w:hAnsi="宋体" w:eastAsia="黑体"/>
          <w:sz w:val="32"/>
          <w:szCs w:val="32"/>
        </w:rPr>
        <w:t>一、工作简况</w:t>
      </w:r>
    </w:p>
    <w:p>
      <w:pPr>
        <w:pStyle w:val="175"/>
        <w:spacing w:line="560" w:lineRule="exact"/>
        <w:ind w:firstLine="643"/>
        <w:rPr>
          <w:rFonts w:ascii="宋体"/>
        </w:rPr>
      </w:pPr>
      <w:r>
        <w:rPr>
          <w:rFonts w:hint="eastAsia" w:ascii="宋体"/>
        </w:rPr>
        <w:t>（一）任务来源</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随着我国液化烃生产量和使用量不断上升，液化烃储存呈现出规模大型化和类型多样化的特点。</w:t>
      </w:r>
      <w:r>
        <w:rPr>
          <w:rFonts w:hint="eastAsia" w:ascii="宋体" w:hAnsi="宋体" w:eastAsia="仿宋_GB2312"/>
          <w:sz w:val="32"/>
          <w:szCs w:val="32"/>
        </w:rPr>
        <w:t>液化烃储罐区能量集中、安全风险高，一旦发生事故容易造成重大人员伤亡和财产损失，直接影响公共安全与社会安定。</w:t>
      </w:r>
      <w:r>
        <w:rPr>
          <w:rFonts w:hint="eastAsia" w:ascii="宋体" w:hAnsi="宋体" w:eastAsia="仿宋_GB2312" w:cs="仿宋_GB2312"/>
          <w:sz w:val="32"/>
          <w:szCs w:val="32"/>
        </w:rPr>
        <w:t>近年来发生了多起液化烃罐区火灾爆炸事故，给液化烃</w:t>
      </w:r>
      <w:r>
        <w:rPr>
          <w:rFonts w:hint="eastAsia" w:ascii="宋体" w:hAnsi="宋体" w:eastAsia="仿宋_GB2312" w:cs="仿宋_GB2312"/>
          <w:sz w:val="32"/>
          <w:szCs w:val="32"/>
          <w:lang w:eastAsia="zh-CN"/>
        </w:rPr>
        <w:t>储</w:t>
      </w:r>
      <w:r>
        <w:rPr>
          <w:rFonts w:hint="eastAsia" w:ascii="宋体" w:hAnsi="宋体" w:eastAsia="仿宋_GB2312" w:cs="仿宋_GB2312"/>
          <w:sz w:val="32"/>
          <w:szCs w:val="32"/>
        </w:rPr>
        <w:t>罐区的安全管理敲响警钟，如</w:t>
      </w:r>
      <w:r>
        <w:rPr>
          <w:rFonts w:hint="eastAsia" w:ascii="宋体" w:hAnsi="宋体" w:eastAsia="仿宋_GB2312" w:cs="仿宋_GB2312"/>
          <w:sz w:val="32"/>
          <w:szCs w:val="32"/>
          <w:lang w:eastAsia="zh-CN"/>
        </w:rPr>
        <w:t>中石油</w:t>
      </w:r>
      <w:r>
        <w:rPr>
          <w:rFonts w:hint="eastAsia" w:ascii="宋体" w:hAnsi="宋体" w:eastAsia="仿宋_GB2312" w:cs="仿宋_GB2312"/>
          <w:sz w:val="32"/>
          <w:szCs w:val="32"/>
        </w:rPr>
        <w:t>兰州石化</w:t>
      </w:r>
      <w:r>
        <w:rPr>
          <w:rFonts w:hint="eastAsia" w:ascii="宋体" w:hAnsi="宋体" w:eastAsia="仿宋_GB2312" w:cs="仿宋_GB2312"/>
          <w:sz w:val="32"/>
          <w:szCs w:val="32"/>
          <w:lang w:eastAsia="zh-CN"/>
        </w:rPr>
        <w:t>分公司</w:t>
      </w:r>
      <w:r>
        <w:rPr>
          <w:rFonts w:hint="eastAsia" w:ascii="宋体" w:hAnsi="宋体" w:eastAsia="仿宋_GB2312" w:cs="仿宋_GB2312"/>
          <w:sz w:val="32"/>
          <w:szCs w:val="32"/>
        </w:rPr>
        <w:t>“1</w:t>
      </w:r>
      <w:r>
        <w:rPr>
          <w:rFonts w:hint="default" w:ascii="Times New Roman" w:hAnsi="Times New Roman" w:eastAsia="仿宋_GB2312" w:cs="Times New Roman"/>
          <w:sz w:val="32"/>
          <w:szCs w:val="32"/>
        </w:rPr>
        <w:t>·</w:t>
      </w:r>
      <w:r>
        <w:rPr>
          <w:rFonts w:hint="eastAsia" w:ascii="宋体" w:hAnsi="宋体" w:eastAsia="仿宋_GB2312" w:cs="仿宋_GB2312"/>
          <w:sz w:val="32"/>
          <w:szCs w:val="32"/>
        </w:rPr>
        <w:t>7”罐区碳四泄漏爆炸火灾事故、金誉石化公司“6</w:t>
      </w:r>
      <w:r>
        <w:rPr>
          <w:rFonts w:hint="default" w:ascii="Times New Roman" w:hAnsi="Times New Roman" w:eastAsia="仿宋_GB2312" w:cs="Times New Roman"/>
          <w:sz w:val="32"/>
          <w:szCs w:val="32"/>
        </w:rPr>
        <w:t>·</w:t>
      </w:r>
      <w:r>
        <w:rPr>
          <w:rFonts w:hint="eastAsia" w:ascii="宋体" w:hAnsi="宋体" w:eastAsia="仿宋_GB2312" w:cs="仿宋_GB2312"/>
          <w:sz w:val="32"/>
          <w:szCs w:val="32"/>
        </w:rPr>
        <w:t>5”罐车泄漏重大爆炸着火事故、</w:t>
      </w:r>
      <w:r>
        <w:rPr>
          <w:rFonts w:hint="eastAsia" w:ascii="宋体" w:hAnsi="宋体" w:eastAsia="仿宋_GB2312" w:cs="仿宋_GB2312"/>
          <w:sz w:val="32"/>
          <w:szCs w:val="32"/>
          <w:lang w:eastAsia="zh-CN"/>
        </w:rPr>
        <w:t>山东</w:t>
      </w:r>
      <w:r>
        <w:rPr>
          <w:rFonts w:hint="eastAsia" w:ascii="宋体" w:hAnsi="宋体" w:eastAsia="仿宋_GB2312" w:cs="仿宋_GB2312"/>
          <w:sz w:val="32"/>
          <w:szCs w:val="32"/>
        </w:rPr>
        <w:t>石大科技“7</w:t>
      </w:r>
      <w:r>
        <w:rPr>
          <w:rFonts w:hint="default" w:ascii="Times New Roman" w:hAnsi="Times New Roman" w:eastAsia="仿宋_GB2312" w:cs="Times New Roman"/>
          <w:sz w:val="32"/>
          <w:szCs w:val="32"/>
        </w:rPr>
        <w:t>·</w:t>
      </w:r>
      <w:r>
        <w:rPr>
          <w:rFonts w:hint="eastAsia" w:ascii="宋体" w:hAnsi="宋体" w:eastAsia="仿宋_GB2312" w:cs="仿宋_GB2312"/>
          <w:sz w:val="32"/>
          <w:szCs w:val="32"/>
        </w:rPr>
        <w:t>16”液化烃球罐泄漏火灾爆炸事故、</w:t>
      </w:r>
      <w:r>
        <w:rPr>
          <w:rFonts w:hint="eastAsia" w:ascii="宋体" w:hAnsi="宋体" w:eastAsia="仿宋_GB2312" w:cs="仿宋_GB2312"/>
          <w:sz w:val="32"/>
          <w:szCs w:val="32"/>
          <w:lang w:eastAsia="zh-CN"/>
        </w:rPr>
        <w:t>中石化</w:t>
      </w:r>
      <w:r>
        <w:rPr>
          <w:rFonts w:hint="eastAsia" w:ascii="宋体" w:hAnsi="宋体" w:eastAsia="仿宋_GB2312" w:cs="仿宋_GB2312"/>
          <w:sz w:val="32"/>
          <w:szCs w:val="32"/>
        </w:rPr>
        <w:t>茂名</w:t>
      </w:r>
      <w:r>
        <w:rPr>
          <w:rFonts w:hint="eastAsia" w:ascii="宋体" w:hAnsi="宋体" w:eastAsia="仿宋_GB2312" w:cs="仿宋_GB2312"/>
          <w:sz w:val="32"/>
          <w:szCs w:val="32"/>
          <w:lang w:eastAsia="zh-CN"/>
        </w:rPr>
        <w:t>石化公司</w:t>
      </w:r>
      <w:r>
        <w:rPr>
          <w:rFonts w:hint="eastAsia" w:ascii="宋体" w:hAnsi="宋体" w:eastAsia="仿宋_GB2312" w:cs="仿宋_GB2312"/>
          <w:sz w:val="32"/>
          <w:szCs w:val="32"/>
        </w:rPr>
        <w:t>“6</w:t>
      </w:r>
      <w:r>
        <w:rPr>
          <w:rFonts w:hint="default" w:ascii="Times New Roman" w:hAnsi="Times New Roman" w:eastAsia="仿宋_GB2312" w:cs="Times New Roman"/>
          <w:sz w:val="32"/>
          <w:szCs w:val="32"/>
        </w:rPr>
        <w:t>·</w:t>
      </w:r>
      <w:r>
        <w:rPr>
          <w:rFonts w:hint="eastAsia" w:ascii="宋体" w:hAnsi="宋体" w:eastAsia="仿宋_GB2312" w:cs="仿宋_GB2312"/>
          <w:sz w:val="32"/>
          <w:szCs w:val="32"/>
        </w:rPr>
        <w:t>8”乙烯泄漏</w:t>
      </w:r>
      <w:r>
        <w:rPr>
          <w:rFonts w:hint="eastAsia" w:ascii="宋体" w:hAnsi="宋体" w:eastAsia="仿宋_GB2312" w:cs="仿宋_GB2312"/>
          <w:sz w:val="32"/>
          <w:szCs w:val="32"/>
          <w:lang w:eastAsia="zh-CN"/>
        </w:rPr>
        <w:t>着火</w:t>
      </w:r>
      <w:r>
        <w:rPr>
          <w:rFonts w:hint="eastAsia" w:ascii="宋体" w:hAnsi="宋体" w:eastAsia="仿宋_GB2312" w:cs="仿宋_GB2312"/>
          <w:sz w:val="32"/>
          <w:szCs w:val="32"/>
        </w:rPr>
        <w:t>事故等。</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为深刻吸取事故教训，切实强化液化烃储罐区安全风险管控，</w:t>
      </w:r>
      <w:r>
        <w:rPr>
          <w:rFonts w:hint="eastAsia" w:ascii="宋体" w:hAnsi="宋体" w:eastAsia="仿宋_GB2312" w:cs="仿宋_GB2312"/>
          <w:sz w:val="32"/>
          <w:szCs w:val="32"/>
          <w:lang w:eastAsia="zh-CN"/>
        </w:rPr>
        <w:t>有效提升本质安全水平，</w:t>
      </w:r>
      <w:r>
        <w:rPr>
          <w:rFonts w:hint="eastAsia" w:ascii="宋体" w:hAnsi="宋体" w:eastAsia="仿宋_GB2312"/>
          <w:bCs/>
          <w:sz w:val="32"/>
          <w:szCs w:val="32"/>
        </w:rPr>
        <w:t>2022年7月，应急管理部危化监管一司</w:t>
      </w:r>
      <w:r>
        <w:rPr>
          <w:rFonts w:hint="eastAsia" w:ascii="宋体" w:hAnsi="宋体" w:eastAsia="仿宋_GB2312"/>
          <w:bCs/>
          <w:sz w:val="32"/>
          <w:szCs w:val="32"/>
          <w:lang w:eastAsia="zh-CN"/>
        </w:rPr>
        <w:t>组织有关单位起草化工企业</w:t>
      </w:r>
      <w:r>
        <w:rPr>
          <w:rFonts w:hint="eastAsia" w:ascii="宋体" w:hAnsi="宋体" w:eastAsia="仿宋_GB2312"/>
          <w:bCs/>
          <w:sz w:val="32"/>
          <w:szCs w:val="32"/>
        </w:rPr>
        <w:t>液化烃储罐区安全管理规范，从根本上解决</w:t>
      </w:r>
      <w:r>
        <w:rPr>
          <w:rFonts w:hint="eastAsia" w:ascii="宋体" w:hAnsi="宋体" w:eastAsia="仿宋_GB2312" w:cs="仿宋_GB2312"/>
          <w:sz w:val="32"/>
          <w:szCs w:val="32"/>
        </w:rPr>
        <w:t>液化烃储罐区</w:t>
      </w:r>
      <w:r>
        <w:rPr>
          <w:rFonts w:hint="eastAsia" w:ascii="宋体" w:hAnsi="宋体" w:eastAsia="仿宋_GB2312"/>
          <w:bCs/>
          <w:sz w:val="32"/>
          <w:szCs w:val="32"/>
        </w:rPr>
        <w:t>安全风险管控问题。</w:t>
      </w:r>
    </w:p>
    <w:p>
      <w:pPr>
        <w:spacing w:line="560" w:lineRule="exact"/>
        <w:ind w:firstLine="642" w:firstLineChars="200"/>
        <w:rPr>
          <w:rFonts w:ascii="宋体" w:hAnsi="宋体" w:eastAsia="楷体_GB2312"/>
          <w:b/>
          <w:sz w:val="32"/>
          <w:szCs w:val="32"/>
        </w:rPr>
      </w:pPr>
      <w:r>
        <w:rPr>
          <w:rFonts w:hint="eastAsia" w:ascii="宋体" w:hAnsi="宋体" w:eastAsia="楷体_GB2312"/>
          <w:b/>
          <w:sz w:val="32"/>
          <w:szCs w:val="32"/>
        </w:rPr>
        <w:t>（二）主要起草单位</w:t>
      </w:r>
      <w:bookmarkStart w:id="82" w:name="_GoBack"/>
      <w:bookmarkEnd w:id="82"/>
    </w:p>
    <w:p>
      <w:pPr>
        <w:spacing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中国安全生产科学研究院、中国寰球工程有限公司、中国石化工程建设有限公司。</w:t>
      </w:r>
    </w:p>
    <w:p>
      <w:pPr>
        <w:spacing w:line="560" w:lineRule="exact"/>
        <w:ind w:firstLine="642" w:firstLineChars="200"/>
        <w:rPr>
          <w:rFonts w:ascii="宋体" w:hAnsi="宋体" w:eastAsia="楷体_GB2312"/>
          <w:b/>
          <w:sz w:val="32"/>
          <w:szCs w:val="32"/>
        </w:rPr>
      </w:pPr>
      <w:r>
        <w:rPr>
          <w:rFonts w:hint="eastAsia" w:ascii="宋体" w:hAnsi="宋体" w:eastAsia="楷体_GB2312"/>
          <w:b/>
          <w:sz w:val="32"/>
          <w:szCs w:val="32"/>
        </w:rPr>
        <w:t>（三）主要工作过程</w:t>
      </w:r>
    </w:p>
    <w:p>
      <w:pPr>
        <w:spacing w:line="560" w:lineRule="exact"/>
        <w:ind w:firstLine="640" w:firstLineChars="200"/>
        <w:rPr>
          <w:rFonts w:hint="eastAsia" w:ascii="宋体" w:hAnsi="宋体" w:eastAsia="仿宋_GB2312"/>
          <w:bCs/>
          <w:sz w:val="32"/>
          <w:szCs w:val="32"/>
          <w:lang w:eastAsia="zh-CN"/>
        </w:rPr>
        <w:sectPr>
          <w:footerReference r:id="rId30" w:type="first"/>
          <w:footerReference r:id="rId29" w:type="default"/>
          <w:type w:val="continuous"/>
          <w:pgSz w:w="11906" w:h="16838"/>
          <w:pgMar w:top="1701" w:right="1588" w:bottom="1474" w:left="1588" w:header="851" w:footer="992" w:gutter="0"/>
          <w:pgNumType w:start="1"/>
          <w:cols w:space="720" w:num="1"/>
          <w:titlePg/>
          <w:docGrid w:type="lines" w:linePitch="312" w:charSpace="0"/>
        </w:sectPr>
      </w:pPr>
      <w:r>
        <w:rPr>
          <w:rFonts w:hint="eastAsia" w:ascii="宋体" w:hAnsi="宋体" w:eastAsia="仿宋_GB2312"/>
          <w:bCs/>
          <w:sz w:val="32"/>
          <w:szCs w:val="32"/>
        </w:rPr>
        <w:t>202</w:t>
      </w:r>
      <w:r>
        <w:rPr>
          <w:rFonts w:ascii="宋体" w:hAnsi="宋体" w:eastAsia="仿宋_GB2312"/>
          <w:bCs/>
          <w:sz w:val="32"/>
          <w:szCs w:val="32"/>
        </w:rPr>
        <w:t>2</w:t>
      </w:r>
      <w:r>
        <w:rPr>
          <w:rFonts w:hint="eastAsia" w:ascii="宋体" w:hAnsi="宋体" w:eastAsia="仿宋_GB2312"/>
          <w:bCs/>
          <w:sz w:val="32"/>
          <w:szCs w:val="32"/>
        </w:rPr>
        <w:t>年</w:t>
      </w:r>
      <w:r>
        <w:rPr>
          <w:rFonts w:ascii="宋体" w:hAnsi="宋体" w:eastAsia="仿宋_GB2312"/>
          <w:bCs/>
          <w:sz w:val="32"/>
          <w:szCs w:val="32"/>
        </w:rPr>
        <w:t>6</w:t>
      </w:r>
      <w:r>
        <w:rPr>
          <w:rFonts w:hint="eastAsia" w:ascii="宋体" w:hAnsi="宋体" w:eastAsia="仿宋_GB2312"/>
          <w:bCs/>
          <w:sz w:val="32"/>
          <w:szCs w:val="32"/>
        </w:rPr>
        <w:t>月，应急管理部危化监管一司</w:t>
      </w:r>
      <w:r>
        <w:rPr>
          <w:rFonts w:hint="eastAsia" w:ascii="宋体" w:hAnsi="宋体" w:eastAsia="仿宋_GB2312"/>
          <w:bCs/>
          <w:sz w:val="32"/>
          <w:szCs w:val="32"/>
          <w:lang w:eastAsia="zh-CN"/>
        </w:rPr>
        <w:t>委托</w:t>
      </w:r>
      <w:r>
        <w:rPr>
          <w:rFonts w:hint="eastAsia" w:ascii="宋体" w:hAnsi="宋体" w:eastAsia="仿宋_GB2312"/>
          <w:bCs/>
          <w:sz w:val="32"/>
          <w:szCs w:val="32"/>
        </w:rPr>
        <w:t>中国安全生产科学研究院</w:t>
      </w:r>
      <w:r>
        <w:rPr>
          <w:rFonts w:hint="eastAsia" w:ascii="宋体" w:hAnsi="宋体" w:eastAsia="仿宋_GB2312"/>
          <w:bCs/>
          <w:sz w:val="32"/>
          <w:szCs w:val="32"/>
          <w:lang w:eastAsia="zh-CN"/>
        </w:rPr>
        <w:t>会同</w:t>
      </w:r>
      <w:r>
        <w:rPr>
          <w:rFonts w:hint="eastAsia" w:ascii="宋体" w:hAnsi="宋体" w:eastAsia="仿宋_GB2312"/>
          <w:bCs/>
          <w:sz w:val="32"/>
          <w:szCs w:val="32"/>
        </w:rPr>
        <w:t>中国石油天然气集团有限公司质量健康安全环保部、中国石油化工集团有限公司安全监管部、中国寰球工程有限公司、中国石化工程建设有限公司等相关单位</w:t>
      </w:r>
      <w:r>
        <w:rPr>
          <w:rFonts w:hint="eastAsia" w:ascii="宋体" w:hAnsi="宋体" w:eastAsia="仿宋_GB2312"/>
          <w:bCs/>
          <w:sz w:val="32"/>
          <w:szCs w:val="32"/>
          <w:lang w:eastAsia="zh-CN"/>
        </w:rPr>
        <w:t>组建起草组，</w:t>
      </w:r>
    </w:p>
    <w:p>
      <w:pPr>
        <w:spacing w:line="560" w:lineRule="exact"/>
        <w:ind w:firstLine="640" w:firstLineChars="200"/>
        <w:rPr>
          <w:rFonts w:hint="eastAsia" w:ascii="宋体" w:hAnsi="宋体" w:eastAsia="仿宋_GB2312"/>
          <w:bCs/>
          <w:color w:val="auto"/>
          <w:sz w:val="32"/>
          <w:szCs w:val="32"/>
        </w:rPr>
      </w:pPr>
      <w:r>
        <w:rPr>
          <w:rFonts w:hint="eastAsia" w:ascii="宋体" w:hAnsi="宋体" w:eastAsia="仿宋_GB2312"/>
          <w:bCs/>
          <w:sz w:val="32"/>
          <w:szCs w:val="32"/>
        </w:rPr>
        <w:t>通过梳理现有标准、对标国际规范、召集专家研讨、考察调研先进企业、总结</w:t>
      </w:r>
      <w:r>
        <w:rPr>
          <w:rFonts w:hint="eastAsia" w:ascii="宋体" w:hAnsi="宋体" w:eastAsia="仿宋_GB2312"/>
          <w:bCs/>
          <w:sz w:val="32"/>
          <w:szCs w:val="32"/>
          <w:lang w:eastAsia="zh-CN"/>
        </w:rPr>
        <w:t>国内外</w:t>
      </w:r>
      <w:r>
        <w:rPr>
          <w:rFonts w:hint="eastAsia" w:ascii="宋体" w:hAnsi="宋体" w:eastAsia="仿宋_GB2312"/>
          <w:bCs/>
          <w:color w:val="auto"/>
          <w:sz w:val="32"/>
          <w:szCs w:val="32"/>
        </w:rPr>
        <w:t>做法等，形成标准草案。</w:t>
      </w:r>
    </w:p>
    <w:p>
      <w:pPr>
        <w:spacing w:line="560" w:lineRule="exact"/>
        <w:ind w:firstLine="640" w:firstLineChars="200"/>
        <w:rPr>
          <w:rFonts w:hint="eastAsia" w:ascii="宋体" w:hAnsi="宋体" w:eastAsia="仿宋_GB2312"/>
          <w:bCs/>
          <w:sz w:val="32"/>
          <w:szCs w:val="32"/>
        </w:rPr>
      </w:pPr>
      <w:r>
        <w:rPr>
          <w:rFonts w:hint="eastAsia" w:ascii="宋体" w:hAnsi="宋体" w:eastAsia="仿宋_GB2312"/>
          <w:bCs/>
          <w:color w:val="auto"/>
          <w:sz w:val="32"/>
          <w:szCs w:val="32"/>
        </w:rPr>
        <w:t>2022年7月，</w:t>
      </w:r>
      <w:r>
        <w:rPr>
          <w:rFonts w:hint="eastAsia" w:ascii="宋体" w:hAnsi="宋体" w:eastAsia="仿宋_GB2312"/>
          <w:bCs/>
          <w:color w:val="auto"/>
          <w:sz w:val="32"/>
          <w:szCs w:val="32"/>
          <w:lang w:eastAsia="zh-CN"/>
        </w:rPr>
        <w:t>通过</w:t>
      </w:r>
      <w:r>
        <w:rPr>
          <w:rFonts w:hint="eastAsia" w:ascii="宋体" w:hAnsi="宋体" w:eastAsia="仿宋_GB2312"/>
          <w:bCs/>
          <w:color w:val="auto"/>
          <w:sz w:val="32"/>
          <w:szCs w:val="32"/>
        </w:rPr>
        <w:t>全国安全生产标准化技术委员会化学品安全分技术委员会（TC288/SC3）组织召开的标</w:t>
      </w:r>
      <w:r>
        <w:rPr>
          <w:rFonts w:hint="eastAsia" w:ascii="宋体" w:hAnsi="宋体" w:eastAsia="仿宋_GB2312"/>
          <w:bCs/>
          <w:sz w:val="32"/>
          <w:szCs w:val="32"/>
        </w:rPr>
        <w:t>准立项论证。</w:t>
      </w:r>
    </w:p>
    <w:p>
      <w:pPr>
        <w:spacing w:line="560" w:lineRule="exact"/>
        <w:ind w:firstLine="640" w:firstLineChars="200"/>
        <w:rPr>
          <w:rFonts w:ascii="宋体" w:hAnsi="宋体" w:eastAsia="仿宋_GB2312"/>
          <w:bCs/>
          <w:sz w:val="32"/>
          <w:szCs w:val="32"/>
        </w:rPr>
      </w:pPr>
      <w:r>
        <w:rPr>
          <w:rFonts w:hint="eastAsia" w:ascii="宋体" w:hAnsi="宋体" w:eastAsia="仿宋_GB2312"/>
          <w:bCs/>
          <w:sz w:val="32"/>
          <w:szCs w:val="32"/>
        </w:rPr>
        <w:t>2</w:t>
      </w:r>
      <w:r>
        <w:rPr>
          <w:rFonts w:ascii="宋体" w:hAnsi="宋体" w:eastAsia="仿宋_GB2312"/>
          <w:bCs/>
          <w:sz w:val="32"/>
          <w:szCs w:val="32"/>
        </w:rPr>
        <w:t>022</w:t>
      </w:r>
      <w:r>
        <w:rPr>
          <w:rFonts w:hint="eastAsia" w:ascii="宋体" w:hAnsi="宋体" w:eastAsia="仿宋_GB2312"/>
          <w:bCs/>
          <w:sz w:val="32"/>
          <w:szCs w:val="32"/>
        </w:rPr>
        <w:t>年8月至</w:t>
      </w:r>
      <w:r>
        <w:rPr>
          <w:rFonts w:hint="eastAsia" w:ascii="宋体" w:hAnsi="宋体" w:eastAsia="仿宋_GB2312"/>
          <w:bCs/>
          <w:sz w:val="32"/>
          <w:szCs w:val="32"/>
          <w:lang w:val="en-US" w:eastAsia="zh-CN"/>
        </w:rPr>
        <w:t>11</w:t>
      </w:r>
      <w:r>
        <w:rPr>
          <w:rFonts w:hint="eastAsia" w:ascii="宋体" w:hAnsi="宋体" w:eastAsia="仿宋_GB2312"/>
          <w:bCs/>
          <w:sz w:val="32"/>
          <w:szCs w:val="32"/>
        </w:rPr>
        <w:t>月，标准起草组</w:t>
      </w:r>
      <w:r>
        <w:rPr>
          <w:rFonts w:hint="eastAsia" w:ascii="宋体" w:hAnsi="宋体" w:eastAsia="仿宋_GB2312"/>
          <w:bCs/>
          <w:sz w:val="32"/>
          <w:szCs w:val="32"/>
          <w:lang w:eastAsia="zh-CN"/>
        </w:rPr>
        <w:t>组织多次研讨</w:t>
      </w:r>
      <w:r>
        <w:rPr>
          <w:rFonts w:hint="eastAsia" w:ascii="宋体" w:hAnsi="宋体" w:eastAsia="仿宋_GB2312"/>
          <w:bCs/>
          <w:sz w:val="32"/>
          <w:szCs w:val="32"/>
        </w:rPr>
        <w:t>，按照强制标准的规范</w:t>
      </w:r>
      <w:r>
        <w:rPr>
          <w:rFonts w:hint="eastAsia" w:ascii="宋体" w:hAnsi="宋体" w:eastAsia="仿宋_GB2312"/>
          <w:bCs/>
          <w:sz w:val="32"/>
          <w:szCs w:val="32"/>
          <w:lang w:eastAsia="zh-CN"/>
        </w:rPr>
        <w:t>要求</w:t>
      </w:r>
      <w:r>
        <w:rPr>
          <w:rFonts w:hint="eastAsia" w:ascii="宋体" w:hAnsi="宋体" w:eastAsia="仿宋_GB2312"/>
          <w:bCs/>
          <w:sz w:val="32"/>
          <w:szCs w:val="32"/>
        </w:rPr>
        <w:t>，对</w:t>
      </w:r>
      <w:r>
        <w:rPr>
          <w:rFonts w:hint="eastAsia" w:ascii="宋体" w:hAnsi="宋体" w:eastAsia="仿宋_GB2312"/>
          <w:bCs/>
          <w:sz w:val="32"/>
          <w:szCs w:val="32"/>
          <w:lang w:eastAsia="zh-CN"/>
        </w:rPr>
        <w:t>标准</w:t>
      </w:r>
      <w:r>
        <w:rPr>
          <w:rFonts w:hint="eastAsia" w:ascii="宋体" w:hAnsi="宋体" w:eastAsia="仿宋_GB2312"/>
          <w:bCs/>
          <w:sz w:val="32"/>
          <w:szCs w:val="32"/>
        </w:rPr>
        <w:t>草案内容逐条研讨论证修改，</w:t>
      </w:r>
      <w:r>
        <w:rPr>
          <w:rFonts w:hint="eastAsia" w:ascii="宋体" w:hAnsi="宋体" w:eastAsia="仿宋_GB2312"/>
          <w:bCs/>
          <w:sz w:val="32"/>
          <w:szCs w:val="32"/>
          <w:lang w:eastAsia="zh-CN"/>
        </w:rPr>
        <w:t>优化了标准草案</w:t>
      </w:r>
      <w:r>
        <w:rPr>
          <w:rFonts w:hint="eastAsia" w:ascii="宋体" w:hAnsi="宋体" w:eastAsia="仿宋_GB2312"/>
          <w:bCs/>
          <w:sz w:val="32"/>
          <w:szCs w:val="32"/>
        </w:rPr>
        <w:t>。</w:t>
      </w:r>
    </w:p>
    <w:p>
      <w:pPr>
        <w:widowControl/>
        <w:spacing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2022年12月，应急管理部办公厅印发《应急管理行业标准制修订计划（2022年第三批）》（应急厅函〔2022〕322号），予以立项，项目编号为：</w:t>
      </w:r>
      <w:r>
        <w:rPr>
          <w:rFonts w:hint="eastAsia" w:ascii="宋体" w:hAnsi="宋体" w:eastAsia="仿宋_GB2312"/>
          <w:bCs/>
          <w:sz w:val="32"/>
          <w:szCs w:val="32"/>
        </w:rPr>
        <w:fldChar w:fldCharType="begin"/>
      </w:r>
      <w:r>
        <w:rPr>
          <w:rFonts w:hint="eastAsia" w:ascii="宋体" w:hAnsi="宋体" w:eastAsia="仿宋_GB2312"/>
          <w:bCs/>
          <w:sz w:val="32"/>
          <w:szCs w:val="32"/>
        </w:rPr>
        <w:instrText xml:space="preserve"> HYPERLINK "http://www.sac.gov.cn/was5/web/search?channelid=149536&amp;templet=gjbzjhcx_detail.jsp&amp;searchword=ID=108717" \t "_blank" </w:instrText>
      </w:r>
      <w:r>
        <w:rPr>
          <w:rFonts w:hint="eastAsia" w:ascii="宋体" w:hAnsi="宋体" w:eastAsia="仿宋_GB2312"/>
          <w:bCs/>
          <w:sz w:val="32"/>
          <w:szCs w:val="32"/>
        </w:rPr>
        <w:fldChar w:fldCharType="separate"/>
      </w:r>
      <w:r>
        <w:rPr>
          <w:rFonts w:hint="eastAsia" w:ascii="宋体" w:hAnsi="宋体" w:eastAsia="仿宋_GB2312"/>
          <w:bCs/>
          <w:sz w:val="32"/>
          <w:szCs w:val="32"/>
        </w:rPr>
        <w:t>2022-AQ-0</w:t>
      </w:r>
      <w:r>
        <w:rPr>
          <w:rFonts w:hint="eastAsia" w:ascii="宋体" w:hAnsi="宋体" w:eastAsia="仿宋_GB2312"/>
          <w:bCs/>
          <w:sz w:val="32"/>
          <w:szCs w:val="32"/>
        </w:rPr>
        <w:fldChar w:fldCharType="end"/>
      </w:r>
      <w:r>
        <w:rPr>
          <w:rFonts w:hint="eastAsia" w:ascii="宋体" w:hAnsi="宋体" w:eastAsia="仿宋_GB2312"/>
          <w:bCs/>
          <w:sz w:val="32"/>
          <w:szCs w:val="32"/>
          <w:lang w:val="en-US" w:eastAsia="zh-CN"/>
        </w:rPr>
        <w:t>9</w:t>
      </w:r>
      <w:r>
        <w:rPr>
          <w:rFonts w:hint="eastAsia" w:ascii="宋体" w:hAnsi="宋体" w:eastAsia="仿宋_GB2312"/>
          <w:bCs/>
          <w:sz w:val="32"/>
          <w:szCs w:val="32"/>
        </w:rPr>
        <w:t>。</w:t>
      </w:r>
    </w:p>
    <w:p>
      <w:pPr>
        <w:spacing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2</w:t>
      </w:r>
      <w:r>
        <w:rPr>
          <w:rFonts w:ascii="宋体" w:hAnsi="宋体" w:eastAsia="仿宋_GB2312"/>
          <w:bCs/>
          <w:sz w:val="32"/>
          <w:szCs w:val="32"/>
        </w:rPr>
        <w:t>023</w:t>
      </w:r>
      <w:r>
        <w:rPr>
          <w:rFonts w:hint="eastAsia" w:ascii="宋体" w:hAnsi="宋体" w:eastAsia="仿宋_GB2312"/>
          <w:bCs/>
          <w:sz w:val="32"/>
          <w:szCs w:val="32"/>
        </w:rPr>
        <w:t>年2月，标准起草组形成了标准征求意见稿。</w:t>
      </w:r>
    </w:p>
    <w:p>
      <w:pPr>
        <w:spacing w:line="560" w:lineRule="exact"/>
        <w:ind w:firstLine="640" w:firstLineChars="200"/>
        <w:rPr>
          <w:rFonts w:hint="eastAsia" w:ascii="宋体" w:hAnsi="宋体" w:eastAsia="黑体"/>
          <w:sz w:val="32"/>
          <w:szCs w:val="32"/>
        </w:rPr>
      </w:pPr>
      <w:r>
        <w:rPr>
          <w:rFonts w:hint="eastAsia" w:ascii="宋体" w:hAnsi="宋体" w:eastAsia="黑体"/>
          <w:sz w:val="32"/>
          <w:szCs w:val="32"/>
        </w:rPr>
        <w:t>二、标准编制原则和确定标准主要技术内容的论据</w:t>
      </w:r>
    </w:p>
    <w:p>
      <w:pPr>
        <w:autoSpaceDE w:val="0"/>
        <w:autoSpaceDN w:val="0"/>
        <w:adjustRightInd w:val="0"/>
        <w:spacing w:line="560" w:lineRule="exact"/>
        <w:ind w:firstLine="642" w:firstLineChars="200"/>
        <w:rPr>
          <w:rFonts w:hint="eastAsia" w:ascii="宋体" w:hAnsi="宋体" w:eastAsia="仿宋_GB2312"/>
          <w:b/>
          <w:sz w:val="32"/>
          <w:szCs w:val="32"/>
        </w:rPr>
      </w:pPr>
      <w:r>
        <w:rPr>
          <w:rFonts w:ascii="宋体" w:hAnsi="宋体" w:eastAsia="楷体_GB2312"/>
          <w:b/>
          <w:sz w:val="32"/>
          <w:szCs w:val="32"/>
        </w:rPr>
        <w:t>（一）编制原则</w:t>
      </w:r>
    </w:p>
    <w:p>
      <w:pPr>
        <w:spacing w:line="560" w:lineRule="exact"/>
        <w:ind w:firstLine="640" w:firstLineChars="200"/>
        <w:rPr>
          <w:rFonts w:hint="eastAsia" w:ascii="宋体" w:hAnsi="宋体" w:eastAsia="仿宋_GB2312"/>
          <w:bCs/>
          <w:sz w:val="32"/>
          <w:szCs w:val="32"/>
        </w:rPr>
      </w:pPr>
      <w:r>
        <w:rPr>
          <w:rFonts w:ascii="宋体" w:hAnsi="宋体" w:eastAsia="仿宋_GB2312"/>
          <w:bCs/>
          <w:sz w:val="32"/>
          <w:szCs w:val="32"/>
        </w:rPr>
        <w:t>本标准</w:t>
      </w:r>
      <w:r>
        <w:rPr>
          <w:rFonts w:hint="eastAsia" w:ascii="宋体" w:hAnsi="宋体" w:eastAsia="仿宋_GB2312"/>
          <w:bCs/>
          <w:sz w:val="32"/>
          <w:szCs w:val="32"/>
        </w:rPr>
        <w:t>编制</w:t>
      </w:r>
      <w:r>
        <w:rPr>
          <w:rFonts w:ascii="宋体" w:hAnsi="宋体" w:eastAsia="仿宋_GB2312"/>
          <w:bCs/>
          <w:sz w:val="32"/>
          <w:szCs w:val="32"/>
        </w:rPr>
        <w:t>以我国安全生产</w:t>
      </w:r>
      <w:r>
        <w:rPr>
          <w:rFonts w:hint="eastAsia" w:ascii="宋体" w:hAnsi="宋体" w:eastAsia="仿宋_GB2312"/>
          <w:bCs/>
          <w:sz w:val="32"/>
          <w:szCs w:val="32"/>
        </w:rPr>
        <w:t>相关</w:t>
      </w:r>
      <w:r>
        <w:rPr>
          <w:rFonts w:ascii="宋体" w:hAnsi="宋体" w:eastAsia="仿宋_GB2312"/>
          <w:bCs/>
          <w:sz w:val="32"/>
          <w:szCs w:val="32"/>
        </w:rPr>
        <w:t>法律法规、标准</w:t>
      </w:r>
      <w:r>
        <w:rPr>
          <w:rFonts w:hint="eastAsia" w:ascii="宋体" w:hAnsi="宋体" w:eastAsia="仿宋_GB2312"/>
          <w:bCs/>
          <w:sz w:val="32"/>
          <w:szCs w:val="32"/>
        </w:rPr>
        <w:t>规范</w:t>
      </w:r>
      <w:r>
        <w:rPr>
          <w:rFonts w:ascii="宋体" w:hAnsi="宋体" w:eastAsia="仿宋_GB2312"/>
          <w:bCs/>
          <w:sz w:val="32"/>
          <w:szCs w:val="32"/>
        </w:rPr>
        <w:t>为依据，坚持安全第一</w:t>
      </w:r>
      <w:r>
        <w:rPr>
          <w:rFonts w:hint="eastAsia" w:ascii="宋体" w:hAnsi="宋体" w:eastAsia="仿宋_GB2312"/>
          <w:bCs/>
          <w:sz w:val="32"/>
          <w:szCs w:val="32"/>
        </w:rPr>
        <w:t>、</w:t>
      </w:r>
      <w:r>
        <w:rPr>
          <w:rFonts w:ascii="宋体" w:hAnsi="宋体" w:eastAsia="仿宋_GB2312"/>
          <w:bCs/>
          <w:sz w:val="32"/>
          <w:szCs w:val="32"/>
        </w:rPr>
        <w:t>预防为主</w:t>
      </w:r>
      <w:r>
        <w:rPr>
          <w:rFonts w:hint="eastAsia" w:ascii="宋体" w:hAnsi="宋体" w:eastAsia="仿宋_GB2312"/>
          <w:bCs/>
          <w:sz w:val="32"/>
          <w:szCs w:val="32"/>
        </w:rPr>
        <w:t>、综合治理</w:t>
      </w:r>
      <w:r>
        <w:rPr>
          <w:rFonts w:ascii="宋体" w:hAnsi="宋体" w:eastAsia="仿宋_GB2312"/>
          <w:bCs/>
          <w:sz w:val="32"/>
          <w:szCs w:val="32"/>
        </w:rPr>
        <w:t>的指导原则，按照</w:t>
      </w:r>
      <w:r>
        <w:rPr>
          <w:rFonts w:hint="eastAsia" w:ascii="宋体" w:hAnsi="宋体" w:eastAsia="仿宋_GB2312"/>
          <w:bCs/>
          <w:sz w:val="32"/>
          <w:szCs w:val="32"/>
        </w:rPr>
        <w:t>对标国际、本质提升</w:t>
      </w:r>
      <w:r>
        <w:rPr>
          <w:rFonts w:ascii="宋体" w:hAnsi="宋体" w:eastAsia="仿宋_GB2312"/>
          <w:bCs/>
          <w:sz w:val="32"/>
          <w:szCs w:val="32"/>
        </w:rPr>
        <w:t>的</w:t>
      </w:r>
      <w:r>
        <w:rPr>
          <w:rFonts w:hint="eastAsia" w:ascii="宋体" w:hAnsi="宋体" w:eastAsia="仿宋_GB2312"/>
          <w:bCs/>
          <w:sz w:val="32"/>
          <w:szCs w:val="32"/>
        </w:rPr>
        <w:t>要求</w:t>
      </w:r>
      <w:r>
        <w:rPr>
          <w:rFonts w:ascii="宋体" w:hAnsi="宋体" w:eastAsia="仿宋_GB2312"/>
          <w:bCs/>
          <w:sz w:val="32"/>
          <w:szCs w:val="32"/>
        </w:rPr>
        <w:t>，</w:t>
      </w:r>
      <w:r>
        <w:rPr>
          <w:rFonts w:hint="eastAsia" w:ascii="宋体" w:hAnsi="宋体" w:eastAsia="仿宋_GB2312"/>
          <w:bCs/>
          <w:sz w:val="32"/>
          <w:szCs w:val="32"/>
        </w:rPr>
        <w:t>深刻吸取事故教训，针对液化烃</w:t>
      </w:r>
      <w:r>
        <w:rPr>
          <w:rFonts w:ascii="宋体" w:hAnsi="宋体" w:eastAsia="仿宋_GB2312"/>
          <w:bCs/>
          <w:sz w:val="32"/>
          <w:szCs w:val="32"/>
        </w:rPr>
        <w:t>行业发展及运行管理现状</w:t>
      </w:r>
      <w:r>
        <w:rPr>
          <w:rFonts w:hint="eastAsia" w:ascii="宋体" w:hAnsi="宋体" w:eastAsia="仿宋_GB2312"/>
          <w:bCs/>
          <w:sz w:val="32"/>
          <w:szCs w:val="32"/>
        </w:rPr>
        <w:t>，对液化烃储罐区安全管理进行了系统性规范。本标准同国内法律法规无冲突。</w:t>
      </w:r>
    </w:p>
    <w:p>
      <w:pPr>
        <w:numPr>
          <w:ilvl w:val="0"/>
          <w:numId w:val="48"/>
        </w:numPr>
        <w:autoSpaceDE w:val="0"/>
        <w:autoSpaceDN w:val="0"/>
        <w:adjustRightInd w:val="0"/>
        <w:spacing w:line="560" w:lineRule="exact"/>
        <w:ind w:firstLine="642" w:firstLineChars="200"/>
        <w:rPr>
          <w:rFonts w:ascii="宋体" w:hAnsi="宋体" w:eastAsia="楷体_GB2312"/>
          <w:b/>
          <w:sz w:val="32"/>
          <w:szCs w:val="32"/>
        </w:rPr>
      </w:pPr>
      <w:r>
        <w:rPr>
          <w:rFonts w:ascii="宋体" w:hAnsi="宋体" w:eastAsia="楷体_GB2312"/>
          <w:b/>
          <w:sz w:val="32"/>
          <w:szCs w:val="32"/>
        </w:rPr>
        <w:t>主要内容</w:t>
      </w:r>
    </w:p>
    <w:p>
      <w:pPr>
        <w:pStyle w:val="2"/>
        <w:spacing w:line="560" w:lineRule="exact"/>
        <w:ind w:firstLine="640" w:firstLineChars="200"/>
        <w:rPr>
          <w:rFonts w:hint="eastAsia" w:hAnsi="宋体" w:eastAsia="仿宋_GB2312"/>
          <w:bCs/>
          <w:sz w:val="32"/>
          <w:szCs w:val="32"/>
        </w:rPr>
      </w:pPr>
      <w:r>
        <w:rPr>
          <w:rFonts w:hint="eastAsia" w:hAnsi="宋体" w:eastAsia="仿宋_GB2312"/>
          <w:bCs/>
          <w:sz w:val="32"/>
          <w:szCs w:val="32"/>
        </w:rPr>
        <w:t>本</w:t>
      </w:r>
      <w:r>
        <w:rPr>
          <w:rFonts w:hint="eastAsia" w:hAnsi="宋体" w:eastAsia="仿宋_GB2312"/>
          <w:bCs/>
          <w:sz w:val="32"/>
          <w:szCs w:val="32"/>
          <w:lang w:eastAsia="zh-CN"/>
        </w:rPr>
        <w:t>标准</w:t>
      </w:r>
      <w:r>
        <w:rPr>
          <w:rFonts w:hint="eastAsia" w:hAnsi="宋体" w:eastAsia="仿宋_GB2312"/>
          <w:bCs/>
          <w:sz w:val="32"/>
          <w:szCs w:val="32"/>
        </w:rPr>
        <w:t>规定了液化烃储罐区总体要求、规划布局与总图布置、设计要求、关键设备及材料采购、施工质量管理、试车投用、运行管理、检维修管理、应急管理的要求。</w:t>
      </w:r>
    </w:p>
    <w:p>
      <w:pPr>
        <w:pStyle w:val="2"/>
        <w:spacing w:line="560" w:lineRule="exact"/>
        <w:ind w:firstLine="640" w:firstLineChars="200"/>
        <w:rPr>
          <w:rFonts w:hint="eastAsia" w:hAnsi="宋体"/>
        </w:rPr>
      </w:pPr>
      <w:r>
        <w:rPr>
          <w:rFonts w:hint="eastAsia" w:hAnsi="宋体" w:eastAsia="仿宋_GB2312"/>
          <w:bCs/>
          <w:sz w:val="32"/>
          <w:szCs w:val="32"/>
        </w:rPr>
        <w:t>本</w:t>
      </w:r>
      <w:r>
        <w:rPr>
          <w:rFonts w:hint="eastAsia" w:hAnsi="宋体" w:eastAsia="仿宋_GB2312"/>
          <w:bCs/>
          <w:sz w:val="32"/>
          <w:szCs w:val="32"/>
          <w:lang w:eastAsia="zh-CN"/>
        </w:rPr>
        <w:t>标准</w:t>
      </w:r>
      <w:r>
        <w:rPr>
          <w:rFonts w:hint="eastAsia" w:hAnsi="宋体" w:eastAsia="仿宋_GB2312"/>
          <w:bCs/>
          <w:sz w:val="32"/>
          <w:szCs w:val="32"/>
        </w:rPr>
        <w:t>适用于新建、改建和扩建石油化工、煤化工、精细化工等生产建设项目厂区内的液化烃储罐区，及其提升改造的在役液化烃储罐区。</w:t>
      </w:r>
    </w:p>
    <w:p>
      <w:pPr>
        <w:spacing w:line="560" w:lineRule="exact"/>
        <w:ind w:firstLine="640" w:firstLineChars="200"/>
        <w:rPr>
          <w:rFonts w:hint="eastAsia" w:ascii="宋体" w:hAnsi="宋体" w:eastAsia="黑体"/>
          <w:bCs/>
          <w:sz w:val="32"/>
          <w:szCs w:val="32"/>
        </w:rPr>
      </w:pPr>
      <w:r>
        <w:rPr>
          <w:rFonts w:hint="eastAsia" w:ascii="宋体" w:hAnsi="宋体" w:eastAsia="黑体"/>
          <w:bCs/>
          <w:sz w:val="32"/>
          <w:szCs w:val="32"/>
        </w:rPr>
        <w:t>三、与国际、国外有关法律法规和标准水平的对比分析</w:t>
      </w:r>
    </w:p>
    <w:p>
      <w:pPr>
        <w:spacing w:line="560" w:lineRule="exact"/>
        <w:ind w:firstLine="640" w:firstLineChars="200"/>
        <w:rPr>
          <w:rFonts w:ascii="宋体" w:hAnsi="宋体" w:eastAsia="仿宋_GB2312"/>
          <w:sz w:val="32"/>
          <w:szCs w:val="32"/>
        </w:rPr>
      </w:pPr>
      <w:r>
        <w:rPr>
          <w:rFonts w:hint="eastAsia" w:ascii="宋体" w:hAnsi="宋体" w:eastAsia="仿宋_GB2312"/>
          <w:sz w:val="32"/>
          <w:szCs w:val="32"/>
        </w:rPr>
        <w:t>在国际标准和国外标准体系中，没有专门针对储运工程领域的标准，其相关技术要求分散在不同学会/协会标准中，如美国石油学会标准API RP521、API STD2000、API STD2510；美国机械工程师协会标准ASME B31.4，ASME B31.8；美国防火协会标准NFPA 30、NFPA 59A；欧洲标准EN1473等分别有一些储运工程的技术要求。这些标准涉及了设计、采购、安装及检验等多方面的内容，均为专项的综合性标准。</w:t>
      </w:r>
    </w:p>
    <w:p>
      <w:pPr>
        <w:spacing w:line="560" w:lineRule="exact"/>
        <w:ind w:firstLine="640" w:firstLineChars="200"/>
        <w:rPr>
          <w:rFonts w:hint="eastAsia" w:ascii="宋体" w:hAnsi="宋体" w:eastAsia="仿宋_GB2312"/>
          <w:bCs/>
          <w:sz w:val="32"/>
          <w:szCs w:val="32"/>
        </w:rPr>
      </w:pPr>
      <w:r>
        <w:rPr>
          <w:rFonts w:hint="eastAsia" w:ascii="宋体" w:hAnsi="宋体" w:eastAsia="仿宋_GB2312"/>
          <w:sz w:val="32"/>
          <w:szCs w:val="32"/>
        </w:rPr>
        <w:t>总体看，本标准的专业技术水平与国外标准水平基本相当，但其系统性、完整性、广泛性、协调性、本质安全性等方面具有优势。</w:t>
      </w:r>
    </w:p>
    <w:p>
      <w:pPr>
        <w:spacing w:line="560" w:lineRule="exact"/>
        <w:ind w:firstLine="640" w:firstLineChars="200"/>
        <w:rPr>
          <w:rFonts w:hint="eastAsia" w:ascii="宋体" w:hAnsi="宋体" w:eastAsia="黑体"/>
          <w:bCs/>
          <w:sz w:val="32"/>
          <w:szCs w:val="32"/>
        </w:rPr>
      </w:pPr>
      <w:r>
        <w:rPr>
          <w:rFonts w:hint="eastAsia" w:ascii="宋体" w:hAnsi="宋体" w:eastAsia="黑体"/>
          <w:bCs/>
          <w:sz w:val="32"/>
          <w:szCs w:val="32"/>
        </w:rPr>
        <w:t>四、</w:t>
      </w:r>
      <w:r>
        <w:rPr>
          <w:rFonts w:ascii="宋体" w:hAnsi="宋体" w:eastAsia="黑体"/>
          <w:bCs/>
          <w:sz w:val="32"/>
          <w:szCs w:val="32"/>
        </w:rPr>
        <w:t>与现行有关法律、法规和标准的关系</w:t>
      </w:r>
    </w:p>
    <w:p>
      <w:pPr>
        <w:spacing w:line="560" w:lineRule="exact"/>
        <w:ind w:firstLine="640" w:firstLineChars="200"/>
        <w:rPr>
          <w:rFonts w:ascii="宋体" w:hAnsi="宋体" w:eastAsia="仿宋_GB2312"/>
          <w:sz w:val="32"/>
          <w:szCs w:val="32"/>
        </w:rPr>
      </w:pPr>
      <w:r>
        <w:rPr>
          <w:rFonts w:hint="eastAsia" w:ascii="宋体" w:hAnsi="宋体" w:eastAsia="仿宋_GB2312"/>
          <w:sz w:val="32"/>
          <w:szCs w:val="32"/>
        </w:rPr>
        <w:t>液化烃储罐区涉及的</w:t>
      </w:r>
      <w:r>
        <w:rPr>
          <w:rFonts w:hint="eastAsia" w:ascii="宋体" w:hAnsi="宋体" w:eastAsia="仿宋_GB2312"/>
          <w:sz w:val="32"/>
          <w:szCs w:val="32"/>
          <w:lang w:eastAsia="zh-CN"/>
        </w:rPr>
        <w:t>现行</w:t>
      </w:r>
      <w:r>
        <w:rPr>
          <w:rFonts w:hint="eastAsia" w:ascii="宋体" w:hAnsi="宋体" w:eastAsia="仿宋_GB2312"/>
          <w:sz w:val="32"/>
          <w:szCs w:val="32"/>
        </w:rPr>
        <w:t>标准主要包括《石油化工工厂布置设计规范》《石油化工企业设计防火标准》《压力容器》《钢制球形储罐》《球形储罐施工规范》《石油化工钢制低温储罐技术规范》等国家标准，</w:t>
      </w:r>
      <w:r>
        <w:rPr>
          <w:rFonts w:hint="eastAsia" w:ascii="宋体" w:hAnsi="宋体" w:eastAsia="仿宋_GB2312"/>
          <w:sz w:val="32"/>
          <w:szCs w:val="32"/>
          <w:highlight w:val="none"/>
        </w:rPr>
        <w:t>《危险化学品储罐区作业安全通则》</w:t>
      </w:r>
      <w:r>
        <w:rPr>
          <w:rFonts w:hint="eastAsia" w:ascii="宋体" w:hAnsi="宋体" w:eastAsia="仿宋_GB2312"/>
          <w:sz w:val="32"/>
          <w:szCs w:val="32"/>
        </w:rPr>
        <w:t>《液化烃球形储罐安全设计规范》《石油化工罐区自动化系统设计规范》等行业标准。</w:t>
      </w:r>
    </w:p>
    <w:p>
      <w:pPr>
        <w:spacing w:line="560" w:lineRule="exact"/>
        <w:ind w:firstLine="640" w:firstLineChars="200"/>
        <w:rPr>
          <w:rFonts w:hint="eastAsia" w:ascii="宋体" w:hAnsi="宋体" w:eastAsia="仿宋_GB2312"/>
          <w:sz w:val="32"/>
          <w:szCs w:val="32"/>
        </w:rPr>
      </w:pPr>
      <w:r>
        <w:rPr>
          <w:rFonts w:hint="eastAsia" w:ascii="宋体" w:hAnsi="宋体" w:eastAsia="仿宋_GB2312"/>
          <w:sz w:val="32"/>
          <w:szCs w:val="32"/>
        </w:rPr>
        <w:t>经梳理，《石油化工工厂布置设计规范》《石油化工企业设计防火标准》</w:t>
      </w:r>
      <w:r>
        <w:rPr>
          <w:rFonts w:hint="eastAsia" w:ascii="宋体" w:hAnsi="宋体" w:eastAsia="仿宋_GB2312"/>
          <w:sz w:val="32"/>
          <w:szCs w:val="32"/>
          <w:lang w:val="en-US" w:eastAsia="zh-CN"/>
        </w:rPr>
        <w:t>主要</w:t>
      </w:r>
      <w:r>
        <w:rPr>
          <w:rFonts w:hint="eastAsia" w:ascii="宋体" w:hAnsi="宋体" w:eastAsia="仿宋_GB2312"/>
          <w:sz w:val="32"/>
          <w:szCs w:val="32"/>
        </w:rPr>
        <w:t>针对石油化工企业全厂区，做出工程设计、防火设计</w:t>
      </w:r>
      <w:r>
        <w:rPr>
          <w:rFonts w:hint="eastAsia" w:ascii="宋体" w:hAnsi="宋体" w:eastAsia="仿宋_GB2312"/>
          <w:sz w:val="32"/>
          <w:szCs w:val="32"/>
          <w:lang w:eastAsia="zh-CN"/>
        </w:rPr>
        <w:t>等</w:t>
      </w:r>
      <w:r>
        <w:rPr>
          <w:rFonts w:hint="eastAsia" w:ascii="宋体" w:hAnsi="宋体" w:eastAsia="仿宋_GB2312"/>
          <w:sz w:val="32"/>
          <w:szCs w:val="32"/>
        </w:rPr>
        <w:t>规定；《压力容器》</w:t>
      </w:r>
      <w:r>
        <w:rPr>
          <w:rFonts w:hint="eastAsia" w:ascii="宋体" w:hAnsi="宋体" w:eastAsia="仿宋_GB2312"/>
          <w:sz w:val="32"/>
          <w:szCs w:val="32"/>
          <w:lang w:eastAsia="zh-CN"/>
        </w:rPr>
        <w:t>主要</w:t>
      </w:r>
      <w:r>
        <w:rPr>
          <w:rFonts w:hint="eastAsia" w:ascii="宋体" w:hAnsi="宋体" w:eastAsia="仿宋_GB2312"/>
          <w:sz w:val="32"/>
          <w:szCs w:val="32"/>
        </w:rPr>
        <w:t>针对金属制压力容器，做出设计、制造、检验和验收</w:t>
      </w:r>
      <w:r>
        <w:rPr>
          <w:rFonts w:hint="eastAsia" w:ascii="宋体" w:hAnsi="宋体" w:eastAsia="仿宋_GB2312"/>
          <w:sz w:val="32"/>
          <w:szCs w:val="32"/>
          <w:lang w:eastAsia="zh-CN"/>
        </w:rPr>
        <w:t>等</w:t>
      </w:r>
      <w:r>
        <w:rPr>
          <w:rFonts w:hint="eastAsia" w:ascii="宋体" w:hAnsi="宋体" w:eastAsia="仿宋_GB2312"/>
          <w:sz w:val="32"/>
          <w:szCs w:val="32"/>
        </w:rPr>
        <w:t>要求；《钢制球形储罐》《球形储罐施工规范》《液化烃球形储罐安全设计规范》</w:t>
      </w:r>
      <w:r>
        <w:rPr>
          <w:rFonts w:hint="eastAsia" w:ascii="宋体" w:hAnsi="宋体" w:eastAsia="仿宋_GB2312"/>
          <w:sz w:val="32"/>
          <w:szCs w:val="32"/>
          <w:lang w:eastAsia="zh-CN"/>
        </w:rPr>
        <w:t>主要是</w:t>
      </w:r>
      <w:r>
        <w:rPr>
          <w:rFonts w:hint="eastAsia" w:ascii="宋体" w:hAnsi="宋体" w:eastAsia="仿宋_GB2312"/>
          <w:sz w:val="32"/>
          <w:szCs w:val="32"/>
        </w:rPr>
        <w:t>针对球罐建造、施工过程做出的规范；《石油化工钢制低温储罐技术规范》</w:t>
      </w:r>
      <w:r>
        <w:rPr>
          <w:rFonts w:hint="eastAsia" w:ascii="宋体" w:hAnsi="宋体" w:eastAsia="仿宋_GB2312"/>
          <w:sz w:val="32"/>
          <w:szCs w:val="32"/>
          <w:lang w:eastAsia="zh-CN"/>
        </w:rPr>
        <w:t>主要</w:t>
      </w:r>
      <w:r>
        <w:rPr>
          <w:rFonts w:hint="eastAsia" w:ascii="宋体" w:hAnsi="宋体" w:eastAsia="仿宋_GB2312"/>
          <w:sz w:val="32"/>
          <w:szCs w:val="32"/>
        </w:rPr>
        <w:t>针对钢制低温储罐制定的设计和建造要求</w:t>
      </w:r>
      <w:r>
        <w:rPr>
          <w:rFonts w:hint="eastAsia" w:ascii="宋体" w:hAnsi="宋体" w:eastAsia="仿宋_GB2312"/>
          <w:sz w:val="32"/>
          <w:szCs w:val="32"/>
          <w:lang w:val="en-US" w:eastAsia="zh-CN"/>
        </w:rPr>
        <w:t>；</w:t>
      </w:r>
      <w:r>
        <w:rPr>
          <w:rFonts w:hint="eastAsia" w:ascii="宋体" w:hAnsi="宋体" w:eastAsia="仿宋_GB2312"/>
          <w:sz w:val="32"/>
          <w:szCs w:val="32"/>
          <w:highlight w:val="none"/>
        </w:rPr>
        <w:t>《危险化学品储罐区作业安全通则》</w:t>
      </w:r>
      <w:r>
        <w:rPr>
          <w:rFonts w:hint="eastAsia" w:ascii="宋体" w:hAnsi="宋体" w:eastAsia="仿宋_GB2312"/>
          <w:sz w:val="32"/>
          <w:szCs w:val="32"/>
          <w:highlight w:val="none"/>
          <w:lang w:eastAsia="zh-CN"/>
        </w:rPr>
        <w:t>主要</w:t>
      </w:r>
      <w:r>
        <w:rPr>
          <w:rFonts w:hint="eastAsia" w:ascii="宋体" w:hAnsi="宋体" w:eastAsia="仿宋_GB2312"/>
          <w:sz w:val="32"/>
          <w:szCs w:val="32"/>
          <w:highlight w:val="none"/>
        </w:rPr>
        <w:t>针对危险化学品罐区（不包括中间罐区、覆土罐区等）检维修作业、吹扫作业、清线作业、清罐作业</w:t>
      </w:r>
      <w:r>
        <w:rPr>
          <w:rFonts w:hint="eastAsia" w:ascii="宋体" w:hAnsi="宋体" w:eastAsia="仿宋_GB2312"/>
          <w:sz w:val="32"/>
          <w:szCs w:val="32"/>
          <w:highlight w:val="none"/>
          <w:lang w:eastAsia="zh-CN"/>
        </w:rPr>
        <w:t>，</w:t>
      </w:r>
      <w:r>
        <w:rPr>
          <w:rFonts w:hint="eastAsia" w:ascii="宋体" w:hAnsi="宋体" w:eastAsia="仿宋_GB2312"/>
          <w:sz w:val="32"/>
          <w:szCs w:val="32"/>
          <w:highlight w:val="none"/>
        </w:rPr>
        <w:t>提出安全性要求</w:t>
      </w:r>
      <w:r>
        <w:rPr>
          <w:rFonts w:hint="eastAsia" w:ascii="宋体" w:hAnsi="宋体" w:eastAsia="仿宋_GB2312"/>
          <w:sz w:val="32"/>
          <w:szCs w:val="32"/>
          <w:highlight w:val="none"/>
          <w:lang w:eastAsia="zh-CN"/>
        </w:rPr>
        <w:t>；</w:t>
      </w:r>
      <w:r>
        <w:rPr>
          <w:rFonts w:hint="eastAsia" w:ascii="宋体" w:hAnsi="宋体" w:eastAsia="仿宋_GB2312"/>
          <w:sz w:val="32"/>
          <w:szCs w:val="32"/>
        </w:rPr>
        <w:t>《石油化工罐区自动化系统设计规范》</w:t>
      </w:r>
      <w:r>
        <w:rPr>
          <w:rFonts w:hint="eastAsia" w:ascii="宋体" w:hAnsi="宋体" w:eastAsia="仿宋_GB2312"/>
          <w:sz w:val="32"/>
          <w:szCs w:val="32"/>
          <w:lang w:eastAsia="zh-CN"/>
        </w:rPr>
        <w:t>主要</w:t>
      </w:r>
      <w:r>
        <w:rPr>
          <w:rFonts w:hint="eastAsia" w:ascii="宋体" w:hAnsi="宋体" w:eastAsia="仿宋_GB2312"/>
          <w:sz w:val="32"/>
          <w:szCs w:val="32"/>
        </w:rPr>
        <w:t>针对石油化工储运系统的罐区，做出自动化系统设计规范。</w:t>
      </w:r>
    </w:p>
    <w:p>
      <w:pPr>
        <w:spacing w:line="560" w:lineRule="exact"/>
        <w:ind w:firstLine="640" w:firstLineChars="200"/>
        <w:rPr>
          <w:rFonts w:hint="eastAsia" w:ascii="宋体" w:hAnsi="宋体" w:eastAsia="宋体"/>
          <w:sz w:val="21"/>
          <w:szCs w:val="24"/>
        </w:rPr>
      </w:pPr>
      <w:r>
        <w:rPr>
          <w:rFonts w:hint="eastAsia" w:ascii="宋体" w:hAnsi="宋体" w:eastAsia="仿宋_GB2312"/>
          <w:sz w:val="32"/>
          <w:szCs w:val="32"/>
        </w:rPr>
        <w:t>本标准是基于</w:t>
      </w:r>
      <w:r>
        <w:rPr>
          <w:rFonts w:hint="eastAsia" w:ascii="宋体" w:hAnsi="宋体" w:eastAsia="仿宋_GB2312"/>
          <w:sz w:val="32"/>
          <w:szCs w:val="32"/>
          <w:lang w:eastAsia="zh-CN"/>
        </w:rPr>
        <w:t>针对安全</w:t>
      </w:r>
      <w:r>
        <w:rPr>
          <w:rFonts w:hint="eastAsia" w:ascii="宋体" w:hAnsi="宋体" w:eastAsia="仿宋_GB2312"/>
          <w:sz w:val="32"/>
          <w:szCs w:val="32"/>
        </w:rPr>
        <w:t>风险管理</w:t>
      </w:r>
      <w:r>
        <w:rPr>
          <w:rFonts w:hint="eastAsia" w:ascii="宋体" w:hAnsi="宋体" w:eastAsia="仿宋_GB2312"/>
          <w:sz w:val="32"/>
          <w:szCs w:val="32"/>
          <w:lang w:eastAsia="zh-CN"/>
        </w:rPr>
        <w:t>、提升本质安全</w:t>
      </w:r>
      <w:r>
        <w:rPr>
          <w:rFonts w:hint="eastAsia" w:ascii="宋体" w:hAnsi="宋体" w:eastAsia="仿宋_GB2312"/>
          <w:sz w:val="32"/>
          <w:szCs w:val="32"/>
        </w:rPr>
        <w:t>的理念，</w:t>
      </w:r>
      <w:r>
        <w:rPr>
          <w:rFonts w:hint="eastAsia" w:ascii="宋体" w:hAnsi="宋体" w:eastAsia="仿宋_GB2312"/>
          <w:bCs/>
          <w:sz w:val="32"/>
          <w:szCs w:val="32"/>
        </w:rPr>
        <w:t>结合液化烃储罐区</w:t>
      </w:r>
      <w:r>
        <w:rPr>
          <w:rFonts w:ascii="宋体" w:hAnsi="宋体" w:eastAsia="仿宋_GB2312"/>
          <w:bCs/>
          <w:sz w:val="32"/>
          <w:szCs w:val="32"/>
        </w:rPr>
        <w:t>运行管理</w:t>
      </w:r>
      <w:r>
        <w:rPr>
          <w:rFonts w:hint="eastAsia" w:ascii="宋体" w:hAnsi="宋体" w:eastAsia="仿宋_GB2312"/>
          <w:bCs/>
          <w:sz w:val="32"/>
          <w:szCs w:val="32"/>
        </w:rPr>
        <w:t>需求，针对液化烃储罐区规划布局与总图布置、设计要求、关键设备及材料采购、施工质量管理、试车投用、运行管理、检维修管理、应急管理等方面，进行了系统性安全管理规范，是对现行标准的补充和提升。</w:t>
      </w:r>
    </w:p>
    <w:p>
      <w:pPr>
        <w:spacing w:line="560" w:lineRule="exact"/>
        <w:ind w:firstLine="640" w:firstLineChars="200"/>
        <w:rPr>
          <w:rFonts w:hint="eastAsia" w:ascii="宋体" w:hAnsi="宋体" w:eastAsia="黑体"/>
          <w:bCs/>
          <w:sz w:val="32"/>
          <w:szCs w:val="32"/>
        </w:rPr>
      </w:pPr>
      <w:r>
        <w:rPr>
          <w:rFonts w:hint="eastAsia" w:ascii="宋体" w:hAnsi="宋体" w:eastAsia="黑体"/>
          <w:bCs/>
          <w:sz w:val="32"/>
          <w:szCs w:val="32"/>
        </w:rPr>
        <w:t>五、</w:t>
      </w:r>
      <w:r>
        <w:rPr>
          <w:rFonts w:ascii="宋体" w:hAnsi="宋体" w:eastAsia="黑体"/>
          <w:bCs/>
          <w:sz w:val="32"/>
          <w:szCs w:val="32"/>
        </w:rPr>
        <w:t>重大分歧意见的处理</w:t>
      </w:r>
      <w:r>
        <w:rPr>
          <w:rFonts w:hint="eastAsia" w:ascii="宋体" w:hAnsi="宋体" w:eastAsia="黑体"/>
          <w:bCs/>
          <w:sz w:val="32"/>
          <w:szCs w:val="32"/>
        </w:rPr>
        <w:t>过程及</w:t>
      </w:r>
      <w:r>
        <w:rPr>
          <w:rFonts w:ascii="宋体" w:hAnsi="宋体" w:eastAsia="黑体"/>
          <w:bCs/>
          <w:sz w:val="32"/>
          <w:szCs w:val="32"/>
        </w:rPr>
        <w:t>依据</w:t>
      </w:r>
    </w:p>
    <w:p>
      <w:pPr>
        <w:spacing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无重大分歧意见。</w:t>
      </w:r>
    </w:p>
    <w:p>
      <w:pPr>
        <w:spacing w:line="560" w:lineRule="exact"/>
        <w:ind w:firstLine="640" w:firstLineChars="200"/>
        <w:rPr>
          <w:rFonts w:hint="eastAsia" w:ascii="宋体" w:hAnsi="宋体" w:eastAsia="黑体"/>
          <w:bCs/>
          <w:sz w:val="32"/>
          <w:szCs w:val="32"/>
        </w:rPr>
      </w:pPr>
      <w:r>
        <w:rPr>
          <w:rFonts w:hint="eastAsia" w:ascii="宋体" w:hAnsi="宋体" w:eastAsia="黑体"/>
          <w:bCs/>
          <w:sz w:val="32"/>
          <w:szCs w:val="32"/>
        </w:rPr>
        <w:t>六、</w:t>
      </w:r>
      <w:r>
        <w:rPr>
          <w:rFonts w:ascii="宋体" w:hAnsi="宋体" w:eastAsia="黑体"/>
          <w:bCs/>
          <w:sz w:val="32"/>
          <w:szCs w:val="32"/>
        </w:rPr>
        <w:t>标准</w:t>
      </w:r>
      <w:r>
        <w:rPr>
          <w:rFonts w:hint="eastAsia" w:ascii="宋体" w:hAnsi="宋体" w:eastAsia="黑体"/>
          <w:bCs/>
          <w:sz w:val="32"/>
          <w:szCs w:val="32"/>
        </w:rPr>
        <w:t>性质</w:t>
      </w:r>
      <w:r>
        <w:rPr>
          <w:rFonts w:ascii="宋体" w:hAnsi="宋体" w:eastAsia="黑体"/>
          <w:bCs/>
          <w:sz w:val="32"/>
          <w:szCs w:val="32"/>
        </w:rPr>
        <w:t>建议</w:t>
      </w:r>
    </w:p>
    <w:p>
      <w:pPr>
        <w:spacing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建议本标准为强制性标准。主要理由如下：</w:t>
      </w:r>
    </w:p>
    <w:p>
      <w:pPr>
        <w:spacing w:line="560" w:lineRule="exact"/>
        <w:ind w:firstLine="640" w:firstLineChars="200"/>
        <w:rPr>
          <w:rFonts w:hint="eastAsia" w:ascii="宋体" w:hAnsi="宋体" w:eastAsia="仿宋_GB2312"/>
          <w:sz w:val="32"/>
          <w:szCs w:val="32"/>
        </w:rPr>
      </w:pPr>
      <w:r>
        <w:rPr>
          <w:rFonts w:hint="eastAsia" w:ascii="宋体" w:hAnsi="宋体" w:eastAsia="仿宋_GB2312"/>
          <w:sz w:val="32"/>
          <w:szCs w:val="32"/>
        </w:rPr>
        <w:t>一是液化烃储罐区能量集中、安全风险高，一旦发生事故具有爆炸威力大、火灾蔓延面积广、扑救难度高、多米诺效应强的特点，容易造成重大人员伤亡和财产损失，直接影响公共安全与社会安定，是防范化解石化行业重大</w:t>
      </w:r>
      <w:r>
        <w:rPr>
          <w:rFonts w:hint="eastAsia" w:ascii="宋体" w:hAnsi="宋体" w:eastAsia="仿宋_GB2312"/>
          <w:sz w:val="32"/>
          <w:szCs w:val="32"/>
          <w:lang w:eastAsia="zh-CN"/>
        </w:rPr>
        <w:t>安全</w:t>
      </w:r>
      <w:r>
        <w:rPr>
          <w:rFonts w:hint="eastAsia" w:ascii="宋体" w:hAnsi="宋体" w:eastAsia="仿宋_GB2312"/>
          <w:sz w:val="32"/>
          <w:szCs w:val="32"/>
        </w:rPr>
        <w:t>风险的重中之重。</w:t>
      </w:r>
    </w:p>
    <w:p>
      <w:pPr>
        <w:spacing w:line="560" w:lineRule="exact"/>
        <w:ind w:firstLine="640" w:firstLineChars="200"/>
        <w:rPr>
          <w:rFonts w:hint="eastAsia" w:ascii="宋体" w:hAnsi="宋体" w:eastAsia="仿宋_GB2312" w:cs="Times New Roman"/>
          <w:sz w:val="32"/>
          <w:szCs w:val="32"/>
          <w:lang w:eastAsia="zh-CN"/>
        </w:rPr>
      </w:pPr>
      <w:r>
        <w:rPr>
          <w:rFonts w:hint="eastAsia" w:ascii="宋体" w:hAnsi="宋体" w:eastAsia="仿宋_GB2312" w:cs="Times New Roman"/>
          <w:sz w:val="32"/>
          <w:szCs w:val="32"/>
          <w:lang w:eastAsia="zh-CN"/>
        </w:rPr>
        <w:t>二是</w:t>
      </w:r>
      <w:r>
        <w:rPr>
          <w:rFonts w:hint="eastAsia" w:ascii="宋体" w:hAnsi="宋体" w:eastAsia="仿宋_GB2312" w:cs="Times New Roman"/>
          <w:sz w:val="32"/>
          <w:szCs w:val="32"/>
        </w:rPr>
        <w:t>液化烃储罐区</w:t>
      </w:r>
      <w:r>
        <w:rPr>
          <w:rFonts w:hint="eastAsia" w:ascii="宋体" w:hAnsi="宋体" w:eastAsia="仿宋_GB2312" w:cs="Times New Roman"/>
          <w:sz w:val="32"/>
          <w:szCs w:val="32"/>
          <w:lang w:eastAsia="zh-CN"/>
        </w:rPr>
        <w:t>一些</w:t>
      </w:r>
      <w:r>
        <w:rPr>
          <w:rFonts w:hint="eastAsia" w:ascii="宋体" w:hAnsi="宋体" w:eastAsia="仿宋_GB2312" w:cs="Times New Roman"/>
          <w:sz w:val="32"/>
          <w:szCs w:val="32"/>
        </w:rPr>
        <w:t>现行</w:t>
      </w:r>
      <w:r>
        <w:rPr>
          <w:rFonts w:hint="eastAsia" w:ascii="宋体" w:hAnsi="宋体" w:eastAsia="仿宋_GB2312" w:cs="Times New Roman"/>
          <w:sz w:val="32"/>
          <w:szCs w:val="32"/>
          <w:lang w:eastAsia="zh-CN"/>
        </w:rPr>
        <w:t>相关</w:t>
      </w:r>
      <w:r>
        <w:rPr>
          <w:rFonts w:hint="eastAsia" w:ascii="宋体" w:hAnsi="宋体" w:eastAsia="仿宋_GB2312" w:cs="Times New Roman"/>
          <w:sz w:val="32"/>
          <w:szCs w:val="32"/>
        </w:rPr>
        <w:t>标准已明显不适应储运大型化、安全发展的需要，相关标准分散，涉及GB、SH、SY等不同标委会，标准修订滞后，在具体条款上存在标准内容不系统、不统一的问题；某些标准的安全设计和风险防控理念与国际上有差距，存在本质安全设计水平不高等问题。</w:t>
      </w:r>
    </w:p>
    <w:p>
      <w:pPr>
        <w:spacing w:line="560" w:lineRule="exact"/>
        <w:ind w:firstLine="640" w:firstLineChars="200"/>
        <w:rPr>
          <w:rFonts w:hint="eastAsia" w:ascii="宋体" w:hAnsi="宋体" w:eastAsia="仿宋_GB2312"/>
          <w:sz w:val="32"/>
          <w:szCs w:val="32"/>
        </w:rPr>
      </w:pPr>
      <w:r>
        <w:rPr>
          <w:rFonts w:hint="eastAsia" w:ascii="宋体" w:hAnsi="宋体" w:eastAsia="仿宋_GB2312"/>
          <w:sz w:val="32"/>
          <w:szCs w:val="32"/>
          <w:lang w:eastAsia="zh-CN"/>
        </w:rPr>
        <w:t>三</w:t>
      </w:r>
      <w:r>
        <w:rPr>
          <w:rFonts w:hint="eastAsia" w:ascii="宋体" w:hAnsi="宋体" w:eastAsia="仿宋_GB2312"/>
          <w:sz w:val="32"/>
          <w:szCs w:val="32"/>
        </w:rPr>
        <w:t>是本标准基于事故教训和长期技术积累，从液化烃储罐区</w:t>
      </w:r>
      <w:r>
        <w:rPr>
          <w:rFonts w:hint="eastAsia" w:ascii="宋体" w:hAnsi="宋体" w:eastAsia="仿宋_GB2312"/>
          <w:bCs/>
          <w:sz w:val="32"/>
          <w:szCs w:val="32"/>
        </w:rPr>
        <w:t>总体要求、规划布局与总图布置、设计要求、关键设备及材料采购、施工质量管理、试车投用、运行管理、检维修管理、应急管理等方面提出</w:t>
      </w:r>
      <w:r>
        <w:rPr>
          <w:rFonts w:hint="eastAsia" w:ascii="宋体" w:hAnsi="宋体" w:eastAsia="仿宋_GB2312"/>
          <w:sz w:val="32"/>
          <w:szCs w:val="32"/>
        </w:rPr>
        <w:t>“</w:t>
      </w:r>
      <w:r>
        <w:rPr>
          <w:rFonts w:hint="eastAsia" w:ascii="宋体" w:hAnsi="宋体" w:eastAsia="仿宋_GB2312"/>
          <w:sz w:val="32"/>
          <w:szCs w:val="32"/>
          <w:lang w:eastAsia="zh-CN"/>
        </w:rPr>
        <w:t>守</w:t>
      </w:r>
      <w:r>
        <w:rPr>
          <w:rFonts w:hint="eastAsia" w:ascii="宋体" w:hAnsi="宋体" w:eastAsia="仿宋_GB2312"/>
          <w:sz w:val="32"/>
          <w:szCs w:val="32"/>
        </w:rPr>
        <w:t>底线、保安全”</w:t>
      </w:r>
      <w:r>
        <w:rPr>
          <w:rFonts w:hint="eastAsia" w:ascii="宋体" w:hAnsi="宋体" w:eastAsia="仿宋_GB2312"/>
          <w:bCs/>
          <w:sz w:val="32"/>
          <w:szCs w:val="32"/>
        </w:rPr>
        <w:t>的基本要求，</w:t>
      </w:r>
      <w:r>
        <w:rPr>
          <w:rFonts w:hint="eastAsia" w:ascii="宋体" w:hAnsi="宋体" w:eastAsia="仿宋_GB2312"/>
          <w:sz w:val="32"/>
          <w:szCs w:val="32"/>
        </w:rPr>
        <w:t>对系统提升液化烃储罐区的安全水平具有重要意义。</w:t>
      </w:r>
    </w:p>
    <w:p>
      <w:pPr>
        <w:spacing w:line="560" w:lineRule="exact"/>
        <w:ind w:firstLine="640" w:firstLineChars="200"/>
        <w:rPr>
          <w:rFonts w:ascii="宋体" w:hAnsi="宋体" w:eastAsia="仿宋_GB2312"/>
          <w:sz w:val="32"/>
          <w:szCs w:val="32"/>
        </w:rPr>
      </w:pPr>
      <w:r>
        <w:rPr>
          <w:rFonts w:hint="eastAsia" w:ascii="宋体" w:hAnsi="宋体" w:eastAsia="仿宋_GB2312"/>
          <w:sz w:val="32"/>
          <w:szCs w:val="32"/>
        </w:rPr>
        <w:t>根据《强制性国家标准管理办法》，应当制定强制性标准，规范液化烃储罐区系统性安全管理，有效管控</w:t>
      </w:r>
      <w:r>
        <w:rPr>
          <w:rFonts w:hint="eastAsia" w:ascii="宋体" w:hAnsi="宋体" w:eastAsia="仿宋_GB2312"/>
          <w:sz w:val="32"/>
          <w:szCs w:val="32"/>
          <w:lang w:eastAsia="zh-CN"/>
        </w:rPr>
        <w:t>安全</w:t>
      </w:r>
      <w:r>
        <w:rPr>
          <w:rFonts w:hint="eastAsia" w:ascii="宋体" w:hAnsi="宋体" w:eastAsia="仿宋_GB2312"/>
          <w:sz w:val="32"/>
          <w:szCs w:val="32"/>
        </w:rPr>
        <w:t>风险，防范事故</w:t>
      </w:r>
      <w:r>
        <w:rPr>
          <w:rFonts w:hint="eastAsia" w:ascii="宋体" w:hAnsi="宋体" w:eastAsia="仿宋_GB2312"/>
          <w:sz w:val="32"/>
          <w:szCs w:val="32"/>
          <w:lang w:eastAsia="zh-CN"/>
        </w:rPr>
        <w:t>发生</w:t>
      </w:r>
      <w:r>
        <w:rPr>
          <w:rFonts w:hint="eastAsia" w:ascii="宋体" w:hAnsi="宋体" w:eastAsia="仿宋_GB2312"/>
          <w:sz w:val="32"/>
          <w:szCs w:val="32"/>
        </w:rPr>
        <w:t>。</w:t>
      </w:r>
    </w:p>
    <w:p>
      <w:pPr>
        <w:spacing w:line="560" w:lineRule="exact"/>
        <w:ind w:firstLine="640" w:firstLineChars="200"/>
        <w:rPr>
          <w:rFonts w:hint="eastAsia" w:ascii="宋体" w:hAnsi="宋体" w:eastAsia="黑体"/>
          <w:bCs/>
          <w:sz w:val="32"/>
          <w:szCs w:val="32"/>
        </w:rPr>
      </w:pPr>
      <w:r>
        <w:rPr>
          <w:rFonts w:hint="eastAsia" w:ascii="宋体" w:hAnsi="宋体" w:eastAsia="黑体"/>
          <w:bCs/>
          <w:sz w:val="32"/>
          <w:szCs w:val="32"/>
        </w:rPr>
        <w:t>七、标准实施日期的建议</w:t>
      </w:r>
    </w:p>
    <w:p>
      <w:pPr>
        <w:spacing w:line="560" w:lineRule="exact"/>
        <w:ind w:firstLine="640" w:firstLineChars="200"/>
        <w:rPr>
          <w:rFonts w:hint="eastAsia" w:ascii="宋体" w:hAnsi="宋体" w:eastAsia="仿宋_GB2312"/>
          <w:bCs/>
          <w:sz w:val="32"/>
          <w:szCs w:val="32"/>
        </w:rPr>
      </w:pPr>
      <w:r>
        <w:rPr>
          <w:rFonts w:ascii="宋体" w:hAnsi="宋体" w:eastAsia="仿宋_GB2312"/>
          <w:bCs/>
          <w:sz w:val="32"/>
          <w:szCs w:val="32"/>
        </w:rPr>
        <w:t>标准</w:t>
      </w:r>
      <w:r>
        <w:rPr>
          <w:rFonts w:hint="eastAsia" w:ascii="宋体" w:hAnsi="宋体" w:eastAsia="仿宋_GB2312"/>
          <w:bCs/>
          <w:sz w:val="32"/>
          <w:szCs w:val="32"/>
        </w:rPr>
        <w:t>发布即实施</w:t>
      </w:r>
      <w:r>
        <w:rPr>
          <w:rFonts w:ascii="宋体" w:hAnsi="宋体" w:eastAsia="仿宋_GB2312"/>
          <w:bCs/>
          <w:sz w:val="32"/>
          <w:szCs w:val="32"/>
        </w:rPr>
        <w:t>。</w:t>
      </w:r>
    </w:p>
    <w:p>
      <w:pPr>
        <w:spacing w:line="560" w:lineRule="exact"/>
        <w:ind w:firstLine="640" w:firstLineChars="200"/>
        <w:rPr>
          <w:rFonts w:hint="eastAsia" w:ascii="宋体" w:hAnsi="宋体" w:eastAsia="黑体"/>
          <w:bCs/>
          <w:sz w:val="32"/>
          <w:szCs w:val="32"/>
        </w:rPr>
      </w:pPr>
      <w:r>
        <w:rPr>
          <w:rFonts w:hint="eastAsia" w:ascii="宋体" w:hAnsi="宋体" w:eastAsia="黑体"/>
          <w:bCs/>
          <w:sz w:val="32"/>
          <w:szCs w:val="32"/>
        </w:rPr>
        <w:t>八、标准实施的有关</w:t>
      </w:r>
      <w:r>
        <w:rPr>
          <w:rFonts w:ascii="宋体" w:hAnsi="宋体" w:eastAsia="黑体"/>
          <w:bCs/>
          <w:sz w:val="32"/>
          <w:szCs w:val="32"/>
        </w:rPr>
        <w:t>的</w:t>
      </w:r>
      <w:r>
        <w:rPr>
          <w:rFonts w:hint="eastAsia" w:ascii="宋体" w:hAnsi="宋体" w:eastAsia="黑体"/>
          <w:bCs/>
          <w:sz w:val="32"/>
          <w:szCs w:val="32"/>
        </w:rPr>
        <w:t>政策措施</w:t>
      </w:r>
    </w:p>
    <w:p>
      <w:pPr>
        <w:spacing w:line="560" w:lineRule="exact"/>
        <w:ind w:firstLine="660" w:firstLineChars="200"/>
        <w:rPr>
          <w:rFonts w:hint="eastAsia" w:ascii="宋体" w:hAnsi="宋体"/>
        </w:rPr>
      </w:pPr>
      <w:bookmarkStart w:id="81" w:name="_Toc5379"/>
      <w:r>
        <w:rPr>
          <w:rFonts w:hint="eastAsia" w:ascii="宋体" w:hAnsi="宋体" w:eastAsia="仿宋_GB2312"/>
          <w:bCs/>
          <w:spacing w:val="5"/>
          <w:sz w:val="32"/>
          <w:szCs w:val="22"/>
        </w:rPr>
        <w:t>通过</w:t>
      </w:r>
      <w:r>
        <w:rPr>
          <w:rFonts w:hint="eastAsia" w:ascii="宋体" w:hAnsi="宋体" w:eastAsia="仿宋_GB2312"/>
          <w:bCs/>
          <w:sz w:val="32"/>
          <w:szCs w:val="32"/>
        </w:rPr>
        <w:t>编制</w:t>
      </w:r>
      <w:r>
        <w:rPr>
          <w:rFonts w:hint="eastAsia" w:ascii="宋体" w:hAnsi="宋体" w:eastAsia="仿宋_GB2312"/>
          <w:bCs/>
          <w:spacing w:val="5"/>
          <w:sz w:val="32"/>
          <w:szCs w:val="22"/>
        </w:rPr>
        <w:t>标准解读材料、组织开展标准宣贯等方式，促进标准尽快落地实施</w:t>
      </w:r>
      <w:r>
        <w:rPr>
          <w:rFonts w:hint="eastAsia" w:ascii="宋体" w:hAnsi="宋体" w:eastAsia="仿宋_GB2312"/>
          <w:bCs/>
          <w:sz w:val="32"/>
          <w:szCs w:val="32"/>
        </w:rPr>
        <w:t>。</w:t>
      </w:r>
    </w:p>
    <w:bookmarkEnd w:id="81"/>
    <w:p>
      <w:pPr>
        <w:spacing w:line="560" w:lineRule="exact"/>
        <w:ind w:firstLine="640" w:firstLineChars="200"/>
        <w:rPr>
          <w:rFonts w:hint="eastAsia" w:ascii="宋体" w:hAnsi="宋体" w:eastAsia="黑体"/>
          <w:bCs/>
          <w:sz w:val="32"/>
          <w:szCs w:val="32"/>
        </w:rPr>
      </w:pPr>
      <w:r>
        <w:rPr>
          <w:rFonts w:hint="eastAsia" w:ascii="宋体" w:hAnsi="宋体" w:eastAsia="黑体"/>
          <w:bCs/>
          <w:sz w:val="32"/>
          <w:szCs w:val="32"/>
        </w:rPr>
        <w:t>九、</w:t>
      </w:r>
      <w:r>
        <w:rPr>
          <w:rFonts w:ascii="宋体" w:hAnsi="宋体" w:eastAsia="黑体"/>
          <w:bCs/>
          <w:sz w:val="32"/>
          <w:szCs w:val="32"/>
        </w:rPr>
        <w:t>废止现行有关标准的建议</w:t>
      </w:r>
    </w:p>
    <w:p>
      <w:pPr>
        <w:spacing w:line="560" w:lineRule="exact"/>
        <w:ind w:firstLine="640" w:firstLineChars="200"/>
        <w:rPr>
          <w:rFonts w:hint="eastAsia" w:ascii="宋体" w:hAnsi="宋体" w:eastAsia="仿宋_GB2312"/>
          <w:bCs/>
          <w:sz w:val="32"/>
          <w:szCs w:val="32"/>
          <w:lang w:eastAsia="zh-CN"/>
        </w:rPr>
      </w:pPr>
      <w:r>
        <w:rPr>
          <w:rFonts w:hint="eastAsia" w:ascii="宋体" w:hAnsi="宋体" w:eastAsia="仿宋_GB2312"/>
          <w:bCs/>
          <w:sz w:val="32"/>
          <w:szCs w:val="32"/>
        </w:rPr>
        <w:t>无</w:t>
      </w:r>
      <w:r>
        <w:rPr>
          <w:rFonts w:hint="eastAsia" w:ascii="宋体" w:hAnsi="宋体" w:eastAsia="仿宋_GB2312"/>
          <w:bCs/>
          <w:sz w:val="32"/>
          <w:szCs w:val="32"/>
          <w:lang w:eastAsia="zh-CN"/>
        </w:rPr>
        <w:t>。</w:t>
      </w:r>
    </w:p>
    <w:p>
      <w:pPr>
        <w:spacing w:line="560" w:lineRule="exact"/>
        <w:ind w:firstLine="640" w:firstLineChars="200"/>
        <w:rPr>
          <w:rFonts w:hint="eastAsia" w:ascii="宋体" w:hAnsi="宋体" w:eastAsia="黑体"/>
          <w:bCs/>
          <w:sz w:val="32"/>
          <w:szCs w:val="32"/>
        </w:rPr>
      </w:pPr>
      <w:r>
        <w:rPr>
          <w:rFonts w:hint="eastAsia" w:ascii="宋体" w:hAnsi="宋体" w:eastAsia="黑体"/>
          <w:bCs/>
          <w:sz w:val="32"/>
          <w:szCs w:val="32"/>
        </w:rPr>
        <w:t>十、涉及专利的有关说明</w:t>
      </w:r>
    </w:p>
    <w:p>
      <w:pPr>
        <w:spacing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无。</w:t>
      </w:r>
    </w:p>
    <w:p>
      <w:pPr>
        <w:numPr>
          <w:ilvl w:val="0"/>
          <w:numId w:val="49"/>
        </w:numPr>
        <w:spacing w:line="560" w:lineRule="exact"/>
        <w:ind w:firstLine="640" w:firstLineChars="200"/>
        <w:rPr>
          <w:rFonts w:hint="eastAsia" w:ascii="宋体" w:hAnsi="宋体" w:eastAsia="黑体"/>
          <w:bCs/>
          <w:sz w:val="32"/>
          <w:szCs w:val="32"/>
        </w:rPr>
      </w:pPr>
      <w:r>
        <w:rPr>
          <w:rFonts w:hint="eastAsia" w:ascii="宋体" w:hAnsi="宋体" w:eastAsia="黑体"/>
          <w:bCs/>
          <w:sz w:val="32"/>
          <w:szCs w:val="32"/>
        </w:rPr>
        <w:t>标准所涉及的产品、过程和服务目录</w:t>
      </w:r>
    </w:p>
    <w:p>
      <w:pPr>
        <w:spacing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标准涉及的产品清单：电子隔离或物理隔离设施、可燃气体和有毒气体检测系统、耐火电缆、火焰探测器、水喷雾系统、罐区数字化交付、虚拟现实（VR、M</w:t>
      </w:r>
      <w:r>
        <w:rPr>
          <w:rFonts w:ascii="宋体" w:hAnsi="宋体" w:eastAsia="仿宋_GB2312"/>
          <w:bCs/>
          <w:sz w:val="32"/>
          <w:szCs w:val="32"/>
        </w:rPr>
        <w:t>R</w:t>
      </w:r>
      <w:r>
        <w:rPr>
          <w:rFonts w:hint="eastAsia" w:ascii="宋体" w:hAnsi="宋体" w:eastAsia="仿宋_GB2312"/>
          <w:bCs/>
          <w:sz w:val="32"/>
          <w:szCs w:val="32"/>
        </w:rPr>
        <w:t>）系统。</w:t>
      </w:r>
    </w:p>
    <w:p>
      <w:pPr>
        <w:spacing w:line="560" w:lineRule="exact"/>
        <w:ind w:firstLine="640" w:firstLineChars="200"/>
        <w:rPr>
          <w:rFonts w:hint="eastAsia" w:ascii="宋体" w:hAnsi="宋体" w:eastAsia="仿宋_GB2312"/>
          <w:bCs/>
          <w:sz w:val="32"/>
          <w:szCs w:val="32"/>
        </w:rPr>
      </w:pPr>
      <w:r>
        <w:rPr>
          <w:rFonts w:hint="eastAsia" w:ascii="宋体" w:hAnsi="宋体" w:eastAsia="黑体"/>
          <w:bCs/>
          <w:sz w:val="32"/>
          <w:szCs w:val="32"/>
        </w:rPr>
        <w:t>十二、</w:t>
      </w:r>
      <w:r>
        <w:rPr>
          <w:rFonts w:ascii="宋体" w:hAnsi="宋体" w:eastAsia="黑体"/>
          <w:bCs/>
          <w:sz w:val="32"/>
          <w:szCs w:val="32"/>
        </w:rPr>
        <w:t>其他应予以说明的事项</w:t>
      </w:r>
    </w:p>
    <w:p>
      <w:pPr>
        <w:spacing w:line="560" w:lineRule="exact"/>
        <w:ind w:firstLine="640" w:firstLineChars="200"/>
        <w:rPr>
          <w:rFonts w:hint="eastAsia" w:ascii="宋体" w:hAnsi="宋体" w:eastAsia="仿宋_GB2312"/>
          <w:bCs/>
          <w:sz w:val="32"/>
          <w:szCs w:val="32"/>
        </w:rPr>
      </w:pPr>
      <w:r>
        <w:rPr>
          <w:rFonts w:hint="eastAsia" w:ascii="宋体" w:hAnsi="宋体" w:eastAsia="仿宋_GB2312"/>
          <w:bCs/>
          <w:sz w:val="32"/>
          <w:szCs w:val="32"/>
        </w:rPr>
        <w:t>无。</w:t>
      </w:r>
    </w:p>
    <w:p>
      <w:pPr>
        <w:pStyle w:val="48"/>
        <w:ind w:left="0" w:leftChars="0" w:firstLine="0" w:firstLineChars="0"/>
      </w:pPr>
    </w:p>
    <w:sectPr>
      <w:footerReference r:id="rId34" w:type="first"/>
      <w:footerReference r:id="rId32" w:type="default"/>
      <w:headerReference r:id="rId31" w:type="even"/>
      <w:footerReference r:id="rId33" w:type="even"/>
      <w:pgSz w:w="11906" w:h="16838"/>
      <w:pgMar w:top="1701" w:right="1588" w:bottom="1474" w:left="1588" w:header="851" w:footer="992" w:gutter="0"/>
      <w:pgNumType w:fmt="decimal"/>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Microsoft YaHei UI">
    <w:panose1 w:val="020B0503020204020204"/>
    <w:charset w:val="86"/>
    <w:family w:val="swiss"/>
    <w:pitch w:val="default"/>
    <w:sig w:usb0="80000287" w:usb1="28C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CG Times">
    <w:altName w:val="Times New Roman"/>
    <w:panose1 w:val="00000000000000000000"/>
    <w:charset w:val="00"/>
    <w:family w:val="roman"/>
    <w:pitch w:val="default"/>
    <w:sig w:usb0="00000000" w:usb1="00000000" w:usb2="00000000" w:usb3="00000000" w:csb0="00000001" w:csb1="00000000"/>
  </w:font>
  <w:font w:name="Helvetica">
    <w:altName w:val="Arial"/>
    <w:panose1 w:val="020B0604020202020204"/>
    <w:charset w:val="00"/>
    <w:family w:val="swiss"/>
    <w:pitch w:val="default"/>
    <w:sig w:usb0="00000000" w:usb1="00000000" w:usb2="00000009" w:usb3="00000000" w:csb0="000001FF" w:csb1="0000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mc:AlternateContent>
        <mc:Choice Requires="wps">
          <w:drawing>
            <wp:anchor distT="0" distB="0" distL="114300" distR="114300" simplePos="0" relativeHeight="251655168" behindDoc="0" locked="0" layoutInCell="1" allowOverlap="1">
              <wp:simplePos x="0" y="0"/>
              <wp:positionH relativeFrom="margin">
                <wp:align>outside</wp:align>
              </wp:positionH>
              <wp:positionV relativeFrom="paragraph">
                <wp:posOffset>0</wp:posOffset>
              </wp:positionV>
              <wp:extent cx="247650" cy="226695"/>
              <wp:effectExtent l="0" t="0" r="0" b="0"/>
              <wp:wrapNone/>
              <wp:docPr id="6" name="文本框 1"/>
              <wp:cNvGraphicFramePr/>
              <a:graphic xmlns:a="http://schemas.openxmlformats.org/drawingml/2006/main">
                <a:graphicData uri="http://schemas.microsoft.com/office/word/2010/wordprocessingShape">
                  <wps:wsp>
                    <wps:cNvSpPr txBox="true">
                      <a:spLocks noChangeArrowheads="true"/>
                    </wps:cNvSpPr>
                    <wps:spPr bwMode="auto">
                      <a:xfrm>
                        <a:off x="0" y="0"/>
                        <a:ext cx="247650" cy="226695"/>
                      </a:xfrm>
                      <a:prstGeom prst="rect">
                        <a:avLst/>
                      </a:prstGeom>
                      <a:noFill/>
                      <a:ln>
                        <a:noFill/>
                      </a:ln>
                    </wps:spPr>
                    <wps:txbx>
                      <w:txbxContent>
                        <w:p>
                          <w:pPr>
                            <w:pStyle w:val="36"/>
                          </w:pPr>
                          <w:r>
                            <w:fldChar w:fldCharType="begin"/>
                          </w:r>
                          <w:r>
                            <w:instrText xml:space="preserve"> PAGE  \* MERGEFORMAT </w:instrText>
                          </w:r>
                          <w:r>
                            <w:fldChar w:fldCharType="separate"/>
                          </w:r>
                          <w:r>
                            <w:t>III</w:t>
                          </w:r>
                          <w:r>
                            <w:fldChar w:fldCharType="end"/>
                          </w:r>
                        </w:p>
                      </w:txbxContent>
                    </wps:txbx>
                    <wps:bodyPr rot="0" vert="horz" wrap="none" lIns="0" tIns="0" rIns="0" bIns="0" anchor="t" anchorCtr="false" upright="true">
                      <a:spAutoFit/>
                    </wps:bodyPr>
                  </wps:wsp>
                </a:graphicData>
              </a:graphic>
            </wp:anchor>
          </w:drawing>
        </mc:Choice>
        <mc:Fallback>
          <w:pict>
            <v:shape id="文本框 1" o:spid="_x0000_s1026" o:spt="202" type="#_x0000_t202" style="position:absolute;left:0pt;margin-top:0pt;height:17.85pt;width:19.5pt;mso-position-horizontal:outside;mso-position-horizontal-relative:margin;mso-wrap-style:none;z-index:251655168;mso-width-relative:page;mso-height-relative:page;" filled="f" stroked="f" coordsize="21600,21600" o:gfxdata="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DW4hhU0AAAAAMBAAAPAAAAAAAAAAEAIAAAADgAAABkcnMv&#10;ZG93bnJldi54bWxQSwECFAAUAAAACACHTuJAlzqYe/UBAADBAwAADgAAAAAAAAABACAAAAA1AQAA&#10;ZHJzL2Uyb0RvYy54bWxQSwUGAAAAAAYABgBZAQAAnAUAAAAA&#10;">
              <v:fill on="f" focussize="0,0"/>
              <v:stroke on="f"/>
              <v:imagedata o:title=""/>
              <o:lock v:ext="edit" aspectratio="f"/>
              <v:textbox inset="0mm,0mm,0mm,0mm" style="mso-fit-shape-to-text:t;">
                <w:txbxContent>
                  <w:p>
                    <w:pPr>
                      <w:pStyle w:val="36"/>
                    </w:pPr>
                    <w:r>
                      <w:fldChar w:fldCharType="begin"/>
                    </w:r>
                    <w:r>
                      <w:instrText xml:space="preserve"> PAGE  \* MERGEFORMAT </w:instrText>
                    </w:r>
                    <w:r>
                      <w:fldChar w:fldCharType="separate"/>
                    </w:r>
                    <w:r>
                      <w:t>III</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6"/>
                            <w:jc w:val="center"/>
                          </w:pPr>
                          <w:r>
                            <w:fldChar w:fldCharType="begin"/>
                          </w:r>
                          <w:r>
                            <w:instrText xml:space="preserve"> PAGE   \* MERGEFORMAT </w:instrText>
                          </w:r>
                          <w:r>
                            <w:fldChar w:fldCharType="separate"/>
                          </w:r>
                          <w:r>
                            <w:rPr>
                              <w:lang w:val="zh-CN"/>
                            </w:rPr>
                            <w:t>7</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OvEuOW1AQAAVAMAAA4AAAAAAAAAAQAgAAAANAEAAGRycy9lMm9E&#10;b2MueG1sUEsFBgAAAAAGAAYAWQEAAFsFAAAAAA==&#10;">
              <v:fill on="f" focussize="0,0"/>
              <v:stroke on="f"/>
              <v:imagedata o:title=""/>
              <o:lock v:ext="edit" aspectratio="f"/>
              <v:textbox inset="0mm,0mm,0mm,0mm" style="mso-fit-shape-to-text:t;">
                <w:txbxContent>
                  <w:p>
                    <w:pPr>
                      <w:pStyle w:val="36"/>
                      <w:jc w:val="center"/>
                    </w:pPr>
                    <w:r>
                      <w:fldChar w:fldCharType="begin"/>
                    </w:r>
                    <w:r>
                      <w:instrText xml:space="preserve"> PAGE   \* MERGEFORMAT </w:instrText>
                    </w:r>
                    <w:r>
                      <w:fldChar w:fldCharType="separate"/>
                    </w:r>
                    <w:r>
                      <w:rPr>
                        <w:lang w:val="zh-CN"/>
                      </w:rPr>
                      <w:t>7</w:t>
                    </w:r>
                    <w:r>
                      <w:fldChar w:fldCharType="end"/>
                    </w:r>
                  </w:p>
                </w:txbxContent>
              </v:textbox>
            </v:shape>
          </w:pict>
        </mc:Fallback>
      </mc:AlternateContent>
    </w:r>
  </w:p>
  <w:p>
    <w:pPr>
      <w:pStyle w:val="36"/>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rPr>
        <w:rFonts w:hint="eastAsia"/>
      </w:rPr>
    </w:pPr>
    <w: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6"/>
                            <w:jc w:val="center"/>
                          </w:pPr>
                          <w:r>
                            <w:fldChar w:fldCharType="begin"/>
                          </w:r>
                          <w:r>
                            <w:instrText xml:space="preserve">PAGE   \* MERGEFORMAT</w:instrText>
                          </w:r>
                          <w:r>
                            <w:fldChar w:fldCharType="separate"/>
                          </w:r>
                          <w:r>
                            <w:rPr>
                              <w:lang w:val="zh-CN"/>
                            </w:rP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EGdgaC1AQAAVAMAAA4AAAAAAAAAAQAgAAAANAEAAGRycy9lMm9E&#10;b2MueG1sUEsFBgAAAAAGAAYAWQEAAFsFAAAAAA==&#10;">
              <v:fill on="f" focussize="0,0"/>
              <v:stroke on="f"/>
              <v:imagedata o:title=""/>
              <o:lock v:ext="edit" aspectratio="f"/>
              <v:textbox inset="0mm,0mm,0mm,0mm" style="mso-fit-shape-to-text:t;">
                <w:txbxContent>
                  <w:p>
                    <w:pPr>
                      <w:pStyle w:val="36"/>
                      <w:jc w:val="center"/>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6"/>
                            <w:jc w:val="center"/>
                          </w:pPr>
                          <w:r>
                            <w:fldChar w:fldCharType="begin"/>
                          </w:r>
                          <w:r>
                            <w:instrText xml:space="preserve"> PAGE   \* MERGEFORMAT </w:instrText>
                          </w:r>
                          <w:r>
                            <w:fldChar w:fldCharType="separate"/>
                          </w:r>
                          <w:r>
                            <w:rPr>
                              <w:lang w:val="zh-CN"/>
                            </w:rPr>
                            <w:t>7</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p4OU+rQBAABUAwAADgAAAAAAAAABACAAAAA0AQAAZHJzL2Uyb0Rv&#10;Yy54bWxQSwUGAAAAAAYABgBZAQAAWgUAAAAA&#10;">
              <v:fill on="f" focussize="0,0"/>
              <v:stroke on="f"/>
              <v:imagedata o:title=""/>
              <o:lock v:ext="edit" aspectratio="f"/>
              <v:textbox inset="0mm,0mm,0mm,0mm" style="mso-fit-shape-to-text:t;">
                <w:txbxContent>
                  <w:p>
                    <w:pPr>
                      <w:pStyle w:val="36"/>
                      <w:jc w:val="center"/>
                    </w:pPr>
                    <w:r>
                      <w:fldChar w:fldCharType="begin"/>
                    </w:r>
                    <w:r>
                      <w:instrText xml:space="preserve"> PAGE   \* MERGEFORMAT </w:instrText>
                    </w:r>
                    <w:r>
                      <w:fldChar w:fldCharType="separate"/>
                    </w:r>
                    <w:r>
                      <w:rPr>
                        <w:lang w:val="zh-CN"/>
                      </w:rPr>
                      <w:t>7</w:t>
                    </w:r>
                    <w:r>
                      <w:fldChar w:fldCharType="end"/>
                    </w:r>
                  </w:p>
                </w:txbxContent>
              </v:textbox>
            </v:shape>
          </w:pict>
        </mc:Fallback>
      </mc:AlternateContent>
    </w:r>
  </w:p>
  <w:p>
    <w:pPr>
      <w:pStyle w:val="36"/>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248285" cy="226695"/>
              <wp:effectExtent l="0" t="0" r="0" b="0"/>
              <wp:wrapNone/>
              <wp:docPr id="25" name="文本框 9"/>
              <wp:cNvGraphicFramePr/>
              <a:graphic xmlns:a="http://schemas.openxmlformats.org/drawingml/2006/main">
                <a:graphicData uri="http://schemas.microsoft.com/office/word/2010/wordprocessingShape">
                  <wps:wsp>
                    <wps:cNvSpPr txBox="true">
                      <a:spLocks noChangeArrowheads="true"/>
                    </wps:cNvSpPr>
                    <wps:spPr bwMode="auto">
                      <a:xfrm>
                        <a:off x="0" y="0"/>
                        <a:ext cx="248285" cy="226695"/>
                      </a:xfrm>
                      <a:prstGeom prst="rect">
                        <a:avLst/>
                      </a:prstGeom>
                      <a:noFill/>
                      <a:ln>
                        <a:noFill/>
                      </a:ln>
                    </wps:spPr>
                    <wps:txbx>
                      <w:txbxContent>
                        <w:p>
                          <w:pPr>
                            <w:pStyle w:val="36"/>
                          </w:pPr>
                          <w:r>
                            <w:fldChar w:fldCharType="begin"/>
                          </w:r>
                          <w:r>
                            <w:instrText xml:space="preserve"> PAGE  \* MERGEFORMAT </w:instrText>
                          </w:r>
                          <w:r>
                            <w:fldChar w:fldCharType="separate"/>
                          </w:r>
                          <w:r>
                            <w:t>32</w:t>
                          </w:r>
                          <w:r>
                            <w:fldChar w:fldCharType="end"/>
                          </w:r>
                        </w:p>
                      </w:txbxContent>
                    </wps:txbx>
                    <wps:bodyPr rot="0" vert="horz" wrap="none" lIns="0" tIns="0" rIns="0" bIns="0" anchor="t" anchorCtr="false" upright="true">
                      <a:spAutoFit/>
                    </wps:bodyPr>
                  </wps:wsp>
                </a:graphicData>
              </a:graphic>
            </wp:anchor>
          </w:drawing>
        </mc:Choice>
        <mc:Fallback>
          <w:pict>
            <v:shape id="文本框 9" o:spid="_x0000_s1026" o:spt="202" type="#_x0000_t202" style="position:absolute;left:0pt;margin-top:0pt;height:17.85pt;width:19.55pt;mso-position-horizontal:center;mso-position-horizontal-relative:margin;mso-wrap-style:none;z-index:251700224;mso-width-relative:page;mso-height-relative:page;" filled="f" stroked="f" coordsize="21600,21600" o:gfxdata="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&#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Jf5lDrRAAAAAwEAAA8AAAAAAAAAAQAgAAAAOAAAAGRy&#10;cy9kb3ducmV2LnhtbFBLAQIUABQAAAAIAIdO4kDiepE+9gEAAMIDAAAOAAAAAAAAAAEAIAAAADYB&#10;AABkcnMvZTJvRG9jLnhtbFBLBQYAAAAABgAGAFkBAACeBQAAAAA=&#10;">
              <v:fill on="f" focussize="0,0"/>
              <v:stroke on="f"/>
              <v:imagedata o:title=""/>
              <o:lock v:ext="edit" aspectratio="f"/>
              <v:textbox inset="0mm,0mm,0mm,0mm" style="mso-fit-shape-to-text:t;">
                <w:txbxContent>
                  <w:p>
                    <w:pPr>
                      <w:pStyle w:val="36"/>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rPr>
        <w:rFonts w:hint="eastAsia"/>
      </w:rPr>
    </w:pPr>
    <w: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6"/>
                            <w:jc w:val="center"/>
                          </w:pPr>
                          <w:r>
                            <w:fldChar w:fldCharType="begin"/>
                          </w:r>
                          <w:r>
                            <w:instrText xml:space="preserve">PAGE   \* MERGEFORMAT</w:instrText>
                          </w:r>
                          <w:r>
                            <w:fldChar w:fldCharType="separate"/>
                          </w:r>
                          <w:r>
                            <w:rPr>
                              <w:lang w:val="zh-CN"/>
                            </w:rP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BpQcr+1AQAAVAMAAA4AAAAAAAAAAQAgAAAANAEAAGRycy9lMm9E&#10;b2MueG1sUEsFBgAAAAAGAAYAWQEAAFsFAAAAAA==&#10;">
              <v:fill on="f" focussize="0,0"/>
              <v:stroke on="f"/>
              <v:imagedata o:title=""/>
              <o:lock v:ext="edit" aspectratio="f"/>
              <v:textbox inset="0mm,0mm,0mm,0mm" style="mso-fit-shape-to-text:t;">
                <w:txbxContent>
                  <w:p>
                    <w:pPr>
                      <w:pStyle w:val="36"/>
                      <w:jc w:val="center"/>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mc:AlternateContent>
        <mc:Choice Requires="wps">
          <w:drawing>
            <wp:anchor distT="0" distB="0" distL="114300" distR="114300" simplePos="0" relativeHeight="251656192" behindDoc="0" locked="0" layoutInCell="1" allowOverlap="1">
              <wp:simplePos x="0" y="0"/>
              <wp:positionH relativeFrom="margin">
                <wp:align>outside</wp:align>
              </wp:positionH>
              <wp:positionV relativeFrom="paragraph">
                <wp:posOffset>0</wp:posOffset>
              </wp:positionV>
              <wp:extent cx="209550" cy="226695"/>
              <wp:effectExtent l="0" t="0" r="0" b="0"/>
              <wp:wrapNone/>
              <wp:docPr id="7"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209550" cy="226695"/>
                      </a:xfrm>
                      <a:prstGeom prst="rect">
                        <a:avLst/>
                      </a:prstGeom>
                      <a:noFill/>
                      <a:ln>
                        <a:noFill/>
                      </a:ln>
                    </wps:spPr>
                    <wps:txbx>
                      <w:txbxContent>
                        <w:p>
                          <w:pPr>
                            <w:pStyle w:val="36"/>
                          </w:pPr>
                          <w:r>
                            <w:fldChar w:fldCharType="begin"/>
                          </w:r>
                          <w:r>
                            <w:instrText xml:space="preserve"> PAGE  \* MERGEFORMAT </w:instrText>
                          </w:r>
                          <w:r>
                            <w:fldChar w:fldCharType="separate"/>
                          </w:r>
                          <w:r>
                            <w:t>II</w:t>
                          </w:r>
                          <w:r>
                            <w:fldChar w:fldCharType="end"/>
                          </w:r>
                        </w:p>
                      </w:txbxContent>
                    </wps:txbx>
                    <wps:bodyPr rot="0" vert="horz" wrap="none" lIns="0" tIns="0" rIns="0" bIns="0" anchor="t" anchorCtr="false" upright="true">
                      <a:spAutoFit/>
                    </wps:bodyPr>
                  </wps:wsp>
                </a:graphicData>
              </a:graphic>
            </wp:anchor>
          </w:drawing>
        </mc:Choice>
        <mc:Fallback>
          <w:pict>
            <v:shape id="文本框 2" o:spid="_x0000_s1026" o:spt="202" type="#_x0000_t202" style="position:absolute;left:0pt;margin-top:0pt;height:17.85pt;width:16.5pt;mso-position-horizontal:outside;mso-position-horizontal-relative:margin;mso-wrap-style:none;z-index:251656192;mso-width-relative:page;mso-height-relative:page;" filled="f" stroked="f" coordsize="21600,21600" o:gfxdata="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E8Nxa0AAAAAMBAAAPAAAAAAAAAAEAIAAAADgAAABkcnMv&#10;ZG93bnJldi54bWxQSwECFAAUAAAACACHTuJAfvWQrfUBAADBAwAADgAAAAAAAAABACAAAAA1AQAA&#10;ZHJzL2Uyb0RvYy54bWxQSwUGAAAAAAYABgBZAQAAnAUAAAAA&#10;">
              <v:fill on="f" focussize="0,0"/>
              <v:stroke on="f"/>
              <v:imagedata o:title=""/>
              <o:lock v:ext="edit" aspectratio="f"/>
              <v:textbox inset="0mm,0mm,0mm,0mm" style="mso-fit-shape-to-text:t;">
                <w:txbxContent>
                  <w:p>
                    <w:pPr>
                      <w:pStyle w:val="36"/>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71450" cy="226695"/>
              <wp:effectExtent l="0" t="0" r="0" b="0"/>
              <wp:wrapNone/>
              <wp:docPr id="5" name="文本框 3"/>
              <wp:cNvGraphicFramePr/>
              <a:graphic xmlns:a="http://schemas.openxmlformats.org/drawingml/2006/main">
                <a:graphicData uri="http://schemas.microsoft.com/office/word/2010/wordprocessingShape">
                  <wps:wsp>
                    <wps:cNvSpPr txBox="true">
                      <a:spLocks noChangeArrowheads="true"/>
                    </wps:cNvSpPr>
                    <wps:spPr bwMode="auto">
                      <a:xfrm>
                        <a:off x="0" y="0"/>
                        <a:ext cx="171450" cy="226695"/>
                      </a:xfrm>
                      <a:prstGeom prst="rect">
                        <a:avLst/>
                      </a:prstGeom>
                      <a:noFill/>
                      <a:ln>
                        <a:noFill/>
                      </a:ln>
                    </wps:spPr>
                    <wps:txbx>
                      <w:txbxContent>
                        <w:p>
                          <w:pPr>
                            <w:pStyle w:val="36"/>
                          </w:pPr>
                          <w:r>
                            <w:fldChar w:fldCharType="begin"/>
                          </w:r>
                          <w:r>
                            <w:instrText xml:space="preserve"> PAGE  \* MERGEFORMAT </w:instrText>
                          </w:r>
                          <w:r>
                            <w:fldChar w:fldCharType="separate"/>
                          </w:r>
                          <w:r>
                            <w:t>I</w:t>
                          </w:r>
                          <w:r>
                            <w:fldChar w:fldCharType="end"/>
                          </w:r>
                        </w:p>
                      </w:txbxContent>
                    </wps:txbx>
                    <wps:bodyPr rot="0" vert="horz" wrap="none" lIns="0" tIns="0" rIns="0" bIns="0" anchor="t" anchorCtr="false" upright="true">
                      <a:spAutoFit/>
                    </wps:bodyPr>
                  </wps:wsp>
                </a:graphicData>
              </a:graphic>
            </wp:anchor>
          </w:drawing>
        </mc:Choice>
        <mc:Fallback>
          <w:pict>
            <v:shape id="文本框 3" o:spid="_x0000_s1026" o:spt="202" type="#_x0000_t202" style="position:absolute;left:0pt;margin-top:0pt;height:17.85pt;width:13.5pt;mso-position-horizontal:outside;mso-position-horizontal-relative:margin;mso-wrap-style:none;z-index:251657216;mso-width-relative:page;mso-height-relative:page;" filled="f" stroked="f" coordsize="21600,21600" o:gfxdata="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VN0MP9EAAAADAQAADwAAAAAAAAABACAAAAA4AAAAZHJz&#10;L2Rvd25yZXYueG1sUEsBAhQAFAAAAAgAh07iQN8+f3j1AQAAwQMAAA4AAAAAAAAAAQAgAAAANgEA&#10;AGRycy9lMm9Eb2MueG1sUEsFBgAAAAAGAAYAWQEAAJ0FAAAAAA==&#10;">
              <v:fill on="f" focussize="0,0"/>
              <v:stroke on="f"/>
              <v:imagedata o:title=""/>
              <o:lock v:ext="edit" aspectratio="f"/>
              <v:textbox inset="0mm,0mm,0mm,0mm" style="mso-fit-shape-to-text:t;">
                <w:txbxContent>
                  <w:p>
                    <w:pPr>
                      <w:pStyle w:val="3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91135" cy="226695"/>
              <wp:effectExtent l="0" t="0" r="0" b="0"/>
              <wp:wrapNone/>
              <wp:docPr id="1" name="文本框 8"/>
              <wp:cNvGraphicFramePr/>
              <a:graphic xmlns:a="http://schemas.openxmlformats.org/drawingml/2006/main">
                <a:graphicData uri="http://schemas.microsoft.com/office/word/2010/wordprocessingShape">
                  <wps:wsp>
                    <wps:cNvSpPr txBox="true">
                      <a:spLocks noChangeArrowheads="true"/>
                    </wps:cNvSpPr>
                    <wps:spPr bwMode="auto">
                      <a:xfrm>
                        <a:off x="0" y="0"/>
                        <a:ext cx="191135" cy="226695"/>
                      </a:xfrm>
                      <a:prstGeom prst="rect">
                        <a:avLst/>
                      </a:prstGeom>
                      <a:noFill/>
                      <a:ln>
                        <a:noFill/>
                      </a:ln>
                    </wps:spPr>
                    <wps:txbx>
                      <w:txbxContent>
                        <w:p>
                          <w:pPr>
                            <w:pStyle w:val="36"/>
                          </w:pPr>
                          <w:r>
                            <w:fldChar w:fldCharType="begin"/>
                          </w:r>
                          <w:r>
                            <w:instrText xml:space="preserve"> PAGE  \* MERGEFORMAT </w:instrText>
                          </w:r>
                          <w:r>
                            <w:fldChar w:fldCharType="separate"/>
                          </w:r>
                          <w:r>
                            <w:t>15</w:t>
                          </w:r>
                          <w:r>
                            <w:fldChar w:fldCharType="end"/>
                          </w:r>
                        </w:p>
                      </w:txbxContent>
                    </wps:txbx>
                    <wps:bodyPr rot="0" vert="horz" wrap="none" lIns="0" tIns="0" rIns="0" bIns="0" anchor="t" anchorCtr="false" upright="true">
                      <a:spAutoFit/>
                    </wps:bodyPr>
                  </wps:wsp>
                </a:graphicData>
              </a:graphic>
            </wp:anchor>
          </w:drawing>
        </mc:Choice>
        <mc:Fallback>
          <w:pict>
            <v:shape id="文本框 8" o:spid="_x0000_s1026" o:spt="202" type="#_x0000_t202" style="position:absolute;left:0pt;margin-top:0pt;height:17.85pt;width:15.05pt;mso-position-horizontal:outside;mso-position-horizontal-relative:margin;mso-wrap-style:none;z-index:251658240;mso-width-relative:page;mso-height-relative:page;" filled="f" stroked="f" coordsize="21600,21600" o:gfxdata="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YuyONtAAAAADAQAADwAAAAAAAAABACAAAAA4AAAAZHJz&#10;L2Rvd25yZXYueG1sUEsBAhQAFAAAAAgAh07iQMqZyQL2AQAAwQMAAA4AAAAAAAAAAQAgAAAANQEA&#10;AGRycy9lMm9Eb2MueG1sUEsFBgAAAAAGAAYAWQEAAJ0FAAAAAA==&#10;">
              <v:fill on="f" focussize="0,0"/>
              <v:stroke on="f"/>
              <v:imagedata o:title=""/>
              <o:lock v:ext="edit" aspectratio="f"/>
              <v:textbox inset="0mm,0mm,0mm,0mm" style="mso-fit-shape-to-text:t;">
                <w:txbxContent>
                  <w:p>
                    <w:pPr>
                      <w:pStyle w:val="36"/>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91135" cy="226695"/>
              <wp:effectExtent l="0" t="0" r="0" b="0"/>
              <wp:wrapNone/>
              <wp:docPr id="3" name="文本框 9"/>
              <wp:cNvGraphicFramePr/>
              <a:graphic xmlns:a="http://schemas.openxmlformats.org/drawingml/2006/main">
                <a:graphicData uri="http://schemas.microsoft.com/office/word/2010/wordprocessingShape">
                  <wps:wsp>
                    <wps:cNvSpPr txBox="true">
                      <a:spLocks noChangeArrowheads="true"/>
                    </wps:cNvSpPr>
                    <wps:spPr bwMode="auto">
                      <a:xfrm>
                        <a:off x="0" y="0"/>
                        <a:ext cx="191135" cy="226695"/>
                      </a:xfrm>
                      <a:prstGeom prst="rect">
                        <a:avLst/>
                      </a:prstGeom>
                      <a:noFill/>
                      <a:ln>
                        <a:noFill/>
                      </a:ln>
                    </wps:spPr>
                    <wps:txbx>
                      <w:txbxContent>
                        <w:p>
                          <w:pPr>
                            <w:pStyle w:val="36"/>
                          </w:pPr>
                          <w:r>
                            <w:fldChar w:fldCharType="begin"/>
                          </w:r>
                          <w:r>
                            <w:instrText xml:space="preserve"> PAGE  \* MERGEFORMAT </w:instrText>
                          </w:r>
                          <w:r>
                            <w:fldChar w:fldCharType="separate"/>
                          </w:r>
                          <w:r>
                            <w:t>4</w:t>
                          </w:r>
                          <w:r>
                            <w:fldChar w:fldCharType="end"/>
                          </w:r>
                        </w:p>
                      </w:txbxContent>
                    </wps:txbx>
                    <wps:bodyPr rot="0" vert="horz" wrap="none" lIns="0" tIns="0" rIns="0" bIns="0" anchor="t" anchorCtr="false" upright="true">
                      <a:spAutoFit/>
                    </wps:bodyPr>
                  </wps:wsp>
                </a:graphicData>
              </a:graphic>
            </wp:anchor>
          </w:drawing>
        </mc:Choice>
        <mc:Fallback>
          <w:pict>
            <v:shape id="文本框 9" o:spid="_x0000_s1026" o:spt="202" type="#_x0000_t202" style="position:absolute;left:0pt;margin-top:0pt;height:17.85pt;width:15.05pt;mso-position-horizontal:outside;mso-position-horizontal-relative:margin;mso-wrap-style:none;z-index:251658240;mso-width-relative:page;mso-height-relative:page;" filled="f" stroked="f" coordsize="21600,21600" o:gfxdata="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YuyONtAAAAADAQAADwAAAAAAAAABACAAAAA4AAAAZHJz&#10;L2Rvd25yZXYueG1sUEsBAhQAFAAAAAgAh07iQLj3TBT2AQAAwQMAAA4AAAAAAAAAAQAgAAAANQEA&#10;AGRycy9lMm9Eb2MueG1sUEsFBgAAAAAGAAYAWQEAAJ0FAAAAAA==&#10;">
              <v:fill on="f" focussize="0,0"/>
              <v:stroke on="f"/>
              <v:imagedata o:title=""/>
              <o:lock v:ext="edit" aspectratio="f"/>
              <v:textbox inset="0mm,0mm,0mm,0mm" style="mso-fit-shape-to-text:t;">
                <w:txbxContent>
                  <w:p>
                    <w:pPr>
                      <w:pStyle w:val="3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48285" cy="226695"/>
              <wp:effectExtent l="0" t="0" r="0" b="0"/>
              <wp:wrapNone/>
              <wp:docPr id="2" name="文本框 8"/>
              <wp:cNvGraphicFramePr/>
              <a:graphic xmlns:a="http://schemas.openxmlformats.org/drawingml/2006/main">
                <a:graphicData uri="http://schemas.microsoft.com/office/word/2010/wordprocessingShape">
                  <wps:wsp>
                    <wps:cNvSpPr txBox="true">
                      <a:spLocks noChangeArrowheads="true"/>
                    </wps:cNvSpPr>
                    <wps:spPr bwMode="auto">
                      <a:xfrm>
                        <a:off x="0" y="0"/>
                        <a:ext cx="248285" cy="226695"/>
                      </a:xfrm>
                      <a:prstGeom prst="rect">
                        <a:avLst/>
                      </a:prstGeom>
                      <a:noFill/>
                      <a:ln>
                        <a:noFill/>
                      </a:ln>
                    </wps:spPr>
                    <wps:txbx>
                      <w:txbxContent>
                        <w:p>
                          <w:pPr>
                            <w:pStyle w:val="36"/>
                          </w:pPr>
                          <w:r>
                            <w:fldChar w:fldCharType="begin"/>
                          </w:r>
                          <w:r>
                            <w:instrText xml:space="preserve"> PAGE  \* MERGEFORMAT </w:instrText>
                          </w:r>
                          <w:r>
                            <w:fldChar w:fldCharType="separate"/>
                          </w:r>
                          <w:r>
                            <w:t>33</w:t>
                          </w:r>
                          <w:r>
                            <w:fldChar w:fldCharType="end"/>
                          </w:r>
                        </w:p>
                      </w:txbxContent>
                    </wps:txbx>
                    <wps:bodyPr rot="0" vert="horz" wrap="none" lIns="0" tIns="0" rIns="0" bIns="0" anchor="t" anchorCtr="false" upright="true">
                      <a:spAutoFit/>
                    </wps:bodyPr>
                  </wps:wsp>
                </a:graphicData>
              </a:graphic>
            </wp:anchor>
          </w:drawing>
        </mc:Choice>
        <mc:Fallback>
          <w:pict>
            <v:shape id="文本框 8" o:spid="_x0000_s1026" o:spt="202" type="#_x0000_t202" style="position:absolute;left:0pt;margin-top:0pt;height:17.85pt;width:19.55pt;mso-position-horizontal:outside;mso-position-horizontal-relative:margin;mso-wrap-style:none;z-index:251659264;mso-width-relative:page;mso-height-relative:page;" filled="f" stroked="f" coordsize="21600,21600" o:gfxdata="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l/mUOtEAAAADAQAADwAAAAAAAAABACAAAAA4AAAAZHJz&#10;L2Rvd25yZXYueG1sUEsBAhQAFAAAAAgAh07iQOuSVm31AQAAwQMAAA4AAAAAAAAAAQAgAAAANgEA&#10;AGRycy9lMm9Eb2MueG1sUEsFBgAAAAAGAAYAWQEAAJ0FAAAAAA==&#10;">
              <v:fill on="f" focussize="0,0"/>
              <v:stroke on="f"/>
              <v:imagedata o:title=""/>
              <o:lock v:ext="edit" aspectratio="f"/>
              <v:textbox inset="0mm,0mm,0mm,0mm" style="mso-fit-shape-to-text:t;">
                <w:txbxContent>
                  <w:p>
                    <w:pPr>
                      <w:pStyle w:val="36"/>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248285" cy="226695"/>
              <wp:effectExtent l="0" t="0" r="0" b="0"/>
              <wp:wrapNone/>
              <wp:docPr id="4" name="文本框 9"/>
              <wp:cNvGraphicFramePr/>
              <a:graphic xmlns:a="http://schemas.openxmlformats.org/drawingml/2006/main">
                <a:graphicData uri="http://schemas.microsoft.com/office/word/2010/wordprocessingShape">
                  <wps:wsp>
                    <wps:cNvSpPr txBox="true">
                      <a:spLocks noChangeArrowheads="true"/>
                    </wps:cNvSpPr>
                    <wps:spPr bwMode="auto">
                      <a:xfrm>
                        <a:off x="0" y="0"/>
                        <a:ext cx="248285" cy="226695"/>
                      </a:xfrm>
                      <a:prstGeom prst="rect">
                        <a:avLst/>
                      </a:prstGeom>
                      <a:noFill/>
                      <a:ln>
                        <a:noFill/>
                      </a:ln>
                    </wps:spPr>
                    <wps:txbx>
                      <w:txbxContent>
                        <w:p>
                          <w:pPr>
                            <w:pStyle w:val="36"/>
                          </w:pPr>
                          <w:r>
                            <w:fldChar w:fldCharType="begin"/>
                          </w:r>
                          <w:r>
                            <w:instrText xml:space="preserve"> PAGE  \* MERGEFORMAT </w:instrText>
                          </w:r>
                          <w:r>
                            <w:fldChar w:fldCharType="separate"/>
                          </w:r>
                          <w:r>
                            <w:t>32</w:t>
                          </w:r>
                          <w:r>
                            <w:fldChar w:fldCharType="end"/>
                          </w:r>
                        </w:p>
                      </w:txbxContent>
                    </wps:txbx>
                    <wps:bodyPr rot="0" vert="horz" wrap="none" lIns="0" tIns="0" rIns="0" bIns="0" anchor="t" anchorCtr="false" upright="true">
                      <a:spAutoFit/>
                    </wps:bodyPr>
                  </wps:wsp>
                </a:graphicData>
              </a:graphic>
            </wp:anchor>
          </w:drawing>
        </mc:Choice>
        <mc:Fallback>
          <w:pict>
            <v:shape id="文本框 9" o:spid="_x0000_s1026" o:spt="202" type="#_x0000_t202" style="position:absolute;left:0pt;margin-top:0pt;height:17.85pt;width:19.55pt;mso-position-horizontal:outside;mso-position-horizontal-relative:margin;mso-wrap-style:none;z-index:251660288;mso-width-relative:page;mso-height-relative:page;" filled="f" stroked="f" coordsize="21600,21600" o:gfxdata="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&#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Jf5lDrRAAAAAwEAAA8AAAAAAAAAAQAgAAAAOAAAAGRy&#10;cy9kb3ducmV2LnhtbFBLAQIUABQAAAAIAIdO4kDZgw+M9gEAAMEDAAAOAAAAAAAAAAEAIAAAADYB&#10;AABkcnMvZTJvRG9jLnhtbFBLBQYAAAAABgAGAFkBAACeBQAAAAA=&#10;">
              <v:fill on="f" focussize="0,0"/>
              <v:stroke on="f"/>
              <v:imagedata o:title=""/>
              <o:lock v:ext="edit" aspectratio="f"/>
              <v:textbox inset="0mm,0mm,0mm,0mm" style="mso-fit-shape-to-text:t;">
                <w:txbxContent>
                  <w:p>
                    <w:pPr>
                      <w:pStyle w:val="36"/>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right"/>
    </w:pPr>
  </w:p>
  <w:p>
    <w:pPr>
      <w:pStyle w:val="3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8"/>
      <w:rPr>
        <w:rFonts w:eastAsia="黑体"/>
      </w:rPr>
    </w:pPr>
    <w:r>
      <w:t xml:space="preserve">AQ </w:t>
    </w:r>
    <w:r>
      <w:rPr>
        <w:rFonts w:hint="eastAsia" w:ascii="黑体" w:hAnsi="黑体" w:eastAsia="黑体" w:cs="黑体"/>
      </w:rPr>
      <w:t>XXXX—202X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rPr>
        <w:rFonts w:ascii="黑体" w:hAnsi="黑体" w:eastAsia="黑体" w:cs="黑体"/>
        <w:sz w:val="21"/>
        <w:szCs w:val="21"/>
      </w:rPr>
    </w:pPr>
    <w:r>
      <w:rPr>
        <w:rFonts w:hint="eastAsia" w:ascii="黑体" w:hAnsi="黑体" w:eastAsia="黑体" w:cs="黑体"/>
        <w:sz w:val="21"/>
        <w:szCs w:val="21"/>
      </w:rPr>
      <w:t>AQ XXXX—202X</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left"/>
      <w:rPr>
        <w:rFonts w:ascii="黑体" w:hAnsi="黑体" w:eastAsia="黑体" w:cs="黑体"/>
        <w:sz w:val="21"/>
        <w:szCs w:val="21"/>
      </w:rPr>
    </w:pPr>
    <w:r>
      <w:rPr>
        <w:rFonts w:hint="eastAsia" w:ascii="黑体" w:hAnsi="黑体" w:eastAsia="黑体" w:cs="黑体"/>
        <w:sz w:val="21"/>
        <w:szCs w:val="21"/>
      </w:rPr>
      <w:t>AQ XXXX—202X</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Bdr>
        <w:bottom w:val="none" w:color="auto" w:sz="0" w:space="1"/>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Bdr>
        <w:bottom w:val="none" w:color="auto" w:sz="0" w:space="1"/>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left"/>
      <w:rPr>
        <w:rFonts w:ascii="黑体" w:hAnsi="黑体" w:eastAsia="黑体" w:cs="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8"/>
      <w:jc w:val="left"/>
    </w:pPr>
    <w:r>
      <w:t xml:space="preserve"> AQ </w:t>
    </w:r>
    <w:r>
      <w:rPr>
        <w:rFonts w:hint="eastAsia" w:ascii="黑体" w:hAnsi="黑体" w:eastAsia="黑体" w:cs="黑体"/>
      </w:rPr>
      <w:t>XXXX—202X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8"/>
      <w:ind w:left="1680" w:hanging="4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rPr>
        <w:rFonts w:ascii="黑体" w:hAnsi="黑体" w:eastAsia="黑体" w:cs="黑体"/>
        <w:sz w:val="21"/>
        <w:szCs w:val="21"/>
      </w:rPr>
    </w:pPr>
    <w:r>
      <w:rPr>
        <w:rFonts w:hint="eastAsia" w:ascii="黑体" w:hAnsi="黑体" w:eastAsia="黑体" w:cs="黑体"/>
        <w:sz w:val="21"/>
        <w:szCs w:val="21"/>
      </w:rPr>
      <w:t>AQ XXXX—202X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8"/>
      <w:ind w:left="1680" w:hanging="420"/>
    </w:pPr>
    <w:r>
      <w:t xml:space="preserve">AQ </w:t>
    </w:r>
    <w:r>
      <w:rPr>
        <w:rFonts w:hint="eastAsia" w:ascii="黑体" w:hAnsi="黑体" w:eastAsia="黑体" w:cs="黑体"/>
      </w:rPr>
      <w:t>XXXX—202X</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8"/>
      <w:jc w:val="left"/>
      <w:rPr>
        <w:rFonts w:eastAsia="黑体"/>
      </w:rPr>
    </w:pPr>
    <w:r>
      <w:t>AQ</w:t>
    </w:r>
    <w:r>
      <w:rPr>
        <w:rFonts w:hint="eastAsia" w:ascii="黑体" w:hAnsi="黑体" w:eastAsia="黑体" w:cs="黑体"/>
      </w:rPr>
      <w:t>XXXX—202X</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7976EC"/>
    <w:multiLevelType w:val="singleLevel"/>
    <w:tmpl w:val="CC7976EC"/>
    <w:lvl w:ilvl="0" w:tentative="0">
      <w:start w:val="1"/>
      <w:numFmt w:val="lowerLetter"/>
      <w:suff w:val="space"/>
      <w:lvlText w:val="%1）"/>
      <w:lvlJc w:val="left"/>
    </w:lvl>
  </w:abstractNum>
  <w:abstractNum w:abstractNumId="1">
    <w:nsid w:val="F2400F94"/>
    <w:multiLevelType w:val="singleLevel"/>
    <w:tmpl w:val="F2400F94"/>
    <w:lvl w:ilvl="0" w:tentative="0">
      <w:start w:val="11"/>
      <w:numFmt w:val="chineseCounting"/>
      <w:suff w:val="nothing"/>
      <w:lvlText w:val="%1、"/>
      <w:lvlJc w:val="left"/>
      <w:rPr>
        <w:rFonts w:hint="eastAsia"/>
      </w:rPr>
    </w:lvl>
  </w:abstractNum>
  <w:abstractNum w:abstractNumId="2">
    <w:nsid w:val="FFFFFF80"/>
    <w:multiLevelType w:val="singleLevel"/>
    <w:tmpl w:val="FFFFFF80"/>
    <w:lvl w:ilvl="0" w:tentative="0">
      <w:start w:val="1"/>
      <w:numFmt w:val="bullet"/>
      <w:pStyle w:val="32"/>
      <w:lvlText w:val=""/>
      <w:lvlJc w:val="left"/>
      <w:pPr>
        <w:tabs>
          <w:tab w:val="left" w:pos="2040"/>
        </w:tabs>
        <w:ind w:left="2040" w:hanging="360"/>
      </w:pPr>
      <w:rPr>
        <w:rFonts w:hint="default" w:ascii="Wingdings" w:hAnsi="Wingdings"/>
      </w:rPr>
    </w:lvl>
  </w:abstractNum>
  <w:abstractNum w:abstractNumId="3">
    <w:nsid w:val="FFFFFF81"/>
    <w:multiLevelType w:val="singleLevel"/>
    <w:tmpl w:val="FFFFFF81"/>
    <w:lvl w:ilvl="0" w:tentative="0">
      <w:start w:val="1"/>
      <w:numFmt w:val="bullet"/>
      <w:pStyle w:val="20"/>
      <w:lvlText w:val=""/>
      <w:lvlJc w:val="left"/>
      <w:pPr>
        <w:tabs>
          <w:tab w:val="left" w:pos="1620"/>
        </w:tabs>
        <w:ind w:left="1620" w:hanging="360"/>
      </w:pPr>
      <w:rPr>
        <w:rFonts w:hint="default" w:ascii="Wingdings" w:hAnsi="Wingdings"/>
      </w:rPr>
    </w:lvl>
  </w:abstractNum>
  <w:abstractNum w:abstractNumId="4">
    <w:nsid w:val="FFFFFF82"/>
    <w:multiLevelType w:val="singleLevel"/>
    <w:tmpl w:val="FFFFFF82"/>
    <w:lvl w:ilvl="0" w:tentative="0">
      <w:start w:val="1"/>
      <w:numFmt w:val="bullet"/>
      <w:pStyle w:val="24"/>
      <w:lvlText w:val=""/>
      <w:lvlJc w:val="left"/>
      <w:pPr>
        <w:tabs>
          <w:tab w:val="left" w:pos="1200"/>
        </w:tabs>
        <w:ind w:left="1200" w:hanging="360"/>
      </w:pPr>
      <w:rPr>
        <w:rFonts w:hint="default" w:ascii="Wingdings" w:hAnsi="Wingdings"/>
      </w:rPr>
    </w:lvl>
  </w:abstractNum>
  <w:abstractNum w:abstractNumId="5">
    <w:nsid w:val="FFFFFF83"/>
    <w:multiLevelType w:val="singleLevel"/>
    <w:tmpl w:val="FFFFFF83"/>
    <w:lvl w:ilvl="0" w:tentative="0">
      <w:start w:val="1"/>
      <w:numFmt w:val="bullet"/>
      <w:pStyle w:val="29"/>
      <w:lvlText w:val=""/>
      <w:lvlJc w:val="left"/>
      <w:pPr>
        <w:tabs>
          <w:tab w:val="left" w:pos="780"/>
        </w:tabs>
        <w:ind w:left="780" w:hanging="360"/>
      </w:pPr>
      <w:rPr>
        <w:rFonts w:hint="default" w:ascii="Wingdings" w:hAnsi="Wingdings"/>
      </w:rPr>
    </w:lvl>
  </w:abstractNum>
  <w:abstractNum w:abstractNumId="6">
    <w:nsid w:val="0AE367E9"/>
    <w:multiLevelType w:val="multilevel"/>
    <w:tmpl w:val="0AE367E9"/>
    <w:lvl w:ilvl="0" w:tentative="0">
      <w:start w:val="1"/>
      <w:numFmt w:val="none"/>
      <w:pStyle w:val="141"/>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B0A25ED"/>
    <w:multiLevelType w:val="multilevel"/>
    <w:tmpl w:val="0B0A25ED"/>
    <w:lvl w:ilvl="0" w:tentative="0">
      <w:start w:val="1"/>
      <w:numFmt w:val="lowerLetter"/>
      <w:lvlText w:val="%1)"/>
      <w:lvlJc w:val="left"/>
      <w:pPr>
        <w:ind w:left="820" w:hanging="420"/>
      </w:p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8">
    <w:nsid w:val="0CB40C34"/>
    <w:multiLevelType w:val="multilevel"/>
    <w:tmpl w:val="0CB40C34"/>
    <w:lvl w:ilvl="0" w:tentative="0">
      <w:start w:val="1"/>
      <w:numFmt w:val="lowerLetter"/>
      <w:lvlText w:val="%1)"/>
      <w:lvlJc w:val="left"/>
      <w:pPr>
        <w:ind w:left="820" w:hanging="420"/>
      </w:p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9">
    <w:nsid w:val="1DBF583A"/>
    <w:multiLevelType w:val="multilevel"/>
    <w:tmpl w:val="1DBF583A"/>
    <w:lvl w:ilvl="0" w:tentative="0">
      <w:start w:val="1"/>
      <w:numFmt w:val="decimal"/>
      <w:pStyle w:val="153"/>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0">
    <w:nsid w:val="27BE5AA9"/>
    <w:multiLevelType w:val="multilevel"/>
    <w:tmpl w:val="27BE5AA9"/>
    <w:lvl w:ilvl="0" w:tentative="0">
      <w:start w:val="1"/>
      <w:numFmt w:val="lowerLetter"/>
      <w:lvlText w:val="%1)"/>
      <w:lvlJc w:val="left"/>
      <w:pPr>
        <w:ind w:left="820" w:hanging="420"/>
      </w:p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11">
    <w:nsid w:val="27CA3BCA"/>
    <w:multiLevelType w:val="multilevel"/>
    <w:tmpl w:val="27CA3BCA"/>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294C00F4"/>
    <w:multiLevelType w:val="multilevel"/>
    <w:tmpl w:val="294C00F4"/>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2ECA4859"/>
    <w:multiLevelType w:val="multilevel"/>
    <w:tmpl w:val="2ECA4859"/>
    <w:lvl w:ilvl="0" w:tentative="0">
      <w:start w:val="1"/>
      <w:numFmt w:val="lowerLetter"/>
      <w:lvlText w:val="%1)"/>
      <w:lvlJc w:val="left"/>
      <w:pPr>
        <w:ind w:left="820" w:hanging="420"/>
      </w:p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14">
    <w:nsid w:val="2F980388"/>
    <w:multiLevelType w:val="singleLevel"/>
    <w:tmpl w:val="2F980388"/>
    <w:lvl w:ilvl="0" w:tentative="0">
      <w:start w:val="1"/>
      <w:numFmt w:val="decimal"/>
      <w:pStyle w:val="118"/>
      <w:lvlText w:val="%1."/>
      <w:lvlJc w:val="left"/>
      <w:pPr>
        <w:tabs>
          <w:tab w:val="left" w:pos="360"/>
        </w:tabs>
        <w:ind w:left="113" w:hanging="113"/>
      </w:pPr>
      <w:rPr>
        <w:rFonts w:hint="eastAsia"/>
      </w:rPr>
    </w:lvl>
  </w:abstractNum>
  <w:abstractNum w:abstractNumId="15">
    <w:nsid w:val="30F02CD0"/>
    <w:multiLevelType w:val="multilevel"/>
    <w:tmpl w:val="30F02CD0"/>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6">
    <w:nsid w:val="30F85299"/>
    <w:multiLevelType w:val="multilevel"/>
    <w:tmpl w:val="30F85299"/>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34D915E7"/>
    <w:multiLevelType w:val="multilevel"/>
    <w:tmpl w:val="34D915E7"/>
    <w:lvl w:ilvl="0" w:tentative="0">
      <w:start w:val="1"/>
      <w:numFmt w:val="decimal"/>
      <w:lvlText w:val="%1)"/>
      <w:lvlJc w:val="left"/>
      <w:pPr>
        <w:ind w:left="1319" w:hanging="420"/>
      </w:pPr>
    </w:lvl>
    <w:lvl w:ilvl="1" w:tentative="0">
      <w:start w:val="1"/>
      <w:numFmt w:val="lowerLetter"/>
      <w:lvlText w:val="%2)"/>
      <w:lvlJc w:val="left"/>
      <w:pPr>
        <w:ind w:left="1739" w:hanging="420"/>
      </w:pPr>
    </w:lvl>
    <w:lvl w:ilvl="2" w:tentative="0">
      <w:start w:val="1"/>
      <w:numFmt w:val="lowerRoman"/>
      <w:lvlText w:val="%3."/>
      <w:lvlJc w:val="right"/>
      <w:pPr>
        <w:ind w:left="2159" w:hanging="420"/>
      </w:pPr>
    </w:lvl>
    <w:lvl w:ilvl="3" w:tentative="0">
      <w:start w:val="1"/>
      <w:numFmt w:val="decimal"/>
      <w:lvlText w:val="%4."/>
      <w:lvlJc w:val="left"/>
      <w:pPr>
        <w:ind w:left="2579" w:hanging="420"/>
      </w:pPr>
    </w:lvl>
    <w:lvl w:ilvl="4" w:tentative="0">
      <w:start w:val="1"/>
      <w:numFmt w:val="lowerLetter"/>
      <w:lvlText w:val="%5)"/>
      <w:lvlJc w:val="left"/>
      <w:pPr>
        <w:ind w:left="2999" w:hanging="420"/>
      </w:pPr>
    </w:lvl>
    <w:lvl w:ilvl="5" w:tentative="0">
      <w:start w:val="1"/>
      <w:numFmt w:val="lowerRoman"/>
      <w:lvlText w:val="%6."/>
      <w:lvlJc w:val="right"/>
      <w:pPr>
        <w:ind w:left="3419" w:hanging="420"/>
      </w:pPr>
    </w:lvl>
    <w:lvl w:ilvl="6" w:tentative="0">
      <w:start w:val="1"/>
      <w:numFmt w:val="decimal"/>
      <w:lvlText w:val="%7."/>
      <w:lvlJc w:val="left"/>
      <w:pPr>
        <w:ind w:left="3839" w:hanging="420"/>
      </w:pPr>
    </w:lvl>
    <w:lvl w:ilvl="7" w:tentative="0">
      <w:start w:val="1"/>
      <w:numFmt w:val="lowerLetter"/>
      <w:lvlText w:val="%8)"/>
      <w:lvlJc w:val="left"/>
      <w:pPr>
        <w:ind w:left="4259" w:hanging="420"/>
      </w:pPr>
    </w:lvl>
    <w:lvl w:ilvl="8" w:tentative="0">
      <w:start w:val="1"/>
      <w:numFmt w:val="lowerRoman"/>
      <w:lvlText w:val="%9."/>
      <w:lvlJc w:val="right"/>
      <w:pPr>
        <w:ind w:left="4679" w:hanging="420"/>
      </w:pPr>
    </w:lvl>
  </w:abstractNum>
  <w:abstractNum w:abstractNumId="18">
    <w:nsid w:val="3710295E"/>
    <w:multiLevelType w:val="multilevel"/>
    <w:tmpl w:val="3710295E"/>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38CC1CFA"/>
    <w:multiLevelType w:val="multilevel"/>
    <w:tmpl w:val="38CC1CFA"/>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3C9860E1"/>
    <w:multiLevelType w:val="multilevel"/>
    <w:tmpl w:val="3C9860E1"/>
    <w:lvl w:ilvl="0" w:tentative="0">
      <w:start w:val="1"/>
      <w:numFmt w:val="upperLetter"/>
      <w:suff w:val="nothing"/>
      <w:lvlText w:val="附录%1"/>
      <w:lvlJc w:val="left"/>
      <w:pPr>
        <w:ind w:left="171" w:firstLine="0"/>
      </w:pPr>
      <w:rPr>
        <w:rFonts w:hint="eastAsia" w:ascii="黑体" w:hAnsi="Times New Roman" w:eastAsia="黑体"/>
        <w:b w:val="0"/>
        <w:i w:val="0"/>
        <w:sz w:val="24"/>
      </w:rPr>
    </w:lvl>
    <w:lvl w:ilvl="1" w:tentative="0">
      <w:start w:val="1"/>
      <w:numFmt w:val="decimal"/>
      <w:suff w:val="nothing"/>
      <w:lvlText w:val="%1%2　"/>
      <w:lvlJc w:val="left"/>
      <w:pPr>
        <w:ind w:left="171" w:firstLine="0"/>
      </w:pPr>
      <w:rPr>
        <w:rFonts w:hint="eastAsia" w:eastAsia="黑体"/>
        <w:b w:val="0"/>
        <w:i w:val="0"/>
        <w:spacing w:val="0"/>
        <w:position w:val="0"/>
        <w:sz w:val="24"/>
      </w:rPr>
    </w:lvl>
    <w:lvl w:ilvl="2" w:tentative="0">
      <w:start w:val="1"/>
      <w:numFmt w:val="decimal"/>
      <w:suff w:val="nothing"/>
      <w:lvlText w:val="%1%2.%3　"/>
      <w:lvlJc w:val="left"/>
      <w:pPr>
        <w:ind w:left="171" w:firstLine="0"/>
      </w:pPr>
      <w:rPr>
        <w:rFonts w:hint="eastAsia" w:ascii="宋体" w:hAnsi="Times New Roman" w:eastAsia="宋体"/>
        <w:b w:val="0"/>
        <w:i w:val="0"/>
        <w:sz w:val="24"/>
      </w:rPr>
    </w:lvl>
    <w:lvl w:ilvl="3" w:tentative="0">
      <w:start w:val="1"/>
      <w:numFmt w:val="decimal"/>
      <w:suff w:val="nothing"/>
      <w:lvlText w:val="%1%2.%3.%4　"/>
      <w:lvlJc w:val="left"/>
      <w:pPr>
        <w:ind w:left="171" w:firstLine="0"/>
      </w:pPr>
      <w:rPr>
        <w:rFonts w:hint="eastAsia" w:ascii="宋体" w:hAnsi="Times New Roman" w:eastAsia="宋体"/>
        <w:b w:val="0"/>
        <w:i w:val="0"/>
        <w:sz w:val="24"/>
      </w:rPr>
    </w:lvl>
    <w:lvl w:ilvl="4" w:tentative="0">
      <w:start w:val="1"/>
      <w:numFmt w:val="decimal"/>
      <w:suff w:val="nothing"/>
      <w:lvlText w:val="%1%2.%3.%4.%5　"/>
      <w:lvlJc w:val="left"/>
      <w:pPr>
        <w:ind w:left="171" w:firstLine="0"/>
      </w:pPr>
      <w:rPr>
        <w:rFonts w:hint="eastAsia" w:ascii="宋体" w:hAnsi="Times New Roman" w:eastAsia="宋体"/>
        <w:b w:val="0"/>
        <w:i w:val="0"/>
        <w:spacing w:val="0"/>
        <w:position w:val="0"/>
        <w:sz w:val="24"/>
      </w:rPr>
    </w:lvl>
    <w:lvl w:ilvl="5" w:tentative="0">
      <w:start w:val="1"/>
      <w:numFmt w:val="decimal"/>
      <w:suff w:val="nothing"/>
      <w:lvlText w:val="%1%2.%3.%4.%5.%6　"/>
      <w:lvlJc w:val="left"/>
      <w:pPr>
        <w:ind w:left="171" w:firstLine="0"/>
      </w:pPr>
      <w:rPr>
        <w:rFonts w:hint="eastAsia" w:ascii="宋体" w:hAnsi="Times New Roman" w:eastAsia="宋体"/>
        <w:b w:val="0"/>
        <w:i w:val="0"/>
        <w:sz w:val="24"/>
      </w:rPr>
    </w:lvl>
    <w:lvl w:ilvl="6" w:tentative="0">
      <w:start w:val="1"/>
      <w:numFmt w:val="none"/>
      <w:suff w:val="nothing"/>
      <w:lvlText w:val="—— "/>
      <w:lvlJc w:val="left"/>
      <w:pPr>
        <w:ind w:left="551" w:firstLine="0"/>
      </w:pPr>
      <w:rPr>
        <w:rFonts w:hint="eastAsia" w:ascii="黑体" w:hAnsi="Times New Roman" w:eastAsia="黑体"/>
        <w:b w:val="0"/>
        <w:i w:val="0"/>
        <w:sz w:val="21"/>
      </w:rPr>
    </w:lvl>
    <w:lvl w:ilvl="7" w:tentative="0">
      <w:start w:val="1"/>
      <w:numFmt w:val="lowerLetter"/>
      <w:pStyle w:val="129"/>
      <w:suff w:val="nothing"/>
      <w:lvlText w:val="%8） "/>
      <w:lvlJc w:val="left"/>
      <w:pPr>
        <w:ind w:left="551" w:firstLine="0"/>
      </w:pPr>
      <w:rPr>
        <w:rFonts w:hint="eastAsia" w:ascii="宋体" w:eastAsia="宋体"/>
        <w:b w:val="0"/>
        <w:i w:val="0"/>
        <w:spacing w:val="0"/>
        <w:position w:val="0"/>
        <w:sz w:val="24"/>
      </w:rPr>
    </w:lvl>
    <w:lvl w:ilvl="8" w:tentative="0">
      <w:start w:val="1"/>
      <w:numFmt w:val="decimal"/>
      <w:pStyle w:val="128"/>
      <w:suff w:val="nothing"/>
      <w:lvlText w:val="%9） "/>
      <w:lvlJc w:val="left"/>
      <w:pPr>
        <w:ind w:left="1333" w:hanging="482"/>
      </w:pPr>
      <w:rPr>
        <w:rFonts w:hint="eastAsia" w:ascii="宋体" w:eastAsia="宋体"/>
        <w:b w:val="0"/>
        <w:i w:val="0"/>
        <w:spacing w:val="0"/>
        <w:position w:val="0"/>
        <w:sz w:val="24"/>
      </w:rPr>
    </w:lvl>
  </w:abstractNum>
  <w:abstractNum w:abstractNumId="21">
    <w:nsid w:val="3CCB6963"/>
    <w:multiLevelType w:val="multilevel"/>
    <w:tmpl w:val="3CCB6963"/>
    <w:lvl w:ilvl="0" w:tentative="0">
      <w:start w:val="1"/>
      <w:numFmt w:val="lowerLetter"/>
      <w:lvlText w:val="%1)"/>
      <w:lvlJc w:val="left"/>
      <w:pPr>
        <w:ind w:left="820" w:hanging="420"/>
      </w:p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22">
    <w:nsid w:val="46806F7D"/>
    <w:multiLevelType w:val="multilevel"/>
    <w:tmpl w:val="46806F7D"/>
    <w:lvl w:ilvl="0" w:tentative="0">
      <w:start w:val="1"/>
      <w:numFmt w:val="none"/>
      <w:pStyle w:val="144"/>
      <w:lvlText w:val="图"/>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46D22D8F"/>
    <w:multiLevelType w:val="multilevel"/>
    <w:tmpl w:val="46D22D8F"/>
    <w:lvl w:ilvl="0" w:tentative="0">
      <w:start w:val="1"/>
      <w:numFmt w:val="none"/>
      <w:pStyle w:val="158"/>
      <w:lvlText w:val="%1◆　"/>
      <w:lvlJc w:val="left"/>
      <w:pPr>
        <w:tabs>
          <w:tab w:val="left" w:pos="960"/>
        </w:tabs>
        <w:ind w:left="917" w:hanging="317"/>
      </w:pPr>
      <w:rPr>
        <w:rFonts w:hint="eastAsia" w:ascii="宋体" w:hAnsi="Times New Roman" w:eastAsia="宋体"/>
        <w:b w:val="0"/>
        <w:i w:val="0"/>
        <w:position w:val="4"/>
        <w:sz w:val="1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496E4D7B"/>
    <w:multiLevelType w:val="multilevel"/>
    <w:tmpl w:val="496E4D7B"/>
    <w:lvl w:ilvl="0" w:tentative="0">
      <w:start w:val="1"/>
      <w:numFmt w:val="none"/>
      <w:pStyle w:val="148"/>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4BDB4320"/>
    <w:multiLevelType w:val="multilevel"/>
    <w:tmpl w:val="4BDB4320"/>
    <w:lvl w:ilvl="0" w:tentative="0">
      <w:start w:val="1"/>
      <w:numFmt w:val="lowerLetter"/>
      <w:lvlText w:val="%1)"/>
      <w:lvlJc w:val="left"/>
      <w:pPr>
        <w:ind w:left="820" w:hanging="420"/>
      </w:p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26">
    <w:nsid w:val="4C330AA3"/>
    <w:multiLevelType w:val="multilevel"/>
    <w:tmpl w:val="4C330AA3"/>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7">
    <w:nsid w:val="4F302902"/>
    <w:multiLevelType w:val="multilevel"/>
    <w:tmpl w:val="4F302902"/>
    <w:lvl w:ilvl="0" w:tentative="0">
      <w:start w:val="1"/>
      <w:numFmt w:val="none"/>
      <w:pStyle w:val="150"/>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51432E3E"/>
    <w:multiLevelType w:val="multilevel"/>
    <w:tmpl w:val="51432E3E"/>
    <w:lvl w:ilvl="0" w:tentative="0">
      <w:start w:val="1"/>
      <w:numFmt w:val="lowerLetter"/>
      <w:lvlText w:val="%1)"/>
      <w:lvlJc w:val="left"/>
      <w:pPr>
        <w:ind w:left="820" w:hanging="420"/>
      </w:p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29">
    <w:nsid w:val="55363BBA"/>
    <w:multiLevelType w:val="multilevel"/>
    <w:tmpl w:val="55363BBA"/>
    <w:lvl w:ilvl="0" w:tentative="0">
      <w:start w:val="1"/>
      <w:numFmt w:val="lowerLetter"/>
      <w:lvlText w:val="%1)"/>
      <w:lvlJc w:val="left"/>
      <w:pPr>
        <w:ind w:left="820" w:hanging="420"/>
      </w:p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30">
    <w:nsid w:val="557C2AF5"/>
    <w:multiLevelType w:val="multilevel"/>
    <w:tmpl w:val="557C2AF5"/>
    <w:lvl w:ilvl="0" w:tentative="0">
      <w:start w:val="1"/>
      <w:numFmt w:val="decimal"/>
      <w:pStyle w:val="157"/>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1">
    <w:nsid w:val="59113887"/>
    <w:multiLevelType w:val="multilevel"/>
    <w:tmpl w:val="59113887"/>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2">
    <w:nsid w:val="5BA45918"/>
    <w:multiLevelType w:val="multilevel"/>
    <w:tmpl w:val="5BA45918"/>
    <w:lvl w:ilvl="0" w:tentative="0">
      <w:start w:val="1"/>
      <w:numFmt w:val="upperLetter"/>
      <w:suff w:val="nothing"/>
      <w:lvlText w:val="附录%1"/>
      <w:lvlJc w:val="left"/>
      <w:pPr>
        <w:ind w:left="108" w:firstLine="0"/>
      </w:pPr>
      <w:rPr>
        <w:rFonts w:hint="eastAsia" w:ascii="黑体" w:hAnsi="Times New Roman" w:eastAsia="黑体"/>
        <w:b w:val="0"/>
        <w:i w:val="0"/>
        <w:sz w:val="24"/>
      </w:rPr>
    </w:lvl>
    <w:lvl w:ilvl="1" w:tentative="0">
      <w:start w:val="1"/>
      <w:numFmt w:val="decimal"/>
      <w:suff w:val="nothing"/>
      <w:lvlText w:val="%1%2　"/>
      <w:lvlJc w:val="left"/>
      <w:pPr>
        <w:ind w:left="108" w:firstLine="0"/>
      </w:pPr>
      <w:rPr>
        <w:rFonts w:hint="eastAsia" w:eastAsia="黑体"/>
        <w:b w:val="0"/>
        <w:i w:val="0"/>
        <w:spacing w:val="0"/>
        <w:position w:val="0"/>
        <w:sz w:val="24"/>
      </w:rPr>
    </w:lvl>
    <w:lvl w:ilvl="2" w:tentative="0">
      <w:start w:val="1"/>
      <w:numFmt w:val="decimal"/>
      <w:suff w:val="nothing"/>
      <w:lvlText w:val="%1%2.%3　"/>
      <w:lvlJc w:val="left"/>
      <w:pPr>
        <w:ind w:left="108" w:firstLine="0"/>
      </w:pPr>
      <w:rPr>
        <w:rFonts w:hint="eastAsia" w:ascii="宋体" w:hAnsi="Times New Roman" w:eastAsia="宋体"/>
        <w:b w:val="0"/>
        <w:i w:val="0"/>
        <w:sz w:val="24"/>
      </w:rPr>
    </w:lvl>
    <w:lvl w:ilvl="3" w:tentative="0">
      <w:start w:val="1"/>
      <w:numFmt w:val="decimal"/>
      <w:suff w:val="nothing"/>
      <w:lvlText w:val="%1%2.%3.%4　"/>
      <w:lvlJc w:val="left"/>
      <w:pPr>
        <w:ind w:left="108" w:firstLine="0"/>
      </w:pPr>
      <w:rPr>
        <w:rFonts w:hint="eastAsia" w:ascii="宋体" w:hAnsi="Times New Roman" w:eastAsia="宋体"/>
        <w:b w:val="0"/>
        <w:i w:val="0"/>
        <w:sz w:val="24"/>
      </w:rPr>
    </w:lvl>
    <w:lvl w:ilvl="4" w:tentative="0">
      <w:start w:val="1"/>
      <w:numFmt w:val="decimal"/>
      <w:suff w:val="nothing"/>
      <w:lvlText w:val="%1%2.%3.%4.%5　"/>
      <w:lvlJc w:val="left"/>
      <w:pPr>
        <w:ind w:left="108" w:firstLine="0"/>
      </w:pPr>
      <w:rPr>
        <w:rFonts w:hint="eastAsia" w:ascii="宋体" w:hAnsi="Times New Roman" w:eastAsia="宋体"/>
        <w:b w:val="0"/>
        <w:i w:val="0"/>
        <w:spacing w:val="0"/>
        <w:position w:val="0"/>
        <w:sz w:val="24"/>
      </w:rPr>
    </w:lvl>
    <w:lvl w:ilvl="5" w:tentative="0">
      <w:start w:val="1"/>
      <w:numFmt w:val="decimal"/>
      <w:suff w:val="nothing"/>
      <w:lvlText w:val="%1%2.%3.%4.%5.%6　"/>
      <w:lvlJc w:val="left"/>
      <w:pPr>
        <w:ind w:left="108" w:firstLine="0"/>
      </w:pPr>
      <w:rPr>
        <w:rFonts w:hint="eastAsia" w:ascii="宋体" w:hAnsi="Times New Roman" w:eastAsia="宋体"/>
        <w:b w:val="0"/>
        <w:i w:val="0"/>
        <w:sz w:val="24"/>
      </w:rPr>
    </w:lvl>
    <w:lvl w:ilvl="6" w:tentative="0">
      <w:start w:val="1"/>
      <w:numFmt w:val="none"/>
      <w:pStyle w:val="107"/>
      <w:suff w:val="nothing"/>
      <w:lvlText w:val="—— "/>
      <w:lvlJc w:val="left"/>
      <w:pPr>
        <w:ind w:left="488" w:firstLine="0"/>
      </w:pPr>
      <w:rPr>
        <w:rFonts w:hint="eastAsia" w:ascii="宋体" w:hAnsi="Times New Roman" w:eastAsia="宋体"/>
        <w:b w:val="0"/>
        <w:i w:val="0"/>
        <w:sz w:val="24"/>
      </w:rPr>
    </w:lvl>
    <w:lvl w:ilvl="7" w:tentative="0">
      <w:start w:val="1"/>
      <w:numFmt w:val="lowerLetter"/>
      <w:suff w:val="nothing"/>
      <w:lvlText w:val="%8） "/>
      <w:lvlJc w:val="left"/>
      <w:pPr>
        <w:ind w:left="488" w:firstLine="0"/>
      </w:pPr>
      <w:rPr>
        <w:rFonts w:hint="eastAsia" w:ascii="宋体" w:eastAsia="宋体"/>
        <w:b w:val="0"/>
        <w:i w:val="0"/>
        <w:spacing w:val="0"/>
        <w:position w:val="0"/>
        <w:sz w:val="24"/>
      </w:rPr>
    </w:lvl>
    <w:lvl w:ilvl="8" w:tentative="0">
      <w:start w:val="1"/>
      <w:numFmt w:val="decimal"/>
      <w:suff w:val="nothing"/>
      <w:lvlText w:val="%9） "/>
      <w:lvlJc w:val="left"/>
      <w:pPr>
        <w:ind w:left="1270" w:hanging="482"/>
      </w:pPr>
      <w:rPr>
        <w:rFonts w:hint="eastAsia" w:ascii="宋体" w:eastAsia="宋体"/>
        <w:b w:val="0"/>
        <w:i w:val="0"/>
        <w:spacing w:val="0"/>
        <w:position w:val="0"/>
        <w:sz w:val="24"/>
      </w:rPr>
    </w:lvl>
  </w:abstractNum>
  <w:abstractNum w:abstractNumId="33">
    <w:nsid w:val="5D1C4A0D"/>
    <w:multiLevelType w:val="multilevel"/>
    <w:tmpl w:val="5D1C4A0D"/>
    <w:lvl w:ilvl="0" w:tentative="0">
      <w:start w:val="1"/>
      <w:numFmt w:val="lowerLetter"/>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34">
    <w:nsid w:val="616F3DBB"/>
    <w:multiLevelType w:val="multilevel"/>
    <w:tmpl w:val="616F3DBB"/>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5">
    <w:nsid w:val="62790526"/>
    <w:multiLevelType w:val="multilevel"/>
    <w:tmpl w:val="62790526"/>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6">
    <w:nsid w:val="6350366A"/>
    <w:multiLevelType w:val="multilevel"/>
    <w:tmpl w:val="6350366A"/>
    <w:lvl w:ilvl="0" w:tentative="0">
      <w:start w:val="1"/>
      <w:numFmt w:val="none"/>
      <w:pStyle w:val="159"/>
      <w:lvlText w:val="%1●　"/>
      <w:lvlJc w:val="left"/>
      <w:pPr>
        <w:tabs>
          <w:tab w:val="left" w:pos="760"/>
        </w:tabs>
        <w:ind w:left="717" w:hanging="317"/>
      </w:pPr>
      <w:rPr>
        <w:rFonts w:hint="eastAsia" w:ascii="宋体" w:hAnsi="Times New Roman" w:eastAsia="宋体"/>
        <w:b w:val="0"/>
        <w:i w:val="0"/>
        <w:position w:val="4"/>
        <w:sz w:val="13"/>
      </w:rPr>
    </w:lvl>
    <w:lvl w:ilvl="1" w:tentative="0">
      <w:start w:val="1"/>
      <w:numFmt w:val="lowerLetter"/>
      <w:lvlText w:val="%2)"/>
      <w:lvlJc w:val="left"/>
      <w:pPr>
        <w:tabs>
          <w:tab w:val="left" w:pos="780"/>
        </w:tabs>
        <w:ind w:left="780" w:hanging="360"/>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646260FA"/>
    <w:multiLevelType w:val="multilevel"/>
    <w:tmpl w:val="646260FA"/>
    <w:lvl w:ilvl="0" w:tentative="0">
      <w:start w:val="1"/>
      <w:numFmt w:val="decimal"/>
      <w:pStyle w:val="146"/>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8">
    <w:nsid w:val="689F6023"/>
    <w:multiLevelType w:val="multilevel"/>
    <w:tmpl w:val="689F6023"/>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9">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0">
    <w:nsid w:val="6D8432C9"/>
    <w:multiLevelType w:val="multilevel"/>
    <w:tmpl w:val="6D8432C9"/>
    <w:lvl w:ilvl="0" w:tentative="0">
      <w:start w:val="1"/>
      <w:numFmt w:val="lowerLetter"/>
      <w:lvlText w:val="%1)"/>
      <w:lvlJc w:val="left"/>
      <w:pPr>
        <w:ind w:left="820" w:hanging="420"/>
      </w:p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41">
    <w:nsid w:val="6DBF04F4"/>
    <w:multiLevelType w:val="multilevel"/>
    <w:tmpl w:val="6DBF04F4"/>
    <w:lvl w:ilvl="0" w:tentative="0">
      <w:start w:val="1"/>
      <w:numFmt w:val="none"/>
      <w:pStyle w:val="126"/>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6EA87316"/>
    <w:multiLevelType w:val="multilevel"/>
    <w:tmpl w:val="6EA87316"/>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3">
    <w:nsid w:val="71F75590"/>
    <w:multiLevelType w:val="multilevel"/>
    <w:tmpl w:val="71F75590"/>
    <w:lvl w:ilvl="0" w:tentative="0">
      <w:start w:val="1"/>
      <w:numFmt w:val="lowerLetter"/>
      <w:lvlText w:val="%1)"/>
      <w:lvlJc w:val="left"/>
      <w:pPr>
        <w:ind w:left="820" w:hanging="420"/>
      </w:p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44">
    <w:nsid w:val="74955D7A"/>
    <w:multiLevelType w:val="singleLevel"/>
    <w:tmpl w:val="74955D7A"/>
    <w:lvl w:ilvl="0" w:tentative="0">
      <w:start w:val="2"/>
      <w:numFmt w:val="chineseCounting"/>
      <w:suff w:val="nothing"/>
      <w:lvlText w:val="（%1）"/>
      <w:lvlJc w:val="left"/>
      <w:rPr>
        <w:rFonts w:hint="eastAsia"/>
      </w:rPr>
    </w:lvl>
  </w:abstractNum>
  <w:abstractNum w:abstractNumId="45">
    <w:nsid w:val="75231F44"/>
    <w:multiLevelType w:val="multilevel"/>
    <w:tmpl w:val="75231F44"/>
    <w:lvl w:ilvl="0" w:tentative="0">
      <w:start w:val="1"/>
      <w:numFmt w:val="lowerLetter"/>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46">
    <w:nsid w:val="76933334"/>
    <w:multiLevelType w:val="multilevel"/>
    <w:tmpl w:val="76933334"/>
    <w:lvl w:ilvl="0" w:tentative="0">
      <w:start w:val="1"/>
      <w:numFmt w:val="none"/>
      <w:pStyle w:val="147"/>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7">
    <w:nsid w:val="77E72302"/>
    <w:multiLevelType w:val="multilevel"/>
    <w:tmpl w:val="77E72302"/>
    <w:lvl w:ilvl="0" w:tentative="0">
      <w:start w:val="1"/>
      <w:numFmt w:val="lowerLetter"/>
      <w:lvlText w:val="%1)"/>
      <w:lvlJc w:val="left"/>
      <w:pPr>
        <w:ind w:left="820" w:hanging="420"/>
      </w:pPr>
      <w:rPr>
        <w:b w:val="0"/>
        <w:bCs w:val="0"/>
      </w:r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48">
    <w:nsid w:val="78761347"/>
    <w:multiLevelType w:val="multilevel"/>
    <w:tmpl w:val="78761347"/>
    <w:lvl w:ilvl="0" w:tentative="0">
      <w:start w:val="1"/>
      <w:numFmt w:val="lowerLetter"/>
      <w:lvlText w:val="%1)"/>
      <w:lvlJc w:val="left"/>
      <w:pPr>
        <w:ind w:left="820" w:hanging="420"/>
      </w:p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num w:numId="1">
    <w:abstractNumId w:val="3"/>
  </w:num>
  <w:num w:numId="2">
    <w:abstractNumId w:val="4"/>
  </w:num>
  <w:num w:numId="3">
    <w:abstractNumId w:val="5"/>
  </w:num>
  <w:num w:numId="4">
    <w:abstractNumId w:val="2"/>
  </w:num>
  <w:num w:numId="5">
    <w:abstractNumId w:val="32"/>
  </w:num>
  <w:num w:numId="6">
    <w:abstractNumId w:val="14"/>
  </w:num>
  <w:num w:numId="7">
    <w:abstractNumId w:val="41"/>
  </w:num>
  <w:num w:numId="8">
    <w:abstractNumId w:val="20"/>
  </w:num>
  <w:num w:numId="9">
    <w:abstractNumId w:val="6"/>
  </w:num>
  <w:num w:numId="10">
    <w:abstractNumId w:val="22"/>
  </w:num>
  <w:num w:numId="11">
    <w:abstractNumId w:val="37"/>
  </w:num>
  <w:num w:numId="12">
    <w:abstractNumId w:val="46"/>
  </w:num>
  <w:num w:numId="13">
    <w:abstractNumId w:val="24"/>
  </w:num>
  <w:num w:numId="14">
    <w:abstractNumId w:val="27"/>
  </w:num>
  <w:num w:numId="15">
    <w:abstractNumId w:val="9"/>
  </w:num>
  <w:num w:numId="16">
    <w:abstractNumId w:val="30"/>
  </w:num>
  <w:num w:numId="17">
    <w:abstractNumId w:val="23"/>
  </w:num>
  <w:num w:numId="18">
    <w:abstractNumId w:val="36"/>
  </w:num>
  <w:num w:numId="19">
    <w:abstractNumId w:val="39"/>
  </w:num>
  <w:num w:numId="20">
    <w:abstractNumId w:val="47"/>
  </w:num>
  <w:num w:numId="21">
    <w:abstractNumId w:val="10"/>
  </w:num>
  <w:num w:numId="22">
    <w:abstractNumId w:val="8"/>
  </w:num>
  <w:num w:numId="23">
    <w:abstractNumId w:val="21"/>
  </w:num>
  <w:num w:numId="24">
    <w:abstractNumId w:val="13"/>
  </w:num>
  <w:num w:numId="25">
    <w:abstractNumId w:val="28"/>
  </w:num>
  <w:num w:numId="26">
    <w:abstractNumId w:val="17"/>
  </w:num>
  <w:num w:numId="27">
    <w:abstractNumId w:val="43"/>
  </w:num>
  <w:num w:numId="28">
    <w:abstractNumId w:val="40"/>
  </w:num>
  <w:num w:numId="29">
    <w:abstractNumId w:val="48"/>
  </w:num>
  <w:num w:numId="30">
    <w:abstractNumId w:val="7"/>
  </w:num>
  <w:num w:numId="31">
    <w:abstractNumId w:val="29"/>
  </w:num>
  <w:num w:numId="32">
    <w:abstractNumId w:val="25"/>
  </w:num>
  <w:num w:numId="33">
    <w:abstractNumId w:val="45"/>
  </w:num>
  <w:num w:numId="34">
    <w:abstractNumId w:val="33"/>
  </w:num>
  <w:num w:numId="35">
    <w:abstractNumId w:val="42"/>
  </w:num>
  <w:num w:numId="36">
    <w:abstractNumId w:val="19"/>
  </w:num>
  <w:num w:numId="37">
    <w:abstractNumId w:val="26"/>
  </w:num>
  <w:num w:numId="38">
    <w:abstractNumId w:val="31"/>
  </w:num>
  <w:num w:numId="39">
    <w:abstractNumId w:val="35"/>
  </w:num>
  <w:num w:numId="40">
    <w:abstractNumId w:val="16"/>
  </w:num>
  <w:num w:numId="41">
    <w:abstractNumId w:val="34"/>
  </w:num>
  <w:num w:numId="42">
    <w:abstractNumId w:val="12"/>
  </w:num>
  <w:num w:numId="43">
    <w:abstractNumId w:val="11"/>
  </w:num>
  <w:num w:numId="44">
    <w:abstractNumId w:val="18"/>
  </w:num>
  <w:num w:numId="45">
    <w:abstractNumId w:val="15"/>
  </w:num>
  <w:num w:numId="46">
    <w:abstractNumId w:val="38"/>
  </w:num>
  <w:num w:numId="47">
    <w:abstractNumId w:val="0"/>
  </w:num>
  <w:num w:numId="48">
    <w:abstractNumId w:val="44"/>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attachedTemplate r:id="rId1"/>
  <w:documentProtection w:enforcement="0"/>
  <w:defaultTabStop w:val="315"/>
  <w:evenAndOddHeaders w:val="true"/>
  <w:drawingGridHorizontalSpacing w:val="105"/>
  <w:drawingGridVerticalSpacing w:val="156"/>
  <w:displayHorizontalDrawingGridEvery w:val="2"/>
  <w:displayVerticalDrawingGridEvery w:val="2"/>
  <w:noPunctuationKerning w:val="true"/>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VhMDlkNzhjMTdkOWE2ZDAwMzBlNjI3NWE2ZGNjMjgifQ=="/>
  </w:docVars>
  <w:rsids>
    <w:rsidRoot w:val="00B05F81"/>
    <w:rsid w:val="0000011F"/>
    <w:rsid w:val="00000327"/>
    <w:rsid w:val="00000868"/>
    <w:rsid w:val="000009D8"/>
    <w:rsid w:val="00001833"/>
    <w:rsid w:val="000022C2"/>
    <w:rsid w:val="000026FE"/>
    <w:rsid w:val="00002A73"/>
    <w:rsid w:val="00003114"/>
    <w:rsid w:val="00003423"/>
    <w:rsid w:val="00003761"/>
    <w:rsid w:val="0000431D"/>
    <w:rsid w:val="0000494F"/>
    <w:rsid w:val="00005202"/>
    <w:rsid w:val="00005543"/>
    <w:rsid w:val="00005551"/>
    <w:rsid w:val="00005FBD"/>
    <w:rsid w:val="00006355"/>
    <w:rsid w:val="0000645F"/>
    <w:rsid w:val="00006616"/>
    <w:rsid w:val="000068B6"/>
    <w:rsid w:val="00006F54"/>
    <w:rsid w:val="00007154"/>
    <w:rsid w:val="00007687"/>
    <w:rsid w:val="00007A0C"/>
    <w:rsid w:val="00007B57"/>
    <w:rsid w:val="0001054F"/>
    <w:rsid w:val="00010698"/>
    <w:rsid w:val="0001272B"/>
    <w:rsid w:val="00012980"/>
    <w:rsid w:val="0001298A"/>
    <w:rsid w:val="00012AC3"/>
    <w:rsid w:val="00012E43"/>
    <w:rsid w:val="000131E5"/>
    <w:rsid w:val="00014FE3"/>
    <w:rsid w:val="000151CD"/>
    <w:rsid w:val="00015303"/>
    <w:rsid w:val="00015320"/>
    <w:rsid w:val="00015BF6"/>
    <w:rsid w:val="0001690D"/>
    <w:rsid w:val="00016CAE"/>
    <w:rsid w:val="00016CAF"/>
    <w:rsid w:val="00017E17"/>
    <w:rsid w:val="00017F1A"/>
    <w:rsid w:val="00020FC8"/>
    <w:rsid w:val="0002148A"/>
    <w:rsid w:val="00022C35"/>
    <w:rsid w:val="000230A2"/>
    <w:rsid w:val="00023D52"/>
    <w:rsid w:val="00024084"/>
    <w:rsid w:val="00024C7B"/>
    <w:rsid w:val="000251B8"/>
    <w:rsid w:val="00026181"/>
    <w:rsid w:val="00026276"/>
    <w:rsid w:val="00026758"/>
    <w:rsid w:val="00026CB5"/>
    <w:rsid w:val="00026DFD"/>
    <w:rsid w:val="00027071"/>
    <w:rsid w:val="00027441"/>
    <w:rsid w:val="00027900"/>
    <w:rsid w:val="000279E0"/>
    <w:rsid w:val="00027B00"/>
    <w:rsid w:val="00030567"/>
    <w:rsid w:val="0003088C"/>
    <w:rsid w:val="00030B47"/>
    <w:rsid w:val="00030E2C"/>
    <w:rsid w:val="000311C5"/>
    <w:rsid w:val="000314B4"/>
    <w:rsid w:val="00032C0C"/>
    <w:rsid w:val="00032EDE"/>
    <w:rsid w:val="00033400"/>
    <w:rsid w:val="00033459"/>
    <w:rsid w:val="000336BF"/>
    <w:rsid w:val="000347FC"/>
    <w:rsid w:val="00034A58"/>
    <w:rsid w:val="00034DD6"/>
    <w:rsid w:val="00035D62"/>
    <w:rsid w:val="0003646D"/>
    <w:rsid w:val="00036D44"/>
    <w:rsid w:val="00036D5E"/>
    <w:rsid w:val="00037CB5"/>
    <w:rsid w:val="00037EF1"/>
    <w:rsid w:val="00037F56"/>
    <w:rsid w:val="000413C8"/>
    <w:rsid w:val="000415D9"/>
    <w:rsid w:val="0004179A"/>
    <w:rsid w:val="00041D4C"/>
    <w:rsid w:val="00042CC0"/>
    <w:rsid w:val="00042DC5"/>
    <w:rsid w:val="00043E9F"/>
    <w:rsid w:val="0004409A"/>
    <w:rsid w:val="000440A3"/>
    <w:rsid w:val="000440DB"/>
    <w:rsid w:val="00044288"/>
    <w:rsid w:val="00044289"/>
    <w:rsid w:val="000446DA"/>
    <w:rsid w:val="00044951"/>
    <w:rsid w:val="0004638B"/>
    <w:rsid w:val="0004764B"/>
    <w:rsid w:val="00050089"/>
    <w:rsid w:val="0005044F"/>
    <w:rsid w:val="0005089B"/>
    <w:rsid w:val="00050BBA"/>
    <w:rsid w:val="00050C81"/>
    <w:rsid w:val="00050E40"/>
    <w:rsid w:val="00051570"/>
    <w:rsid w:val="000517AB"/>
    <w:rsid w:val="00051D10"/>
    <w:rsid w:val="00052710"/>
    <w:rsid w:val="00052A29"/>
    <w:rsid w:val="00052BA9"/>
    <w:rsid w:val="000535F8"/>
    <w:rsid w:val="000539D1"/>
    <w:rsid w:val="00053A66"/>
    <w:rsid w:val="00053D37"/>
    <w:rsid w:val="00053E77"/>
    <w:rsid w:val="00054631"/>
    <w:rsid w:val="00054682"/>
    <w:rsid w:val="00054B70"/>
    <w:rsid w:val="0005505E"/>
    <w:rsid w:val="00055127"/>
    <w:rsid w:val="000552FB"/>
    <w:rsid w:val="000554C5"/>
    <w:rsid w:val="00055528"/>
    <w:rsid w:val="0005570D"/>
    <w:rsid w:val="00055FB7"/>
    <w:rsid w:val="00056026"/>
    <w:rsid w:val="000563F7"/>
    <w:rsid w:val="000567D6"/>
    <w:rsid w:val="00056DEA"/>
    <w:rsid w:val="00056F0E"/>
    <w:rsid w:val="000570FE"/>
    <w:rsid w:val="000578B0"/>
    <w:rsid w:val="0005792C"/>
    <w:rsid w:val="00060136"/>
    <w:rsid w:val="0006081D"/>
    <w:rsid w:val="00061B0F"/>
    <w:rsid w:val="00062742"/>
    <w:rsid w:val="0006288C"/>
    <w:rsid w:val="00062AC0"/>
    <w:rsid w:val="00062B99"/>
    <w:rsid w:val="00062D19"/>
    <w:rsid w:val="00063206"/>
    <w:rsid w:val="000646EB"/>
    <w:rsid w:val="00064D7B"/>
    <w:rsid w:val="00064DA7"/>
    <w:rsid w:val="00064DB5"/>
    <w:rsid w:val="00066A2C"/>
    <w:rsid w:val="00066BCB"/>
    <w:rsid w:val="00066CF9"/>
    <w:rsid w:val="00066D0C"/>
    <w:rsid w:val="00067690"/>
    <w:rsid w:val="0006780D"/>
    <w:rsid w:val="00067FC9"/>
    <w:rsid w:val="000713F4"/>
    <w:rsid w:val="000714E4"/>
    <w:rsid w:val="000715C0"/>
    <w:rsid w:val="00072308"/>
    <w:rsid w:val="00072D84"/>
    <w:rsid w:val="00072E13"/>
    <w:rsid w:val="00073119"/>
    <w:rsid w:val="000731FC"/>
    <w:rsid w:val="000738BD"/>
    <w:rsid w:val="00073C11"/>
    <w:rsid w:val="00073D10"/>
    <w:rsid w:val="00074328"/>
    <w:rsid w:val="000747DD"/>
    <w:rsid w:val="00075256"/>
    <w:rsid w:val="00077161"/>
    <w:rsid w:val="000778C5"/>
    <w:rsid w:val="00077BE8"/>
    <w:rsid w:val="00077C9B"/>
    <w:rsid w:val="00077DF9"/>
    <w:rsid w:val="0008009F"/>
    <w:rsid w:val="00080660"/>
    <w:rsid w:val="00080A21"/>
    <w:rsid w:val="00080A96"/>
    <w:rsid w:val="00080E0A"/>
    <w:rsid w:val="00080F00"/>
    <w:rsid w:val="00081C8C"/>
    <w:rsid w:val="00082528"/>
    <w:rsid w:val="0008413A"/>
    <w:rsid w:val="0008447D"/>
    <w:rsid w:val="00084AAC"/>
    <w:rsid w:val="00084FB7"/>
    <w:rsid w:val="0008538F"/>
    <w:rsid w:val="00085391"/>
    <w:rsid w:val="0008549C"/>
    <w:rsid w:val="00085EB2"/>
    <w:rsid w:val="00085FBB"/>
    <w:rsid w:val="00086B91"/>
    <w:rsid w:val="00087B02"/>
    <w:rsid w:val="00087D26"/>
    <w:rsid w:val="00087EFA"/>
    <w:rsid w:val="00090441"/>
    <w:rsid w:val="00090823"/>
    <w:rsid w:val="00090C93"/>
    <w:rsid w:val="000920E4"/>
    <w:rsid w:val="00093152"/>
    <w:rsid w:val="000934EA"/>
    <w:rsid w:val="00093649"/>
    <w:rsid w:val="00093A2E"/>
    <w:rsid w:val="000940B8"/>
    <w:rsid w:val="00094352"/>
    <w:rsid w:val="00094B0F"/>
    <w:rsid w:val="00094C4F"/>
    <w:rsid w:val="000954C5"/>
    <w:rsid w:val="00095B75"/>
    <w:rsid w:val="00096072"/>
    <w:rsid w:val="00096CAB"/>
    <w:rsid w:val="00096E41"/>
    <w:rsid w:val="000A08AE"/>
    <w:rsid w:val="000A1A09"/>
    <w:rsid w:val="000A24C4"/>
    <w:rsid w:val="000A421A"/>
    <w:rsid w:val="000A4A46"/>
    <w:rsid w:val="000A55AA"/>
    <w:rsid w:val="000A5B91"/>
    <w:rsid w:val="000A6660"/>
    <w:rsid w:val="000A6C5F"/>
    <w:rsid w:val="000A754D"/>
    <w:rsid w:val="000A7E48"/>
    <w:rsid w:val="000B0648"/>
    <w:rsid w:val="000B09F2"/>
    <w:rsid w:val="000B125B"/>
    <w:rsid w:val="000B1ADE"/>
    <w:rsid w:val="000B203C"/>
    <w:rsid w:val="000B2CE2"/>
    <w:rsid w:val="000B30C3"/>
    <w:rsid w:val="000B3471"/>
    <w:rsid w:val="000B3AEB"/>
    <w:rsid w:val="000B3C3C"/>
    <w:rsid w:val="000B3FF7"/>
    <w:rsid w:val="000B4410"/>
    <w:rsid w:val="000B4469"/>
    <w:rsid w:val="000B47FF"/>
    <w:rsid w:val="000B4C27"/>
    <w:rsid w:val="000B512B"/>
    <w:rsid w:val="000B579D"/>
    <w:rsid w:val="000B5E1B"/>
    <w:rsid w:val="000B6249"/>
    <w:rsid w:val="000B66C7"/>
    <w:rsid w:val="000B6BA8"/>
    <w:rsid w:val="000B789F"/>
    <w:rsid w:val="000B7F1A"/>
    <w:rsid w:val="000C05EF"/>
    <w:rsid w:val="000C1248"/>
    <w:rsid w:val="000C1510"/>
    <w:rsid w:val="000C15D9"/>
    <w:rsid w:val="000C1BC1"/>
    <w:rsid w:val="000C1FA7"/>
    <w:rsid w:val="000C33ED"/>
    <w:rsid w:val="000C37A7"/>
    <w:rsid w:val="000C3965"/>
    <w:rsid w:val="000C39A4"/>
    <w:rsid w:val="000C4627"/>
    <w:rsid w:val="000C4C9E"/>
    <w:rsid w:val="000C4D15"/>
    <w:rsid w:val="000C50CC"/>
    <w:rsid w:val="000C56FC"/>
    <w:rsid w:val="000C609E"/>
    <w:rsid w:val="000C6234"/>
    <w:rsid w:val="000D03A1"/>
    <w:rsid w:val="000D04DA"/>
    <w:rsid w:val="000D0524"/>
    <w:rsid w:val="000D280B"/>
    <w:rsid w:val="000D2C56"/>
    <w:rsid w:val="000D3035"/>
    <w:rsid w:val="000D3151"/>
    <w:rsid w:val="000D32C2"/>
    <w:rsid w:val="000D32CC"/>
    <w:rsid w:val="000D33A3"/>
    <w:rsid w:val="000D45D7"/>
    <w:rsid w:val="000D6E3B"/>
    <w:rsid w:val="000D6E4D"/>
    <w:rsid w:val="000D75CD"/>
    <w:rsid w:val="000D78EB"/>
    <w:rsid w:val="000E0252"/>
    <w:rsid w:val="000E0A35"/>
    <w:rsid w:val="000E145D"/>
    <w:rsid w:val="000E16B4"/>
    <w:rsid w:val="000E1871"/>
    <w:rsid w:val="000E1B95"/>
    <w:rsid w:val="000E1DAE"/>
    <w:rsid w:val="000E2995"/>
    <w:rsid w:val="000E2D0A"/>
    <w:rsid w:val="000E3B02"/>
    <w:rsid w:val="000E3BFC"/>
    <w:rsid w:val="000E3DF8"/>
    <w:rsid w:val="000E3E6F"/>
    <w:rsid w:val="000E4CEC"/>
    <w:rsid w:val="000E4DEA"/>
    <w:rsid w:val="000E4E0D"/>
    <w:rsid w:val="000E5576"/>
    <w:rsid w:val="000E5600"/>
    <w:rsid w:val="000E5A6C"/>
    <w:rsid w:val="000E5AB3"/>
    <w:rsid w:val="000E5BC7"/>
    <w:rsid w:val="000E5E42"/>
    <w:rsid w:val="000E5F47"/>
    <w:rsid w:val="000E61B1"/>
    <w:rsid w:val="000E68DD"/>
    <w:rsid w:val="000E6BAC"/>
    <w:rsid w:val="000E6BB1"/>
    <w:rsid w:val="000E732F"/>
    <w:rsid w:val="000E7498"/>
    <w:rsid w:val="000E7B21"/>
    <w:rsid w:val="000E7E6C"/>
    <w:rsid w:val="000F016E"/>
    <w:rsid w:val="000F0F2A"/>
    <w:rsid w:val="000F215C"/>
    <w:rsid w:val="000F27B8"/>
    <w:rsid w:val="000F283B"/>
    <w:rsid w:val="000F2C51"/>
    <w:rsid w:val="000F32AD"/>
    <w:rsid w:val="000F385C"/>
    <w:rsid w:val="000F3DBB"/>
    <w:rsid w:val="000F4120"/>
    <w:rsid w:val="000F4350"/>
    <w:rsid w:val="000F4733"/>
    <w:rsid w:val="000F48CF"/>
    <w:rsid w:val="000F4CC4"/>
    <w:rsid w:val="000F4D23"/>
    <w:rsid w:val="000F52C8"/>
    <w:rsid w:val="000F5742"/>
    <w:rsid w:val="000F69AE"/>
    <w:rsid w:val="000F6AC4"/>
    <w:rsid w:val="000F772A"/>
    <w:rsid w:val="00101F2E"/>
    <w:rsid w:val="001024B5"/>
    <w:rsid w:val="00102607"/>
    <w:rsid w:val="001029B8"/>
    <w:rsid w:val="00102BA0"/>
    <w:rsid w:val="00103227"/>
    <w:rsid w:val="00103840"/>
    <w:rsid w:val="00103FC5"/>
    <w:rsid w:val="00104037"/>
    <w:rsid w:val="0010572E"/>
    <w:rsid w:val="001062CF"/>
    <w:rsid w:val="001063D6"/>
    <w:rsid w:val="00106909"/>
    <w:rsid w:val="00106BB6"/>
    <w:rsid w:val="00107B67"/>
    <w:rsid w:val="00107BCD"/>
    <w:rsid w:val="001107D1"/>
    <w:rsid w:val="0011148F"/>
    <w:rsid w:val="001115FA"/>
    <w:rsid w:val="001119CF"/>
    <w:rsid w:val="00111BF9"/>
    <w:rsid w:val="00111D75"/>
    <w:rsid w:val="00111F85"/>
    <w:rsid w:val="001129EA"/>
    <w:rsid w:val="00112E99"/>
    <w:rsid w:val="00113098"/>
    <w:rsid w:val="0011311E"/>
    <w:rsid w:val="001135A7"/>
    <w:rsid w:val="001139FE"/>
    <w:rsid w:val="00113CA2"/>
    <w:rsid w:val="00115805"/>
    <w:rsid w:val="00115D29"/>
    <w:rsid w:val="00115E85"/>
    <w:rsid w:val="001163A8"/>
    <w:rsid w:val="00116612"/>
    <w:rsid w:val="00117860"/>
    <w:rsid w:val="0012026B"/>
    <w:rsid w:val="0012058D"/>
    <w:rsid w:val="00120AFA"/>
    <w:rsid w:val="00121B44"/>
    <w:rsid w:val="00121E05"/>
    <w:rsid w:val="00123005"/>
    <w:rsid w:val="00123416"/>
    <w:rsid w:val="001234DF"/>
    <w:rsid w:val="00123B6A"/>
    <w:rsid w:val="00124026"/>
    <w:rsid w:val="00124647"/>
    <w:rsid w:val="00124F80"/>
    <w:rsid w:val="00125752"/>
    <w:rsid w:val="00126179"/>
    <w:rsid w:val="001265C5"/>
    <w:rsid w:val="00126A59"/>
    <w:rsid w:val="00126BE4"/>
    <w:rsid w:val="00127215"/>
    <w:rsid w:val="00127829"/>
    <w:rsid w:val="00127EA1"/>
    <w:rsid w:val="00130C78"/>
    <w:rsid w:val="001311AE"/>
    <w:rsid w:val="00131265"/>
    <w:rsid w:val="001320AF"/>
    <w:rsid w:val="001320B2"/>
    <w:rsid w:val="00132132"/>
    <w:rsid w:val="001327F3"/>
    <w:rsid w:val="0013307B"/>
    <w:rsid w:val="001331DE"/>
    <w:rsid w:val="0013334F"/>
    <w:rsid w:val="001333F4"/>
    <w:rsid w:val="001342B1"/>
    <w:rsid w:val="0013433D"/>
    <w:rsid w:val="001348F6"/>
    <w:rsid w:val="00134BF5"/>
    <w:rsid w:val="001350AC"/>
    <w:rsid w:val="001350F9"/>
    <w:rsid w:val="00135545"/>
    <w:rsid w:val="00136095"/>
    <w:rsid w:val="001369A7"/>
    <w:rsid w:val="00136B92"/>
    <w:rsid w:val="00136D65"/>
    <w:rsid w:val="00137245"/>
    <w:rsid w:val="00137B73"/>
    <w:rsid w:val="00137FDA"/>
    <w:rsid w:val="00140114"/>
    <w:rsid w:val="0014017A"/>
    <w:rsid w:val="001406A1"/>
    <w:rsid w:val="00140710"/>
    <w:rsid w:val="00141460"/>
    <w:rsid w:val="00141F13"/>
    <w:rsid w:val="00142DDE"/>
    <w:rsid w:val="001447A0"/>
    <w:rsid w:val="001447E9"/>
    <w:rsid w:val="001456B1"/>
    <w:rsid w:val="00145F85"/>
    <w:rsid w:val="00146B8C"/>
    <w:rsid w:val="00146C25"/>
    <w:rsid w:val="0014763C"/>
    <w:rsid w:val="0015032D"/>
    <w:rsid w:val="0015037A"/>
    <w:rsid w:val="00150842"/>
    <w:rsid w:val="00151062"/>
    <w:rsid w:val="001516AB"/>
    <w:rsid w:val="00152349"/>
    <w:rsid w:val="00152926"/>
    <w:rsid w:val="00153570"/>
    <w:rsid w:val="001541D6"/>
    <w:rsid w:val="001542A7"/>
    <w:rsid w:val="001547D7"/>
    <w:rsid w:val="00154B3F"/>
    <w:rsid w:val="00154CA7"/>
    <w:rsid w:val="00154CB9"/>
    <w:rsid w:val="00155394"/>
    <w:rsid w:val="0015558A"/>
    <w:rsid w:val="001564A2"/>
    <w:rsid w:val="00156A2C"/>
    <w:rsid w:val="00156C64"/>
    <w:rsid w:val="00156CBE"/>
    <w:rsid w:val="00160636"/>
    <w:rsid w:val="00161A3D"/>
    <w:rsid w:val="00161CD3"/>
    <w:rsid w:val="00161D23"/>
    <w:rsid w:val="00162060"/>
    <w:rsid w:val="00162669"/>
    <w:rsid w:val="00162934"/>
    <w:rsid w:val="0016296C"/>
    <w:rsid w:val="0016314C"/>
    <w:rsid w:val="00163305"/>
    <w:rsid w:val="00163999"/>
    <w:rsid w:val="00163C7A"/>
    <w:rsid w:val="0016420B"/>
    <w:rsid w:val="0016426A"/>
    <w:rsid w:val="001643D8"/>
    <w:rsid w:val="00164672"/>
    <w:rsid w:val="001646F9"/>
    <w:rsid w:val="00164CE4"/>
    <w:rsid w:val="0016572D"/>
    <w:rsid w:val="00165D69"/>
    <w:rsid w:val="001669CF"/>
    <w:rsid w:val="00166DA0"/>
    <w:rsid w:val="00166E1F"/>
    <w:rsid w:val="00166EDC"/>
    <w:rsid w:val="00167263"/>
    <w:rsid w:val="0016755A"/>
    <w:rsid w:val="00167FF1"/>
    <w:rsid w:val="0017014A"/>
    <w:rsid w:val="001707B7"/>
    <w:rsid w:val="00170A83"/>
    <w:rsid w:val="00170E39"/>
    <w:rsid w:val="00171352"/>
    <w:rsid w:val="001715BE"/>
    <w:rsid w:val="001716A0"/>
    <w:rsid w:val="00171AC0"/>
    <w:rsid w:val="001720DB"/>
    <w:rsid w:val="00172587"/>
    <w:rsid w:val="00172EBE"/>
    <w:rsid w:val="001736A7"/>
    <w:rsid w:val="00173850"/>
    <w:rsid w:val="00173CF4"/>
    <w:rsid w:val="001744B6"/>
    <w:rsid w:val="00174759"/>
    <w:rsid w:val="00174BCB"/>
    <w:rsid w:val="00174F81"/>
    <w:rsid w:val="00175152"/>
    <w:rsid w:val="001756B1"/>
    <w:rsid w:val="00175C97"/>
    <w:rsid w:val="00175F60"/>
    <w:rsid w:val="00176DAF"/>
    <w:rsid w:val="00177158"/>
    <w:rsid w:val="00177812"/>
    <w:rsid w:val="001800A1"/>
    <w:rsid w:val="001803CD"/>
    <w:rsid w:val="00180476"/>
    <w:rsid w:val="00180703"/>
    <w:rsid w:val="00180AC3"/>
    <w:rsid w:val="00180EA7"/>
    <w:rsid w:val="001811CF"/>
    <w:rsid w:val="00181205"/>
    <w:rsid w:val="001821C1"/>
    <w:rsid w:val="00182612"/>
    <w:rsid w:val="00182810"/>
    <w:rsid w:val="00182C23"/>
    <w:rsid w:val="00182EF3"/>
    <w:rsid w:val="0018301D"/>
    <w:rsid w:val="001831CC"/>
    <w:rsid w:val="001834D2"/>
    <w:rsid w:val="00183BB2"/>
    <w:rsid w:val="0018479A"/>
    <w:rsid w:val="00184C61"/>
    <w:rsid w:val="00184F32"/>
    <w:rsid w:val="001860D4"/>
    <w:rsid w:val="0019003E"/>
    <w:rsid w:val="0019067A"/>
    <w:rsid w:val="00190928"/>
    <w:rsid w:val="0019178D"/>
    <w:rsid w:val="00191A6F"/>
    <w:rsid w:val="00191C9D"/>
    <w:rsid w:val="001923DE"/>
    <w:rsid w:val="00192571"/>
    <w:rsid w:val="0019394C"/>
    <w:rsid w:val="00193DD9"/>
    <w:rsid w:val="001944FD"/>
    <w:rsid w:val="00194E1C"/>
    <w:rsid w:val="00195CB9"/>
    <w:rsid w:val="00196B5E"/>
    <w:rsid w:val="00196D84"/>
    <w:rsid w:val="00196E5B"/>
    <w:rsid w:val="00197659"/>
    <w:rsid w:val="0019774C"/>
    <w:rsid w:val="00197868"/>
    <w:rsid w:val="00197AFC"/>
    <w:rsid w:val="00197FBC"/>
    <w:rsid w:val="001A00A4"/>
    <w:rsid w:val="001A030C"/>
    <w:rsid w:val="001A049A"/>
    <w:rsid w:val="001A0508"/>
    <w:rsid w:val="001A06DD"/>
    <w:rsid w:val="001A0BA3"/>
    <w:rsid w:val="001A0E3F"/>
    <w:rsid w:val="001A1ABA"/>
    <w:rsid w:val="001A1E27"/>
    <w:rsid w:val="001A2530"/>
    <w:rsid w:val="001A2FD2"/>
    <w:rsid w:val="001A303E"/>
    <w:rsid w:val="001A3365"/>
    <w:rsid w:val="001A3684"/>
    <w:rsid w:val="001A37BB"/>
    <w:rsid w:val="001A3BAF"/>
    <w:rsid w:val="001A47ED"/>
    <w:rsid w:val="001A5031"/>
    <w:rsid w:val="001A5447"/>
    <w:rsid w:val="001A70B8"/>
    <w:rsid w:val="001A775E"/>
    <w:rsid w:val="001A7973"/>
    <w:rsid w:val="001A7F12"/>
    <w:rsid w:val="001B01A9"/>
    <w:rsid w:val="001B0224"/>
    <w:rsid w:val="001B05C9"/>
    <w:rsid w:val="001B0640"/>
    <w:rsid w:val="001B067D"/>
    <w:rsid w:val="001B080A"/>
    <w:rsid w:val="001B0AEB"/>
    <w:rsid w:val="001B0E51"/>
    <w:rsid w:val="001B0FC9"/>
    <w:rsid w:val="001B1528"/>
    <w:rsid w:val="001B19F9"/>
    <w:rsid w:val="001B2CFB"/>
    <w:rsid w:val="001B3183"/>
    <w:rsid w:val="001B38AB"/>
    <w:rsid w:val="001B4B04"/>
    <w:rsid w:val="001B4C5D"/>
    <w:rsid w:val="001B5C40"/>
    <w:rsid w:val="001B669F"/>
    <w:rsid w:val="001B698E"/>
    <w:rsid w:val="001B721B"/>
    <w:rsid w:val="001B7ADD"/>
    <w:rsid w:val="001B7FF4"/>
    <w:rsid w:val="001C012A"/>
    <w:rsid w:val="001C01FE"/>
    <w:rsid w:val="001C07DB"/>
    <w:rsid w:val="001C124B"/>
    <w:rsid w:val="001C1425"/>
    <w:rsid w:val="001C1C34"/>
    <w:rsid w:val="001C1CC4"/>
    <w:rsid w:val="001C1F16"/>
    <w:rsid w:val="001C254E"/>
    <w:rsid w:val="001C28E5"/>
    <w:rsid w:val="001C2BF6"/>
    <w:rsid w:val="001C2DEE"/>
    <w:rsid w:val="001C3028"/>
    <w:rsid w:val="001C3488"/>
    <w:rsid w:val="001C3977"/>
    <w:rsid w:val="001C3E94"/>
    <w:rsid w:val="001C435B"/>
    <w:rsid w:val="001C4422"/>
    <w:rsid w:val="001C4706"/>
    <w:rsid w:val="001C55AC"/>
    <w:rsid w:val="001C5A67"/>
    <w:rsid w:val="001C5B63"/>
    <w:rsid w:val="001C67B6"/>
    <w:rsid w:val="001C67B8"/>
    <w:rsid w:val="001C6998"/>
    <w:rsid w:val="001C70C5"/>
    <w:rsid w:val="001C72A6"/>
    <w:rsid w:val="001D016B"/>
    <w:rsid w:val="001D04A4"/>
    <w:rsid w:val="001D0639"/>
    <w:rsid w:val="001D081C"/>
    <w:rsid w:val="001D0A54"/>
    <w:rsid w:val="001D0B2E"/>
    <w:rsid w:val="001D0D69"/>
    <w:rsid w:val="001D0E1E"/>
    <w:rsid w:val="001D0E72"/>
    <w:rsid w:val="001D11AB"/>
    <w:rsid w:val="001D13C9"/>
    <w:rsid w:val="001D17F4"/>
    <w:rsid w:val="001D1AC7"/>
    <w:rsid w:val="001D1BCA"/>
    <w:rsid w:val="001D2174"/>
    <w:rsid w:val="001D25FA"/>
    <w:rsid w:val="001D2BE8"/>
    <w:rsid w:val="001D3035"/>
    <w:rsid w:val="001D31D1"/>
    <w:rsid w:val="001D369E"/>
    <w:rsid w:val="001D3E9B"/>
    <w:rsid w:val="001D49E2"/>
    <w:rsid w:val="001D4B98"/>
    <w:rsid w:val="001D4C58"/>
    <w:rsid w:val="001D4DD5"/>
    <w:rsid w:val="001D5432"/>
    <w:rsid w:val="001D55D0"/>
    <w:rsid w:val="001D5FD5"/>
    <w:rsid w:val="001D6242"/>
    <w:rsid w:val="001D69FB"/>
    <w:rsid w:val="001D7B72"/>
    <w:rsid w:val="001D7E7F"/>
    <w:rsid w:val="001E080C"/>
    <w:rsid w:val="001E09FF"/>
    <w:rsid w:val="001E14C0"/>
    <w:rsid w:val="001E16E3"/>
    <w:rsid w:val="001E1732"/>
    <w:rsid w:val="001E1A41"/>
    <w:rsid w:val="001E1AAC"/>
    <w:rsid w:val="001E1C71"/>
    <w:rsid w:val="001E1E20"/>
    <w:rsid w:val="001E1F92"/>
    <w:rsid w:val="001E22BE"/>
    <w:rsid w:val="001E239E"/>
    <w:rsid w:val="001E2DDF"/>
    <w:rsid w:val="001E370D"/>
    <w:rsid w:val="001E43CC"/>
    <w:rsid w:val="001E4755"/>
    <w:rsid w:val="001E511D"/>
    <w:rsid w:val="001E544D"/>
    <w:rsid w:val="001E5A99"/>
    <w:rsid w:val="001E5B71"/>
    <w:rsid w:val="001E6363"/>
    <w:rsid w:val="001E658F"/>
    <w:rsid w:val="001E79AE"/>
    <w:rsid w:val="001E7CB8"/>
    <w:rsid w:val="001F07F4"/>
    <w:rsid w:val="001F086A"/>
    <w:rsid w:val="001F1066"/>
    <w:rsid w:val="001F1194"/>
    <w:rsid w:val="001F1813"/>
    <w:rsid w:val="001F2077"/>
    <w:rsid w:val="001F4171"/>
    <w:rsid w:val="001F4B1E"/>
    <w:rsid w:val="001F4FAB"/>
    <w:rsid w:val="001F55C8"/>
    <w:rsid w:val="001F5DAC"/>
    <w:rsid w:val="001F6A30"/>
    <w:rsid w:val="001F6AE2"/>
    <w:rsid w:val="001F6FD2"/>
    <w:rsid w:val="001F75BB"/>
    <w:rsid w:val="001F75EA"/>
    <w:rsid w:val="001F7675"/>
    <w:rsid w:val="001F7BE7"/>
    <w:rsid w:val="001F7C37"/>
    <w:rsid w:val="001F7F94"/>
    <w:rsid w:val="002000A0"/>
    <w:rsid w:val="00200435"/>
    <w:rsid w:val="0020085E"/>
    <w:rsid w:val="00200DF1"/>
    <w:rsid w:val="00200EB3"/>
    <w:rsid w:val="00200EE6"/>
    <w:rsid w:val="00201CE1"/>
    <w:rsid w:val="002020FB"/>
    <w:rsid w:val="002021C9"/>
    <w:rsid w:val="00202565"/>
    <w:rsid w:val="002026E7"/>
    <w:rsid w:val="002027BC"/>
    <w:rsid w:val="00202EBE"/>
    <w:rsid w:val="00202FE0"/>
    <w:rsid w:val="002032AD"/>
    <w:rsid w:val="0020407E"/>
    <w:rsid w:val="00204565"/>
    <w:rsid w:val="002049AA"/>
    <w:rsid w:val="00205407"/>
    <w:rsid w:val="00205811"/>
    <w:rsid w:val="0020593A"/>
    <w:rsid w:val="00205AD0"/>
    <w:rsid w:val="002061C5"/>
    <w:rsid w:val="002062C3"/>
    <w:rsid w:val="00206D5A"/>
    <w:rsid w:val="0020741B"/>
    <w:rsid w:val="002077F8"/>
    <w:rsid w:val="00207A75"/>
    <w:rsid w:val="00207C04"/>
    <w:rsid w:val="00210E5A"/>
    <w:rsid w:val="0021122B"/>
    <w:rsid w:val="00211713"/>
    <w:rsid w:val="002121D7"/>
    <w:rsid w:val="0021240A"/>
    <w:rsid w:val="00212CE1"/>
    <w:rsid w:val="00213A05"/>
    <w:rsid w:val="00213D8C"/>
    <w:rsid w:val="0021427E"/>
    <w:rsid w:val="00214408"/>
    <w:rsid w:val="00214B3A"/>
    <w:rsid w:val="00214C42"/>
    <w:rsid w:val="00214C8E"/>
    <w:rsid w:val="00215361"/>
    <w:rsid w:val="0021540C"/>
    <w:rsid w:val="00215598"/>
    <w:rsid w:val="00215899"/>
    <w:rsid w:val="00215C4F"/>
    <w:rsid w:val="00216084"/>
    <w:rsid w:val="00216994"/>
    <w:rsid w:val="00217976"/>
    <w:rsid w:val="00220E98"/>
    <w:rsid w:val="00221349"/>
    <w:rsid w:val="00222598"/>
    <w:rsid w:val="00222CF9"/>
    <w:rsid w:val="00223046"/>
    <w:rsid w:val="00223058"/>
    <w:rsid w:val="0022359F"/>
    <w:rsid w:val="00223B8C"/>
    <w:rsid w:val="00223CF0"/>
    <w:rsid w:val="00224394"/>
    <w:rsid w:val="00224F2B"/>
    <w:rsid w:val="00225048"/>
    <w:rsid w:val="00225078"/>
    <w:rsid w:val="00225235"/>
    <w:rsid w:val="00225DE3"/>
    <w:rsid w:val="002268D6"/>
    <w:rsid w:val="0022698E"/>
    <w:rsid w:val="00226A71"/>
    <w:rsid w:val="00227276"/>
    <w:rsid w:val="002277B9"/>
    <w:rsid w:val="00227B62"/>
    <w:rsid w:val="002302B6"/>
    <w:rsid w:val="0023096D"/>
    <w:rsid w:val="002319E8"/>
    <w:rsid w:val="00231BE6"/>
    <w:rsid w:val="002320D8"/>
    <w:rsid w:val="00232549"/>
    <w:rsid w:val="00233B4A"/>
    <w:rsid w:val="00233F5E"/>
    <w:rsid w:val="00233F8B"/>
    <w:rsid w:val="00234059"/>
    <w:rsid w:val="0023419E"/>
    <w:rsid w:val="0023426A"/>
    <w:rsid w:val="002345FD"/>
    <w:rsid w:val="00234940"/>
    <w:rsid w:val="00234C73"/>
    <w:rsid w:val="00235021"/>
    <w:rsid w:val="00235657"/>
    <w:rsid w:val="0023568C"/>
    <w:rsid w:val="00235D0B"/>
    <w:rsid w:val="00236E32"/>
    <w:rsid w:val="00236ECB"/>
    <w:rsid w:val="0023701F"/>
    <w:rsid w:val="00237E6E"/>
    <w:rsid w:val="0024027E"/>
    <w:rsid w:val="002403B9"/>
    <w:rsid w:val="002403C7"/>
    <w:rsid w:val="002403D6"/>
    <w:rsid w:val="00240599"/>
    <w:rsid w:val="0024087F"/>
    <w:rsid w:val="00240B70"/>
    <w:rsid w:val="00240F8E"/>
    <w:rsid w:val="0024121D"/>
    <w:rsid w:val="00241D37"/>
    <w:rsid w:val="00243189"/>
    <w:rsid w:val="00244277"/>
    <w:rsid w:val="002447AB"/>
    <w:rsid w:val="00244EE4"/>
    <w:rsid w:val="00244EE7"/>
    <w:rsid w:val="00244FFA"/>
    <w:rsid w:val="00245126"/>
    <w:rsid w:val="00245BC1"/>
    <w:rsid w:val="00245C3D"/>
    <w:rsid w:val="002461AA"/>
    <w:rsid w:val="00246266"/>
    <w:rsid w:val="002466DF"/>
    <w:rsid w:val="002469CF"/>
    <w:rsid w:val="00246C58"/>
    <w:rsid w:val="0024701A"/>
    <w:rsid w:val="002472E7"/>
    <w:rsid w:val="00247904"/>
    <w:rsid w:val="00247A77"/>
    <w:rsid w:val="002510A0"/>
    <w:rsid w:val="00251823"/>
    <w:rsid w:val="00251D89"/>
    <w:rsid w:val="0025235E"/>
    <w:rsid w:val="00252894"/>
    <w:rsid w:val="00252A64"/>
    <w:rsid w:val="00252BE3"/>
    <w:rsid w:val="00252FEE"/>
    <w:rsid w:val="00253B70"/>
    <w:rsid w:val="0025479C"/>
    <w:rsid w:val="00254866"/>
    <w:rsid w:val="00254959"/>
    <w:rsid w:val="002554EF"/>
    <w:rsid w:val="00255F1E"/>
    <w:rsid w:val="00256245"/>
    <w:rsid w:val="00256647"/>
    <w:rsid w:val="00256BC6"/>
    <w:rsid w:val="00257457"/>
    <w:rsid w:val="002579C5"/>
    <w:rsid w:val="00257EF8"/>
    <w:rsid w:val="00260DC3"/>
    <w:rsid w:val="00261BC2"/>
    <w:rsid w:val="00262384"/>
    <w:rsid w:val="00262ABB"/>
    <w:rsid w:val="00262AEA"/>
    <w:rsid w:val="00264D27"/>
    <w:rsid w:val="0026554F"/>
    <w:rsid w:val="00265742"/>
    <w:rsid w:val="00265BC3"/>
    <w:rsid w:val="00265C83"/>
    <w:rsid w:val="0026602B"/>
    <w:rsid w:val="002660F2"/>
    <w:rsid w:val="0026623C"/>
    <w:rsid w:val="0026646C"/>
    <w:rsid w:val="00266BDE"/>
    <w:rsid w:val="00266E05"/>
    <w:rsid w:val="00266E6A"/>
    <w:rsid w:val="00267191"/>
    <w:rsid w:val="002672B8"/>
    <w:rsid w:val="00267393"/>
    <w:rsid w:val="00267878"/>
    <w:rsid w:val="00267AE4"/>
    <w:rsid w:val="002705FE"/>
    <w:rsid w:val="00270ACC"/>
    <w:rsid w:val="00271015"/>
    <w:rsid w:val="00271400"/>
    <w:rsid w:val="00271B0D"/>
    <w:rsid w:val="00271C6D"/>
    <w:rsid w:val="00272581"/>
    <w:rsid w:val="002727C9"/>
    <w:rsid w:val="00272825"/>
    <w:rsid w:val="002729F9"/>
    <w:rsid w:val="00273140"/>
    <w:rsid w:val="002739CD"/>
    <w:rsid w:val="00274101"/>
    <w:rsid w:val="0027412C"/>
    <w:rsid w:val="002741B9"/>
    <w:rsid w:val="00274EB5"/>
    <w:rsid w:val="00275961"/>
    <w:rsid w:val="00275A4E"/>
    <w:rsid w:val="00276001"/>
    <w:rsid w:val="00276545"/>
    <w:rsid w:val="0027720C"/>
    <w:rsid w:val="002772B4"/>
    <w:rsid w:val="002778FF"/>
    <w:rsid w:val="0027795D"/>
    <w:rsid w:val="00277EE9"/>
    <w:rsid w:val="00277F14"/>
    <w:rsid w:val="002802F9"/>
    <w:rsid w:val="0028045A"/>
    <w:rsid w:val="00280B0D"/>
    <w:rsid w:val="00281080"/>
    <w:rsid w:val="002812E4"/>
    <w:rsid w:val="00281846"/>
    <w:rsid w:val="002818AF"/>
    <w:rsid w:val="00281B91"/>
    <w:rsid w:val="00281CC2"/>
    <w:rsid w:val="00282049"/>
    <w:rsid w:val="00282822"/>
    <w:rsid w:val="0028287F"/>
    <w:rsid w:val="0028297B"/>
    <w:rsid w:val="002829F6"/>
    <w:rsid w:val="00282C33"/>
    <w:rsid w:val="00282D38"/>
    <w:rsid w:val="002837AC"/>
    <w:rsid w:val="00283AD3"/>
    <w:rsid w:val="00284348"/>
    <w:rsid w:val="002849CA"/>
    <w:rsid w:val="00286224"/>
    <w:rsid w:val="00286268"/>
    <w:rsid w:val="002864F0"/>
    <w:rsid w:val="00286E9D"/>
    <w:rsid w:val="00287294"/>
    <w:rsid w:val="00287697"/>
    <w:rsid w:val="0028797B"/>
    <w:rsid w:val="00287F67"/>
    <w:rsid w:val="0029061E"/>
    <w:rsid w:val="00290A72"/>
    <w:rsid w:val="00290A93"/>
    <w:rsid w:val="002910CB"/>
    <w:rsid w:val="0029125F"/>
    <w:rsid w:val="0029142A"/>
    <w:rsid w:val="00291482"/>
    <w:rsid w:val="002921C5"/>
    <w:rsid w:val="002922B1"/>
    <w:rsid w:val="002923C3"/>
    <w:rsid w:val="00292714"/>
    <w:rsid w:val="00292DA8"/>
    <w:rsid w:val="00292E03"/>
    <w:rsid w:val="002931D9"/>
    <w:rsid w:val="00293AAF"/>
    <w:rsid w:val="00293C27"/>
    <w:rsid w:val="00293F80"/>
    <w:rsid w:val="002940BE"/>
    <w:rsid w:val="002956F9"/>
    <w:rsid w:val="00295BE9"/>
    <w:rsid w:val="00295D66"/>
    <w:rsid w:val="00296593"/>
    <w:rsid w:val="00296EB2"/>
    <w:rsid w:val="002975FE"/>
    <w:rsid w:val="002977CA"/>
    <w:rsid w:val="00297867"/>
    <w:rsid w:val="00297DDF"/>
    <w:rsid w:val="00297DED"/>
    <w:rsid w:val="002A0743"/>
    <w:rsid w:val="002A0934"/>
    <w:rsid w:val="002A10E9"/>
    <w:rsid w:val="002A12DB"/>
    <w:rsid w:val="002A1453"/>
    <w:rsid w:val="002A1AF9"/>
    <w:rsid w:val="002A2AF1"/>
    <w:rsid w:val="002A2CBA"/>
    <w:rsid w:val="002A2FC1"/>
    <w:rsid w:val="002A3DD0"/>
    <w:rsid w:val="002A469D"/>
    <w:rsid w:val="002A46EC"/>
    <w:rsid w:val="002A4CC7"/>
    <w:rsid w:val="002A4F4A"/>
    <w:rsid w:val="002A5312"/>
    <w:rsid w:val="002A5385"/>
    <w:rsid w:val="002A54C4"/>
    <w:rsid w:val="002A5AC7"/>
    <w:rsid w:val="002A5D37"/>
    <w:rsid w:val="002A5D55"/>
    <w:rsid w:val="002A6DA2"/>
    <w:rsid w:val="002A720C"/>
    <w:rsid w:val="002A76C6"/>
    <w:rsid w:val="002A7A91"/>
    <w:rsid w:val="002A7AA3"/>
    <w:rsid w:val="002B007D"/>
    <w:rsid w:val="002B025F"/>
    <w:rsid w:val="002B0C52"/>
    <w:rsid w:val="002B11F2"/>
    <w:rsid w:val="002B1647"/>
    <w:rsid w:val="002B168D"/>
    <w:rsid w:val="002B181D"/>
    <w:rsid w:val="002B1946"/>
    <w:rsid w:val="002B1E5C"/>
    <w:rsid w:val="002B24A3"/>
    <w:rsid w:val="002B2728"/>
    <w:rsid w:val="002B31F8"/>
    <w:rsid w:val="002B3737"/>
    <w:rsid w:val="002B4E88"/>
    <w:rsid w:val="002B528C"/>
    <w:rsid w:val="002B5540"/>
    <w:rsid w:val="002B5F24"/>
    <w:rsid w:val="002B634F"/>
    <w:rsid w:val="002B70AC"/>
    <w:rsid w:val="002B7D93"/>
    <w:rsid w:val="002B7E09"/>
    <w:rsid w:val="002C02FA"/>
    <w:rsid w:val="002C04C9"/>
    <w:rsid w:val="002C1BDF"/>
    <w:rsid w:val="002C2A16"/>
    <w:rsid w:val="002C2BF1"/>
    <w:rsid w:val="002C3582"/>
    <w:rsid w:val="002C3728"/>
    <w:rsid w:val="002C3ADD"/>
    <w:rsid w:val="002C4151"/>
    <w:rsid w:val="002C4739"/>
    <w:rsid w:val="002C5050"/>
    <w:rsid w:val="002C5138"/>
    <w:rsid w:val="002C5A0F"/>
    <w:rsid w:val="002C5A99"/>
    <w:rsid w:val="002C6D53"/>
    <w:rsid w:val="002C6DE5"/>
    <w:rsid w:val="002C6EE0"/>
    <w:rsid w:val="002C7068"/>
    <w:rsid w:val="002C7080"/>
    <w:rsid w:val="002C7857"/>
    <w:rsid w:val="002C79A3"/>
    <w:rsid w:val="002C7AB7"/>
    <w:rsid w:val="002C7F7B"/>
    <w:rsid w:val="002D0A3C"/>
    <w:rsid w:val="002D0D7B"/>
    <w:rsid w:val="002D0E43"/>
    <w:rsid w:val="002D0EF2"/>
    <w:rsid w:val="002D1A74"/>
    <w:rsid w:val="002D1AB2"/>
    <w:rsid w:val="002D1CE1"/>
    <w:rsid w:val="002D24E3"/>
    <w:rsid w:val="002D2616"/>
    <w:rsid w:val="002D2A0B"/>
    <w:rsid w:val="002D2F56"/>
    <w:rsid w:val="002D3708"/>
    <w:rsid w:val="002D3D51"/>
    <w:rsid w:val="002D4BC9"/>
    <w:rsid w:val="002D4C0A"/>
    <w:rsid w:val="002D56F5"/>
    <w:rsid w:val="002D5E78"/>
    <w:rsid w:val="002D614C"/>
    <w:rsid w:val="002D6504"/>
    <w:rsid w:val="002D662A"/>
    <w:rsid w:val="002D677E"/>
    <w:rsid w:val="002D6851"/>
    <w:rsid w:val="002D7462"/>
    <w:rsid w:val="002D762F"/>
    <w:rsid w:val="002D764D"/>
    <w:rsid w:val="002E01A2"/>
    <w:rsid w:val="002E046F"/>
    <w:rsid w:val="002E11BB"/>
    <w:rsid w:val="002E1590"/>
    <w:rsid w:val="002E19B1"/>
    <w:rsid w:val="002E2567"/>
    <w:rsid w:val="002E2668"/>
    <w:rsid w:val="002E2A06"/>
    <w:rsid w:val="002E319D"/>
    <w:rsid w:val="002E33FB"/>
    <w:rsid w:val="002E3962"/>
    <w:rsid w:val="002E3B33"/>
    <w:rsid w:val="002E3DFD"/>
    <w:rsid w:val="002E3E0E"/>
    <w:rsid w:val="002E400F"/>
    <w:rsid w:val="002E41CE"/>
    <w:rsid w:val="002E4387"/>
    <w:rsid w:val="002E45B0"/>
    <w:rsid w:val="002E49FE"/>
    <w:rsid w:val="002E58AB"/>
    <w:rsid w:val="002E60F8"/>
    <w:rsid w:val="002E6548"/>
    <w:rsid w:val="002E6703"/>
    <w:rsid w:val="002E7C9E"/>
    <w:rsid w:val="002E7CF0"/>
    <w:rsid w:val="002E7E0D"/>
    <w:rsid w:val="002F03C9"/>
    <w:rsid w:val="002F0504"/>
    <w:rsid w:val="002F0C41"/>
    <w:rsid w:val="002F1011"/>
    <w:rsid w:val="002F1770"/>
    <w:rsid w:val="002F2686"/>
    <w:rsid w:val="002F2BAF"/>
    <w:rsid w:val="002F3530"/>
    <w:rsid w:val="002F454E"/>
    <w:rsid w:val="002F4721"/>
    <w:rsid w:val="002F4AAE"/>
    <w:rsid w:val="002F4E71"/>
    <w:rsid w:val="002F5633"/>
    <w:rsid w:val="002F5677"/>
    <w:rsid w:val="002F5BAC"/>
    <w:rsid w:val="002F60DC"/>
    <w:rsid w:val="002F612B"/>
    <w:rsid w:val="002F6A4D"/>
    <w:rsid w:val="002F6FEF"/>
    <w:rsid w:val="002F73FA"/>
    <w:rsid w:val="002F79F4"/>
    <w:rsid w:val="002F7F5F"/>
    <w:rsid w:val="0030052A"/>
    <w:rsid w:val="0030054E"/>
    <w:rsid w:val="003005BD"/>
    <w:rsid w:val="0030080D"/>
    <w:rsid w:val="0030140F"/>
    <w:rsid w:val="00301594"/>
    <w:rsid w:val="003016EA"/>
    <w:rsid w:val="00301703"/>
    <w:rsid w:val="003023D6"/>
    <w:rsid w:val="003024FC"/>
    <w:rsid w:val="00302E40"/>
    <w:rsid w:val="00303023"/>
    <w:rsid w:val="00303FBD"/>
    <w:rsid w:val="00304011"/>
    <w:rsid w:val="003040E9"/>
    <w:rsid w:val="003043C0"/>
    <w:rsid w:val="0030447F"/>
    <w:rsid w:val="003048CE"/>
    <w:rsid w:val="00305FF7"/>
    <w:rsid w:val="003065D4"/>
    <w:rsid w:val="00306818"/>
    <w:rsid w:val="00306D45"/>
    <w:rsid w:val="0030706E"/>
    <w:rsid w:val="0030756F"/>
    <w:rsid w:val="003076DE"/>
    <w:rsid w:val="003108A1"/>
    <w:rsid w:val="003108BB"/>
    <w:rsid w:val="0031115C"/>
    <w:rsid w:val="00311E9A"/>
    <w:rsid w:val="00312223"/>
    <w:rsid w:val="003132E1"/>
    <w:rsid w:val="00313C57"/>
    <w:rsid w:val="00313F98"/>
    <w:rsid w:val="003141BE"/>
    <w:rsid w:val="003147DE"/>
    <w:rsid w:val="00314B68"/>
    <w:rsid w:val="00315221"/>
    <w:rsid w:val="00315272"/>
    <w:rsid w:val="003152F5"/>
    <w:rsid w:val="00315842"/>
    <w:rsid w:val="00315BCF"/>
    <w:rsid w:val="0031609A"/>
    <w:rsid w:val="0031615A"/>
    <w:rsid w:val="003161BC"/>
    <w:rsid w:val="003162E3"/>
    <w:rsid w:val="0031637E"/>
    <w:rsid w:val="00316387"/>
    <w:rsid w:val="003173DE"/>
    <w:rsid w:val="0031790F"/>
    <w:rsid w:val="0031792B"/>
    <w:rsid w:val="00317953"/>
    <w:rsid w:val="00317A4B"/>
    <w:rsid w:val="00317D6A"/>
    <w:rsid w:val="00320915"/>
    <w:rsid w:val="00320CA5"/>
    <w:rsid w:val="00320EB9"/>
    <w:rsid w:val="00321139"/>
    <w:rsid w:val="003216E2"/>
    <w:rsid w:val="00322702"/>
    <w:rsid w:val="0032312F"/>
    <w:rsid w:val="00323FAA"/>
    <w:rsid w:val="0032467B"/>
    <w:rsid w:val="00324E0F"/>
    <w:rsid w:val="00325001"/>
    <w:rsid w:val="0032514F"/>
    <w:rsid w:val="00325823"/>
    <w:rsid w:val="003260DE"/>
    <w:rsid w:val="003267B9"/>
    <w:rsid w:val="003278F8"/>
    <w:rsid w:val="00327C16"/>
    <w:rsid w:val="00327F6A"/>
    <w:rsid w:val="00330EA7"/>
    <w:rsid w:val="003337B8"/>
    <w:rsid w:val="00333E42"/>
    <w:rsid w:val="00334675"/>
    <w:rsid w:val="003359AA"/>
    <w:rsid w:val="003366E9"/>
    <w:rsid w:val="003368E0"/>
    <w:rsid w:val="003371E9"/>
    <w:rsid w:val="00337819"/>
    <w:rsid w:val="003401F5"/>
    <w:rsid w:val="003404EB"/>
    <w:rsid w:val="0034063E"/>
    <w:rsid w:val="003406D0"/>
    <w:rsid w:val="00340C32"/>
    <w:rsid w:val="00340EDC"/>
    <w:rsid w:val="0034128C"/>
    <w:rsid w:val="00341817"/>
    <w:rsid w:val="00341882"/>
    <w:rsid w:val="00341E2E"/>
    <w:rsid w:val="00341E91"/>
    <w:rsid w:val="00342009"/>
    <w:rsid w:val="0034203A"/>
    <w:rsid w:val="003423B8"/>
    <w:rsid w:val="003426EC"/>
    <w:rsid w:val="00342FEF"/>
    <w:rsid w:val="003436C4"/>
    <w:rsid w:val="003440B1"/>
    <w:rsid w:val="003440FF"/>
    <w:rsid w:val="00344378"/>
    <w:rsid w:val="00344449"/>
    <w:rsid w:val="0034445D"/>
    <w:rsid w:val="00344AEF"/>
    <w:rsid w:val="00344FB4"/>
    <w:rsid w:val="0034554E"/>
    <w:rsid w:val="003459C2"/>
    <w:rsid w:val="00345D5A"/>
    <w:rsid w:val="00346F04"/>
    <w:rsid w:val="00347121"/>
    <w:rsid w:val="00347571"/>
    <w:rsid w:val="00350473"/>
    <w:rsid w:val="00350F29"/>
    <w:rsid w:val="00351264"/>
    <w:rsid w:val="003516C6"/>
    <w:rsid w:val="003516DA"/>
    <w:rsid w:val="003518A4"/>
    <w:rsid w:val="00351E3C"/>
    <w:rsid w:val="0035277C"/>
    <w:rsid w:val="0035287E"/>
    <w:rsid w:val="00352C4C"/>
    <w:rsid w:val="00352C54"/>
    <w:rsid w:val="00352E71"/>
    <w:rsid w:val="00352E82"/>
    <w:rsid w:val="0035323E"/>
    <w:rsid w:val="00353B69"/>
    <w:rsid w:val="003544ED"/>
    <w:rsid w:val="00354AED"/>
    <w:rsid w:val="003562CC"/>
    <w:rsid w:val="00356312"/>
    <w:rsid w:val="003565BD"/>
    <w:rsid w:val="00356784"/>
    <w:rsid w:val="0035745E"/>
    <w:rsid w:val="0035761C"/>
    <w:rsid w:val="00360F36"/>
    <w:rsid w:val="003610C4"/>
    <w:rsid w:val="00361203"/>
    <w:rsid w:val="00361316"/>
    <w:rsid w:val="003616F4"/>
    <w:rsid w:val="003621EA"/>
    <w:rsid w:val="00362A9D"/>
    <w:rsid w:val="00362FEA"/>
    <w:rsid w:val="00363133"/>
    <w:rsid w:val="00363768"/>
    <w:rsid w:val="003639F1"/>
    <w:rsid w:val="00363E0E"/>
    <w:rsid w:val="00364249"/>
    <w:rsid w:val="00364465"/>
    <w:rsid w:val="00364472"/>
    <w:rsid w:val="003645D8"/>
    <w:rsid w:val="00365267"/>
    <w:rsid w:val="003652B9"/>
    <w:rsid w:val="00365301"/>
    <w:rsid w:val="00365D9E"/>
    <w:rsid w:val="003663FB"/>
    <w:rsid w:val="003668C5"/>
    <w:rsid w:val="00367148"/>
    <w:rsid w:val="00367684"/>
    <w:rsid w:val="00367B43"/>
    <w:rsid w:val="00367F41"/>
    <w:rsid w:val="003703C7"/>
    <w:rsid w:val="0037088A"/>
    <w:rsid w:val="003708CE"/>
    <w:rsid w:val="003716BC"/>
    <w:rsid w:val="003722EA"/>
    <w:rsid w:val="0037249B"/>
    <w:rsid w:val="00372535"/>
    <w:rsid w:val="00373109"/>
    <w:rsid w:val="003735D3"/>
    <w:rsid w:val="003736D9"/>
    <w:rsid w:val="00373F00"/>
    <w:rsid w:val="0037455E"/>
    <w:rsid w:val="00374F28"/>
    <w:rsid w:val="003769F8"/>
    <w:rsid w:val="00376ED5"/>
    <w:rsid w:val="00376FD1"/>
    <w:rsid w:val="00377174"/>
    <w:rsid w:val="00377D48"/>
    <w:rsid w:val="00380033"/>
    <w:rsid w:val="0038019D"/>
    <w:rsid w:val="00380207"/>
    <w:rsid w:val="00380591"/>
    <w:rsid w:val="003805F8"/>
    <w:rsid w:val="00381109"/>
    <w:rsid w:val="00381DCE"/>
    <w:rsid w:val="003824EE"/>
    <w:rsid w:val="003850AD"/>
    <w:rsid w:val="003872F9"/>
    <w:rsid w:val="00387356"/>
    <w:rsid w:val="00387483"/>
    <w:rsid w:val="00387C23"/>
    <w:rsid w:val="00387E98"/>
    <w:rsid w:val="003905A3"/>
    <w:rsid w:val="00391EE3"/>
    <w:rsid w:val="00393A9A"/>
    <w:rsid w:val="00393D5D"/>
    <w:rsid w:val="00393D79"/>
    <w:rsid w:val="0039403F"/>
    <w:rsid w:val="003942ED"/>
    <w:rsid w:val="00395177"/>
    <w:rsid w:val="00395D24"/>
    <w:rsid w:val="00395EE8"/>
    <w:rsid w:val="003969D1"/>
    <w:rsid w:val="00397075"/>
    <w:rsid w:val="00397210"/>
    <w:rsid w:val="00397882"/>
    <w:rsid w:val="00397DB1"/>
    <w:rsid w:val="003A00B2"/>
    <w:rsid w:val="003A0C72"/>
    <w:rsid w:val="003A20BA"/>
    <w:rsid w:val="003A2531"/>
    <w:rsid w:val="003A2DC0"/>
    <w:rsid w:val="003A2F34"/>
    <w:rsid w:val="003A31E2"/>
    <w:rsid w:val="003A4B7E"/>
    <w:rsid w:val="003A4CFA"/>
    <w:rsid w:val="003A5622"/>
    <w:rsid w:val="003A6086"/>
    <w:rsid w:val="003A6C14"/>
    <w:rsid w:val="003A6D9F"/>
    <w:rsid w:val="003A7AC5"/>
    <w:rsid w:val="003A7E4D"/>
    <w:rsid w:val="003B086E"/>
    <w:rsid w:val="003B1935"/>
    <w:rsid w:val="003B1B10"/>
    <w:rsid w:val="003B1B22"/>
    <w:rsid w:val="003B1F36"/>
    <w:rsid w:val="003B2050"/>
    <w:rsid w:val="003B20CB"/>
    <w:rsid w:val="003B21DF"/>
    <w:rsid w:val="003B3B70"/>
    <w:rsid w:val="003B3C4B"/>
    <w:rsid w:val="003B4A15"/>
    <w:rsid w:val="003B4B10"/>
    <w:rsid w:val="003B5026"/>
    <w:rsid w:val="003B5321"/>
    <w:rsid w:val="003B53DB"/>
    <w:rsid w:val="003B54D6"/>
    <w:rsid w:val="003B572C"/>
    <w:rsid w:val="003B5A8D"/>
    <w:rsid w:val="003B69A8"/>
    <w:rsid w:val="003B6B66"/>
    <w:rsid w:val="003B6FEA"/>
    <w:rsid w:val="003B72FC"/>
    <w:rsid w:val="003C0148"/>
    <w:rsid w:val="003C01DC"/>
    <w:rsid w:val="003C078B"/>
    <w:rsid w:val="003C0962"/>
    <w:rsid w:val="003C0B96"/>
    <w:rsid w:val="003C1546"/>
    <w:rsid w:val="003C17C6"/>
    <w:rsid w:val="003C1F05"/>
    <w:rsid w:val="003C2634"/>
    <w:rsid w:val="003C269D"/>
    <w:rsid w:val="003C2809"/>
    <w:rsid w:val="003C2D79"/>
    <w:rsid w:val="003C3268"/>
    <w:rsid w:val="003C339B"/>
    <w:rsid w:val="003C3777"/>
    <w:rsid w:val="003C3BEE"/>
    <w:rsid w:val="003C43EA"/>
    <w:rsid w:val="003C44B2"/>
    <w:rsid w:val="003C488F"/>
    <w:rsid w:val="003C4A2F"/>
    <w:rsid w:val="003C4E8B"/>
    <w:rsid w:val="003C500B"/>
    <w:rsid w:val="003C5102"/>
    <w:rsid w:val="003C622C"/>
    <w:rsid w:val="003C6547"/>
    <w:rsid w:val="003C6F15"/>
    <w:rsid w:val="003C706F"/>
    <w:rsid w:val="003C70B9"/>
    <w:rsid w:val="003C71B7"/>
    <w:rsid w:val="003C76B9"/>
    <w:rsid w:val="003C7C05"/>
    <w:rsid w:val="003D084A"/>
    <w:rsid w:val="003D08FF"/>
    <w:rsid w:val="003D09CE"/>
    <w:rsid w:val="003D0E0A"/>
    <w:rsid w:val="003D1B2B"/>
    <w:rsid w:val="003D21E5"/>
    <w:rsid w:val="003D25D4"/>
    <w:rsid w:val="003D2621"/>
    <w:rsid w:val="003D2B2D"/>
    <w:rsid w:val="003D2B59"/>
    <w:rsid w:val="003D2BDB"/>
    <w:rsid w:val="003D3818"/>
    <w:rsid w:val="003D3A1E"/>
    <w:rsid w:val="003D3A9B"/>
    <w:rsid w:val="003D4345"/>
    <w:rsid w:val="003D4539"/>
    <w:rsid w:val="003D47EF"/>
    <w:rsid w:val="003D48E2"/>
    <w:rsid w:val="003D4B66"/>
    <w:rsid w:val="003D4D65"/>
    <w:rsid w:val="003D550E"/>
    <w:rsid w:val="003D58CF"/>
    <w:rsid w:val="003D58E0"/>
    <w:rsid w:val="003D65BB"/>
    <w:rsid w:val="003D6734"/>
    <w:rsid w:val="003D683E"/>
    <w:rsid w:val="003D72B9"/>
    <w:rsid w:val="003E01B2"/>
    <w:rsid w:val="003E036B"/>
    <w:rsid w:val="003E045A"/>
    <w:rsid w:val="003E0A92"/>
    <w:rsid w:val="003E1341"/>
    <w:rsid w:val="003E15E9"/>
    <w:rsid w:val="003E1806"/>
    <w:rsid w:val="003E2B46"/>
    <w:rsid w:val="003E344E"/>
    <w:rsid w:val="003E3517"/>
    <w:rsid w:val="003E3991"/>
    <w:rsid w:val="003E3D25"/>
    <w:rsid w:val="003E4380"/>
    <w:rsid w:val="003E4E32"/>
    <w:rsid w:val="003E4E52"/>
    <w:rsid w:val="003E5266"/>
    <w:rsid w:val="003E553F"/>
    <w:rsid w:val="003E5568"/>
    <w:rsid w:val="003E5946"/>
    <w:rsid w:val="003E603A"/>
    <w:rsid w:val="003E628D"/>
    <w:rsid w:val="003E6643"/>
    <w:rsid w:val="003E6C79"/>
    <w:rsid w:val="003E7218"/>
    <w:rsid w:val="003E7459"/>
    <w:rsid w:val="003E7781"/>
    <w:rsid w:val="003F09C0"/>
    <w:rsid w:val="003F0B72"/>
    <w:rsid w:val="003F1430"/>
    <w:rsid w:val="003F147A"/>
    <w:rsid w:val="003F17AE"/>
    <w:rsid w:val="003F17FC"/>
    <w:rsid w:val="003F19BD"/>
    <w:rsid w:val="003F19FA"/>
    <w:rsid w:val="003F1A60"/>
    <w:rsid w:val="003F1BC5"/>
    <w:rsid w:val="003F2585"/>
    <w:rsid w:val="003F2827"/>
    <w:rsid w:val="003F3345"/>
    <w:rsid w:val="003F35C7"/>
    <w:rsid w:val="003F3664"/>
    <w:rsid w:val="003F38E2"/>
    <w:rsid w:val="003F3A9C"/>
    <w:rsid w:val="003F47CD"/>
    <w:rsid w:val="003F4C43"/>
    <w:rsid w:val="003F575E"/>
    <w:rsid w:val="003F60AB"/>
    <w:rsid w:val="003F6631"/>
    <w:rsid w:val="003F6C1B"/>
    <w:rsid w:val="003F73B1"/>
    <w:rsid w:val="004001A6"/>
    <w:rsid w:val="00400A38"/>
    <w:rsid w:val="00400F1F"/>
    <w:rsid w:val="00400F4D"/>
    <w:rsid w:val="004016C1"/>
    <w:rsid w:val="004018CF"/>
    <w:rsid w:val="00401A65"/>
    <w:rsid w:val="004026DC"/>
    <w:rsid w:val="00402B92"/>
    <w:rsid w:val="00403DC7"/>
    <w:rsid w:val="00404134"/>
    <w:rsid w:val="004049BA"/>
    <w:rsid w:val="004051E2"/>
    <w:rsid w:val="00405AC1"/>
    <w:rsid w:val="00405BD0"/>
    <w:rsid w:val="004061B7"/>
    <w:rsid w:val="00406A05"/>
    <w:rsid w:val="00406A52"/>
    <w:rsid w:val="00406BF2"/>
    <w:rsid w:val="00406D52"/>
    <w:rsid w:val="004073DD"/>
    <w:rsid w:val="0040765F"/>
    <w:rsid w:val="004077EC"/>
    <w:rsid w:val="00407EE0"/>
    <w:rsid w:val="004105A1"/>
    <w:rsid w:val="00410A42"/>
    <w:rsid w:val="0041129D"/>
    <w:rsid w:val="0041165D"/>
    <w:rsid w:val="00411993"/>
    <w:rsid w:val="004121CA"/>
    <w:rsid w:val="00413540"/>
    <w:rsid w:val="004137EF"/>
    <w:rsid w:val="0041391D"/>
    <w:rsid w:val="004139B4"/>
    <w:rsid w:val="00413E3B"/>
    <w:rsid w:val="00413F67"/>
    <w:rsid w:val="004141E5"/>
    <w:rsid w:val="0041429F"/>
    <w:rsid w:val="00414750"/>
    <w:rsid w:val="00414B9E"/>
    <w:rsid w:val="00415E5C"/>
    <w:rsid w:val="00416787"/>
    <w:rsid w:val="004167AC"/>
    <w:rsid w:val="00416B34"/>
    <w:rsid w:val="00417444"/>
    <w:rsid w:val="004175D9"/>
    <w:rsid w:val="004179BA"/>
    <w:rsid w:val="004205D6"/>
    <w:rsid w:val="00420B1A"/>
    <w:rsid w:val="00420F04"/>
    <w:rsid w:val="00421093"/>
    <w:rsid w:val="004212DD"/>
    <w:rsid w:val="00421E3E"/>
    <w:rsid w:val="004228CE"/>
    <w:rsid w:val="0042369B"/>
    <w:rsid w:val="004237CD"/>
    <w:rsid w:val="00423854"/>
    <w:rsid w:val="00424F9D"/>
    <w:rsid w:val="00424FD9"/>
    <w:rsid w:val="0042500C"/>
    <w:rsid w:val="004251D2"/>
    <w:rsid w:val="00425520"/>
    <w:rsid w:val="00425B00"/>
    <w:rsid w:val="00426656"/>
    <w:rsid w:val="00427748"/>
    <w:rsid w:val="00427827"/>
    <w:rsid w:val="00427A01"/>
    <w:rsid w:val="00427DA0"/>
    <w:rsid w:val="00430208"/>
    <w:rsid w:val="00430279"/>
    <w:rsid w:val="0043149B"/>
    <w:rsid w:val="004314E0"/>
    <w:rsid w:val="0043169B"/>
    <w:rsid w:val="00431B60"/>
    <w:rsid w:val="00431DF5"/>
    <w:rsid w:val="004322B4"/>
    <w:rsid w:val="004322DB"/>
    <w:rsid w:val="0043259E"/>
    <w:rsid w:val="0043291A"/>
    <w:rsid w:val="00432DED"/>
    <w:rsid w:val="00432E9E"/>
    <w:rsid w:val="0043302A"/>
    <w:rsid w:val="004334CC"/>
    <w:rsid w:val="004339F8"/>
    <w:rsid w:val="00433B57"/>
    <w:rsid w:val="00434A0C"/>
    <w:rsid w:val="00435097"/>
    <w:rsid w:val="0043558E"/>
    <w:rsid w:val="00435622"/>
    <w:rsid w:val="00436223"/>
    <w:rsid w:val="004368F1"/>
    <w:rsid w:val="00436AE5"/>
    <w:rsid w:val="0043722D"/>
    <w:rsid w:val="004376B9"/>
    <w:rsid w:val="004401B7"/>
    <w:rsid w:val="00440565"/>
    <w:rsid w:val="00440C63"/>
    <w:rsid w:val="00441237"/>
    <w:rsid w:val="00441579"/>
    <w:rsid w:val="004419AB"/>
    <w:rsid w:val="00441CD4"/>
    <w:rsid w:val="00441F21"/>
    <w:rsid w:val="0044211B"/>
    <w:rsid w:val="00443FB1"/>
    <w:rsid w:val="00444B7A"/>
    <w:rsid w:val="004454F8"/>
    <w:rsid w:val="00445A91"/>
    <w:rsid w:val="00446669"/>
    <w:rsid w:val="004467C1"/>
    <w:rsid w:val="00446C4D"/>
    <w:rsid w:val="00447AD8"/>
    <w:rsid w:val="00450910"/>
    <w:rsid w:val="0045204E"/>
    <w:rsid w:val="00452327"/>
    <w:rsid w:val="00452623"/>
    <w:rsid w:val="00452986"/>
    <w:rsid w:val="00452B16"/>
    <w:rsid w:val="00452BA8"/>
    <w:rsid w:val="00452DBC"/>
    <w:rsid w:val="0045310A"/>
    <w:rsid w:val="004534B8"/>
    <w:rsid w:val="0045355C"/>
    <w:rsid w:val="004535D1"/>
    <w:rsid w:val="0045372B"/>
    <w:rsid w:val="004538F2"/>
    <w:rsid w:val="00453920"/>
    <w:rsid w:val="00453C7E"/>
    <w:rsid w:val="00454372"/>
    <w:rsid w:val="00454DD7"/>
    <w:rsid w:val="00454FDF"/>
    <w:rsid w:val="0045639D"/>
    <w:rsid w:val="00456846"/>
    <w:rsid w:val="004569D6"/>
    <w:rsid w:val="00456E9A"/>
    <w:rsid w:val="0045738D"/>
    <w:rsid w:val="004575C1"/>
    <w:rsid w:val="00457AEE"/>
    <w:rsid w:val="004600B0"/>
    <w:rsid w:val="004602EF"/>
    <w:rsid w:val="0046069A"/>
    <w:rsid w:val="00460C51"/>
    <w:rsid w:val="00460CB6"/>
    <w:rsid w:val="00460F1F"/>
    <w:rsid w:val="004613EA"/>
    <w:rsid w:val="0046177A"/>
    <w:rsid w:val="00461AFA"/>
    <w:rsid w:val="00462E2B"/>
    <w:rsid w:val="00462F15"/>
    <w:rsid w:val="00463126"/>
    <w:rsid w:val="00463538"/>
    <w:rsid w:val="00463BE5"/>
    <w:rsid w:val="00463C40"/>
    <w:rsid w:val="00463D5C"/>
    <w:rsid w:val="00463E74"/>
    <w:rsid w:val="004643F0"/>
    <w:rsid w:val="00464626"/>
    <w:rsid w:val="00464F57"/>
    <w:rsid w:val="0046550D"/>
    <w:rsid w:val="0046582E"/>
    <w:rsid w:val="00465A74"/>
    <w:rsid w:val="00465A87"/>
    <w:rsid w:val="00465E75"/>
    <w:rsid w:val="004664EA"/>
    <w:rsid w:val="00466CB8"/>
    <w:rsid w:val="00466F54"/>
    <w:rsid w:val="0046737C"/>
    <w:rsid w:val="004675F7"/>
    <w:rsid w:val="00467636"/>
    <w:rsid w:val="004679CB"/>
    <w:rsid w:val="00467D90"/>
    <w:rsid w:val="00470046"/>
    <w:rsid w:val="00470243"/>
    <w:rsid w:val="00470A4C"/>
    <w:rsid w:val="00471464"/>
    <w:rsid w:val="00472260"/>
    <w:rsid w:val="004722D9"/>
    <w:rsid w:val="0047244E"/>
    <w:rsid w:val="00472781"/>
    <w:rsid w:val="004727A2"/>
    <w:rsid w:val="00472EDC"/>
    <w:rsid w:val="00474C35"/>
    <w:rsid w:val="004751CC"/>
    <w:rsid w:val="00476DBE"/>
    <w:rsid w:val="00476F9F"/>
    <w:rsid w:val="004771C9"/>
    <w:rsid w:val="00480088"/>
    <w:rsid w:val="00480A03"/>
    <w:rsid w:val="00480E13"/>
    <w:rsid w:val="00480E31"/>
    <w:rsid w:val="00481316"/>
    <w:rsid w:val="0048143D"/>
    <w:rsid w:val="0048160F"/>
    <w:rsid w:val="00482E73"/>
    <w:rsid w:val="00483187"/>
    <w:rsid w:val="0048327E"/>
    <w:rsid w:val="0048355E"/>
    <w:rsid w:val="0048395F"/>
    <w:rsid w:val="00483DC8"/>
    <w:rsid w:val="004847A6"/>
    <w:rsid w:val="00484C7C"/>
    <w:rsid w:val="004850B0"/>
    <w:rsid w:val="0048595C"/>
    <w:rsid w:val="0048606C"/>
    <w:rsid w:val="0048636E"/>
    <w:rsid w:val="004864C1"/>
    <w:rsid w:val="00486D17"/>
    <w:rsid w:val="00487559"/>
    <w:rsid w:val="004878EB"/>
    <w:rsid w:val="00487F4D"/>
    <w:rsid w:val="0049035A"/>
    <w:rsid w:val="00490F26"/>
    <w:rsid w:val="0049197E"/>
    <w:rsid w:val="00492053"/>
    <w:rsid w:val="00492415"/>
    <w:rsid w:val="00492C5E"/>
    <w:rsid w:val="00492D7D"/>
    <w:rsid w:val="00494249"/>
    <w:rsid w:val="00494369"/>
    <w:rsid w:val="00494686"/>
    <w:rsid w:val="00494B01"/>
    <w:rsid w:val="00494F16"/>
    <w:rsid w:val="00494F5C"/>
    <w:rsid w:val="00495352"/>
    <w:rsid w:val="00495A5D"/>
    <w:rsid w:val="00495BCF"/>
    <w:rsid w:val="00496884"/>
    <w:rsid w:val="00497062"/>
    <w:rsid w:val="004970EB"/>
    <w:rsid w:val="00497104"/>
    <w:rsid w:val="00497E98"/>
    <w:rsid w:val="004A0313"/>
    <w:rsid w:val="004A03B2"/>
    <w:rsid w:val="004A18D8"/>
    <w:rsid w:val="004A1DE7"/>
    <w:rsid w:val="004A1E64"/>
    <w:rsid w:val="004A2272"/>
    <w:rsid w:val="004A280B"/>
    <w:rsid w:val="004A2E9A"/>
    <w:rsid w:val="004A2F60"/>
    <w:rsid w:val="004A2FF7"/>
    <w:rsid w:val="004A3028"/>
    <w:rsid w:val="004A322C"/>
    <w:rsid w:val="004A3C91"/>
    <w:rsid w:val="004A4196"/>
    <w:rsid w:val="004A447E"/>
    <w:rsid w:val="004A4690"/>
    <w:rsid w:val="004A4895"/>
    <w:rsid w:val="004A4E27"/>
    <w:rsid w:val="004A5C84"/>
    <w:rsid w:val="004A68D5"/>
    <w:rsid w:val="004A6A8B"/>
    <w:rsid w:val="004A6C9D"/>
    <w:rsid w:val="004A6D45"/>
    <w:rsid w:val="004A6FBE"/>
    <w:rsid w:val="004A71FC"/>
    <w:rsid w:val="004A7BBF"/>
    <w:rsid w:val="004B00C8"/>
    <w:rsid w:val="004B0350"/>
    <w:rsid w:val="004B27F5"/>
    <w:rsid w:val="004B2845"/>
    <w:rsid w:val="004B2DB2"/>
    <w:rsid w:val="004B33F2"/>
    <w:rsid w:val="004B38A5"/>
    <w:rsid w:val="004B3EEE"/>
    <w:rsid w:val="004B4329"/>
    <w:rsid w:val="004B5705"/>
    <w:rsid w:val="004B5CA7"/>
    <w:rsid w:val="004B6B2A"/>
    <w:rsid w:val="004B7573"/>
    <w:rsid w:val="004B7C1D"/>
    <w:rsid w:val="004C0778"/>
    <w:rsid w:val="004C0CFA"/>
    <w:rsid w:val="004C0D86"/>
    <w:rsid w:val="004C0DE2"/>
    <w:rsid w:val="004C1A36"/>
    <w:rsid w:val="004C2ACF"/>
    <w:rsid w:val="004C2CC5"/>
    <w:rsid w:val="004C2F43"/>
    <w:rsid w:val="004C3490"/>
    <w:rsid w:val="004C35F5"/>
    <w:rsid w:val="004C3A5D"/>
    <w:rsid w:val="004C3D63"/>
    <w:rsid w:val="004C3F3E"/>
    <w:rsid w:val="004C416F"/>
    <w:rsid w:val="004C4CD4"/>
    <w:rsid w:val="004C562F"/>
    <w:rsid w:val="004C5733"/>
    <w:rsid w:val="004C6002"/>
    <w:rsid w:val="004C7027"/>
    <w:rsid w:val="004C7667"/>
    <w:rsid w:val="004C7EFE"/>
    <w:rsid w:val="004C7F13"/>
    <w:rsid w:val="004D010A"/>
    <w:rsid w:val="004D05D0"/>
    <w:rsid w:val="004D0A08"/>
    <w:rsid w:val="004D106B"/>
    <w:rsid w:val="004D12B1"/>
    <w:rsid w:val="004D142A"/>
    <w:rsid w:val="004D18E2"/>
    <w:rsid w:val="004D1C6C"/>
    <w:rsid w:val="004D2140"/>
    <w:rsid w:val="004D2689"/>
    <w:rsid w:val="004D2FF8"/>
    <w:rsid w:val="004D3180"/>
    <w:rsid w:val="004D3187"/>
    <w:rsid w:val="004D320D"/>
    <w:rsid w:val="004D3464"/>
    <w:rsid w:val="004D371E"/>
    <w:rsid w:val="004D3B5E"/>
    <w:rsid w:val="004D5527"/>
    <w:rsid w:val="004D5653"/>
    <w:rsid w:val="004D5B66"/>
    <w:rsid w:val="004D5B9B"/>
    <w:rsid w:val="004D6129"/>
    <w:rsid w:val="004D6228"/>
    <w:rsid w:val="004D6667"/>
    <w:rsid w:val="004D671E"/>
    <w:rsid w:val="004D6869"/>
    <w:rsid w:val="004D7286"/>
    <w:rsid w:val="004D7B61"/>
    <w:rsid w:val="004E15A7"/>
    <w:rsid w:val="004E1654"/>
    <w:rsid w:val="004E1B54"/>
    <w:rsid w:val="004E2718"/>
    <w:rsid w:val="004E4803"/>
    <w:rsid w:val="004E4885"/>
    <w:rsid w:val="004E4B88"/>
    <w:rsid w:val="004E51E6"/>
    <w:rsid w:val="004E5919"/>
    <w:rsid w:val="004E5C33"/>
    <w:rsid w:val="004E600E"/>
    <w:rsid w:val="004E63A4"/>
    <w:rsid w:val="004E63F3"/>
    <w:rsid w:val="004E7075"/>
    <w:rsid w:val="004E763C"/>
    <w:rsid w:val="004E7A50"/>
    <w:rsid w:val="004F014E"/>
    <w:rsid w:val="004F0232"/>
    <w:rsid w:val="004F0456"/>
    <w:rsid w:val="004F060C"/>
    <w:rsid w:val="004F07E0"/>
    <w:rsid w:val="004F0E70"/>
    <w:rsid w:val="004F149F"/>
    <w:rsid w:val="004F1954"/>
    <w:rsid w:val="004F1B29"/>
    <w:rsid w:val="004F1B2C"/>
    <w:rsid w:val="004F1E39"/>
    <w:rsid w:val="004F2263"/>
    <w:rsid w:val="004F2C91"/>
    <w:rsid w:val="004F2CC0"/>
    <w:rsid w:val="004F2E89"/>
    <w:rsid w:val="004F2F15"/>
    <w:rsid w:val="004F321D"/>
    <w:rsid w:val="004F32B6"/>
    <w:rsid w:val="004F348E"/>
    <w:rsid w:val="004F39E1"/>
    <w:rsid w:val="004F3CE2"/>
    <w:rsid w:val="004F427E"/>
    <w:rsid w:val="004F4A3D"/>
    <w:rsid w:val="004F505A"/>
    <w:rsid w:val="004F59D6"/>
    <w:rsid w:val="004F5D55"/>
    <w:rsid w:val="004F6471"/>
    <w:rsid w:val="004F65FA"/>
    <w:rsid w:val="004F68DB"/>
    <w:rsid w:val="004F6A57"/>
    <w:rsid w:val="004F7D9C"/>
    <w:rsid w:val="00500865"/>
    <w:rsid w:val="00500924"/>
    <w:rsid w:val="00500B24"/>
    <w:rsid w:val="00500C7F"/>
    <w:rsid w:val="0050151D"/>
    <w:rsid w:val="005020D9"/>
    <w:rsid w:val="00502124"/>
    <w:rsid w:val="005022F3"/>
    <w:rsid w:val="005023C2"/>
    <w:rsid w:val="00502440"/>
    <w:rsid w:val="00503B27"/>
    <w:rsid w:val="00503BBB"/>
    <w:rsid w:val="00504983"/>
    <w:rsid w:val="00505179"/>
    <w:rsid w:val="0050576E"/>
    <w:rsid w:val="00505C76"/>
    <w:rsid w:val="005065E1"/>
    <w:rsid w:val="005069BF"/>
    <w:rsid w:val="0050762F"/>
    <w:rsid w:val="00507E96"/>
    <w:rsid w:val="00510450"/>
    <w:rsid w:val="00510C52"/>
    <w:rsid w:val="00511154"/>
    <w:rsid w:val="00511DB0"/>
    <w:rsid w:val="005120D1"/>
    <w:rsid w:val="00512CA2"/>
    <w:rsid w:val="00513F10"/>
    <w:rsid w:val="00514C9C"/>
    <w:rsid w:val="00514F9C"/>
    <w:rsid w:val="0051506B"/>
    <w:rsid w:val="005159F6"/>
    <w:rsid w:val="0051768F"/>
    <w:rsid w:val="00517A57"/>
    <w:rsid w:val="00517C4E"/>
    <w:rsid w:val="0052002B"/>
    <w:rsid w:val="00520DDF"/>
    <w:rsid w:val="00522095"/>
    <w:rsid w:val="0052251F"/>
    <w:rsid w:val="005230B9"/>
    <w:rsid w:val="005231D0"/>
    <w:rsid w:val="0052341C"/>
    <w:rsid w:val="005239A7"/>
    <w:rsid w:val="00524388"/>
    <w:rsid w:val="00524957"/>
    <w:rsid w:val="00524AC7"/>
    <w:rsid w:val="00525545"/>
    <w:rsid w:val="00525F10"/>
    <w:rsid w:val="00527333"/>
    <w:rsid w:val="005273B0"/>
    <w:rsid w:val="005275BC"/>
    <w:rsid w:val="005276DC"/>
    <w:rsid w:val="0052779E"/>
    <w:rsid w:val="00530052"/>
    <w:rsid w:val="00530187"/>
    <w:rsid w:val="005305A6"/>
    <w:rsid w:val="005305BE"/>
    <w:rsid w:val="00530B21"/>
    <w:rsid w:val="00530F20"/>
    <w:rsid w:val="0053112C"/>
    <w:rsid w:val="00531781"/>
    <w:rsid w:val="00531FE4"/>
    <w:rsid w:val="00532348"/>
    <w:rsid w:val="005326FB"/>
    <w:rsid w:val="00532BAB"/>
    <w:rsid w:val="005332D7"/>
    <w:rsid w:val="005344E3"/>
    <w:rsid w:val="00535742"/>
    <w:rsid w:val="00535F25"/>
    <w:rsid w:val="00536536"/>
    <w:rsid w:val="00536C9A"/>
    <w:rsid w:val="005374A6"/>
    <w:rsid w:val="00540C6D"/>
    <w:rsid w:val="005414F6"/>
    <w:rsid w:val="00541855"/>
    <w:rsid w:val="0054247B"/>
    <w:rsid w:val="00542728"/>
    <w:rsid w:val="00543073"/>
    <w:rsid w:val="005433E9"/>
    <w:rsid w:val="0054348E"/>
    <w:rsid w:val="005437E5"/>
    <w:rsid w:val="00543876"/>
    <w:rsid w:val="00543956"/>
    <w:rsid w:val="00544EF4"/>
    <w:rsid w:val="00544F1E"/>
    <w:rsid w:val="00545CF8"/>
    <w:rsid w:val="00546233"/>
    <w:rsid w:val="00546680"/>
    <w:rsid w:val="005468A9"/>
    <w:rsid w:val="00546EF0"/>
    <w:rsid w:val="00546F72"/>
    <w:rsid w:val="005472FF"/>
    <w:rsid w:val="005475F0"/>
    <w:rsid w:val="00550785"/>
    <w:rsid w:val="0055090D"/>
    <w:rsid w:val="00550C28"/>
    <w:rsid w:val="00550C37"/>
    <w:rsid w:val="00550EF1"/>
    <w:rsid w:val="0055149C"/>
    <w:rsid w:val="00552D7D"/>
    <w:rsid w:val="005530C3"/>
    <w:rsid w:val="0055345E"/>
    <w:rsid w:val="0055370E"/>
    <w:rsid w:val="00553B2C"/>
    <w:rsid w:val="005542A6"/>
    <w:rsid w:val="00554328"/>
    <w:rsid w:val="00554975"/>
    <w:rsid w:val="00554B96"/>
    <w:rsid w:val="00555CBA"/>
    <w:rsid w:val="00555DEB"/>
    <w:rsid w:val="00556131"/>
    <w:rsid w:val="0055613C"/>
    <w:rsid w:val="0055634E"/>
    <w:rsid w:val="00556450"/>
    <w:rsid w:val="005567AE"/>
    <w:rsid w:val="0055694C"/>
    <w:rsid w:val="00556C9E"/>
    <w:rsid w:val="00560E16"/>
    <w:rsid w:val="00561183"/>
    <w:rsid w:val="0056159D"/>
    <w:rsid w:val="0056183F"/>
    <w:rsid w:val="00561A14"/>
    <w:rsid w:val="005621BF"/>
    <w:rsid w:val="00562303"/>
    <w:rsid w:val="00562450"/>
    <w:rsid w:val="0056282B"/>
    <w:rsid w:val="00562A96"/>
    <w:rsid w:val="00562C95"/>
    <w:rsid w:val="00562CC2"/>
    <w:rsid w:val="00562EDA"/>
    <w:rsid w:val="005630D7"/>
    <w:rsid w:val="0056409A"/>
    <w:rsid w:val="00564A61"/>
    <w:rsid w:val="00564AE3"/>
    <w:rsid w:val="00564FBD"/>
    <w:rsid w:val="005650C7"/>
    <w:rsid w:val="0056579E"/>
    <w:rsid w:val="00566053"/>
    <w:rsid w:val="0056647C"/>
    <w:rsid w:val="00566EB2"/>
    <w:rsid w:val="00567151"/>
    <w:rsid w:val="0056721C"/>
    <w:rsid w:val="00567631"/>
    <w:rsid w:val="005677AA"/>
    <w:rsid w:val="00570C4E"/>
    <w:rsid w:val="00571323"/>
    <w:rsid w:val="00571D26"/>
    <w:rsid w:val="00571D64"/>
    <w:rsid w:val="00571FF8"/>
    <w:rsid w:val="005720B6"/>
    <w:rsid w:val="00572A80"/>
    <w:rsid w:val="00572CED"/>
    <w:rsid w:val="00573A67"/>
    <w:rsid w:val="00573C76"/>
    <w:rsid w:val="00573DC9"/>
    <w:rsid w:val="00573DEE"/>
    <w:rsid w:val="005743CD"/>
    <w:rsid w:val="00574790"/>
    <w:rsid w:val="00575227"/>
    <w:rsid w:val="005757FC"/>
    <w:rsid w:val="0057593A"/>
    <w:rsid w:val="00575CEA"/>
    <w:rsid w:val="00575EAF"/>
    <w:rsid w:val="005766A3"/>
    <w:rsid w:val="00576786"/>
    <w:rsid w:val="00577717"/>
    <w:rsid w:val="00577C50"/>
    <w:rsid w:val="00577D49"/>
    <w:rsid w:val="00577D67"/>
    <w:rsid w:val="00580673"/>
    <w:rsid w:val="0058121D"/>
    <w:rsid w:val="005817BB"/>
    <w:rsid w:val="005817F1"/>
    <w:rsid w:val="00581BBA"/>
    <w:rsid w:val="00582B1E"/>
    <w:rsid w:val="0058386F"/>
    <w:rsid w:val="00584AC3"/>
    <w:rsid w:val="00584E39"/>
    <w:rsid w:val="00585141"/>
    <w:rsid w:val="0058532D"/>
    <w:rsid w:val="0058553B"/>
    <w:rsid w:val="005859F8"/>
    <w:rsid w:val="00585B2A"/>
    <w:rsid w:val="00585E16"/>
    <w:rsid w:val="0058682F"/>
    <w:rsid w:val="00587135"/>
    <w:rsid w:val="0058760E"/>
    <w:rsid w:val="005876E2"/>
    <w:rsid w:val="005878FB"/>
    <w:rsid w:val="00590B71"/>
    <w:rsid w:val="00591292"/>
    <w:rsid w:val="005914BA"/>
    <w:rsid w:val="00591F90"/>
    <w:rsid w:val="005929C1"/>
    <w:rsid w:val="00593131"/>
    <w:rsid w:val="005940CA"/>
    <w:rsid w:val="00594561"/>
    <w:rsid w:val="0059532D"/>
    <w:rsid w:val="00595D14"/>
    <w:rsid w:val="00595D58"/>
    <w:rsid w:val="005964D2"/>
    <w:rsid w:val="005967E5"/>
    <w:rsid w:val="005A0E4F"/>
    <w:rsid w:val="005A16AC"/>
    <w:rsid w:val="005A1D57"/>
    <w:rsid w:val="005A23FB"/>
    <w:rsid w:val="005A26D2"/>
    <w:rsid w:val="005A299B"/>
    <w:rsid w:val="005A2BBB"/>
    <w:rsid w:val="005A3357"/>
    <w:rsid w:val="005A3BCF"/>
    <w:rsid w:val="005A4290"/>
    <w:rsid w:val="005A591A"/>
    <w:rsid w:val="005A6A61"/>
    <w:rsid w:val="005A6B4A"/>
    <w:rsid w:val="005A6FF2"/>
    <w:rsid w:val="005A7096"/>
    <w:rsid w:val="005A70E3"/>
    <w:rsid w:val="005A710C"/>
    <w:rsid w:val="005A7799"/>
    <w:rsid w:val="005A7A92"/>
    <w:rsid w:val="005B0123"/>
    <w:rsid w:val="005B03EA"/>
    <w:rsid w:val="005B03FA"/>
    <w:rsid w:val="005B0500"/>
    <w:rsid w:val="005B0513"/>
    <w:rsid w:val="005B0812"/>
    <w:rsid w:val="005B0CC4"/>
    <w:rsid w:val="005B136A"/>
    <w:rsid w:val="005B1614"/>
    <w:rsid w:val="005B1C1F"/>
    <w:rsid w:val="005B1DC5"/>
    <w:rsid w:val="005B2102"/>
    <w:rsid w:val="005B258A"/>
    <w:rsid w:val="005B25D4"/>
    <w:rsid w:val="005B27EC"/>
    <w:rsid w:val="005B2E79"/>
    <w:rsid w:val="005B34A6"/>
    <w:rsid w:val="005B5316"/>
    <w:rsid w:val="005B621A"/>
    <w:rsid w:val="005B653F"/>
    <w:rsid w:val="005B6A32"/>
    <w:rsid w:val="005B6B6F"/>
    <w:rsid w:val="005B7246"/>
    <w:rsid w:val="005B7657"/>
    <w:rsid w:val="005B7810"/>
    <w:rsid w:val="005C0058"/>
    <w:rsid w:val="005C0391"/>
    <w:rsid w:val="005C069E"/>
    <w:rsid w:val="005C093E"/>
    <w:rsid w:val="005C0B5F"/>
    <w:rsid w:val="005C0D5C"/>
    <w:rsid w:val="005C0FC3"/>
    <w:rsid w:val="005C2107"/>
    <w:rsid w:val="005C25A1"/>
    <w:rsid w:val="005C2E70"/>
    <w:rsid w:val="005C2FC1"/>
    <w:rsid w:val="005C3161"/>
    <w:rsid w:val="005C31CD"/>
    <w:rsid w:val="005C3338"/>
    <w:rsid w:val="005C3768"/>
    <w:rsid w:val="005C41C0"/>
    <w:rsid w:val="005C4433"/>
    <w:rsid w:val="005C479C"/>
    <w:rsid w:val="005C49F6"/>
    <w:rsid w:val="005C552F"/>
    <w:rsid w:val="005C5572"/>
    <w:rsid w:val="005C57C3"/>
    <w:rsid w:val="005C59FD"/>
    <w:rsid w:val="005C5C35"/>
    <w:rsid w:val="005C60AE"/>
    <w:rsid w:val="005C6F3B"/>
    <w:rsid w:val="005C735E"/>
    <w:rsid w:val="005C7747"/>
    <w:rsid w:val="005C7822"/>
    <w:rsid w:val="005C7AC1"/>
    <w:rsid w:val="005C7B73"/>
    <w:rsid w:val="005C7BC2"/>
    <w:rsid w:val="005C7D95"/>
    <w:rsid w:val="005D08DA"/>
    <w:rsid w:val="005D0CA1"/>
    <w:rsid w:val="005D0D56"/>
    <w:rsid w:val="005D0ECC"/>
    <w:rsid w:val="005D1755"/>
    <w:rsid w:val="005D1FF0"/>
    <w:rsid w:val="005D2280"/>
    <w:rsid w:val="005D25A5"/>
    <w:rsid w:val="005D2B80"/>
    <w:rsid w:val="005D2E14"/>
    <w:rsid w:val="005D3503"/>
    <w:rsid w:val="005D4713"/>
    <w:rsid w:val="005D483F"/>
    <w:rsid w:val="005D4AD9"/>
    <w:rsid w:val="005D5407"/>
    <w:rsid w:val="005D6804"/>
    <w:rsid w:val="005D75F7"/>
    <w:rsid w:val="005D7B60"/>
    <w:rsid w:val="005E02ED"/>
    <w:rsid w:val="005E0E14"/>
    <w:rsid w:val="005E12A8"/>
    <w:rsid w:val="005E17BC"/>
    <w:rsid w:val="005E1887"/>
    <w:rsid w:val="005E1BB5"/>
    <w:rsid w:val="005E2A16"/>
    <w:rsid w:val="005E2D77"/>
    <w:rsid w:val="005E31ED"/>
    <w:rsid w:val="005E35F2"/>
    <w:rsid w:val="005E3B14"/>
    <w:rsid w:val="005E3FDB"/>
    <w:rsid w:val="005E4242"/>
    <w:rsid w:val="005E47DF"/>
    <w:rsid w:val="005E498A"/>
    <w:rsid w:val="005E49E0"/>
    <w:rsid w:val="005E5230"/>
    <w:rsid w:val="005E5CFE"/>
    <w:rsid w:val="005E5FF8"/>
    <w:rsid w:val="005E6312"/>
    <w:rsid w:val="005E6469"/>
    <w:rsid w:val="005E68B7"/>
    <w:rsid w:val="005E73C7"/>
    <w:rsid w:val="005E750E"/>
    <w:rsid w:val="005E7754"/>
    <w:rsid w:val="005E779D"/>
    <w:rsid w:val="005E77A9"/>
    <w:rsid w:val="005E79AB"/>
    <w:rsid w:val="005E7C03"/>
    <w:rsid w:val="005F11B9"/>
    <w:rsid w:val="005F1249"/>
    <w:rsid w:val="005F15FF"/>
    <w:rsid w:val="005F1F18"/>
    <w:rsid w:val="005F1F87"/>
    <w:rsid w:val="005F216C"/>
    <w:rsid w:val="005F294E"/>
    <w:rsid w:val="005F2B3C"/>
    <w:rsid w:val="005F2B47"/>
    <w:rsid w:val="005F2BDC"/>
    <w:rsid w:val="005F2CB1"/>
    <w:rsid w:val="005F38F3"/>
    <w:rsid w:val="005F3A5A"/>
    <w:rsid w:val="005F3AB9"/>
    <w:rsid w:val="005F3EA3"/>
    <w:rsid w:val="005F4878"/>
    <w:rsid w:val="005F48C6"/>
    <w:rsid w:val="005F5500"/>
    <w:rsid w:val="005F5A6B"/>
    <w:rsid w:val="005F5D15"/>
    <w:rsid w:val="005F65D2"/>
    <w:rsid w:val="005F690C"/>
    <w:rsid w:val="005F6D37"/>
    <w:rsid w:val="005F72EF"/>
    <w:rsid w:val="0060087D"/>
    <w:rsid w:val="00600BFF"/>
    <w:rsid w:val="00601E5E"/>
    <w:rsid w:val="006023A8"/>
    <w:rsid w:val="00602431"/>
    <w:rsid w:val="00602A31"/>
    <w:rsid w:val="00602CBB"/>
    <w:rsid w:val="00604035"/>
    <w:rsid w:val="00604137"/>
    <w:rsid w:val="00604362"/>
    <w:rsid w:val="00604662"/>
    <w:rsid w:val="00604F73"/>
    <w:rsid w:val="00606BD4"/>
    <w:rsid w:val="00607211"/>
    <w:rsid w:val="0060721F"/>
    <w:rsid w:val="00607D2F"/>
    <w:rsid w:val="006102D0"/>
    <w:rsid w:val="00610342"/>
    <w:rsid w:val="0061059C"/>
    <w:rsid w:val="00610600"/>
    <w:rsid w:val="00610BEC"/>
    <w:rsid w:val="006116D4"/>
    <w:rsid w:val="006117FA"/>
    <w:rsid w:val="00611A1C"/>
    <w:rsid w:val="00613193"/>
    <w:rsid w:val="0061320C"/>
    <w:rsid w:val="0061346D"/>
    <w:rsid w:val="006150BC"/>
    <w:rsid w:val="00615795"/>
    <w:rsid w:val="006158D1"/>
    <w:rsid w:val="00615C35"/>
    <w:rsid w:val="00616D83"/>
    <w:rsid w:val="00620A52"/>
    <w:rsid w:val="00620A62"/>
    <w:rsid w:val="00621175"/>
    <w:rsid w:val="00621180"/>
    <w:rsid w:val="00621581"/>
    <w:rsid w:val="00621C31"/>
    <w:rsid w:val="00621F5E"/>
    <w:rsid w:val="0062205B"/>
    <w:rsid w:val="00622634"/>
    <w:rsid w:val="00623FDF"/>
    <w:rsid w:val="00624131"/>
    <w:rsid w:val="006246C4"/>
    <w:rsid w:val="00624A23"/>
    <w:rsid w:val="00624AD2"/>
    <w:rsid w:val="006254A9"/>
    <w:rsid w:val="006259B4"/>
    <w:rsid w:val="00625ABB"/>
    <w:rsid w:val="00625C9E"/>
    <w:rsid w:val="00625DA6"/>
    <w:rsid w:val="00625F78"/>
    <w:rsid w:val="00626141"/>
    <w:rsid w:val="0062646C"/>
    <w:rsid w:val="00626AD5"/>
    <w:rsid w:val="006270EE"/>
    <w:rsid w:val="00627866"/>
    <w:rsid w:val="00627D65"/>
    <w:rsid w:val="00630037"/>
    <w:rsid w:val="0063076B"/>
    <w:rsid w:val="0063089A"/>
    <w:rsid w:val="006308FC"/>
    <w:rsid w:val="0063092E"/>
    <w:rsid w:val="00630C2C"/>
    <w:rsid w:val="00630CD8"/>
    <w:rsid w:val="00630FC8"/>
    <w:rsid w:val="006314B8"/>
    <w:rsid w:val="0063175E"/>
    <w:rsid w:val="006317AB"/>
    <w:rsid w:val="00632C72"/>
    <w:rsid w:val="0063319C"/>
    <w:rsid w:val="006332B9"/>
    <w:rsid w:val="00633548"/>
    <w:rsid w:val="0063392F"/>
    <w:rsid w:val="00633CF0"/>
    <w:rsid w:val="0063465F"/>
    <w:rsid w:val="00635405"/>
    <w:rsid w:val="0063552A"/>
    <w:rsid w:val="0063584B"/>
    <w:rsid w:val="006364D2"/>
    <w:rsid w:val="006364D6"/>
    <w:rsid w:val="00636903"/>
    <w:rsid w:val="00637C75"/>
    <w:rsid w:val="00637C7D"/>
    <w:rsid w:val="00637DF0"/>
    <w:rsid w:val="0064037E"/>
    <w:rsid w:val="00640B46"/>
    <w:rsid w:val="006414A1"/>
    <w:rsid w:val="00641520"/>
    <w:rsid w:val="00641BB1"/>
    <w:rsid w:val="00641D23"/>
    <w:rsid w:val="006420B1"/>
    <w:rsid w:val="006425DE"/>
    <w:rsid w:val="006427BC"/>
    <w:rsid w:val="00643A54"/>
    <w:rsid w:val="00645A37"/>
    <w:rsid w:val="00646183"/>
    <w:rsid w:val="006465E6"/>
    <w:rsid w:val="00646D25"/>
    <w:rsid w:val="00646FE6"/>
    <w:rsid w:val="006479B1"/>
    <w:rsid w:val="00647B32"/>
    <w:rsid w:val="00647D2B"/>
    <w:rsid w:val="00647F23"/>
    <w:rsid w:val="00651183"/>
    <w:rsid w:val="006512FD"/>
    <w:rsid w:val="006514B2"/>
    <w:rsid w:val="00651BAF"/>
    <w:rsid w:val="00651EFC"/>
    <w:rsid w:val="00652714"/>
    <w:rsid w:val="00653001"/>
    <w:rsid w:val="00653539"/>
    <w:rsid w:val="0065370F"/>
    <w:rsid w:val="006538D8"/>
    <w:rsid w:val="00653A2E"/>
    <w:rsid w:val="00653C01"/>
    <w:rsid w:val="00653CB1"/>
    <w:rsid w:val="00653FB3"/>
    <w:rsid w:val="00654036"/>
    <w:rsid w:val="00654530"/>
    <w:rsid w:val="006545DC"/>
    <w:rsid w:val="00654D2D"/>
    <w:rsid w:val="00654D75"/>
    <w:rsid w:val="00655607"/>
    <w:rsid w:val="00655CD3"/>
    <w:rsid w:val="00655F8E"/>
    <w:rsid w:val="0065612D"/>
    <w:rsid w:val="006563A0"/>
    <w:rsid w:val="00656DEE"/>
    <w:rsid w:val="00657171"/>
    <w:rsid w:val="00657CCB"/>
    <w:rsid w:val="00660BDB"/>
    <w:rsid w:val="00661682"/>
    <w:rsid w:val="006617A2"/>
    <w:rsid w:val="006617EB"/>
    <w:rsid w:val="00661E67"/>
    <w:rsid w:val="00661EF8"/>
    <w:rsid w:val="00661FFA"/>
    <w:rsid w:val="0066221B"/>
    <w:rsid w:val="00662844"/>
    <w:rsid w:val="0066286E"/>
    <w:rsid w:val="00663166"/>
    <w:rsid w:val="0066322B"/>
    <w:rsid w:val="006632D1"/>
    <w:rsid w:val="00663936"/>
    <w:rsid w:val="00663A5F"/>
    <w:rsid w:val="00663A72"/>
    <w:rsid w:val="00663B6E"/>
    <w:rsid w:val="0066401B"/>
    <w:rsid w:val="00664DEB"/>
    <w:rsid w:val="00665159"/>
    <w:rsid w:val="0066549E"/>
    <w:rsid w:val="006668C0"/>
    <w:rsid w:val="00666E1C"/>
    <w:rsid w:val="00667180"/>
    <w:rsid w:val="00667C3D"/>
    <w:rsid w:val="00667D04"/>
    <w:rsid w:val="006701B3"/>
    <w:rsid w:val="00670217"/>
    <w:rsid w:val="00670703"/>
    <w:rsid w:val="00670F12"/>
    <w:rsid w:val="0067108F"/>
    <w:rsid w:val="006719F7"/>
    <w:rsid w:val="00671AF3"/>
    <w:rsid w:val="00671BB2"/>
    <w:rsid w:val="006722FF"/>
    <w:rsid w:val="006727CA"/>
    <w:rsid w:val="00672A04"/>
    <w:rsid w:val="00673A83"/>
    <w:rsid w:val="0067606C"/>
    <w:rsid w:val="00676779"/>
    <w:rsid w:val="0067686F"/>
    <w:rsid w:val="00676E41"/>
    <w:rsid w:val="00677D61"/>
    <w:rsid w:val="00677F49"/>
    <w:rsid w:val="00677FB8"/>
    <w:rsid w:val="00680A8D"/>
    <w:rsid w:val="00681058"/>
    <w:rsid w:val="006812A9"/>
    <w:rsid w:val="00681499"/>
    <w:rsid w:val="00681C83"/>
    <w:rsid w:val="006822D9"/>
    <w:rsid w:val="006824E3"/>
    <w:rsid w:val="0068296E"/>
    <w:rsid w:val="00682F24"/>
    <w:rsid w:val="006835E0"/>
    <w:rsid w:val="006838DD"/>
    <w:rsid w:val="00683F6D"/>
    <w:rsid w:val="00683FE2"/>
    <w:rsid w:val="0068449B"/>
    <w:rsid w:val="00684856"/>
    <w:rsid w:val="0068538C"/>
    <w:rsid w:val="00685B27"/>
    <w:rsid w:val="00685D8F"/>
    <w:rsid w:val="006870B0"/>
    <w:rsid w:val="00687F80"/>
    <w:rsid w:val="0069053A"/>
    <w:rsid w:val="00690942"/>
    <w:rsid w:val="00690E5E"/>
    <w:rsid w:val="00690F26"/>
    <w:rsid w:val="00691221"/>
    <w:rsid w:val="006914D4"/>
    <w:rsid w:val="00691943"/>
    <w:rsid w:val="00692166"/>
    <w:rsid w:val="0069234F"/>
    <w:rsid w:val="0069280D"/>
    <w:rsid w:val="00692A59"/>
    <w:rsid w:val="00692C83"/>
    <w:rsid w:val="00692EC4"/>
    <w:rsid w:val="006930F7"/>
    <w:rsid w:val="0069344B"/>
    <w:rsid w:val="006938B4"/>
    <w:rsid w:val="006940E5"/>
    <w:rsid w:val="00694FB8"/>
    <w:rsid w:val="00695745"/>
    <w:rsid w:val="00695A4E"/>
    <w:rsid w:val="00695E0E"/>
    <w:rsid w:val="00696EA2"/>
    <w:rsid w:val="006974EB"/>
    <w:rsid w:val="00697FBB"/>
    <w:rsid w:val="006A01C7"/>
    <w:rsid w:val="006A077B"/>
    <w:rsid w:val="006A0AC4"/>
    <w:rsid w:val="006A0BF9"/>
    <w:rsid w:val="006A1587"/>
    <w:rsid w:val="006A2D20"/>
    <w:rsid w:val="006A3977"/>
    <w:rsid w:val="006A4EB9"/>
    <w:rsid w:val="006A61CB"/>
    <w:rsid w:val="006A629E"/>
    <w:rsid w:val="006A6C79"/>
    <w:rsid w:val="006A7B79"/>
    <w:rsid w:val="006B0017"/>
    <w:rsid w:val="006B0193"/>
    <w:rsid w:val="006B08D2"/>
    <w:rsid w:val="006B0D4C"/>
    <w:rsid w:val="006B1899"/>
    <w:rsid w:val="006B2319"/>
    <w:rsid w:val="006B2393"/>
    <w:rsid w:val="006B239F"/>
    <w:rsid w:val="006B28CA"/>
    <w:rsid w:val="006B4558"/>
    <w:rsid w:val="006B5668"/>
    <w:rsid w:val="006B5AAB"/>
    <w:rsid w:val="006B5ABE"/>
    <w:rsid w:val="006B6835"/>
    <w:rsid w:val="006B68BC"/>
    <w:rsid w:val="006B69B9"/>
    <w:rsid w:val="006B751E"/>
    <w:rsid w:val="006C012F"/>
    <w:rsid w:val="006C0268"/>
    <w:rsid w:val="006C072F"/>
    <w:rsid w:val="006C22B0"/>
    <w:rsid w:val="006C27F9"/>
    <w:rsid w:val="006C2E87"/>
    <w:rsid w:val="006C30D9"/>
    <w:rsid w:val="006C3173"/>
    <w:rsid w:val="006C334B"/>
    <w:rsid w:val="006C3380"/>
    <w:rsid w:val="006C346A"/>
    <w:rsid w:val="006C359A"/>
    <w:rsid w:val="006C524D"/>
    <w:rsid w:val="006C61E5"/>
    <w:rsid w:val="006C65BD"/>
    <w:rsid w:val="006C68EA"/>
    <w:rsid w:val="006C7122"/>
    <w:rsid w:val="006C72BD"/>
    <w:rsid w:val="006C7385"/>
    <w:rsid w:val="006C7A22"/>
    <w:rsid w:val="006D0C35"/>
    <w:rsid w:val="006D138A"/>
    <w:rsid w:val="006D192C"/>
    <w:rsid w:val="006D199B"/>
    <w:rsid w:val="006D30C0"/>
    <w:rsid w:val="006D335D"/>
    <w:rsid w:val="006D3447"/>
    <w:rsid w:val="006D3C7F"/>
    <w:rsid w:val="006D44D7"/>
    <w:rsid w:val="006D4665"/>
    <w:rsid w:val="006D4BE8"/>
    <w:rsid w:val="006D4C1F"/>
    <w:rsid w:val="006D4C38"/>
    <w:rsid w:val="006D4F08"/>
    <w:rsid w:val="006D5A11"/>
    <w:rsid w:val="006D649A"/>
    <w:rsid w:val="006D7116"/>
    <w:rsid w:val="006D7473"/>
    <w:rsid w:val="006D7D94"/>
    <w:rsid w:val="006D7FC3"/>
    <w:rsid w:val="006E00BA"/>
    <w:rsid w:val="006E084A"/>
    <w:rsid w:val="006E0C39"/>
    <w:rsid w:val="006E11A8"/>
    <w:rsid w:val="006E12D3"/>
    <w:rsid w:val="006E139C"/>
    <w:rsid w:val="006E177C"/>
    <w:rsid w:val="006E19D6"/>
    <w:rsid w:val="006E1F66"/>
    <w:rsid w:val="006E2203"/>
    <w:rsid w:val="006E2AA6"/>
    <w:rsid w:val="006E2DF9"/>
    <w:rsid w:val="006E2DFB"/>
    <w:rsid w:val="006E30B8"/>
    <w:rsid w:val="006E31E0"/>
    <w:rsid w:val="006E341C"/>
    <w:rsid w:val="006E352A"/>
    <w:rsid w:val="006E3911"/>
    <w:rsid w:val="006E3B42"/>
    <w:rsid w:val="006E3D33"/>
    <w:rsid w:val="006E46B6"/>
    <w:rsid w:val="006E4952"/>
    <w:rsid w:val="006E4A62"/>
    <w:rsid w:val="006E4D3B"/>
    <w:rsid w:val="006E50EB"/>
    <w:rsid w:val="006E51EC"/>
    <w:rsid w:val="006E62A5"/>
    <w:rsid w:val="006E677C"/>
    <w:rsid w:val="006E68B8"/>
    <w:rsid w:val="006E6931"/>
    <w:rsid w:val="006E696D"/>
    <w:rsid w:val="006E7168"/>
    <w:rsid w:val="006E7A4D"/>
    <w:rsid w:val="006F0E70"/>
    <w:rsid w:val="006F1D07"/>
    <w:rsid w:val="006F1D8D"/>
    <w:rsid w:val="006F28AB"/>
    <w:rsid w:val="006F290A"/>
    <w:rsid w:val="006F2B7D"/>
    <w:rsid w:val="006F2E01"/>
    <w:rsid w:val="006F34B8"/>
    <w:rsid w:val="006F39D7"/>
    <w:rsid w:val="006F3CEB"/>
    <w:rsid w:val="006F3D47"/>
    <w:rsid w:val="006F4CE2"/>
    <w:rsid w:val="006F5C14"/>
    <w:rsid w:val="006F5D2C"/>
    <w:rsid w:val="006F5E6D"/>
    <w:rsid w:val="006F6B57"/>
    <w:rsid w:val="006F6B8E"/>
    <w:rsid w:val="006F7525"/>
    <w:rsid w:val="006F77F3"/>
    <w:rsid w:val="006F7911"/>
    <w:rsid w:val="007002B9"/>
    <w:rsid w:val="007004B6"/>
    <w:rsid w:val="007005C5"/>
    <w:rsid w:val="00700787"/>
    <w:rsid w:val="00700B81"/>
    <w:rsid w:val="00701192"/>
    <w:rsid w:val="00702961"/>
    <w:rsid w:val="00702CAC"/>
    <w:rsid w:val="00702E7B"/>
    <w:rsid w:val="00702F6F"/>
    <w:rsid w:val="007031FE"/>
    <w:rsid w:val="00703D2E"/>
    <w:rsid w:val="007042CA"/>
    <w:rsid w:val="0070432B"/>
    <w:rsid w:val="007050BB"/>
    <w:rsid w:val="007051C6"/>
    <w:rsid w:val="007055CA"/>
    <w:rsid w:val="007056C2"/>
    <w:rsid w:val="007056F9"/>
    <w:rsid w:val="00705D76"/>
    <w:rsid w:val="00705EA6"/>
    <w:rsid w:val="0070608E"/>
    <w:rsid w:val="007061E1"/>
    <w:rsid w:val="00706D2E"/>
    <w:rsid w:val="00706F92"/>
    <w:rsid w:val="007070A2"/>
    <w:rsid w:val="007070CB"/>
    <w:rsid w:val="007072A4"/>
    <w:rsid w:val="00707524"/>
    <w:rsid w:val="00707A30"/>
    <w:rsid w:val="00707C28"/>
    <w:rsid w:val="0071019D"/>
    <w:rsid w:val="007105A4"/>
    <w:rsid w:val="007105CB"/>
    <w:rsid w:val="007106DE"/>
    <w:rsid w:val="00711010"/>
    <w:rsid w:val="00711593"/>
    <w:rsid w:val="0071265F"/>
    <w:rsid w:val="00712B68"/>
    <w:rsid w:val="0071319B"/>
    <w:rsid w:val="0071333C"/>
    <w:rsid w:val="0071375C"/>
    <w:rsid w:val="00713E1A"/>
    <w:rsid w:val="00714072"/>
    <w:rsid w:val="00714904"/>
    <w:rsid w:val="007149BC"/>
    <w:rsid w:val="007157A8"/>
    <w:rsid w:val="007161BF"/>
    <w:rsid w:val="00716944"/>
    <w:rsid w:val="00716F68"/>
    <w:rsid w:val="007175CD"/>
    <w:rsid w:val="00717D77"/>
    <w:rsid w:val="00720504"/>
    <w:rsid w:val="007206AD"/>
    <w:rsid w:val="00720A60"/>
    <w:rsid w:val="00720E04"/>
    <w:rsid w:val="00720E0C"/>
    <w:rsid w:val="0072128B"/>
    <w:rsid w:val="0072142E"/>
    <w:rsid w:val="007218CA"/>
    <w:rsid w:val="00722091"/>
    <w:rsid w:val="007220E3"/>
    <w:rsid w:val="00722242"/>
    <w:rsid w:val="0072234C"/>
    <w:rsid w:val="007224B4"/>
    <w:rsid w:val="007230DC"/>
    <w:rsid w:val="007233CD"/>
    <w:rsid w:val="00724659"/>
    <w:rsid w:val="00725206"/>
    <w:rsid w:val="007277E0"/>
    <w:rsid w:val="0073025A"/>
    <w:rsid w:val="007303FE"/>
    <w:rsid w:val="00730735"/>
    <w:rsid w:val="007309CE"/>
    <w:rsid w:val="0073118D"/>
    <w:rsid w:val="007319A6"/>
    <w:rsid w:val="00732581"/>
    <w:rsid w:val="00732724"/>
    <w:rsid w:val="00733325"/>
    <w:rsid w:val="00733A79"/>
    <w:rsid w:val="00733C81"/>
    <w:rsid w:val="007348CE"/>
    <w:rsid w:val="00734AE9"/>
    <w:rsid w:val="00734F48"/>
    <w:rsid w:val="00734F76"/>
    <w:rsid w:val="00734FA6"/>
    <w:rsid w:val="007351B3"/>
    <w:rsid w:val="00735273"/>
    <w:rsid w:val="00735D7F"/>
    <w:rsid w:val="00737796"/>
    <w:rsid w:val="007378EA"/>
    <w:rsid w:val="00737F74"/>
    <w:rsid w:val="00741095"/>
    <w:rsid w:val="00741B11"/>
    <w:rsid w:val="007428EE"/>
    <w:rsid w:val="007429DF"/>
    <w:rsid w:val="0074313C"/>
    <w:rsid w:val="00743B9D"/>
    <w:rsid w:val="00743DB0"/>
    <w:rsid w:val="0074489F"/>
    <w:rsid w:val="00744950"/>
    <w:rsid w:val="00744B9E"/>
    <w:rsid w:val="007454AA"/>
    <w:rsid w:val="007457BC"/>
    <w:rsid w:val="007458CD"/>
    <w:rsid w:val="007458E9"/>
    <w:rsid w:val="007461A5"/>
    <w:rsid w:val="00746232"/>
    <w:rsid w:val="007464CD"/>
    <w:rsid w:val="00746F96"/>
    <w:rsid w:val="007472B6"/>
    <w:rsid w:val="00747773"/>
    <w:rsid w:val="007477D8"/>
    <w:rsid w:val="00747932"/>
    <w:rsid w:val="007479F5"/>
    <w:rsid w:val="00751464"/>
    <w:rsid w:val="00751486"/>
    <w:rsid w:val="0075232D"/>
    <w:rsid w:val="00752A64"/>
    <w:rsid w:val="00752C99"/>
    <w:rsid w:val="007533AF"/>
    <w:rsid w:val="007535F7"/>
    <w:rsid w:val="0075390E"/>
    <w:rsid w:val="00753C00"/>
    <w:rsid w:val="0075419D"/>
    <w:rsid w:val="0075487D"/>
    <w:rsid w:val="00754D31"/>
    <w:rsid w:val="00754EF9"/>
    <w:rsid w:val="007552A4"/>
    <w:rsid w:val="007552B5"/>
    <w:rsid w:val="00755C38"/>
    <w:rsid w:val="0075639E"/>
    <w:rsid w:val="00756676"/>
    <w:rsid w:val="0075675C"/>
    <w:rsid w:val="007579F9"/>
    <w:rsid w:val="00760A6A"/>
    <w:rsid w:val="00760D27"/>
    <w:rsid w:val="00760EAD"/>
    <w:rsid w:val="0076223A"/>
    <w:rsid w:val="00762604"/>
    <w:rsid w:val="00762696"/>
    <w:rsid w:val="00762951"/>
    <w:rsid w:val="00762EE2"/>
    <w:rsid w:val="00762FC2"/>
    <w:rsid w:val="00763583"/>
    <w:rsid w:val="00764365"/>
    <w:rsid w:val="0076464F"/>
    <w:rsid w:val="007648CA"/>
    <w:rsid w:val="007652CF"/>
    <w:rsid w:val="0076534C"/>
    <w:rsid w:val="00765437"/>
    <w:rsid w:val="00765518"/>
    <w:rsid w:val="00765E52"/>
    <w:rsid w:val="007660B8"/>
    <w:rsid w:val="0076652C"/>
    <w:rsid w:val="00766C90"/>
    <w:rsid w:val="0076763A"/>
    <w:rsid w:val="00767B31"/>
    <w:rsid w:val="00770484"/>
    <w:rsid w:val="00770A43"/>
    <w:rsid w:val="00771FD8"/>
    <w:rsid w:val="007721C0"/>
    <w:rsid w:val="0077243A"/>
    <w:rsid w:val="007729F9"/>
    <w:rsid w:val="00772E23"/>
    <w:rsid w:val="00772E55"/>
    <w:rsid w:val="007735F2"/>
    <w:rsid w:val="00773BD8"/>
    <w:rsid w:val="00773BF2"/>
    <w:rsid w:val="007746FD"/>
    <w:rsid w:val="007748CF"/>
    <w:rsid w:val="00774981"/>
    <w:rsid w:val="00774C74"/>
    <w:rsid w:val="00775071"/>
    <w:rsid w:val="00776315"/>
    <w:rsid w:val="007763FD"/>
    <w:rsid w:val="0077675C"/>
    <w:rsid w:val="007767C1"/>
    <w:rsid w:val="00777853"/>
    <w:rsid w:val="0078055C"/>
    <w:rsid w:val="00782429"/>
    <w:rsid w:val="0078281C"/>
    <w:rsid w:val="00782D09"/>
    <w:rsid w:val="0078344E"/>
    <w:rsid w:val="00783B47"/>
    <w:rsid w:val="0078481A"/>
    <w:rsid w:val="00784DDB"/>
    <w:rsid w:val="00785FDD"/>
    <w:rsid w:val="00786139"/>
    <w:rsid w:val="00786577"/>
    <w:rsid w:val="007866BE"/>
    <w:rsid w:val="00786EF2"/>
    <w:rsid w:val="007870FC"/>
    <w:rsid w:val="007877EA"/>
    <w:rsid w:val="00790057"/>
    <w:rsid w:val="0079097F"/>
    <w:rsid w:val="00790CD5"/>
    <w:rsid w:val="00791AD7"/>
    <w:rsid w:val="00792F1C"/>
    <w:rsid w:val="00793094"/>
    <w:rsid w:val="007931BD"/>
    <w:rsid w:val="00793263"/>
    <w:rsid w:val="00793FEF"/>
    <w:rsid w:val="00794FCA"/>
    <w:rsid w:val="0079540F"/>
    <w:rsid w:val="00796163"/>
    <w:rsid w:val="00796179"/>
    <w:rsid w:val="007966CF"/>
    <w:rsid w:val="0079676A"/>
    <w:rsid w:val="00796A97"/>
    <w:rsid w:val="00797182"/>
    <w:rsid w:val="00797E8A"/>
    <w:rsid w:val="007A0654"/>
    <w:rsid w:val="007A183C"/>
    <w:rsid w:val="007A197D"/>
    <w:rsid w:val="007A1BF6"/>
    <w:rsid w:val="007A1DF5"/>
    <w:rsid w:val="007A33DB"/>
    <w:rsid w:val="007A3554"/>
    <w:rsid w:val="007A40AE"/>
    <w:rsid w:val="007A485D"/>
    <w:rsid w:val="007A4FA8"/>
    <w:rsid w:val="007A5164"/>
    <w:rsid w:val="007A5397"/>
    <w:rsid w:val="007A5C7E"/>
    <w:rsid w:val="007A5D9E"/>
    <w:rsid w:val="007A6170"/>
    <w:rsid w:val="007A6224"/>
    <w:rsid w:val="007A6953"/>
    <w:rsid w:val="007A6DFF"/>
    <w:rsid w:val="007A74F7"/>
    <w:rsid w:val="007A75BF"/>
    <w:rsid w:val="007A7607"/>
    <w:rsid w:val="007A7DD1"/>
    <w:rsid w:val="007A7DDC"/>
    <w:rsid w:val="007B0244"/>
    <w:rsid w:val="007B02F4"/>
    <w:rsid w:val="007B04B0"/>
    <w:rsid w:val="007B0F5A"/>
    <w:rsid w:val="007B0FB3"/>
    <w:rsid w:val="007B11A2"/>
    <w:rsid w:val="007B130D"/>
    <w:rsid w:val="007B13BC"/>
    <w:rsid w:val="007B155E"/>
    <w:rsid w:val="007B2718"/>
    <w:rsid w:val="007B2CE1"/>
    <w:rsid w:val="007B32A4"/>
    <w:rsid w:val="007B370C"/>
    <w:rsid w:val="007B3846"/>
    <w:rsid w:val="007B3D40"/>
    <w:rsid w:val="007B4313"/>
    <w:rsid w:val="007B4A94"/>
    <w:rsid w:val="007B50AD"/>
    <w:rsid w:val="007B5917"/>
    <w:rsid w:val="007B5DF3"/>
    <w:rsid w:val="007B5ECF"/>
    <w:rsid w:val="007B6125"/>
    <w:rsid w:val="007B61C2"/>
    <w:rsid w:val="007B626A"/>
    <w:rsid w:val="007B63FA"/>
    <w:rsid w:val="007B672C"/>
    <w:rsid w:val="007B6B3B"/>
    <w:rsid w:val="007B7865"/>
    <w:rsid w:val="007B7D99"/>
    <w:rsid w:val="007C08FA"/>
    <w:rsid w:val="007C171C"/>
    <w:rsid w:val="007C18E8"/>
    <w:rsid w:val="007C1A8D"/>
    <w:rsid w:val="007C1C97"/>
    <w:rsid w:val="007C1D29"/>
    <w:rsid w:val="007C213A"/>
    <w:rsid w:val="007C23D4"/>
    <w:rsid w:val="007C327B"/>
    <w:rsid w:val="007C3614"/>
    <w:rsid w:val="007C3B1F"/>
    <w:rsid w:val="007C4277"/>
    <w:rsid w:val="007C4286"/>
    <w:rsid w:val="007C4ABB"/>
    <w:rsid w:val="007C4E6B"/>
    <w:rsid w:val="007C5777"/>
    <w:rsid w:val="007C5CFF"/>
    <w:rsid w:val="007C5DCD"/>
    <w:rsid w:val="007C6982"/>
    <w:rsid w:val="007C70D9"/>
    <w:rsid w:val="007C72DF"/>
    <w:rsid w:val="007D02F4"/>
    <w:rsid w:val="007D0BD7"/>
    <w:rsid w:val="007D0F35"/>
    <w:rsid w:val="007D1011"/>
    <w:rsid w:val="007D161D"/>
    <w:rsid w:val="007D180B"/>
    <w:rsid w:val="007D18F7"/>
    <w:rsid w:val="007D2105"/>
    <w:rsid w:val="007D219B"/>
    <w:rsid w:val="007D2812"/>
    <w:rsid w:val="007D3011"/>
    <w:rsid w:val="007D3064"/>
    <w:rsid w:val="007D39DE"/>
    <w:rsid w:val="007D39F8"/>
    <w:rsid w:val="007D64D0"/>
    <w:rsid w:val="007D67E3"/>
    <w:rsid w:val="007D6D8C"/>
    <w:rsid w:val="007D79F9"/>
    <w:rsid w:val="007D7DC7"/>
    <w:rsid w:val="007E11B5"/>
    <w:rsid w:val="007E1DBC"/>
    <w:rsid w:val="007E28FE"/>
    <w:rsid w:val="007E2AC3"/>
    <w:rsid w:val="007E3735"/>
    <w:rsid w:val="007E376C"/>
    <w:rsid w:val="007E397F"/>
    <w:rsid w:val="007E3BFE"/>
    <w:rsid w:val="007E3C98"/>
    <w:rsid w:val="007E3EBB"/>
    <w:rsid w:val="007E4609"/>
    <w:rsid w:val="007E47B6"/>
    <w:rsid w:val="007E49EB"/>
    <w:rsid w:val="007E66B6"/>
    <w:rsid w:val="007E7244"/>
    <w:rsid w:val="007E7CD8"/>
    <w:rsid w:val="007F0258"/>
    <w:rsid w:val="007F03ED"/>
    <w:rsid w:val="007F0720"/>
    <w:rsid w:val="007F0C3D"/>
    <w:rsid w:val="007F0E07"/>
    <w:rsid w:val="007F132F"/>
    <w:rsid w:val="007F1C0A"/>
    <w:rsid w:val="007F1E2A"/>
    <w:rsid w:val="007F1E3D"/>
    <w:rsid w:val="007F2209"/>
    <w:rsid w:val="007F2A7E"/>
    <w:rsid w:val="007F2C9C"/>
    <w:rsid w:val="007F3129"/>
    <w:rsid w:val="007F39CD"/>
    <w:rsid w:val="007F4263"/>
    <w:rsid w:val="007F4950"/>
    <w:rsid w:val="007F4E77"/>
    <w:rsid w:val="007F559B"/>
    <w:rsid w:val="007F5727"/>
    <w:rsid w:val="007F7222"/>
    <w:rsid w:val="007F7619"/>
    <w:rsid w:val="007F7662"/>
    <w:rsid w:val="00800490"/>
    <w:rsid w:val="0080054E"/>
    <w:rsid w:val="00800753"/>
    <w:rsid w:val="00800823"/>
    <w:rsid w:val="0080087B"/>
    <w:rsid w:val="008011E8"/>
    <w:rsid w:val="00801389"/>
    <w:rsid w:val="0080166B"/>
    <w:rsid w:val="008020F8"/>
    <w:rsid w:val="00802109"/>
    <w:rsid w:val="008021C5"/>
    <w:rsid w:val="0080240F"/>
    <w:rsid w:val="0080262C"/>
    <w:rsid w:val="008036C4"/>
    <w:rsid w:val="008036D0"/>
    <w:rsid w:val="00803CE9"/>
    <w:rsid w:val="008053AD"/>
    <w:rsid w:val="00805625"/>
    <w:rsid w:val="0080660B"/>
    <w:rsid w:val="00806676"/>
    <w:rsid w:val="00806B2A"/>
    <w:rsid w:val="00806D35"/>
    <w:rsid w:val="0080748D"/>
    <w:rsid w:val="00807571"/>
    <w:rsid w:val="008108D2"/>
    <w:rsid w:val="00810D6A"/>
    <w:rsid w:val="00811ACB"/>
    <w:rsid w:val="00811B93"/>
    <w:rsid w:val="00811C61"/>
    <w:rsid w:val="00812F16"/>
    <w:rsid w:val="00813283"/>
    <w:rsid w:val="008133E8"/>
    <w:rsid w:val="00813C5E"/>
    <w:rsid w:val="0081438F"/>
    <w:rsid w:val="00815082"/>
    <w:rsid w:val="00815178"/>
    <w:rsid w:val="00816012"/>
    <w:rsid w:val="00816064"/>
    <w:rsid w:val="00816E3E"/>
    <w:rsid w:val="0081701E"/>
    <w:rsid w:val="00817174"/>
    <w:rsid w:val="00817F34"/>
    <w:rsid w:val="008200E1"/>
    <w:rsid w:val="00820E22"/>
    <w:rsid w:val="00820EFA"/>
    <w:rsid w:val="0082150E"/>
    <w:rsid w:val="00821690"/>
    <w:rsid w:val="00821E0A"/>
    <w:rsid w:val="00821EAF"/>
    <w:rsid w:val="00821FE8"/>
    <w:rsid w:val="00822330"/>
    <w:rsid w:val="00822541"/>
    <w:rsid w:val="008225A4"/>
    <w:rsid w:val="0082266E"/>
    <w:rsid w:val="0082294A"/>
    <w:rsid w:val="00822C25"/>
    <w:rsid w:val="00822D4D"/>
    <w:rsid w:val="00823B6E"/>
    <w:rsid w:val="00824904"/>
    <w:rsid w:val="00824DEB"/>
    <w:rsid w:val="00824EF7"/>
    <w:rsid w:val="00825216"/>
    <w:rsid w:val="00825BC1"/>
    <w:rsid w:val="00825BEE"/>
    <w:rsid w:val="00825DFE"/>
    <w:rsid w:val="00826266"/>
    <w:rsid w:val="00826785"/>
    <w:rsid w:val="00826C32"/>
    <w:rsid w:val="00826C78"/>
    <w:rsid w:val="00827DBC"/>
    <w:rsid w:val="008301C1"/>
    <w:rsid w:val="0083101C"/>
    <w:rsid w:val="0083162D"/>
    <w:rsid w:val="00831860"/>
    <w:rsid w:val="008322F2"/>
    <w:rsid w:val="0083285C"/>
    <w:rsid w:val="008333AC"/>
    <w:rsid w:val="00833642"/>
    <w:rsid w:val="00833664"/>
    <w:rsid w:val="008336A0"/>
    <w:rsid w:val="00834047"/>
    <w:rsid w:val="00834633"/>
    <w:rsid w:val="0083483B"/>
    <w:rsid w:val="00834A4A"/>
    <w:rsid w:val="00834AD3"/>
    <w:rsid w:val="00834D21"/>
    <w:rsid w:val="008359EE"/>
    <w:rsid w:val="008362D2"/>
    <w:rsid w:val="008363C9"/>
    <w:rsid w:val="00836D4D"/>
    <w:rsid w:val="00836E3F"/>
    <w:rsid w:val="008370B5"/>
    <w:rsid w:val="00837275"/>
    <w:rsid w:val="008373E9"/>
    <w:rsid w:val="00837AD0"/>
    <w:rsid w:val="00837D7E"/>
    <w:rsid w:val="00837EBA"/>
    <w:rsid w:val="00840EA7"/>
    <w:rsid w:val="00841384"/>
    <w:rsid w:val="00841EBD"/>
    <w:rsid w:val="00842800"/>
    <w:rsid w:val="00842ED9"/>
    <w:rsid w:val="0084353C"/>
    <w:rsid w:val="008435DF"/>
    <w:rsid w:val="00844266"/>
    <w:rsid w:val="008452D6"/>
    <w:rsid w:val="00846275"/>
    <w:rsid w:val="00846E97"/>
    <w:rsid w:val="0084747D"/>
    <w:rsid w:val="00847541"/>
    <w:rsid w:val="00851101"/>
    <w:rsid w:val="0085133E"/>
    <w:rsid w:val="00851AF0"/>
    <w:rsid w:val="00851C0D"/>
    <w:rsid w:val="00851CDC"/>
    <w:rsid w:val="00851FF8"/>
    <w:rsid w:val="0085205D"/>
    <w:rsid w:val="008520CD"/>
    <w:rsid w:val="00852126"/>
    <w:rsid w:val="00852540"/>
    <w:rsid w:val="00852772"/>
    <w:rsid w:val="00852BB3"/>
    <w:rsid w:val="00852F93"/>
    <w:rsid w:val="008533E0"/>
    <w:rsid w:val="008538D8"/>
    <w:rsid w:val="00853EBE"/>
    <w:rsid w:val="00853FBD"/>
    <w:rsid w:val="00854BE4"/>
    <w:rsid w:val="00854E9D"/>
    <w:rsid w:val="00855689"/>
    <w:rsid w:val="00855769"/>
    <w:rsid w:val="00855806"/>
    <w:rsid w:val="00855A55"/>
    <w:rsid w:val="0085794B"/>
    <w:rsid w:val="008608E6"/>
    <w:rsid w:val="008609CB"/>
    <w:rsid w:val="00860F75"/>
    <w:rsid w:val="0086108D"/>
    <w:rsid w:val="00861C68"/>
    <w:rsid w:val="008624B4"/>
    <w:rsid w:val="00863521"/>
    <w:rsid w:val="00863A4C"/>
    <w:rsid w:val="00864818"/>
    <w:rsid w:val="00864AA7"/>
    <w:rsid w:val="00864C09"/>
    <w:rsid w:val="00864DD2"/>
    <w:rsid w:val="008652F9"/>
    <w:rsid w:val="0086636C"/>
    <w:rsid w:val="008669C5"/>
    <w:rsid w:val="00866C7C"/>
    <w:rsid w:val="00867633"/>
    <w:rsid w:val="008707F3"/>
    <w:rsid w:val="00870F30"/>
    <w:rsid w:val="008719EE"/>
    <w:rsid w:val="00871AB0"/>
    <w:rsid w:val="00871B03"/>
    <w:rsid w:val="00871DBC"/>
    <w:rsid w:val="00872803"/>
    <w:rsid w:val="00872BFA"/>
    <w:rsid w:val="0087323E"/>
    <w:rsid w:val="008733E9"/>
    <w:rsid w:val="008736D3"/>
    <w:rsid w:val="00873807"/>
    <w:rsid w:val="00873D97"/>
    <w:rsid w:val="00873EC6"/>
    <w:rsid w:val="00874975"/>
    <w:rsid w:val="00874B66"/>
    <w:rsid w:val="00877284"/>
    <w:rsid w:val="00877BAB"/>
    <w:rsid w:val="00880272"/>
    <w:rsid w:val="00880B52"/>
    <w:rsid w:val="00881DBF"/>
    <w:rsid w:val="008837F5"/>
    <w:rsid w:val="00884102"/>
    <w:rsid w:val="00884FBD"/>
    <w:rsid w:val="00885162"/>
    <w:rsid w:val="00885C64"/>
    <w:rsid w:val="00886CF2"/>
    <w:rsid w:val="00886CF7"/>
    <w:rsid w:val="00890397"/>
    <w:rsid w:val="0089060A"/>
    <w:rsid w:val="00890B3D"/>
    <w:rsid w:val="00891089"/>
    <w:rsid w:val="00891575"/>
    <w:rsid w:val="0089189B"/>
    <w:rsid w:val="00891DF5"/>
    <w:rsid w:val="008922E6"/>
    <w:rsid w:val="00892C85"/>
    <w:rsid w:val="00893268"/>
    <w:rsid w:val="00893BE8"/>
    <w:rsid w:val="00894216"/>
    <w:rsid w:val="00894226"/>
    <w:rsid w:val="0089468E"/>
    <w:rsid w:val="00894D4B"/>
    <w:rsid w:val="0089525E"/>
    <w:rsid w:val="00895279"/>
    <w:rsid w:val="008957B3"/>
    <w:rsid w:val="00895D74"/>
    <w:rsid w:val="00895E22"/>
    <w:rsid w:val="00896964"/>
    <w:rsid w:val="00896A33"/>
    <w:rsid w:val="00896FC7"/>
    <w:rsid w:val="00897256"/>
    <w:rsid w:val="008972F2"/>
    <w:rsid w:val="008976CD"/>
    <w:rsid w:val="008976E3"/>
    <w:rsid w:val="00897AF9"/>
    <w:rsid w:val="00897AFB"/>
    <w:rsid w:val="008A0587"/>
    <w:rsid w:val="008A0DA7"/>
    <w:rsid w:val="008A0F69"/>
    <w:rsid w:val="008A119F"/>
    <w:rsid w:val="008A11A9"/>
    <w:rsid w:val="008A125E"/>
    <w:rsid w:val="008A12AD"/>
    <w:rsid w:val="008A273A"/>
    <w:rsid w:val="008A2851"/>
    <w:rsid w:val="008A2C0E"/>
    <w:rsid w:val="008A3206"/>
    <w:rsid w:val="008A3F10"/>
    <w:rsid w:val="008A40E1"/>
    <w:rsid w:val="008A4166"/>
    <w:rsid w:val="008A4287"/>
    <w:rsid w:val="008A504D"/>
    <w:rsid w:val="008A5FF3"/>
    <w:rsid w:val="008A6D2F"/>
    <w:rsid w:val="008A7298"/>
    <w:rsid w:val="008A72DF"/>
    <w:rsid w:val="008A7781"/>
    <w:rsid w:val="008A79A0"/>
    <w:rsid w:val="008A7E18"/>
    <w:rsid w:val="008A7F84"/>
    <w:rsid w:val="008B04DA"/>
    <w:rsid w:val="008B0626"/>
    <w:rsid w:val="008B0A18"/>
    <w:rsid w:val="008B0C25"/>
    <w:rsid w:val="008B153B"/>
    <w:rsid w:val="008B1934"/>
    <w:rsid w:val="008B1BAA"/>
    <w:rsid w:val="008B1C81"/>
    <w:rsid w:val="008B1E08"/>
    <w:rsid w:val="008B2A38"/>
    <w:rsid w:val="008B2DC2"/>
    <w:rsid w:val="008B33D5"/>
    <w:rsid w:val="008B3798"/>
    <w:rsid w:val="008B426D"/>
    <w:rsid w:val="008B52BC"/>
    <w:rsid w:val="008B58AD"/>
    <w:rsid w:val="008B5B74"/>
    <w:rsid w:val="008B6119"/>
    <w:rsid w:val="008B65BD"/>
    <w:rsid w:val="008B6C72"/>
    <w:rsid w:val="008B7391"/>
    <w:rsid w:val="008B7475"/>
    <w:rsid w:val="008B7E4E"/>
    <w:rsid w:val="008B7FD0"/>
    <w:rsid w:val="008C0407"/>
    <w:rsid w:val="008C07FC"/>
    <w:rsid w:val="008C0ECD"/>
    <w:rsid w:val="008C28A8"/>
    <w:rsid w:val="008C357B"/>
    <w:rsid w:val="008C3947"/>
    <w:rsid w:val="008C3D7A"/>
    <w:rsid w:val="008C3EE7"/>
    <w:rsid w:val="008C3FC2"/>
    <w:rsid w:val="008C4967"/>
    <w:rsid w:val="008C49DB"/>
    <w:rsid w:val="008C50AE"/>
    <w:rsid w:val="008C6C30"/>
    <w:rsid w:val="008C7306"/>
    <w:rsid w:val="008C75DD"/>
    <w:rsid w:val="008C7E85"/>
    <w:rsid w:val="008D1128"/>
    <w:rsid w:val="008D15B6"/>
    <w:rsid w:val="008D1A37"/>
    <w:rsid w:val="008D1B25"/>
    <w:rsid w:val="008D203D"/>
    <w:rsid w:val="008D2851"/>
    <w:rsid w:val="008D2B19"/>
    <w:rsid w:val="008D2F65"/>
    <w:rsid w:val="008D35C9"/>
    <w:rsid w:val="008D416D"/>
    <w:rsid w:val="008D474E"/>
    <w:rsid w:val="008D51AF"/>
    <w:rsid w:val="008D5B97"/>
    <w:rsid w:val="008D6355"/>
    <w:rsid w:val="008D639A"/>
    <w:rsid w:val="008D6660"/>
    <w:rsid w:val="008D6E0B"/>
    <w:rsid w:val="008D6EA8"/>
    <w:rsid w:val="008D6FDB"/>
    <w:rsid w:val="008D73CD"/>
    <w:rsid w:val="008D77F6"/>
    <w:rsid w:val="008D7879"/>
    <w:rsid w:val="008D7D4B"/>
    <w:rsid w:val="008E05B8"/>
    <w:rsid w:val="008E0C54"/>
    <w:rsid w:val="008E1079"/>
    <w:rsid w:val="008E11AF"/>
    <w:rsid w:val="008E11C6"/>
    <w:rsid w:val="008E12E2"/>
    <w:rsid w:val="008E1C37"/>
    <w:rsid w:val="008E25A1"/>
    <w:rsid w:val="008E2658"/>
    <w:rsid w:val="008E2A8D"/>
    <w:rsid w:val="008E2AF8"/>
    <w:rsid w:val="008E3063"/>
    <w:rsid w:val="008E3586"/>
    <w:rsid w:val="008E3895"/>
    <w:rsid w:val="008E38D3"/>
    <w:rsid w:val="008E4E78"/>
    <w:rsid w:val="008E4FDF"/>
    <w:rsid w:val="008E5CEA"/>
    <w:rsid w:val="008E5FC9"/>
    <w:rsid w:val="008E6933"/>
    <w:rsid w:val="008E6DE2"/>
    <w:rsid w:val="008E721A"/>
    <w:rsid w:val="008E72A6"/>
    <w:rsid w:val="008E740F"/>
    <w:rsid w:val="008E7C62"/>
    <w:rsid w:val="008F03F1"/>
    <w:rsid w:val="008F0440"/>
    <w:rsid w:val="008F0743"/>
    <w:rsid w:val="008F0F22"/>
    <w:rsid w:val="008F0FED"/>
    <w:rsid w:val="008F156E"/>
    <w:rsid w:val="008F1BB3"/>
    <w:rsid w:val="008F1C1F"/>
    <w:rsid w:val="008F1D9C"/>
    <w:rsid w:val="008F3011"/>
    <w:rsid w:val="008F3050"/>
    <w:rsid w:val="008F3222"/>
    <w:rsid w:val="008F3242"/>
    <w:rsid w:val="008F3930"/>
    <w:rsid w:val="008F3AF7"/>
    <w:rsid w:val="008F3B16"/>
    <w:rsid w:val="008F3B3C"/>
    <w:rsid w:val="008F40DE"/>
    <w:rsid w:val="008F4252"/>
    <w:rsid w:val="008F4643"/>
    <w:rsid w:val="008F4EF8"/>
    <w:rsid w:val="008F5643"/>
    <w:rsid w:val="008F5FC6"/>
    <w:rsid w:val="008F6179"/>
    <w:rsid w:val="008F624C"/>
    <w:rsid w:val="008F6A3F"/>
    <w:rsid w:val="008F6B91"/>
    <w:rsid w:val="008F6DC9"/>
    <w:rsid w:val="008F702A"/>
    <w:rsid w:val="008F7392"/>
    <w:rsid w:val="008F7594"/>
    <w:rsid w:val="008F7675"/>
    <w:rsid w:val="00900673"/>
    <w:rsid w:val="00901336"/>
    <w:rsid w:val="00901817"/>
    <w:rsid w:val="00901FDE"/>
    <w:rsid w:val="00902378"/>
    <w:rsid w:val="009028FF"/>
    <w:rsid w:val="00902FA0"/>
    <w:rsid w:val="00902FF5"/>
    <w:rsid w:val="00903558"/>
    <w:rsid w:val="00903B75"/>
    <w:rsid w:val="00903D9A"/>
    <w:rsid w:val="0090425D"/>
    <w:rsid w:val="00904367"/>
    <w:rsid w:val="0090468F"/>
    <w:rsid w:val="0090569D"/>
    <w:rsid w:val="00905828"/>
    <w:rsid w:val="00905849"/>
    <w:rsid w:val="00905EDC"/>
    <w:rsid w:val="009061B5"/>
    <w:rsid w:val="009067FA"/>
    <w:rsid w:val="00906965"/>
    <w:rsid w:val="00906AB7"/>
    <w:rsid w:val="009075E9"/>
    <w:rsid w:val="00907891"/>
    <w:rsid w:val="009078E8"/>
    <w:rsid w:val="00907D35"/>
    <w:rsid w:val="00910A82"/>
    <w:rsid w:val="00910E11"/>
    <w:rsid w:val="00911045"/>
    <w:rsid w:val="00911113"/>
    <w:rsid w:val="0091116E"/>
    <w:rsid w:val="00911A5C"/>
    <w:rsid w:val="00911C75"/>
    <w:rsid w:val="0091234C"/>
    <w:rsid w:val="009125A5"/>
    <w:rsid w:val="00912A62"/>
    <w:rsid w:val="00912C45"/>
    <w:rsid w:val="00913C03"/>
    <w:rsid w:val="00913D1A"/>
    <w:rsid w:val="0091467F"/>
    <w:rsid w:val="00915692"/>
    <w:rsid w:val="00915807"/>
    <w:rsid w:val="009158DD"/>
    <w:rsid w:val="00915A7A"/>
    <w:rsid w:val="00915AC8"/>
    <w:rsid w:val="0091663A"/>
    <w:rsid w:val="00916923"/>
    <w:rsid w:val="009173FF"/>
    <w:rsid w:val="00920488"/>
    <w:rsid w:val="00920727"/>
    <w:rsid w:val="0092190E"/>
    <w:rsid w:val="0092203F"/>
    <w:rsid w:val="0092248D"/>
    <w:rsid w:val="009226C1"/>
    <w:rsid w:val="00922A0C"/>
    <w:rsid w:val="00922C3C"/>
    <w:rsid w:val="00922ECC"/>
    <w:rsid w:val="0092335C"/>
    <w:rsid w:val="00923C17"/>
    <w:rsid w:val="00924372"/>
    <w:rsid w:val="00924494"/>
    <w:rsid w:val="00924D41"/>
    <w:rsid w:val="00924D50"/>
    <w:rsid w:val="00924D75"/>
    <w:rsid w:val="0092535E"/>
    <w:rsid w:val="009264F2"/>
    <w:rsid w:val="009265F3"/>
    <w:rsid w:val="009268AE"/>
    <w:rsid w:val="00926DA3"/>
    <w:rsid w:val="00926E55"/>
    <w:rsid w:val="009272D7"/>
    <w:rsid w:val="00927308"/>
    <w:rsid w:val="0092777B"/>
    <w:rsid w:val="00930BF0"/>
    <w:rsid w:val="00932521"/>
    <w:rsid w:val="00932B19"/>
    <w:rsid w:val="00932B9C"/>
    <w:rsid w:val="00932F11"/>
    <w:rsid w:val="00932F3B"/>
    <w:rsid w:val="00932F97"/>
    <w:rsid w:val="00933906"/>
    <w:rsid w:val="00933A1D"/>
    <w:rsid w:val="009340A9"/>
    <w:rsid w:val="00934822"/>
    <w:rsid w:val="0093519D"/>
    <w:rsid w:val="00935752"/>
    <w:rsid w:val="0093575B"/>
    <w:rsid w:val="00935A6B"/>
    <w:rsid w:val="009364FA"/>
    <w:rsid w:val="009368F5"/>
    <w:rsid w:val="009376DF"/>
    <w:rsid w:val="00937F78"/>
    <w:rsid w:val="00940343"/>
    <w:rsid w:val="009408F3"/>
    <w:rsid w:val="00940A46"/>
    <w:rsid w:val="009412DD"/>
    <w:rsid w:val="00941586"/>
    <w:rsid w:val="00941682"/>
    <w:rsid w:val="00941D58"/>
    <w:rsid w:val="00942585"/>
    <w:rsid w:val="00942B4C"/>
    <w:rsid w:val="00942F00"/>
    <w:rsid w:val="00942F53"/>
    <w:rsid w:val="0094303B"/>
    <w:rsid w:val="00943170"/>
    <w:rsid w:val="0094369E"/>
    <w:rsid w:val="009447CE"/>
    <w:rsid w:val="00944805"/>
    <w:rsid w:val="009459DD"/>
    <w:rsid w:val="00945B2E"/>
    <w:rsid w:val="00946116"/>
    <w:rsid w:val="009461E2"/>
    <w:rsid w:val="009464A3"/>
    <w:rsid w:val="00946585"/>
    <w:rsid w:val="00947743"/>
    <w:rsid w:val="00947765"/>
    <w:rsid w:val="00947AA4"/>
    <w:rsid w:val="00947FAC"/>
    <w:rsid w:val="00950BBA"/>
    <w:rsid w:val="00951461"/>
    <w:rsid w:val="009516F7"/>
    <w:rsid w:val="00952BDE"/>
    <w:rsid w:val="00953AE5"/>
    <w:rsid w:val="009544D4"/>
    <w:rsid w:val="009548DE"/>
    <w:rsid w:val="00954BE0"/>
    <w:rsid w:val="00954E76"/>
    <w:rsid w:val="009551CF"/>
    <w:rsid w:val="0095551F"/>
    <w:rsid w:val="0095561B"/>
    <w:rsid w:val="0095577F"/>
    <w:rsid w:val="00955CDF"/>
    <w:rsid w:val="00955E6A"/>
    <w:rsid w:val="009560E7"/>
    <w:rsid w:val="009561BF"/>
    <w:rsid w:val="00956745"/>
    <w:rsid w:val="009568AB"/>
    <w:rsid w:val="00957D45"/>
    <w:rsid w:val="00957F8C"/>
    <w:rsid w:val="009604E4"/>
    <w:rsid w:val="00960B02"/>
    <w:rsid w:val="00961083"/>
    <w:rsid w:val="0096136B"/>
    <w:rsid w:val="00961ACE"/>
    <w:rsid w:val="00961B5E"/>
    <w:rsid w:val="00961DC1"/>
    <w:rsid w:val="00962877"/>
    <w:rsid w:val="00962F3F"/>
    <w:rsid w:val="009636CD"/>
    <w:rsid w:val="009636DE"/>
    <w:rsid w:val="009639C0"/>
    <w:rsid w:val="00964244"/>
    <w:rsid w:val="009648A0"/>
    <w:rsid w:val="00965203"/>
    <w:rsid w:val="0096576D"/>
    <w:rsid w:val="009662DC"/>
    <w:rsid w:val="0096687A"/>
    <w:rsid w:val="009702B8"/>
    <w:rsid w:val="00970AD0"/>
    <w:rsid w:val="009710E3"/>
    <w:rsid w:val="00971470"/>
    <w:rsid w:val="009714FC"/>
    <w:rsid w:val="009722AB"/>
    <w:rsid w:val="009728FC"/>
    <w:rsid w:val="00972A7E"/>
    <w:rsid w:val="009730A6"/>
    <w:rsid w:val="0097435C"/>
    <w:rsid w:val="009743EE"/>
    <w:rsid w:val="00974672"/>
    <w:rsid w:val="009746AF"/>
    <w:rsid w:val="00974944"/>
    <w:rsid w:val="0097510D"/>
    <w:rsid w:val="00975905"/>
    <w:rsid w:val="0097596C"/>
    <w:rsid w:val="00976350"/>
    <w:rsid w:val="0097653D"/>
    <w:rsid w:val="0097677E"/>
    <w:rsid w:val="00976A31"/>
    <w:rsid w:val="00976D28"/>
    <w:rsid w:val="00977016"/>
    <w:rsid w:val="00977389"/>
    <w:rsid w:val="009806D8"/>
    <w:rsid w:val="00981A35"/>
    <w:rsid w:val="00982120"/>
    <w:rsid w:val="009822A0"/>
    <w:rsid w:val="00982317"/>
    <w:rsid w:val="009823D3"/>
    <w:rsid w:val="00982904"/>
    <w:rsid w:val="0098298C"/>
    <w:rsid w:val="0098299B"/>
    <w:rsid w:val="00982D85"/>
    <w:rsid w:val="00982E3A"/>
    <w:rsid w:val="0098392C"/>
    <w:rsid w:val="00984377"/>
    <w:rsid w:val="009845F4"/>
    <w:rsid w:val="00984B48"/>
    <w:rsid w:val="009853F0"/>
    <w:rsid w:val="00985508"/>
    <w:rsid w:val="009856B2"/>
    <w:rsid w:val="00985EA6"/>
    <w:rsid w:val="00985FC7"/>
    <w:rsid w:val="00986590"/>
    <w:rsid w:val="009869AC"/>
    <w:rsid w:val="0098730B"/>
    <w:rsid w:val="00987634"/>
    <w:rsid w:val="00987E9E"/>
    <w:rsid w:val="0099022B"/>
    <w:rsid w:val="00990251"/>
    <w:rsid w:val="0099043B"/>
    <w:rsid w:val="00990513"/>
    <w:rsid w:val="00990AB5"/>
    <w:rsid w:val="00991215"/>
    <w:rsid w:val="009913FB"/>
    <w:rsid w:val="00992902"/>
    <w:rsid w:val="00992A8C"/>
    <w:rsid w:val="00993814"/>
    <w:rsid w:val="00993AC5"/>
    <w:rsid w:val="00994726"/>
    <w:rsid w:val="00995877"/>
    <w:rsid w:val="00995B0E"/>
    <w:rsid w:val="00996AF8"/>
    <w:rsid w:val="0099711F"/>
    <w:rsid w:val="00997AA5"/>
    <w:rsid w:val="009A03F0"/>
    <w:rsid w:val="009A04BF"/>
    <w:rsid w:val="009A0515"/>
    <w:rsid w:val="009A0911"/>
    <w:rsid w:val="009A1144"/>
    <w:rsid w:val="009A1152"/>
    <w:rsid w:val="009A12D7"/>
    <w:rsid w:val="009A1C6F"/>
    <w:rsid w:val="009A290B"/>
    <w:rsid w:val="009A2EF4"/>
    <w:rsid w:val="009A315B"/>
    <w:rsid w:val="009A3275"/>
    <w:rsid w:val="009A3F1A"/>
    <w:rsid w:val="009A417C"/>
    <w:rsid w:val="009A44B7"/>
    <w:rsid w:val="009A4728"/>
    <w:rsid w:val="009A492C"/>
    <w:rsid w:val="009A5F08"/>
    <w:rsid w:val="009A728E"/>
    <w:rsid w:val="009A740A"/>
    <w:rsid w:val="009A7822"/>
    <w:rsid w:val="009A7C5E"/>
    <w:rsid w:val="009B0745"/>
    <w:rsid w:val="009B07ED"/>
    <w:rsid w:val="009B0C7B"/>
    <w:rsid w:val="009B1182"/>
    <w:rsid w:val="009B1752"/>
    <w:rsid w:val="009B17A6"/>
    <w:rsid w:val="009B1AAC"/>
    <w:rsid w:val="009B1AB0"/>
    <w:rsid w:val="009B252D"/>
    <w:rsid w:val="009B2CB3"/>
    <w:rsid w:val="009B2F82"/>
    <w:rsid w:val="009B3888"/>
    <w:rsid w:val="009B3A5E"/>
    <w:rsid w:val="009B5DEA"/>
    <w:rsid w:val="009B608C"/>
    <w:rsid w:val="009B61D3"/>
    <w:rsid w:val="009B65AC"/>
    <w:rsid w:val="009B65F1"/>
    <w:rsid w:val="009B6AAE"/>
    <w:rsid w:val="009B73BA"/>
    <w:rsid w:val="009B78D3"/>
    <w:rsid w:val="009C0108"/>
    <w:rsid w:val="009C097B"/>
    <w:rsid w:val="009C0B07"/>
    <w:rsid w:val="009C0BF1"/>
    <w:rsid w:val="009C1803"/>
    <w:rsid w:val="009C210C"/>
    <w:rsid w:val="009C272A"/>
    <w:rsid w:val="009C2F41"/>
    <w:rsid w:val="009C32BB"/>
    <w:rsid w:val="009C4C8B"/>
    <w:rsid w:val="009C515C"/>
    <w:rsid w:val="009C609F"/>
    <w:rsid w:val="009C7BE0"/>
    <w:rsid w:val="009D046A"/>
    <w:rsid w:val="009D0F05"/>
    <w:rsid w:val="009D13B1"/>
    <w:rsid w:val="009D147A"/>
    <w:rsid w:val="009D1D02"/>
    <w:rsid w:val="009D270F"/>
    <w:rsid w:val="009D2B24"/>
    <w:rsid w:val="009D2D8D"/>
    <w:rsid w:val="009D2FF3"/>
    <w:rsid w:val="009D3CFF"/>
    <w:rsid w:val="009D472F"/>
    <w:rsid w:val="009D4F54"/>
    <w:rsid w:val="009D50AB"/>
    <w:rsid w:val="009D510A"/>
    <w:rsid w:val="009D5856"/>
    <w:rsid w:val="009D5B3A"/>
    <w:rsid w:val="009D5D24"/>
    <w:rsid w:val="009D5F16"/>
    <w:rsid w:val="009D6A5A"/>
    <w:rsid w:val="009D6E7F"/>
    <w:rsid w:val="009D74C3"/>
    <w:rsid w:val="009E02E1"/>
    <w:rsid w:val="009E06B6"/>
    <w:rsid w:val="009E0875"/>
    <w:rsid w:val="009E0947"/>
    <w:rsid w:val="009E0CC8"/>
    <w:rsid w:val="009E0CF7"/>
    <w:rsid w:val="009E10F0"/>
    <w:rsid w:val="009E11E7"/>
    <w:rsid w:val="009E180A"/>
    <w:rsid w:val="009E1C70"/>
    <w:rsid w:val="009E1D94"/>
    <w:rsid w:val="009E1F48"/>
    <w:rsid w:val="009E21C8"/>
    <w:rsid w:val="009E2B47"/>
    <w:rsid w:val="009E2E84"/>
    <w:rsid w:val="009E33E2"/>
    <w:rsid w:val="009E3ADA"/>
    <w:rsid w:val="009E43C6"/>
    <w:rsid w:val="009E456B"/>
    <w:rsid w:val="009E48E1"/>
    <w:rsid w:val="009E4988"/>
    <w:rsid w:val="009E4E1E"/>
    <w:rsid w:val="009E6755"/>
    <w:rsid w:val="009E70A8"/>
    <w:rsid w:val="009E7315"/>
    <w:rsid w:val="009E7D24"/>
    <w:rsid w:val="009F031F"/>
    <w:rsid w:val="009F0342"/>
    <w:rsid w:val="009F0B97"/>
    <w:rsid w:val="009F1066"/>
    <w:rsid w:val="009F21C3"/>
    <w:rsid w:val="009F246C"/>
    <w:rsid w:val="009F285B"/>
    <w:rsid w:val="009F2945"/>
    <w:rsid w:val="009F2B89"/>
    <w:rsid w:val="009F2C36"/>
    <w:rsid w:val="009F2CC3"/>
    <w:rsid w:val="009F2F2E"/>
    <w:rsid w:val="009F2F38"/>
    <w:rsid w:val="009F4C44"/>
    <w:rsid w:val="009F4D3B"/>
    <w:rsid w:val="009F4DDE"/>
    <w:rsid w:val="009F4F23"/>
    <w:rsid w:val="009F4FBB"/>
    <w:rsid w:val="009F52FC"/>
    <w:rsid w:val="009F613B"/>
    <w:rsid w:val="009F764F"/>
    <w:rsid w:val="009F7ACB"/>
    <w:rsid w:val="00A0083D"/>
    <w:rsid w:val="00A01446"/>
    <w:rsid w:val="00A02541"/>
    <w:rsid w:val="00A0367A"/>
    <w:rsid w:val="00A03E59"/>
    <w:rsid w:val="00A05378"/>
    <w:rsid w:val="00A055C3"/>
    <w:rsid w:val="00A05B81"/>
    <w:rsid w:val="00A05BDD"/>
    <w:rsid w:val="00A0623A"/>
    <w:rsid w:val="00A06C2F"/>
    <w:rsid w:val="00A06DA4"/>
    <w:rsid w:val="00A0714E"/>
    <w:rsid w:val="00A10FEB"/>
    <w:rsid w:val="00A119C1"/>
    <w:rsid w:val="00A11BC2"/>
    <w:rsid w:val="00A12825"/>
    <w:rsid w:val="00A13162"/>
    <w:rsid w:val="00A131A3"/>
    <w:rsid w:val="00A13F5D"/>
    <w:rsid w:val="00A1401F"/>
    <w:rsid w:val="00A15963"/>
    <w:rsid w:val="00A15E73"/>
    <w:rsid w:val="00A16279"/>
    <w:rsid w:val="00A162D0"/>
    <w:rsid w:val="00A17321"/>
    <w:rsid w:val="00A1769C"/>
    <w:rsid w:val="00A17987"/>
    <w:rsid w:val="00A202D1"/>
    <w:rsid w:val="00A203BE"/>
    <w:rsid w:val="00A20681"/>
    <w:rsid w:val="00A2072D"/>
    <w:rsid w:val="00A21B87"/>
    <w:rsid w:val="00A21FD9"/>
    <w:rsid w:val="00A23169"/>
    <w:rsid w:val="00A2397F"/>
    <w:rsid w:val="00A2431B"/>
    <w:rsid w:val="00A25E09"/>
    <w:rsid w:val="00A26369"/>
    <w:rsid w:val="00A26468"/>
    <w:rsid w:val="00A26711"/>
    <w:rsid w:val="00A2673C"/>
    <w:rsid w:val="00A26C0D"/>
    <w:rsid w:val="00A328C0"/>
    <w:rsid w:val="00A32BDD"/>
    <w:rsid w:val="00A33659"/>
    <w:rsid w:val="00A33663"/>
    <w:rsid w:val="00A33AF8"/>
    <w:rsid w:val="00A33B0D"/>
    <w:rsid w:val="00A33E35"/>
    <w:rsid w:val="00A3423D"/>
    <w:rsid w:val="00A3442B"/>
    <w:rsid w:val="00A348E7"/>
    <w:rsid w:val="00A34E09"/>
    <w:rsid w:val="00A357A1"/>
    <w:rsid w:val="00A36DE2"/>
    <w:rsid w:val="00A36F48"/>
    <w:rsid w:val="00A3766B"/>
    <w:rsid w:val="00A37A10"/>
    <w:rsid w:val="00A37F81"/>
    <w:rsid w:val="00A40745"/>
    <w:rsid w:val="00A40AE4"/>
    <w:rsid w:val="00A421C0"/>
    <w:rsid w:val="00A426D3"/>
    <w:rsid w:val="00A42944"/>
    <w:rsid w:val="00A42EF0"/>
    <w:rsid w:val="00A4333A"/>
    <w:rsid w:val="00A43E6A"/>
    <w:rsid w:val="00A4557A"/>
    <w:rsid w:val="00A45FAB"/>
    <w:rsid w:val="00A4603E"/>
    <w:rsid w:val="00A4638A"/>
    <w:rsid w:val="00A46661"/>
    <w:rsid w:val="00A4698E"/>
    <w:rsid w:val="00A47B5F"/>
    <w:rsid w:val="00A50056"/>
    <w:rsid w:val="00A500C2"/>
    <w:rsid w:val="00A50293"/>
    <w:rsid w:val="00A507D8"/>
    <w:rsid w:val="00A511DA"/>
    <w:rsid w:val="00A51E55"/>
    <w:rsid w:val="00A520BE"/>
    <w:rsid w:val="00A52136"/>
    <w:rsid w:val="00A52C43"/>
    <w:rsid w:val="00A5309E"/>
    <w:rsid w:val="00A539EC"/>
    <w:rsid w:val="00A54AD6"/>
    <w:rsid w:val="00A54AEE"/>
    <w:rsid w:val="00A55FAB"/>
    <w:rsid w:val="00A55FF5"/>
    <w:rsid w:val="00A563DC"/>
    <w:rsid w:val="00A569FE"/>
    <w:rsid w:val="00A56A5F"/>
    <w:rsid w:val="00A56C30"/>
    <w:rsid w:val="00A60623"/>
    <w:rsid w:val="00A609D0"/>
    <w:rsid w:val="00A60A63"/>
    <w:rsid w:val="00A61084"/>
    <w:rsid w:val="00A610FA"/>
    <w:rsid w:val="00A61401"/>
    <w:rsid w:val="00A6146E"/>
    <w:rsid w:val="00A6150A"/>
    <w:rsid w:val="00A61538"/>
    <w:rsid w:val="00A6256B"/>
    <w:rsid w:val="00A62BBE"/>
    <w:rsid w:val="00A6394E"/>
    <w:rsid w:val="00A639CA"/>
    <w:rsid w:val="00A63D47"/>
    <w:rsid w:val="00A64780"/>
    <w:rsid w:val="00A64988"/>
    <w:rsid w:val="00A64E7F"/>
    <w:rsid w:val="00A65308"/>
    <w:rsid w:val="00A6593F"/>
    <w:rsid w:val="00A65AED"/>
    <w:rsid w:val="00A6610F"/>
    <w:rsid w:val="00A66203"/>
    <w:rsid w:val="00A6683C"/>
    <w:rsid w:val="00A66A30"/>
    <w:rsid w:val="00A66D49"/>
    <w:rsid w:val="00A66F4C"/>
    <w:rsid w:val="00A67517"/>
    <w:rsid w:val="00A67909"/>
    <w:rsid w:val="00A67B02"/>
    <w:rsid w:val="00A67B82"/>
    <w:rsid w:val="00A67F47"/>
    <w:rsid w:val="00A70C8E"/>
    <w:rsid w:val="00A70D2A"/>
    <w:rsid w:val="00A71C76"/>
    <w:rsid w:val="00A71E95"/>
    <w:rsid w:val="00A71FE6"/>
    <w:rsid w:val="00A73221"/>
    <w:rsid w:val="00A73C48"/>
    <w:rsid w:val="00A7409F"/>
    <w:rsid w:val="00A746BB"/>
    <w:rsid w:val="00A74956"/>
    <w:rsid w:val="00A74AB1"/>
    <w:rsid w:val="00A757A3"/>
    <w:rsid w:val="00A802A3"/>
    <w:rsid w:val="00A8033F"/>
    <w:rsid w:val="00A81729"/>
    <w:rsid w:val="00A82B71"/>
    <w:rsid w:val="00A82B9F"/>
    <w:rsid w:val="00A83177"/>
    <w:rsid w:val="00A837D3"/>
    <w:rsid w:val="00A839D7"/>
    <w:rsid w:val="00A841BF"/>
    <w:rsid w:val="00A84A93"/>
    <w:rsid w:val="00A85221"/>
    <w:rsid w:val="00A855EF"/>
    <w:rsid w:val="00A858B8"/>
    <w:rsid w:val="00A859E9"/>
    <w:rsid w:val="00A85A5C"/>
    <w:rsid w:val="00A86035"/>
    <w:rsid w:val="00A86CAB"/>
    <w:rsid w:val="00A87834"/>
    <w:rsid w:val="00A9016D"/>
    <w:rsid w:val="00A90F43"/>
    <w:rsid w:val="00A910B5"/>
    <w:rsid w:val="00A91C87"/>
    <w:rsid w:val="00A91E8B"/>
    <w:rsid w:val="00A92106"/>
    <w:rsid w:val="00A921FD"/>
    <w:rsid w:val="00A9366D"/>
    <w:rsid w:val="00A937F5"/>
    <w:rsid w:val="00A93B93"/>
    <w:rsid w:val="00A940F9"/>
    <w:rsid w:val="00A94B8B"/>
    <w:rsid w:val="00A94E41"/>
    <w:rsid w:val="00A94FD1"/>
    <w:rsid w:val="00A9545F"/>
    <w:rsid w:val="00A95772"/>
    <w:rsid w:val="00A959B5"/>
    <w:rsid w:val="00A95C50"/>
    <w:rsid w:val="00A97396"/>
    <w:rsid w:val="00A97653"/>
    <w:rsid w:val="00A9771B"/>
    <w:rsid w:val="00A97741"/>
    <w:rsid w:val="00A97B0D"/>
    <w:rsid w:val="00AA046F"/>
    <w:rsid w:val="00AA04C3"/>
    <w:rsid w:val="00AA0554"/>
    <w:rsid w:val="00AA25FF"/>
    <w:rsid w:val="00AA34BB"/>
    <w:rsid w:val="00AA3BF0"/>
    <w:rsid w:val="00AA45E8"/>
    <w:rsid w:val="00AA4691"/>
    <w:rsid w:val="00AA4843"/>
    <w:rsid w:val="00AA48A8"/>
    <w:rsid w:val="00AA4A96"/>
    <w:rsid w:val="00AA4CF8"/>
    <w:rsid w:val="00AA5017"/>
    <w:rsid w:val="00AA5629"/>
    <w:rsid w:val="00AA5C57"/>
    <w:rsid w:val="00AA6D3C"/>
    <w:rsid w:val="00AA6E8F"/>
    <w:rsid w:val="00AA7446"/>
    <w:rsid w:val="00AA7E42"/>
    <w:rsid w:val="00AB1201"/>
    <w:rsid w:val="00AB15C2"/>
    <w:rsid w:val="00AB16A2"/>
    <w:rsid w:val="00AB186B"/>
    <w:rsid w:val="00AB1E84"/>
    <w:rsid w:val="00AB20D5"/>
    <w:rsid w:val="00AB21F0"/>
    <w:rsid w:val="00AB25A3"/>
    <w:rsid w:val="00AB2952"/>
    <w:rsid w:val="00AB2BCC"/>
    <w:rsid w:val="00AB34EA"/>
    <w:rsid w:val="00AB39CA"/>
    <w:rsid w:val="00AB3E46"/>
    <w:rsid w:val="00AB4991"/>
    <w:rsid w:val="00AB4D7A"/>
    <w:rsid w:val="00AB57FA"/>
    <w:rsid w:val="00AB60B6"/>
    <w:rsid w:val="00AB7254"/>
    <w:rsid w:val="00AB74D0"/>
    <w:rsid w:val="00AB765A"/>
    <w:rsid w:val="00AB7C3F"/>
    <w:rsid w:val="00AC05F1"/>
    <w:rsid w:val="00AC0860"/>
    <w:rsid w:val="00AC18AB"/>
    <w:rsid w:val="00AC1D3E"/>
    <w:rsid w:val="00AC1E94"/>
    <w:rsid w:val="00AC243E"/>
    <w:rsid w:val="00AC271C"/>
    <w:rsid w:val="00AC2994"/>
    <w:rsid w:val="00AC2C87"/>
    <w:rsid w:val="00AC32EC"/>
    <w:rsid w:val="00AC3F8E"/>
    <w:rsid w:val="00AC41DB"/>
    <w:rsid w:val="00AC43C2"/>
    <w:rsid w:val="00AC477D"/>
    <w:rsid w:val="00AC4D1A"/>
    <w:rsid w:val="00AC4D69"/>
    <w:rsid w:val="00AC553E"/>
    <w:rsid w:val="00AC5E67"/>
    <w:rsid w:val="00AC6780"/>
    <w:rsid w:val="00AC70B2"/>
    <w:rsid w:val="00AC78FC"/>
    <w:rsid w:val="00AC7A3B"/>
    <w:rsid w:val="00AC7CF2"/>
    <w:rsid w:val="00AD0340"/>
    <w:rsid w:val="00AD0441"/>
    <w:rsid w:val="00AD08E6"/>
    <w:rsid w:val="00AD1B6A"/>
    <w:rsid w:val="00AD1B76"/>
    <w:rsid w:val="00AD1C58"/>
    <w:rsid w:val="00AD203C"/>
    <w:rsid w:val="00AD2E18"/>
    <w:rsid w:val="00AD2F54"/>
    <w:rsid w:val="00AD3E56"/>
    <w:rsid w:val="00AD40E1"/>
    <w:rsid w:val="00AD43FC"/>
    <w:rsid w:val="00AD459A"/>
    <w:rsid w:val="00AD501E"/>
    <w:rsid w:val="00AD5084"/>
    <w:rsid w:val="00AD58B1"/>
    <w:rsid w:val="00AD5CB8"/>
    <w:rsid w:val="00AD69FC"/>
    <w:rsid w:val="00AD6A69"/>
    <w:rsid w:val="00AE018E"/>
    <w:rsid w:val="00AE0C6D"/>
    <w:rsid w:val="00AE0CFB"/>
    <w:rsid w:val="00AE0D6D"/>
    <w:rsid w:val="00AE1BA2"/>
    <w:rsid w:val="00AE2385"/>
    <w:rsid w:val="00AE23CA"/>
    <w:rsid w:val="00AE2444"/>
    <w:rsid w:val="00AE2596"/>
    <w:rsid w:val="00AE292E"/>
    <w:rsid w:val="00AE2A1F"/>
    <w:rsid w:val="00AE3072"/>
    <w:rsid w:val="00AE34FE"/>
    <w:rsid w:val="00AE353C"/>
    <w:rsid w:val="00AE4BC4"/>
    <w:rsid w:val="00AE4C9C"/>
    <w:rsid w:val="00AE4E5A"/>
    <w:rsid w:val="00AE50F1"/>
    <w:rsid w:val="00AE6A21"/>
    <w:rsid w:val="00AE6BC5"/>
    <w:rsid w:val="00AE764A"/>
    <w:rsid w:val="00AE7703"/>
    <w:rsid w:val="00AE7952"/>
    <w:rsid w:val="00AE7B30"/>
    <w:rsid w:val="00AF12C7"/>
    <w:rsid w:val="00AF251F"/>
    <w:rsid w:val="00AF2BFA"/>
    <w:rsid w:val="00AF337E"/>
    <w:rsid w:val="00AF3912"/>
    <w:rsid w:val="00AF43D1"/>
    <w:rsid w:val="00AF4872"/>
    <w:rsid w:val="00AF4EC5"/>
    <w:rsid w:val="00AF581B"/>
    <w:rsid w:val="00AF59D1"/>
    <w:rsid w:val="00AF59D3"/>
    <w:rsid w:val="00AF5B46"/>
    <w:rsid w:val="00AF5E4E"/>
    <w:rsid w:val="00AF634B"/>
    <w:rsid w:val="00AF69FA"/>
    <w:rsid w:val="00AF6C80"/>
    <w:rsid w:val="00AF6D37"/>
    <w:rsid w:val="00AF7B0A"/>
    <w:rsid w:val="00AF7D1C"/>
    <w:rsid w:val="00B01064"/>
    <w:rsid w:val="00B025CC"/>
    <w:rsid w:val="00B025D9"/>
    <w:rsid w:val="00B02963"/>
    <w:rsid w:val="00B0296E"/>
    <w:rsid w:val="00B02FAC"/>
    <w:rsid w:val="00B031B3"/>
    <w:rsid w:val="00B03936"/>
    <w:rsid w:val="00B0432E"/>
    <w:rsid w:val="00B0479C"/>
    <w:rsid w:val="00B048E0"/>
    <w:rsid w:val="00B0557F"/>
    <w:rsid w:val="00B05908"/>
    <w:rsid w:val="00B0594E"/>
    <w:rsid w:val="00B05CF1"/>
    <w:rsid w:val="00B05F81"/>
    <w:rsid w:val="00B06F38"/>
    <w:rsid w:val="00B07FBD"/>
    <w:rsid w:val="00B109C5"/>
    <w:rsid w:val="00B11595"/>
    <w:rsid w:val="00B118C9"/>
    <w:rsid w:val="00B11D6B"/>
    <w:rsid w:val="00B11D84"/>
    <w:rsid w:val="00B11ECB"/>
    <w:rsid w:val="00B11EED"/>
    <w:rsid w:val="00B13322"/>
    <w:rsid w:val="00B13423"/>
    <w:rsid w:val="00B137BA"/>
    <w:rsid w:val="00B13846"/>
    <w:rsid w:val="00B13E44"/>
    <w:rsid w:val="00B13FAE"/>
    <w:rsid w:val="00B1443D"/>
    <w:rsid w:val="00B1449D"/>
    <w:rsid w:val="00B14AD1"/>
    <w:rsid w:val="00B14D39"/>
    <w:rsid w:val="00B14E32"/>
    <w:rsid w:val="00B15939"/>
    <w:rsid w:val="00B15D16"/>
    <w:rsid w:val="00B168D1"/>
    <w:rsid w:val="00B16C0C"/>
    <w:rsid w:val="00B17620"/>
    <w:rsid w:val="00B17C43"/>
    <w:rsid w:val="00B21CA9"/>
    <w:rsid w:val="00B21EFE"/>
    <w:rsid w:val="00B23B06"/>
    <w:rsid w:val="00B24491"/>
    <w:rsid w:val="00B2464E"/>
    <w:rsid w:val="00B2465D"/>
    <w:rsid w:val="00B255ED"/>
    <w:rsid w:val="00B25C88"/>
    <w:rsid w:val="00B25CBB"/>
    <w:rsid w:val="00B262B8"/>
    <w:rsid w:val="00B273DB"/>
    <w:rsid w:val="00B275D5"/>
    <w:rsid w:val="00B27AB0"/>
    <w:rsid w:val="00B27B3B"/>
    <w:rsid w:val="00B27B40"/>
    <w:rsid w:val="00B30393"/>
    <w:rsid w:val="00B306ED"/>
    <w:rsid w:val="00B30841"/>
    <w:rsid w:val="00B30C9B"/>
    <w:rsid w:val="00B30D07"/>
    <w:rsid w:val="00B310CC"/>
    <w:rsid w:val="00B31210"/>
    <w:rsid w:val="00B3155B"/>
    <w:rsid w:val="00B316EF"/>
    <w:rsid w:val="00B31AF6"/>
    <w:rsid w:val="00B31D95"/>
    <w:rsid w:val="00B32E33"/>
    <w:rsid w:val="00B32FDF"/>
    <w:rsid w:val="00B3324B"/>
    <w:rsid w:val="00B3356D"/>
    <w:rsid w:val="00B335E2"/>
    <w:rsid w:val="00B33A3F"/>
    <w:rsid w:val="00B33DDF"/>
    <w:rsid w:val="00B34032"/>
    <w:rsid w:val="00B3476A"/>
    <w:rsid w:val="00B35A37"/>
    <w:rsid w:val="00B35CC1"/>
    <w:rsid w:val="00B35DA4"/>
    <w:rsid w:val="00B35FBD"/>
    <w:rsid w:val="00B36790"/>
    <w:rsid w:val="00B368FE"/>
    <w:rsid w:val="00B3698B"/>
    <w:rsid w:val="00B36A80"/>
    <w:rsid w:val="00B36F15"/>
    <w:rsid w:val="00B375A2"/>
    <w:rsid w:val="00B40972"/>
    <w:rsid w:val="00B40C86"/>
    <w:rsid w:val="00B41E05"/>
    <w:rsid w:val="00B423CA"/>
    <w:rsid w:val="00B423E2"/>
    <w:rsid w:val="00B431C3"/>
    <w:rsid w:val="00B432B9"/>
    <w:rsid w:val="00B4355D"/>
    <w:rsid w:val="00B4442B"/>
    <w:rsid w:val="00B4467E"/>
    <w:rsid w:val="00B44D12"/>
    <w:rsid w:val="00B44FC6"/>
    <w:rsid w:val="00B45CE3"/>
    <w:rsid w:val="00B45F15"/>
    <w:rsid w:val="00B4687B"/>
    <w:rsid w:val="00B46B66"/>
    <w:rsid w:val="00B46D99"/>
    <w:rsid w:val="00B4728F"/>
    <w:rsid w:val="00B47367"/>
    <w:rsid w:val="00B47B1F"/>
    <w:rsid w:val="00B51629"/>
    <w:rsid w:val="00B51F8C"/>
    <w:rsid w:val="00B520C4"/>
    <w:rsid w:val="00B5310D"/>
    <w:rsid w:val="00B53B33"/>
    <w:rsid w:val="00B541C6"/>
    <w:rsid w:val="00B54D95"/>
    <w:rsid w:val="00B55167"/>
    <w:rsid w:val="00B56EE2"/>
    <w:rsid w:val="00B57C07"/>
    <w:rsid w:val="00B57DF5"/>
    <w:rsid w:val="00B608C1"/>
    <w:rsid w:val="00B60A4F"/>
    <w:rsid w:val="00B6176D"/>
    <w:rsid w:val="00B618D4"/>
    <w:rsid w:val="00B61A40"/>
    <w:rsid w:val="00B61B9F"/>
    <w:rsid w:val="00B61D73"/>
    <w:rsid w:val="00B62917"/>
    <w:rsid w:val="00B63567"/>
    <w:rsid w:val="00B639BC"/>
    <w:rsid w:val="00B63A6A"/>
    <w:rsid w:val="00B63A7C"/>
    <w:rsid w:val="00B63CED"/>
    <w:rsid w:val="00B640A1"/>
    <w:rsid w:val="00B641C8"/>
    <w:rsid w:val="00B64985"/>
    <w:rsid w:val="00B64A4A"/>
    <w:rsid w:val="00B64B1D"/>
    <w:rsid w:val="00B64DF7"/>
    <w:rsid w:val="00B6513D"/>
    <w:rsid w:val="00B657D7"/>
    <w:rsid w:val="00B65804"/>
    <w:rsid w:val="00B65963"/>
    <w:rsid w:val="00B65A28"/>
    <w:rsid w:val="00B65D77"/>
    <w:rsid w:val="00B66960"/>
    <w:rsid w:val="00B66B15"/>
    <w:rsid w:val="00B66F12"/>
    <w:rsid w:val="00B67C1F"/>
    <w:rsid w:val="00B67CC0"/>
    <w:rsid w:val="00B702BC"/>
    <w:rsid w:val="00B70308"/>
    <w:rsid w:val="00B70632"/>
    <w:rsid w:val="00B70DD3"/>
    <w:rsid w:val="00B71938"/>
    <w:rsid w:val="00B730FF"/>
    <w:rsid w:val="00B740F4"/>
    <w:rsid w:val="00B74508"/>
    <w:rsid w:val="00B745B1"/>
    <w:rsid w:val="00B7541F"/>
    <w:rsid w:val="00B75903"/>
    <w:rsid w:val="00B75E07"/>
    <w:rsid w:val="00B76397"/>
    <w:rsid w:val="00B764C0"/>
    <w:rsid w:val="00B76976"/>
    <w:rsid w:val="00B76E59"/>
    <w:rsid w:val="00B77103"/>
    <w:rsid w:val="00B774EF"/>
    <w:rsid w:val="00B77573"/>
    <w:rsid w:val="00B77D8F"/>
    <w:rsid w:val="00B8005A"/>
    <w:rsid w:val="00B80D23"/>
    <w:rsid w:val="00B80D42"/>
    <w:rsid w:val="00B80DB7"/>
    <w:rsid w:val="00B81542"/>
    <w:rsid w:val="00B81A81"/>
    <w:rsid w:val="00B81E0C"/>
    <w:rsid w:val="00B82440"/>
    <w:rsid w:val="00B82A6B"/>
    <w:rsid w:val="00B82E9A"/>
    <w:rsid w:val="00B83562"/>
    <w:rsid w:val="00B83730"/>
    <w:rsid w:val="00B83EFD"/>
    <w:rsid w:val="00B8410B"/>
    <w:rsid w:val="00B8415C"/>
    <w:rsid w:val="00B8440A"/>
    <w:rsid w:val="00B84BE1"/>
    <w:rsid w:val="00B85277"/>
    <w:rsid w:val="00B852F9"/>
    <w:rsid w:val="00B86579"/>
    <w:rsid w:val="00B866EF"/>
    <w:rsid w:val="00B86A5D"/>
    <w:rsid w:val="00B86FC7"/>
    <w:rsid w:val="00B879B5"/>
    <w:rsid w:val="00B87C5A"/>
    <w:rsid w:val="00B9023E"/>
    <w:rsid w:val="00B90FA4"/>
    <w:rsid w:val="00B912B5"/>
    <w:rsid w:val="00B91B1C"/>
    <w:rsid w:val="00B92866"/>
    <w:rsid w:val="00B93A46"/>
    <w:rsid w:val="00B94325"/>
    <w:rsid w:val="00B946C8"/>
    <w:rsid w:val="00B94D8D"/>
    <w:rsid w:val="00B94E28"/>
    <w:rsid w:val="00B9590A"/>
    <w:rsid w:val="00B95C16"/>
    <w:rsid w:val="00B96618"/>
    <w:rsid w:val="00B96632"/>
    <w:rsid w:val="00BA071A"/>
    <w:rsid w:val="00BA0943"/>
    <w:rsid w:val="00BA1BF4"/>
    <w:rsid w:val="00BA3714"/>
    <w:rsid w:val="00BA3E91"/>
    <w:rsid w:val="00BA4C89"/>
    <w:rsid w:val="00BA4E88"/>
    <w:rsid w:val="00BA526B"/>
    <w:rsid w:val="00BA59A8"/>
    <w:rsid w:val="00BA6161"/>
    <w:rsid w:val="00BB032B"/>
    <w:rsid w:val="00BB0681"/>
    <w:rsid w:val="00BB0E57"/>
    <w:rsid w:val="00BB198E"/>
    <w:rsid w:val="00BB1AFE"/>
    <w:rsid w:val="00BB1CCD"/>
    <w:rsid w:val="00BB1E62"/>
    <w:rsid w:val="00BB2333"/>
    <w:rsid w:val="00BB24BD"/>
    <w:rsid w:val="00BB2A96"/>
    <w:rsid w:val="00BB2BA6"/>
    <w:rsid w:val="00BB3A24"/>
    <w:rsid w:val="00BB4032"/>
    <w:rsid w:val="00BB4A0C"/>
    <w:rsid w:val="00BB4BA5"/>
    <w:rsid w:val="00BB5451"/>
    <w:rsid w:val="00BB566C"/>
    <w:rsid w:val="00BB5759"/>
    <w:rsid w:val="00BB5772"/>
    <w:rsid w:val="00BB5A89"/>
    <w:rsid w:val="00BB5AF2"/>
    <w:rsid w:val="00BB649F"/>
    <w:rsid w:val="00BB6C9B"/>
    <w:rsid w:val="00BB7294"/>
    <w:rsid w:val="00BB77A2"/>
    <w:rsid w:val="00BB7916"/>
    <w:rsid w:val="00BC078C"/>
    <w:rsid w:val="00BC19F7"/>
    <w:rsid w:val="00BC1BF4"/>
    <w:rsid w:val="00BC1C9D"/>
    <w:rsid w:val="00BC2EFF"/>
    <w:rsid w:val="00BC4379"/>
    <w:rsid w:val="00BC46AD"/>
    <w:rsid w:val="00BC4FE4"/>
    <w:rsid w:val="00BC540D"/>
    <w:rsid w:val="00BC58B7"/>
    <w:rsid w:val="00BC643C"/>
    <w:rsid w:val="00BC6597"/>
    <w:rsid w:val="00BC66AC"/>
    <w:rsid w:val="00BC7679"/>
    <w:rsid w:val="00BC76FC"/>
    <w:rsid w:val="00BC7B9B"/>
    <w:rsid w:val="00BC7FE1"/>
    <w:rsid w:val="00BD1175"/>
    <w:rsid w:val="00BD1623"/>
    <w:rsid w:val="00BD1979"/>
    <w:rsid w:val="00BD2099"/>
    <w:rsid w:val="00BD2490"/>
    <w:rsid w:val="00BD2515"/>
    <w:rsid w:val="00BD29A5"/>
    <w:rsid w:val="00BD2A25"/>
    <w:rsid w:val="00BD362D"/>
    <w:rsid w:val="00BD3AA6"/>
    <w:rsid w:val="00BD486F"/>
    <w:rsid w:val="00BD4E96"/>
    <w:rsid w:val="00BD517B"/>
    <w:rsid w:val="00BD5437"/>
    <w:rsid w:val="00BD5624"/>
    <w:rsid w:val="00BD6186"/>
    <w:rsid w:val="00BD62F8"/>
    <w:rsid w:val="00BD736C"/>
    <w:rsid w:val="00BD7565"/>
    <w:rsid w:val="00BD767B"/>
    <w:rsid w:val="00BD7955"/>
    <w:rsid w:val="00BD7E40"/>
    <w:rsid w:val="00BE0039"/>
    <w:rsid w:val="00BE061E"/>
    <w:rsid w:val="00BE0B99"/>
    <w:rsid w:val="00BE1237"/>
    <w:rsid w:val="00BE1963"/>
    <w:rsid w:val="00BE1E64"/>
    <w:rsid w:val="00BE2FE5"/>
    <w:rsid w:val="00BE333C"/>
    <w:rsid w:val="00BE35D0"/>
    <w:rsid w:val="00BE3B4C"/>
    <w:rsid w:val="00BE3C5F"/>
    <w:rsid w:val="00BE40D7"/>
    <w:rsid w:val="00BE43C7"/>
    <w:rsid w:val="00BE498E"/>
    <w:rsid w:val="00BE5058"/>
    <w:rsid w:val="00BE5C49"/>
    <w:rsid w:val="00BE6EAD"/>
    <w:rsid w:val="00BE7037"/>
    <w:rsid w:val="00BE70C0"/>
    <w:rsid w:val="00BE7894"/>
    <w:rsid w:val="00BE7970"/>
    <w:rsid w:val="00BE7A08"/>
    <w:rsid w:val="00BE7CFA"/>
    <w:rsid w:val="00BE7EDA"/>
    <w:rsid w:val="00BF03BC"/>
    <w:rsid w:val="00BF03CF"/>
    <w:rsid w:val="00BF064A"/>
    <w:rsid w:val="00BF0715"/>
    <w:rsid w:val="00BF0766"/>
    <w:rsid w:val="00BF0D2A"/>
    <w:rsid w:val="00BF1876"/>
    <w:rsid w:val="00BF1897"/>
    <w:rsid w:val="00BF1A37"/>
    <w:rsid w:val="00BF2230"/>
    <w:rsid w:val="00BF261F"/>
    <w:rsid w:val="00BF26C9"/>
    <w:rsid w:val="00BF2AE5"/>
    <w:rsid w:val="00BF2DDB"/>
    <w:rsid w:val="00BF34B1"/>
    <w:rsid w:val="00BF3993"/>
    <w:rsid w:val="00BF4036"/>
    <w:rsid w:val="00BF4066"/>
    <w:rsid w:val="00BF499F"/>
    <w:rsid w:val="00BF4A1B"/>
    <w:rsid w:val="00BF4F5D"/>
    <w:rsid w:val="00BF64A9"/>
    <w:rsid w:val="00BF6AD8"/>
    <w:rsid w:val="00BF770F"/>
    <w:rsid w:val="00BF779D"/>
    <w:rsid w:val="00C00064"/>
    <w:rsid w:val="00C009C6"/>
    <w:rsid w:val="00C00A99"/>
    <w:rsid w:val="00C014A5"/>
    <w:rsid w:val="00C0165C"/>
    <w:rsid w:val="00C02635"/>
    <w:rsid w:val="00C0276E"/>
    <w:rsid w:val="00C04656"/>
    <w:rsid w:val="00C04EC3"/>
    <w:rsid w:val="00C05C4D"/>
    <w:rsid w:val="00C065EE"/>
    <w:rsid w:val="00C06646"/>
    <w:rsid w:val="00C06E67"/>
    <w:rsid w:val="00C06FF9"/>
    <w:rsid w:val="00C070EA"/>
    <w:rsid w:val="00C07CF6"/>
    <w:rsid w:val="00C1015E"/>
    <w:rsid w:val="00C103C0"/>
    <w:rsid w:val="00C10EA3"/>
    <w:rsid w:val="00C11057"/>
    <w:rsid w:val="00C1176A"/>
    <w:rsid w:val="00C11B95"/>
    <w:rsid w:val="00C11ECE"/>
    <w:rsid w:val="00C12335"/>
    <w:rsid w:val="00C12EAC"/>
    <w:rsid w:val="00C1376E"/>
    <w:rsid w:val="00C13A98"/>
    <w:rsid w:val="00C13ABF"/>
    <w:rsid w:val="00C14092"/>
    <w:rsid w:val="00C1468A"/>
    <w:rsid w:val="00C14BA4"/>
    <w:rsid w:val="00C1515A"/>
    <w:rsid w:val="00C1526A"/>
    <w:rsid w:val="00C1534B"/>
    <w:rsid w:val="00C154AF"/>
    <w:rsid w:val="00C1587A"/>
    <w:rsid w:val="00C15ADC"/>
    <w:rsid w:val="00C16944"/>
    <w:rsid w:val="00C17C4D"/>
    <w:rsid w:val="00C17F40"/>
    <w:rsid w:val="00C17F6D"/>
    <w:rsid w:val="00C207A1"/>
    <w:rsid w:val="00C20B6B"/>
    <w:rsid w:val="00C20C40"/>
    <w:rsid w:val="00C20FF0"/>
    <w:rsid w:val="00C21A5B"/>
    <w:rsid w:val="00C21BB4"/>
    <w:rsid w:val="00C21D74"/>
    <w:rsid w:val="00C22458"/>
    <w:rsid w:val="00C22B57"/>
    <w:rsid w:val="00C22B7F"/>
    <w:rsid w:val="00C22D47"/>
    <w:rsid w:val="00C23E00"/>
    <w:rsid w:val="00C23E0E"/>
    <w:rsid w:val="00C23E4B"/>
    <w:rsid w:val="00C24C45"/>
    <w:rsid w:val="00C2597A"/>
    <w:rsid w:val="00C25E58"/>
    <w:rsid w:val="00C25E80"/>
    <w:rsid w:val="00C26346"/>
    <w:rsid w:val="00C271B1"/>
    <w:rsid w:val="00C27289"/>
    <w:rsid w:val="00C27455"/>
    <w:rsid w:val="00C27690"/>
    <w:rsid w:val="00C27EFE"/>
    <w:rsid w:val="00C30883"/>
    <w:rsid w:val="00C310B9"/>
    <w:rsid w:val="00C312D3"/>
    <w:rsid w:val="00C31436"/>
    <w:rsid w:val="00C317D5"/>
    <w:rsid w:val="00C31872"/>
    <w:rsid w:val="00C31AC5"/>
    <w:rsid w:val="00C31DFC"/>
    <w:rsid w:val="00C31E36"/>
    <w:rsid w:val="00C3297D"/>
    <w:rsid w:val="00C33300"/>
    <w:rsid w:val="00C33333"/>
    <w:rsid w:val="00C333BF"/>
    <w:rsid w:val="00C337B4"/>
    <w:rsid w:val="00C33955"/>
    <w:rsid w:val="00C3413B"/>
    <w:rsid w:val="00C34340"/>
    <w:rsid w:val="00C349C6"/>
    <w:rsid w:val="00C35F0E"/>
    <w:rsid w:val="00C36925"/>
    <w:rsid w:val="00C36928"/>
    <w:rsid w:val="00C369FF"/>
    <w:rsid w:val="00C375D5"/>
    <w:rsid w:val="00C37895"/>
    <w:rsid w:val="00C379C0"/>
    <w:rsid w:val="00C37A85"/>
    <w:rsid w:val="00C37DD7"/>
    <w:rsid w:val="00C40013"/>
    <w:rsid w:val="00C40E78"/>
    <w:rsid w:val="00C413F3"/>
    <w:rsid w:val="00C41767"/>
    <w:rsid w:val="00C42921"/>
    <w:rsid w:val="00C4469B"/>
    <w:rsid w:val="00C44C3D"/>
    <w:rsid w:val="00C4506D"/>
    <w:rsid w:val="00C45125"/>
    <w:rsid w:val="00C4583F"/>
    <w:rsid w:val="00C458A4"/>
    <w:rsid w:val="00C45AB1"/>
    <w:rsid w:val="00C4601E"/>
    <w:rsid w:val="00C46083"/>
    <w:rsid w:val="00C46FF6"/>
    <w:rsid w:val="00C473F8"/>
    <w:rsid w:val="00C47BF6"/>
    <w:rsid w:val="00C47F52"/>
    <w:rsid w:val="00C50251"/>
    <w:rsid w:val="00C50619"/>
    <w:rsid w:val="00C50758"/>
    <w:rsid w:val="00C51049"/>
    <w:rsid w:val="00C51ABB"/>
    <w:rsid w:val="00C51F28"/>
    <w:rsid w:val="00C51FD3"/>
    <w:rsid w:val="00C523ED"/>
    <w:rsid w:val="00C52C8B"/>
    <w:rsid w:val="00C52ED6"/>
    <w:rsid w:val="00C53136"/>
    <w:rsid w:val="00C5335E"/>
    <w:rsid w:val="00C53876"/>
    <w:rsid w:val="00C53A73"/>
    <w:rsid w:val="00C53C28"/>
    <w:rsid w:val="00C54AE2"/>
    <w:rsid w:val="00C54E16"/>
    <w:rsid w:val="00C559D4"/>
    <w:rsid w:val="00C56D41"/>
    <w:rsid w:val="00C57826"/>
    <w:rsid w:val="00C57B20"/>
    <w:rsid w:val="00C57BF9"/>
    <w:rsid w:val="00C57E4E"/>
    <w:rsid w:val="00C57ECD"/>
    <w:rsid w:val="00C6053D"/>
    <w:rsid w:val="00C609A5"/>
    <w:rsid w:val="00C60A50"/>
    <w:rsid w:val="00C60BD6"/>
    <w:rsid w:val="00C61B26"/>
    <w:rsid w:val="00C62237"/>
    <w:rsid w:val="00C6244F"/>
    <w:rsid w:val="00C62818"/>
    <w:rsid w:val="00C62A61"/>
    <w:rsid w:val="00C645D8"/>
    <w:rsid w:val="00C6657E"/>
    <w:rsid w:val="00C66EFE"/>
    <w:rsid w:val="00C67BA2"/>
    <w:rsid w:val="00C7014D"/>
    <w:rsid w:val="00C71720"/>
    <w:rsid w:val="00C71D64"/>
    <w:rsid w:val="00C723F0"/>
    <w:rsid w:val="00C727A3"/>
    <w:rsid w:val="00C72875"/>
    <w:rsid w:val="00C72E36"/>
    <w:rsid w:val="00C72F38"/>
    <w:rsid w:val="00C733E9"/>
    <w:rsid w:val="00C7370B"/>
    <w:rsid w:val="00C7376A"/>
    <w:rsid w:val="00C7389F"/>
    <w:rsid w:val="00C738BA"/>
    <w:rsid w:val="00C745BA"/>
    <w:rsid w:val="00C756A0"/>
    <w:rsid w:val="00C75722"/>
    <w:rsid w:val="00C7644D"/>
    <w:rsid w:val="00C7759A"/>
    <w:rsid w:val="00C77B49"/>
    <w:rsid w:val="00C77FA1"/>
    <w:rsid w:val="00C80465"/>
    <w:rsid w:val="00C80554"/>
    <w:rsid w:val="00C8063C"/>
    <w:rsid w:val="00C806CC"/>
    <w:rsid w:val="00C80771"/>
    <w:rsid w:val="00C809B0"/>
    <w:rsid w:val="00C80EFE"/>
    <w:rsid w:val="00C80F88"/>
    <w:rsid w:val="00C816B0"/>
    <w:rsid w:val="00C818EB"/>
    <w:rsid w:val="00C819A8"/>
    <w:rsid w:val="00C82475"/>
    <w:rsid w:val="00C825D4"/>
    <w:rsid w:val="00C828C0"/>
    <w:rsid w:val="00C8299C"/>
    <w:rsid w:val="00C82BF6"/>
    <w:rsid w:val="00C84A41"/>
    <w:rsid w:val="00C84D4E"/>
    <w:rsid w:val="00C854A5"/>
    <w:rsid w:val="00C858C2"/>
    <w:rsid w:val="00C85BCB"/>
    <w:rsid w:val="00C86424"/>
    <w:rsid w:val="00C867AD"/>
    <w:rsid w:val="00C86EFE"/>
    <w:rsid w:val="00C90398"/>
    <w:rsid w:val="00C90609"/>
    <w:rsid w:val="00C90964"/>
    <w:rsid w:val="00C91440"/>
    <w:rsid w:val="00C91855"/>
    <w:rsid w:val="00C923B8"/>
    <w:rsid w:val="00C92693"/>
    <w:rsid w:val="00C9286E"/>
    <w:rsid w:val="00C928C9"/>
    <w:rsid w:val="00C92A27"/>
    <w:rsid w:val="00C92DD9"/>
    <w:rsid w:val="00C93A4B"/>
    <w:rsid w:val="00C93C03"/>
    <w:rsid w:val="00C94E83"/>
    <w:rsid w:val="00C95360"/>
    <w:rsid w:val="00C95907"/>
    <w:rsid w:val="00C95D4F"/>
    <w:rsid w:val="00C96665"/>
    <w:rsid w:val="00C96C47"/>
    <w:rsid w:val="00C96F2B"/>
    <w:rsid w:val="00C97641"/>
    <w:rsid w:val="00C97657"/>
    <w:rsid w:val="00C97E8C"/>
    <w:rsid w:val="00CA02B7"/>
    <w:rsid w:val="00CA02B9"/>
    <w:rsid w:val="00CA08CE"/>
    <w:rsid w:val="00CA0DA5"/>
    <w:rsid w:val="00CA1319"/>
    <w:rsid w:val="00CA16EC"/>
    <w:rsid w:val="00CA1B85"/>
    <w:rsid w:val="00CA2A47"/>
    <w:rsid w:val="00CA2B56"/>
    <w:rsid w:val="00CA2C12"/>
    <w:rsid w:val="00CA2FA8"/>
    <w:rsid w:val="00CA3616"/>
    <w:rsid w:val="00CA3C20"/>
    <w:rsid w:val="00CA3E2E"/>
    <w:rsid w:val="00CA5153"/>
    <w:rsid w:val="00CA516A"/>
    <w:rsid w:val="00CA5372"/>
    <w:rsid w:val="00CA5A0B"/>
    <w:rsid w:val="00CA6670"/>
    <w:rsid w:val="00CA6FD6"/>
    <w:rsid w:val="00CA7545"/>
    <w:rsid w:val="00CB126A"/>
    <w:rsid w:val="00CB14A6"/>
    <w:rsid w:val="00CB207F"/>
    <w:rsid w:val="00CB309D"/>
    <w:rsid w:val="00CB31FD"/>
    <w:rsid w:val="00CB5199"/>
    <w:rsid w:val="00CB590B"/>
    <w:rsid w:val="00CB5F38"/>
    <w:rsid w:val="00CB65D2"/>
    <w:rsid w:val="00CB699A"/>
    <w:rsid w:val="00CB7D5A"/>
    <w:rsid w:val="00CB7D64"/>
    <w:rsid w:val="00CC04C2"/>
    <w:rsid w:val="00CC0795"/>
    <w:rsid w:val="00CC09A8"/>
    <w:rsid w:val="00CC0A66"/>
    <w:rsid w:val="00CC0FA9"/>
    <w:rsid w:val="00CC12E1"/>
    <w:rsid w:val="00CC163E"/>
    <w:rsid w:val="00CC1B5A"/>
    <w:rsid w:val="00CC2887"/>
    <w:rsid w:val="00CC29BD"/>
    <w:rsid w:val="00CC3535"/>
    <w:rsid w:val="00CC4473"/>
    <w:rsid w:val="00CC5599"/>
    <w:rsid w:val="00CC58D1"/>
    <w:rsid w:val="00CC6642"/>
    <w:rsid w:val="00CC719E"/>
    <w:rsid w:val="00CC7ABE"/>
    <w:rsid w:val="00CD03AC"/>
    <w:rsid w:val="00CD0789"/>
    <w:rsid w:val="00CD0FD8"/>
    <w:rsid w:val="00CD1012"/>
    <w:rsid w:val="00CD12BD"/>
    <w:rsid w:val="00CD1382"/>
    <w:rsid w:val="00CD1588"/>
    <w:rsid w:val="00CD1D9F"/>
    <w:rsid w:val="00CD1E01"/>
    <w:rsid w:val="00CD1E05"/>
    <w:rsid w:val="00CD1F6D"/>
    <w:rsid w:val="00CD2269"/>
    <w:rsid w:val="00CD23A1"/>
    <w:rsid w:val="00CD3039"/>
    <w:rsid w:val="00CD39A2"/>
    <w:rsid w:val="00CD3CC2"/>
    <w:rsid w:val="00CD3DCF"/>
    <w:rsid w:val="00CD4550"/>
    <w:rsid w:val="00CD4B13"/>
    <w:rsid w:val="00CD5681"/>
    <w:rsid w:val="00CD570D"/>
    <w:rsid w:val="00CD5849"/>
    <w:rsid w:val="00CD5BB9"/>
    <w:rsid w:val="00CD6527"/>
    <w:rsid w:val="00CD6594"/>
    <w:rsid w:val="00CD6C21"/>
    <w:rsid w:val="00CD6EA9"/>
    <w:rsid w:val="00CD76CA"/>
    <w:rsid w:val="00CD7ED0"/>
    <w:rsid w:val="00CE0E2B"/>
    <w:rsid w:val="00CE1003"/>
    <w:rsid w:val="00CE1B56"/>
    <w:rsid w:val="00CE21FD"/>
    <w:rsid w:val="00CE32AB"/>
    <w:rsid w:val="00CE334F"/>
    <w:rsid w:val="00CE3D36"/>
    <w:rsid w:val="00CE3E99"/>
    <w:rsid w:val="00CE42EB"/>
    <w:rsid w:val="00CE4551"/>
    <w:rsid w:val="00CE499A"/>
    <w:rsid w:val="00CE50E8"/>
    <w:rsid w:val="00CE562C"/>
    <w:rsid w:val="00CE57A2"/>
    <w:rsid w:val="00CE5DC6"/>
    <w:rsid w:val="00CE61B1"/>
    <w:rsid w:val="00CE629F"/>
    <w:rsid w:val="00CE67AE"/>
    <w:rsid w:val="00CE6C83"/>
    <w:rsid w:val="00CE7E37"/>
    <w:rsid w:val="00CE7F67"/>
    <w:rsid w:val="00CF0273"/>
    <w:rsid w:val="00CF02D9"/>
    <w:rsid w:val="00CF118D"/>
    <w:rsid w:val="00CF14D7"/>
    <w:rsid w:val="00CF164A"/>
    <w:rsid w:val="00CF1906"/>
    <w:rsid w:val="00CF1CD0"/>
    <w:rsid w:val="00CF1F84"/>
    <w:rsid w:val="00CF207B"/>
    <w:rsid w:val="00CF255A"/>
    <w:rsid w:val="00CF2A8C"/>
    <w:rsid w:val="00CF3170"/>
    <w:rsid w:val="00CF34B7"/>
    <w:rsid w:val="00CF393A"/>
    <w:rsid w:val="00CF3943"/>
    <w:rsid w:val="00CF3DE5"/>
    <w:rsid w:val="00CF580E"/>
    <w:rsid w:val="00CF5BBC"/>
    <w:rsid w:val="00CF63D8"/>
    <w:rsid w:val="00CF6A4A"/>
    <w:rsid w:val="00CF6EAC"/>
    <w:rsid w:val="00CF7253"/>
    <w:rsid w:val="00CF73B0"/>
    <w:rsid w:val="00CF77A9"/>
    <w:rsid w:val="00CF7C2F"/>
    <w:rsid w:val="00D00337"/>
    <w:rsid w:val="00D00AF3"/>
    <w:rsid w:val="00D01AEA"/>
    <w:rsid w:val="00D02310"/>
    <w:rsid w:val="00D0250D"/>
    <w:rsid w:val="00D02700"/>
    <w:rsid w:val="00D03820"/>
    <w:rsid w:val="00D0391E"/>
    <w:rsid w:val="00D0443B"/>
    <w:rsid w:val="00D04854"/>
    <w:rsid w:val="00D04EEA"/>
    <w:rsid w:val="00D0570F"/>
    <w:rsid w:val="00D06151"/>
    <w:rsid w:val="00D0686C"/>
    <w:rsid w:val="00D07756"/>
    <w:rsid w:val="00D10236"/>
    <w:rsid w:val="00D11269"/>
    <w:rsid w:val="00D122E8"/>
    <w:rsid w:val="00D127EF"/>
    <w:rsid w:val="00D12E24"/>
    <w:rsid w:val="00D13023"/>
    <w:rsid w:val="00D134E9"/>
    <w:rsid w:val="00D135A7"/>
    <w:rsid w:val="00D13CAC"/>
    <w:rsid w:val="00D13DD3"/>
    <w:rsid w:val="00D1499D"/>
    <w:rsid w:val="00D14A34"/>
    <w:rsid w:val="00D14CC8"/>
    <w:rsid w:val="00D152AE"/>
    <w:rsid w:val="00D152C1"/>
    <w:rsid w:val="00D15736"/>
    <w:rsid w:val="00D15DB4"/>
    <w:rsid w:val="00D16293"/>
    <w:rsid w:val="00D16392"/>
    <w:rsid w:val="00D16A3A"/>
    <w:rsid w:val="00D16E03"/>
    <w:rsid w:val="00D17580"/>
    <w:rsid w:val="00D20542"/>
    <w:rsid w:val="00D20560"/>
    <w:rsid w:val="00D21152"/>
    <w:rsid w:val="00D21465"/>
    <w:rsid w:val="00D21CDF"/>
    <w:rsid w:val="00D21F68"/>
    <w:rsid w:val="00D22219"/>
    <w:rsid w:val="00D22278"/>
    <w:rsid w:val="00D226D5"/>
    <w:rsid w:val="00D229A1"/>
    <w:rsid w:val="00D22B2F"/>
    <w:rsid w:val="00D22E03"/>
    <w:rsid w:val="00D231FB"/>
    <w:rsid w:val="00D23499"/>
    <w:rsid w:val="00D23C94"/>
    <w:rsid w:val="00D24266"/>
    <w:rsid w:val="00D243B2"/>
    <w:rsid w:val="00D24C8B"/>
    <w:rsid w:val="00D24F15"/>
    <w:rsid w:val="00D24FDF"/>
    <w:rsid w:val="00D252EC"/>
    <w:rsid w:val="00D257A0"/>
    <w:rsid w:val="00D26857"/>
    <w:rsid w:val="00D2685C"/>
    <w:rsid w:val="00D26B79"/>
    <w:rsid w:val="00D27000"/>
    <w:rsid w:val="00D2773B"/>
    <w:rsid w:val="00D27965"/>
    <w:rsid w:val="00D30675"/>
    <w:rsid w:val="00D30F01"/>
    <w:rsid w:val="00D310C3"/>
    <w:rsid w:val="00D313F4"/>
    <w:rsid w:val="00D315F2"/>
    <w:rsid w:val="00D3234E"/>
    <w:rsid w:val="00D32E39"/>
    <w:rsid w:val="00D33363"/>
    <w:rsid w:val="00D336F2"/>
    <w:rsid w:val="00D338AB"/>
    <w:rsid w:val="00D33A08"/>
    <w:rsid w:val="00D33CAE"/>
    <w:rsid w:val="00D341D2"/>
    <w:rsid w:val="00D350E6"/>
    <w:rsid w:val="00D351C4"/>
    <w:rsid w:val="00D357FB"/>
    <w:rsid w:val="00D369CD"/>
    <w:rsid w:val="00D36D98"/>
    <w:rsid w:val="00D36E09"/>
    <w:rsid w:val="00D3720F"/>
    <w:rsid w:val="00D37AAD"/>
    <w:rsid w:val="00D4028F"/>
    <w:rsid w:val="00D40AAB"/>
    <w:rsid w:val="00D414AD"/>
    <w:rsid w:val="00D4159F"/>
    <w:rsid w:val="00D41725"/>
    <w:rsid w:val="00D42259"/>
    <w:rsid w:val="00D42A88"/>
    <w:rsid w:val="00D433BA"/>
    <w:rsid w:val="00D434EE"/>
    <w:rsid w:val="00D4355B"/>
    <w:rsid w:val="00D43667"/>
    <w:rsid w:val="00D43769"/>
    <w:rsid w:val="00D43CCA"/>
    <w:rsid w:val="00D441A5"/>
    <w:rsid w:val="00D44292"/>
    <w:rsid w:val="00D446CA"/>
    <w:rsid w:val="00D4472D"/>
    <w:rsid w:val="00D44BCA"/>
    <w:rsid w:val="00D45413"/>
    <w:rsid w:val="00D45592"/>
    <w:rsid w:val="00D464C8"/>
    <w:rsid w:val="00D46B31"/>
    <w:rsid w:val="00D46B85"/>
    <w:rsid w:val="00D47759"/>
    <w:rsid w:val="00D500E9"/>
    <w:rsid w:val="00D50E2B"/>
    <w:rsid w:val="00D519B8"/>
    <w:rsid w:val="00D51D57"/>
    <w:rsid w:val="00D53A39"/>
    <w:rsid w:val="00D540F2"/>
    <w:rsid w:val="00D54300"/>
    <w:rsid w:val="00D544F4"/>
    <w:rsid w:val="00D54C47"/>
    <w:rsid w:val="00D54D03"/>
    <w:rsid w:val="00D55147"/>
    <w:rsid w:val="00D560EE"/>
    <w:rsid w:val="00D5659C"/>
    <w:rsid w:val="00D56FB5"/>
    <w:rsid w:val="00D57A52"/>
    <w:rsid w:val="00D57E86"/>
    <w:rsid w:val="00D57F67"/>
    <w:rsid w:val="00D602CB"/>
    <w:rsid w:val="00D60911"/>
    <w:rsid w:val="00D61481"/>
    <w:rsid w:val="00D6148A"/>
    <w:rsid w:val="00D62100"/>
    <w:rsid w:val="00D62AE8"/>
    <w:rsid w:val="00D62CDF"/>
    <w:rsid w:val="00D62E93"/>
    <w:rsid w:val="00D62F0B"/>
    <w:rsid w:val="00D63684"/>
    <w:rsid w:val="00D6384B"/>
    <w:rsid w:val="00D640F0"/>
    <w:rsid w:val="00D642E7"/>
    <w:rsid w:val="00D649C6"/>
    <w:rsid w:val="00D649E2"/>
    <w:rsid w:val="00D65111"/>
    <w:rsid w:val="00D65184"/>
    <w:rsid w:val="00D66561"/>
    <w:rsid w:val="00D66668"/>
    <w:rsid w:val="00D66DF8"/>
    <w:rsid w:val="00D66DFF"/>
    <w:rsid w:val="00D675C5"/>
    <w:rsid w:val="00D6799B"/>
    <w:rsid w:val="00D70090"/>
    <w:rsid w:val="00D70851"/>
    <w:rsid w:val="00D708BA"/>
    <w:rsid w:val="00D70CC8"/>
    <w:rsid w:val="00D71580"/>
    <w:rsid w:val="00D719A7"/>
    <w:rsid w:val="00D7206A"/>
    <w:rsid w:val="00D721E9"/>
    <w:rsid w:val="00D7253E"/>
    <w:rsid w:val="00D72D99"/>
    <w:rsid w:val="00D738F1"/>
    <w:rsid w:val="00D73D2C"/>
    <w:rsid w:val="00D7426B"/>
    <w:rsid w:val="00D745D0"/>
    <w:rsid w:val="00D747A4"/>
    <w:rsid w:val="00D74D08"/>
    <w:rsid w:val="00D76B9A"/>
    <w:rsid w:val="00D76D79"/>
    <w:rsid w:val="00D76E47"/>
    <w:rsid w:val="00D77C50"/>
    <w:rsid w:val="00D8053C"/>
    <w:rsid w:val="00D805D0"/>
    <w:rsid w:val="00D80873"/>
    <w:rsid w:val="00D820A5"/>
    <w:rsid w:val="00D825B5"/>
    <w:rsid w:val="00D826A6"/>
    <w:rsid w:val="00D82B2E"/>
    <w:rsid w:val="00D82B5E"/>
    <w:rsid w:val="00D82CF1"/>
    <w:rsid w:val="00D83BF1"/>
    <w:rsid w:val="00D840CB"/>
    <w:rsid w:val="00D844CA"/>
    <w:rsid w:val="00D846BC"/>
    <w:rsid w:val="00D8489C"/>
    <w:rsid w:val="00D85494"/>
    <w:rsid w:val="00D85AD9"/>
    <w:rsid w:val="00D85C09"/>
    <w:rsid w:val="00D86329"/>
    <w:rsid w:val="00D863D6"/>
    <w:rsid w:val="00D87768"/>
    <w:rsid w:val="00D87C05"/>
    <w:rsid w:val="00D87DDB"/>
    <w:rsid w:val="00D87F85"/>
    <w:rsid w:val="00D90A0F"/>
    <w:rsid w:val="00D911E6"/>
    <w:rsid w:val="00D91A24"/>
    <w:rsid w:val="00D91DC6"/>
    <w:rsid w:val="00D9219C"/>
    <w:rsid w:val="00D9244C"/>
    <w:rsid w:val="00D92780"/>
    <w:rsid w:val="00D92C9A"/>
    <w:rsid w:val="00D92E1D"/>
    <w:rsid w:val="00D933FC"/>
    <w:rsid w:val="00D93E99"/>
    <w:rsid w:val="00D943D2"/>
    <w:rsid w:val="00D947FA"/>
    <w:rsid w:val="00D94A29"/>
    <w:rsid w:val="00D94B36"/>
    <w:rsid w:val="00D94C5E"/>
    <w:rsid w:val="00D94F41"/>
    <w:rsid w:val="00D958E4"/>
    <w:rsid w:val="00D95916"/>
    <w:rsid w:val="00D95F30"/>
    <w:rsid w:val="00D960C2"/>
    <w:rsid w:val="00D964A4"/>
    <w:rsid w:val="00D977F4"/>
    <w:rsid w:val="00D97D68"/>
    <w:rsid w:val="00DA0025"/>
    <w:rsid w:val="00DA02F7"/>
    <w:rsid w:val="00DA1096"/>
    <w:rsid w:val="00DA10FB"/>
    <w:rsid w:val="00DA1162"/>
    <w:rsid w:val="00DA13DA"/>
    <w:rsid w:val="00DA1D88"/>
    <w:rsid w:val="00DA1E15"/>
    <w:rsid w:val="00DA20E3"/>
    <w:rsid w:val="00DA25A8"/>
    <w:rsid w:val="00DA276B"/>
    <w:rsid w:val="00DA2FD1"/>
    <w:rsid w:val="00DA3202"/>
    <w:rsid w:val="00DA3806"/>
    <w:rsid w:val="00DA4714"/>
    <w:rsid w:val="00DA4DC0"/>
    <w:rsid w:val="00DA548E"/>
    <w:rsid w:val="00DA5A1A"/>
    <w:rsid w:val="00DA6B6F"/>
    <w:rsid w:val="00DA6F35"/>
    <w:rsid w:val="00DA7685"/>
    <w:rsid w:val="00DA7DCC"/>
    <w:rsid w:val="00DB0507"/>
    <w:rsid w:val="00DB0ADA"/>
    <w:rsid w:val="00DB1934"/>
    <w:rsid w:val="00DB1A83"/>
    <w:rsid w:val="00DB1A8A"/>
    <w:rsid w:val="00DB2565"/>
    <w:rsid w:val="00DB4520"/>
    <w:rsid w:val="00DB5113"/>
    <w:rsid w:val="00DB513F"/>
    <w:rsid w:val="00DB570D"/>
    <w:rsid w:val="00DB6063"/>
    <w:rsid w:val="00DB6376"/>
    <w:rsid w:val="00DB63DC"/>
    <w:rsid w:val="00DB67FB"/>
    <w:rsid w:val="00DB6AF5"/>
    <w:rsid w:val="00DB77C6"/>
    <w:rsid w:val="00DC05F1"/>
    <w:rsid w:val="00DC05FB"/>
    <w:rsid w:val="00DC09B2"/>
    <w:rsid w:val="00DC0FC7"/>
    <w:rsid w:val="00DC1114"/>
    <w:rsid w:val="00DC1197"/>
    <w:rsid w:val="00DC1338"/>
    <w:rsid w:val="00DC13AF"/>
    <w:rsid w:val="00DC19AB"/>
    <w:rsid w:val="00DC26E9"/>
    <w:rsid w:val="00DC365A"/>
    <w:rsid w:val="00DC4F21"/>
    <w:rsid w:val="00DC62C8"/>
    <w:rsid w:val="00DC680C"/>
    <w:rsid w:val="00DC6AA6"/>
    <w:rsid w:val="00DC6C01"/>
    <w:rsid w:val="00DC6F87"/>
    <w:rsid w:val="00DC71F7"/>
    <w:rsid w:val="00DD0277"/>
    <w:rsid w:val="00DD037A"/>
    <w:rsid w:val="00DD04B5"/>
    <w:rsid w:val="00DD0A18"/>
    <w:rsid w:val="00DD0A69"/>
    <w:rsid w:val="00DD0F31"/>
    <w:rsid w:val="00DD1BE0"/>
    <w:rsid w:val="00DD2061"/>
    <w:rsid w:val="00DD22F0"/>
    <w:rsid w:val="00DD24A3"/>
    <w:rsid w:val="00DD2814"/>
    <w:rsid w:val="00DD2E5A"/>
    <w:rsid w:val="00DD545F"/>
    <w:rsid w:val="00DD549F"/>
    <w:rsid w:val="00DD5509"/>
    <w:rsid w:val="00DD5A90"/>
    <w:rsid w:val="00DD5D70"/>
    <w:rsid w:val="00DD5E98"/>
    <w:rsid w:val="00DD65F2"/>
    <w:rsid w:val="00DD6791"/>
    <w:rsid w:val="00DD69AD"/>
    <w:rsid w:val="00DD7144"/>
    <w:rsid w:val="00DD72DD"/>
    <w:rsid w:val="00DD76DA"/>
    <w:rsid w:val="00DD7709"/>
    <w:rsid w:val="00DD7B20"/>
    <w:rsid w:val="00DE04F8"/>
    <w:rsid w:val="00DE05B0"/>
    <w:rsid w:val="00DE090E"/>
    <w:rsid w:val="00DE0F2B"/>
    <w:rsid w:val="00DE0F6B"/>
    <w:rsid w:val="00DE1965"/>
    <w:rsid w:val="00DE1F4E"/>
    <w:rsid w:val="00DE22AF"/>
    <w:rsid w:val="00DE2E04"/>
    <w:rsid w:val="00DE2E58"/>
    <w:rsid w:val="00DE2EFB"/>
    <w:rsid w:val="00DE320B"/>
    <w:rsid w:val="00DE339A"/>
    <w:rsid w:val="00DE368A"/>
    <w:rsid w:val="00DE36D2"/>
    <w:rsid w:val="00DE4F9A"/>
    <w:rsid w:val="00DE59BB"/>
    <w:rsid w:val="00DE5E63"/>
    <w:rsid w:val="00DE646F"/>
    <w:rsid w:val="00DE7894"/>
    <w:rsid w:val="00DE7C35"/>
    <w:rsid w:val="00DE7CEF"/>
    <w:rsid w:val="00DF06AB"/>
    <w:rsid w:val="00DF0738"/>
    <w:rsid w:val="00DF07A1"/>
    <w:rsid w:val="00DF0A3F"/>
    <w:rsid w:val="00DF0D98"/>
    <w:rsid w:val="00DF21D1"/>
    <w:rsid w:val="00DF2418"/>
    <w:rsid w:val="00DF28C9"/>
    <w:rsid w:val="00DF2F16"/>
    <w:rsid w:val="00DF2FD0"/>
    <w:rsid w:val="00DF31BD"/>
    <w:rsid w:val="00DF3D4E"/>
    <w:rsid w:val="00DF4450"/>
    <w:rsid w:val="00DF4B3E"/>
    <w:rsid w:val="00DF4E37"/>
    <w:rsid w:val="00DF5033"/>
    <w:rsid w:val="00DF5441"/>
    <w:rsid w:val="00DF5E18"/>
    <w:rsid w:val="00DF60EA"/>
    <w:rsid w:val="00DF637E"/>
    <w:rsid w:val="00DF65D3"/>
    <w:rsid w:val="00DF664A"/>
    <w:rsid w:val="00DF670D"/>
    <w:rsid w:val="00DF6D15"/>
    <w:rsid w:val="00DF6DAD"/>
    <w:rsid w:val="00E00689"/>
    <w:rsid w:val="00E00948"/>
    <w:rsid w:val="00E00A4A"/>
    <w:rsid w:val="00E0115C"/>
    <w:rsid w:val="00E015C2"/>
    <w:rsid w:val="00E01625"/>
    <w:rsid w:val="00E019B0"/>
    <w:rsid w:val="00E019D7"/>
    <w:rsid w:val="00E03659"/>
    <w:rsid w:val="00E03C6D"/>
    <w:rsid w:val="00E04BC9"/>
    <w:rsid w:val="00E04E3C"/>
    <w:rsid w:val="00E04F6F"/>
    <w:rsid w:val="00E061D9"/>
    <w:rsid w:val="00E06963"/>
    <w:rsid w:val="00E069B1"/>
    <w:rsid w:val="00E0713C"/>
    <w:rsid w:val="00E07324"/>
    <w:rsid w:val="00E074E5"/>
    <w:rsid w:val="00E07F1D"/>
    <w:rsid w:val="00E10047"/>
    <w:rsid w:val="00E102E9"/>
    <w:rsid w:val="00E10B0B"/>
    <w:rsid w:val="00E115C9"/>
    <w:rsid w:val="00E11FF7"/>
    <w:rsid w:val="00E128CD"/>
    <w:rsid w:val="00E12AC9"/>
    <w:rsid w:val="00E136B5"/>
    <w:rsid w:val="00E1457B"/>
    <w:rsid w:val="00E14A64"/>
    <w:rsid w:val="00E1547D"/>
    <w:rsid w:val="00E15A72"/>
    <w:rsid w:val="00E16021"/>
    <w:rsid w:val="00E16092"/>
    <w:rsid w:val="00E169D0"/>
    <w:rsid w:val="00E16A53"/>
    <w:rsid w:val="00E17118"/>
    <w:rsid w:val="00E17987"/>
    <w:rsid w:val="00E207DD"/>
    <w:rsid w:val="00E20E60"/>
    <w:rsid w:val="00E211FE"/>
    <w:rsid w:val="00E2201E"/>
    <w:rsid w:val="00E22972"/>
    <w:rsid w:val="00E22D8E"/>
    <w:rsid w:val="00E22DEF"/>
    <w:rsid w:val="00E22FA1"/>
    <w:rsid w:val="00E231F0"/>
    <w:rsid w:val="00E233F7"/>
    <w:rsid w:val="00E234E9"/>
    <w:rsid w:val="00E2363A"/>
    <w:rsid w:val="00E24DCE"/>
    <w:rsid w:val="00E254DB"/>
    <w:rsid w:val="00E2584B"/>
    <w:rsid w:val="00E25F42"/>
    <w:rsid w:val="00E26D68"/>
    <w:rsid w:val="00E26EDF"/>
    <w:rsid w:val="00E27519"/>
    <w:rsid w:val="00E277CC"/>
    <w:rsid w:val="00E27886"/>
    <w:rsid w:val="00E30371"/>
    <w:rsid w:val="00E3084C"/>
    <w:rsid w:val="00E308BD"/>
    <w:rsid w:val="00E30970"/>
    <w:rsid w:val="00E30EA8"/>
    <w:rsid w:val="00E31023"/>
    <w:rsid w:val="00E3190D"/>
    <w:rsid w:val="00E3198F"/>
    <w:rsid w:val="00E31FC3"/>
    <w:rsid w:val="00E321DE"/>
    <w:rsid w:val="00E34BC7"/>
    <w:rsid w:val="00E3515D"/>
    <w:rsid w:val="00E356FB"/>
    <w:rsid w:val="00E35914"/>
    <w:rsid w:val="00E35DA2"/>
    <w:rsid w:val="00E35DDB"/>
    <w:rsid w:val="00E3618B"/>
    <w:rsid w:val="00E3690E"/>
    <w:rsid w:val="00E37677"/>
    <w:rsid w:val="00E37BD3"/>
    <w:rsid w:val="00E40B52"/>
    <w:rsid w:val="00E40E05"/>
    <w:rsid w:val="00E4136E"/>
    <w:rsid w:val="00E41E3B"/>
    <w:rsid w:val="00E42B85"/>
    <w:rsid w:val="00E4375B"/>
    <w:rsid w:val="00E440B4"/>
    <w:rsid w:val="00E44C41"/>
    <w:rsid w:val="00E45080"/>
    <w:rsid w:val="00E4539A"/>
    <w:rsid w:val="00E45551"/>
    <w:rsid w:val="00E45E3A"/>
    <w:rsid w:val="00E460FA"/>
    <w:rsid w:val="00E461AF"/>
    <w:rsid w:val="00E46690"/>
    <w:rsid w:val="00E46AE9"/>
    <w:rsid w:val="00E46D4E"/>
    <w:rsid w:val="00E47794"/>
    <w:rsid w:val="00E47AB2"/>
    <w:rsid w:val="00E47C8E"/>
    <w:rsid w:val="00E47E8C"/>
    <w:rsid w:val="00E5012F"/>
    <w:rsid w:val="00E50213"/>
    <w:rsid w:val="00E510D8"/>
    <w:rsid w:val="00E51669"/>
    <w:rsid w:val="00E521E4"/>
    <w:rsid w:val="00E522EE"/>
    <w:rsid w:val="00E529C6"/>
    <w:rsid w:val="00E52DC7"/>
    <w:rsid w:val="00E5314E"/>
    <w:rsid w:val="00E5348E"/>
    <w:rsid w:val="00E5427D"/>
    <w:rsid w:val="00E54CAE"/>
    <w:rsid w:val="00E550CD"/>
    <w:rsid w:val="00E55313"/>
    <w:rsid w:val="00E55CDE"/>
    <w:rsid w:val="00E56637"/>
    <w:rsid w:val="00E56E2F"/>
    <w:rsid w:val="00E570F7"/>
    <w:rsid w:val="00E57755"/>
    <w:rsid w:val="00E577CD"/>
    <w:rsid w:val="00E579C1"/>
    <w:rsid w:val="00E57B7F"/>
    <w:rsid w:val="00E57D34"/>
    <w:rsid w:val="00E60793"/>
    <w:rsid w:val="00E607E1"/>
    <w:rsid w:val="00E60823"/>
    <w:rsid w:val="00E613CE"/>
    <w:rsid w:val="00E6151F"/>
    <w:rsid w:val="00E6210D"/>
    <w:rsid w:val="00E621B1"/>
    <w:rsid w:val="00E63134"/>
    <w:rsid w:val="00E63167"/>
    <w:rsid w:val="00E635C5"/>
    <w:rsid w:val="00E63632"/>
    <w:rsid w:val="00E63693"/>
    <w:rsid w:val="00E63B72"/>
    <w:rsid w:val="00E63EBF"/>
    <w:rsid w:val="00E640B7"/>
    <w:rsid w:val="00E64234"/>
    <w:rsid w:val="00E64351"/>
    <w:rsid w:val="00E643E4"/>
    <w:rsid w:val="00E652CC"/>
    <w:rsid w:val="00E65F67"/>
    <w:rsid w:val="00E6676F"/>
    <w:rsid w:val="00E67658"/>
    <w:rsid w:val="00E67840"/>
    <w:rsid w:val="00E70874"/>
    <w:rsid w:val="00E70DA0"/>
    <w:rsid w:val="00E71364"/>
    <w:rsid w:val="00E7198F"/>
    <w:rsid w:val="00E71F17"/>
    <w:rsid w:val="00E72DD1"/>
    <w:rsid w:val="00E73293"/>
    <w:rsid w:val="00E73434"/>
    <w:rsid w:val="00E738CD"/>
    <w:rsid w:val="00E744A0"/>
    <w:rsid w:val="00E749F7"/>
    <w:rsid w:val="00E74BC9"/>
    <w:rsid w:val="00E74DFA"/>
    <w:rsid w:val="00E74E8C"/>
    <w:rsid w:val="00E7578F"/>
    <w:rsid w:val="00E759FE"/>
    <w:rsid w:val="00E75F4D"/>
    <w:rsid w:val="00E76237"/>
    <w:rsid w:val="00E7625C"/>
    <w:rsid w:val="00E7636B"/>
    <w:rsid w:val="00E76AC2"/>
    <w:rsid w:val="00E76C00"/>
    <w:rsid w:val="00E76DB1"/>
    <w:rsid w:val="00E76E8A"/>
    <w:rsid w:val="00E7779E"/>
    <w:rsid w:val="00E77A50"/>
    <w:rsid w:val="00E8085B"/>
    <w:rsid w:val="00E80BAC"/>
    <w:rsid w:val="00E80F6A"/>
    <w:rsid w:val="00E81358"/>
    <w:rsid w:val="00E81595"/>
    <w:rsid w:val="00E815F3"/>
    <w:rsid w:val="00E816A5"/>
    <w:rsid w:val="00E81A69"/>
    <w:rsid w:val="00E82291"/>
    <w:rsid w:val="00E82692"/>
    <w:rsid w:val="00E82C66"/>
    <w:rsid w:val="00E82EA5"/>
    <w:rsid w:val="00E840FE"/>
    <w:rsid w:val="00E8470B"/>
    <w:rsid w:val="00E84963"/>
    <w:rsid w:val="00E84AB0"/>
    <w:rsid w:val="00E84CB5"/>
    <w:rsid w:val="00E84DA7"/>
    <w:rsid w:val="00E8512E"/>
    <w:rsid w:val="00E851D8"/>
    <w:rsid w:val="00E85373"/>
    <w:rsid w:val="00E853B7"/>
    <w:rsid w:val="00E854DF"/>
    <w:rsid w:val="00E85583"/>
    <w:rsid w:val="00E85785"/>
    <w:rsid w:val="00E8615B"/>
    <w:rsid w:val="00E8633D"/>
    <w:rsid w:val="00E8634E"/>
    <w:rsid w:val="00E863B8"/>
    <w:rsid w:val="00E86E58"/>
    <w:rsid w:val="00E873B0"/>
    <w:rsid w:val="00E87E6A"/>
    <w:rsid w:val="00E90643"/>
    <w:rsid w:val="00E90934"/>
    <w:rsid w:val="00E91407"/>
    <w:rsid w:val="00E91925"/>
    <w:rsid w:val="00E91E82"/>
    <w:rsid w:val="00E91FD8"/>
    <w:rsid w:val="00E92738"/>
    <w:rsid w:val="00E92D76"/>
    <w:rsid w:val="00E92F40"/>
    <w:rsid w:val="00E93445"/>
    <w:rsid w:val="00E939DC"/>
    <w:rsid w:val="00E9403C"/>
    <w:rsid w:val="00E94166"/>
    <w:rsid w:val="00E96212"/>
    <w:rsid w:val="00E970A4"/>
    <w:rsid w:val="00E97522"/>
    <w:rsid w:val="00E976DC"/>
    <w:rsid w:val="00E97E8A"/>
    <w:rsid w:val="00EA109B"/>
    <w:rsid w:val="00EA17B1"/>
    <w:rsid w:val="00EA1847"/>
    <w:rsid w:val="00EA2449"/>
    <w:rsid w:val="00EA261E"/>
    <w:rsid w:val="00EA2649"/>
    <w:rsid w:val="00EA2897"/>
    <w:rsid w:val="00EA2F03"/>
    <w:rsid w:val="00EA33D6"/>
    <w:rsid w:val="00EA3725"/>
    <w:rsid w:val="00EA3F1D"/>
    <w:rsid w:val="00EA3F25"/>
    <w:rsid w:val="00EA4A0E"/>
    <w:rsid w:val="00EA5340"/>
    <w:rsid w:val="00EA57E0"/>
    <w:rsid w:val="00EA5977"/>
    <w:rsid w:val="00EA5A27"/>
    <w:rsid w:val="00EA5BFC"/>
    <w:rsid w:val="00EA5E63"/>
    <w:rsid w:val="00EA601B"/>
    <w:rsid w:val="00EA69F6"/>
    <w:rsid w:val="00EA6D5C"/>
    <w:rsid w:val="00EA774A"/>
    <w:rsid w:val="00EB021D"/>
    <w:rsid w:val="00EB02DE"/>
    <w:rsid w:val="00EB03FB"/>
    <w:rsid w:val="00EB0D86"/>
    <w:rsid w:val="00EB0DC8"/>
    <w:rsid w:val="00EB0E4F"/>
    <w:rsid w:val="00EB1625"/>
    <w:rsid w:val="00EB16DD"/>
    <w:rsid w:val="00EB2157"/>
    <w:rsid w:val="00EB2C03"/>
    <w:rsid w:val="00EB3CC8"/>
    <w:rsid w:val="00EB3DCA"/>
    <w:rsid w:val="00EB4567"/>
    <w:rsid w:val="00EB4643"/>
    <w:rsid w:val="00EB49F2"/>
    <w:rsid w:val="00EB4B9C"/>
    <w:rsid w:val="00EB4EB8"/>
    <w:rsid w:val="00EB50F4"/>
    <w:rsid w:val="00EB583A"/>
    <w:rsid w:val="00EB59A6"/>
    <w:rsid w:val="00EB5FCE"/>
    <w:rsid w:val="00EB6598"/>
    <w:rsid w:val="00EB65C9"/>
    <w:rsid w:val="00EB6B01"/>
    <w:rsid w:val="00EB741C"/>
    <w:rsid w:val="00EB7751"/>
    <w:rsid w:val="00EB79BE"/>
    <w:rsid w:val="00EC0002"/>
    <w:rsid w:val="00EC085C"/>
    <w:rsid w:val="00EC0879"/>
    <w:rsid w:val="00EC0B00"/>
    <w:rsid w:val="00EC1256"/>
    <w:rsid w:val="00EC2A85"/>
    <w:rsid w:val="00EC2FFB"/>
    <w:rsid w:val="00EC39FB"/>
    <w:rsid w:val="00EC41C8"/>
    <w:rsid w:val="00EC4F22"/>
    <w:rsid w:val="00EC5205"/>
    <w:rsid w:val="00EC557C"/>
    <w:rsid w:val="00EC5F91"/>
    <w:rsid w:val="00EC616C"/>
    <w:rsid w:val="00EC765D"/>
    <w:rsid w:val="00EC7E46"/>
    <w:rsid w:val="00EC7E7C"/>
    <w:rsid w:val="00ED1396"/>
    <w:rsid w:val="00ED1EE0"/>
    <w:rsid w:val="00ED1F23"/>
    <w:rsid w:val="00ED1FA5"/>
    <w:rsid w:val="00ED228F"/>
    <w:rsid w:val="00ED24F7"/>
    <w:rsid w:val="00ED2936"/>
    <w:rsid w:val="00ED343F"/>
    <w:rsid w:val="00ED3F23"/>
    <w:rsid w:val="00ED4133"/>
    <w:rsid w:val="00ED4D36"/>
    <w:rsid w:val="00ED5147"/>
    <w:rsid w:val="00ED5EA4"/>
    <w:rsid w:val="00ED66CD"/>
    <w:rsid w:val="00ED7330"/>
    <w:rsid w:val="00ED78AB"/>
    <w:rsid w:val="00ED7958"/>
    <w:rsid w:val="00ED79A9"/>
    <w:rsid w:val="00EE04E5"/>
    <w:rsid w:val="00EE0678"/>
    <w:rsid w:val="00EE0742"/>
    <w:rsid w:val="00EE0F42"/>
    <w:rsid w:val="00EE2A34"/>
    <w:rsid w:val="00EE348E"/>
    <w:rsid w:val="00EE373A"/>
    <w:rsid w:val="00EE4562"/>
    <w:rsid w:val="00EE5401"/>
    <w:rsid w:val="00EE6565"/>
    <w:rsid w:val="00EE704D"/>
    <w:rsid w:val="00EE757B"/>
    <w:rsid w:val="00EF0160"/>
    <w:rsid w:val="00EF066E"/>
    <w:rsid w:val="00EF07D2"/>
    <w:rsid w:val="00EF1462"/>
    <w:rsid w:val="00EF18F4"/>
    <w:rsid w:val="00EF1A21"/>
    <w:rsid w:val="00EF1CF8"/>
    <w:rsid w:val="00EF2A77"/>
    <w:rsid w:val="00EF2ABC"/>
    <w:rsid w:val="00EF2ACE"/>
    <w:rsid w:val="00EF2E28"/>
    <w:rsid w:val="00EF3AA8"/>
    <w:rsid w:val="00EF439B"/>
    <w:rsid w:val="00EF4D8A"/>
    <w:rsid w:val="00EF4F9C"/>
    <w:rsid w:val="00EF5551"/>
    <w:rsid w:val="00EF5572"/>
    <w:rsid w:val="00EF58F9"/>
    <w:rsid w:val="00EF59E0"/>
    <w:rsid w:val="00EF613B"/>
    <w:rsid w:val="00EF6991"/>
    <w:rsid w:val="00EF6B55"/>
    <w:rsid w:val="00F00167"/>
    <w:rsid w:val="00F007D7"/>
    <w:rsid w:val="00F00DDC"/>
    <w:rsid w:val="00F01168"/>
    <w:rsid w:val="00F015D8"/>
    <w:rsid w:val="00F01DAE"/>
    <w:rsid w:val="00F030E8"/>
    <w:rsid w:val="00F038AD"/>
    <w:rsid w:val="00F03F6B"/>
    <w:rsid w:val="00F0483E"/>
    <w:rsid w:val="00F0523E"/>
    <w:rsid w:val="00F052C3"/>
    <w:rsid w:val="00F05350"/>
    <w:rsid w:val="00F05778"/>
    <w:rsid w:val="00F05A24"/>
    <w:rsid w:val="00F0656D"/>
    <w:rsid w:val="00F06E02"/>
    <w:rsid w:val="00F07375"/>
    <w:rsid w:val="00F0745E"/>
    <w:rsid w:val="00F113F7"/>
    <w:rsid w:val="00F1214D"/>
    <w:rsid w:val="00F128C1"/>
    <w:rsid w:val="00F129B3"/>
    <w:rsid w:val="00F13275"/>
    <w:rsid w:val="00F13719"/>
    <w:rsid w:val="00F1383A"/>
    <w:rsid w:val="00F138FA"/>
    <w:rsid w:val="00F14112"/>
    <w:rsid w:val="00F14210"/>
    <w:rsid w:val="00F14719"/>
    <w:rsid w:val="00F15BBE"/>
    <w:rsid w:val="00F16038"/>
    <w:rsid w:val="00F16199"/>
    <w:rsid w:val="00F1710D"/>
    <w:rsid w:val="00F1725A"/>
    <w:rsid w:val="00F175ED"/>
    <w:rsid w:val="00F200E4"/>
    <w:rsid w:val="00F20307"/>
    <w:rsid w:val="00F20B98"/>
    <w:rsid w:val="00F2142A"/>
    <w:rsid w:val="00F21433"/>
    <w:rsid w:val="00F21919"/>
    <w:rsid w:val="00F222C6"/>
    <w:rsid w:val="00F22676"/>
    <w:rsid w:val="00F22891"/>
    <w:rsid w:val="00F22A32"/>
    <w:rsid w:val="00F22E64"/>
    <w:rsid w:val="00F22F06"/>
    <w:rsid w:val="00F22FE1"/>
    <w:rsid w:val="00F23DF7"/>
    <w:rsid w:val="00F2463D"/>
    <w:rsid w:val="00F248DD"/>
    <w:rsid w:val="00F24EBC"/>
    <w:rsid w:val="00F25144"/>
    <w:rsid w:val="00F2522E"/>
    <w:rsid w:val="00F25DB1"/>
    <w:rsid w:val="00F26629"/>
    <w:rsid w:val="00F26833"/>
    <w:rsid w:val="00F26B52"/>
    <w:rsid w:val="00F26B97"/>
    <w:rsid w:val="00F26D08"/>
    <w:rsid w:val="00F2730C"/>
    <w:rsid w:val="00F273C7"/>
    <w:rsid w:val="00F304FC"/>
    <w:rsid w:val="00F30A53"/>
    <w:rsid w:val="00F30F7F"/>
    <w:rsid w:val="00F31EC2"/>
    <w:rsid w:val="00F32128"/>
    <w:rsid w:val="00F326A0"/>
    <w:rsid w:val="00F330C5"/>
    <w:rsid w:val="00F33195"/>
    <w:rsid w:val="00F333E4"/>
    <w:rsid w:val="00F33B9C"/>
    <w:rsid w:val="00F33BE2"/>
    <w:rsid w:val="00F33BE5"/>
    <w:rsid w:val="00F33C44"/>
    <w:rsid w:val="00F33FA8"/>
    <w:rsid w:val="00F344AA"/>
    <w:rsid w:val="00F35539"/>
    <w:rsid w:val="00F356E9"/>
    <w:rsid w:val="00F35BE0"/>
    <w:rsid w:val="00F35E23"/>
    <w:rsid w:val="00F3628D"/>
    <w:rsid w:val="00F3699D"/>
    <w:rsid w:val="00F37698"/>
    <w:rsid w:val="00F415A9"/>
    <w:rsid w:val="00F41B96"/>
    <w:rsid w:val="00F4394E"/>
    <w:rsid w:val="00F43B71"/>
    <w:rsid w:val="00F440D1"/>
    <w:rsid w:val="00F445D4"/>
    <w:rsid w:val="00F44CE2"/>
    <w:rsid w:val="00F46592"/>
    <w:rsid w:val="00F46AAB"/>
    <w:rsid w:val="00F47544"/>
    <w:rsid w:val="00F478A1"/>
    <w:rsid w:val="00F47CC1"/>
    <w:rsid w:val="00F50060"/>
    <w:rsid w:val="00F50B93"/>
    <w:rsid w:val="00F50DD3"/>
    <w:rsid w:val="00F513F3"/>
    <w:rsid w:val="00F515BB"/>
    <w:rsid w:val="00F5246E"/>
    <w:rsid w:val="00F527B7"/>
    <w:rsid w:val="00F52BAD"/>
    <w:rsid w:val="00F53921"/>
    <w:rsid w:val="00F53CDC"/>
    <w:rsid w:val="00F53D60"/>
    <w:rsid w:val="00F54354"/>
    <w:rsid w:val="00F543EF"/>
    <w:rsid w:val="00F548EF"/>
    <w:rsid w:val="00F54E5F"/>
    <w:rsid w:val="00F55366"/>
    <w:rsid w:val="00F5586D"/>
    <w:rsid w:val="00F55980"/>
    <w:rsid w:val="00F560A2"/>
    <w:rsid w:val="00F56F11"/>
    <w:rsid w:val="00F57044"/>
    <w:rsid w:val="00F57BC3"/>
    <w:rsid w:val="00F57C5C"/>
    <w:rsid w:val="00F57EB3"/>
    <w:rsid w:val="00F608E8"/>
    <w:rsid w:val="00F60908"/>
    <w:rsid w:val="00F60F36"/>
    <w:rsid w:val="00F60FD2"/>
    <w:rsid w:val="00F61708"/>
    <w:rsid w:val="00F61721"/>
    <w:rsid w:val="00F61988"/>
    <w:rsid w:val="00F6198C"/>
    <w:rsid w:val="00F61CBE"/>
    <w:rsid w:val="00F6226E"/>
    <w:rsid w:val="00F6229A"/>
    <w:rsid w:val="00F6348A"/>
    <w:rsid w:val="00F63590"/>
    <w:rsid w:val="00F636F6"/>
    <w:rsid w:val="00F6449E"/>
    <w:rsid w:val="00F6488B"/>
    <w:rsid w:val="00F64C00"/>
    <w:rsid w:val="00F65158"/>
    <w:rsid w:val="00F65728"/>
    <w:rsid w:val="00F657D8"/>
    <w:rsid w:val="00F6610F"/>
    <w:rsid w:val="00F66158"/>
    <w:rsid w:val="00F66430"/>
    <w:rsid w:val="00F678F8"/>
    <w:rsid w:val="00F67AEF"/>
    <w:rsid w:val="00F704F9"/>
    <w:rsid w:val="00F70F3F"/>
    <w:rsid w:val="00F716F4"/>
    <w:rsid w:val="00F71AEA"/>
    <w:rsid w:val="00F72111"/>
    <w:rsid w:val="00F72731"/>
    <w:rsid w:val="00F72A69"/>
    <w:rsid w:val="00F72AA9"/>
    <w:rsid w:val="00F72AC8"/>
    <w:rsid w:val="00F732FB"/>
    <w:rsid w:val="00F735A1"/>
    <w:rsid w:val="00F743B2"/>
    <w:rsid w:val="00F74854"/>
    <w:rsid w:val="00F7489D"/>
    <w:rsid w:val="00F749F0"/>
    <w:rsid w:val="00F74E87"/>
    <w:rsid w:val="00F7583E"/>
    <w:rsid w:val="00F758A7"/>
    <w:rsid w:val="00F759AF"/>
    <w:rsid w:val="00F75ED4"/>
    <w:rsid w:val="00F760C5"/>
    <w:rsid w:val="00F76D29"/>
    <w:rsid w:val="00F76D5E"/>
    <w:rsid w:val="00F76D8F"/>
    <w:rsid w:val="00F7767B"/>
    <w:rsid w:val="00F77CAE"/>
    <w:rsid w:val="00F77D06"/>
    <w:rsid w:val="00F802F7"/>
    <w:rsid w:val="00F804DF"/>
    <w:rsid w:val="00F80825"/>
    <w:rsid w:val="00F811F0"/>
    <w:rsid w:val="00F81327"/>
    <w:rsid w:val="00F81331"/>
    <w:rsid w:val="00F81E82"/>
    <w:rsid w:val="00F82331"/>
    <w:rsid w:val="00F8233D"/>
    <w:rsid w:val="00F82819"/>
    <w:rsid w:val="00F82898"/>
    <w:rsid w:val="00F8289F"/>
    <w:rsid w:val="00F82AD1"/>
    <w:rsid w:val="00F830A3"/>
    <w:rsid w:val="00F8333A"/>
    <w:rsid w:val="00F836E7"/>
    <w:rsid w:val="00F844B3"/>
    <w:rsid w:val="00F84732"/>
    <w:rsid w:val="00F847A6"/>
    <w:rsid w:val="00F84990"/>
    <w:rsid w:val="00F853A6"/>
    <w:rsid w:val="00F85DFE"/>
    <w:rsid w:val="00F85EBC"/>
    <w:rsid w:val="00F85F8C"/>
    <w:rsid w:val="00F86349"/>
    <w:rsid w:val="00F86ECF"/>
    <w:rsid w:val="00F87692"/>
    <w:rsid w:val="00F879AA"/>
    <w:rsid w:val="00F90111"/>
    <w:rsid w:val="00F90360"/>
    <w:rsid w:val="00F907C4"/>
    <w:rsid w:val="00F910DC"/>
    <w:rsid w:val="00F9121C"/>
    <w:rsid w:val="00F9124A"/>
    <w:rsid w:val="00F9136C"/>
    <w:rsid w:val="00F915B2"/>
    <w:rsid w:val="00F91978"/>
    <w:rsid w:val="00F9222A"/>
    <w:rsid w:val="00F9266F"/>
    <w:rsid w:val="00F926E6"/>
    <w:rsid w:val="00F9377D"/>
    <w:rsid w:val="00F93999"/>
    <w:rsid w:val="00F93BD3"/>
    <w:rsid w:val="00F9487F"/>
    <w:rsid w:val="00F94CD9"/>
    <w:rsid w:val="00F94F65"/>
    <w:rsid w:val="00F95620"/>
    <w:rsid w:val="00F96530"/>
    <w:rsid w:val="00F9655A"/>
    <w:rsid w:val="00F9697C"/>
    <w:rsid w:val="00F97206"/>
    <w:rsid w:val="00F97218"/>
    <w:rsid w:val="00F97AB0"/>
    <w:rsid w:val="00F97C34"/>
    <w:rsid w:val="00FA01B8"/>
    <w:rsid w:val="00FA0CA2"/>
    <w:rsid w:val="00FA0E87"/>
    <w:rsid w:val="00FA0EDA"/>
    <w:rsid w:val="00FA0EE5"/>
    <w:rsid w:val="00FA114D"/>
    <w:rsid w:val="00FA1231"/>
    <w:rsid w:val="00FA1331"/>
    <w:rsid w:val="00FA146F"/>
    <w:rsid w:val="00FA1472"/>
    <w:rsid w:val="00FA169F"/>
    <w:rsid w:val="00FA19DB"/>
    <w:rsid w:val="00FA2A10"/>
    <w:rsid w:val="00FA320E"/>
    <w:rsid w:val="00FA34F8"/>
    <w:rsid w:val="00FA3609"/>
    <w:rsid w:val="00FA3C27"/>
    <w:rsid w:val="00FA4058"/>
    <w:rsid w:val="00FA4130"/>
    <w:rsid w:val="00FA4A19"/>
    <w:rsid w:val="00FA4C85"/>
    <w:rsid w:val="00FA5129"/>
    <w:rsid w:val="00FA581E"/>
    <w:rsid w:val="00FA5EE7"/>
    <w:rsid w:val="00FA5F6F"/>
    <w:rsid w:val="00FA6103"/>
    <w:rsid w:val="00FA6171"/>
    <w:rsid w:val="00FA617D"/>
    <w:rsid w:val="00FA7073"/>
    <w:rsid w:val="00FA7130"/>
    <w:rsid w:val="00FB00BE"/>
    <w:rsid w:val="00FB024D"/>
    <w:rsid w:val="00FB0693"/>
    <w:rsid w:val="00FB0CFE"/>
    <w:rsid w:val="00FB1159"/>
    <w:rsid w:val="00FB139B"/>
    <w:rsid w:val="00FB196E"/>
    <w:rsid w:val="00FB1BC0"/>
    <w:rsid w:val="00FB1C9E"/>
    <w:rsid w:val="00FB1CB4"/>
    <w:rsid w:val="00FB1F0E"/>
    <w:rsid w:val="00FB288F"/>
    <w:rsid w:val="00FB29F4"/>
    <w:rsid w:val="00FB363F"/>
    <w:rsid w:val="00FB3C10"/>
    <w:rsid w:val="00FB40CE"/>
    <w:rsid w:val="00FB4666"/>
    <w:rsid w:val="00FB4692"/>
    <w:rsid w:val="00FB4731"/>
    <w:rsid w:val="00FB4BA3"/>
    <w:rsid w:val="00FB57B3"/>
    <w:rsid w:val="00FB5BE7"/>
    <w:rsid w:val="00FB5CA3"/>
    <w:rsid w:val="00FB5F7E"/>
    <w:rsid w:val="00FB63AC"/>
    <w:rsid w:val="00FB6C72"/>
    <w:rsid w:val="00FB7057"/>
    <w:rsid w:val="00FB7261"/>
    <w:rsid w:val="00FB73E6"/>
    <w:rsid w:val="00FB75B1"/>
    <w:rsid w:val="00FC022B"/>
    <w:rsid w:val="00FC0629"/>
    <w:rsid w:val="00FC10EB"/>
    <w:rsid w:val="00FC10F5"/>
    <w:rsid w:val="00FC1543"/>
    <w:rsid w:val="00FC15DF"/>
    <w:rsid w:val="00FC1729"/>
    <w:rsid w:val="00FC1DE8"/>
    <w:rsid w:val="00FC24A3"/>
    <w:rsid w:val="00FC2944"/>
    <w:rsid w:val="00FC2CE2"/>
    <w:rsid w:val="00FC426C"/>
    <w:rsid w:val="00FC4E16"/>
    <w:rsid w:val="00FC5020"/>
    <w:rsid w:val="00FC5B51"/>
    <w:rsid w:val="00FC639E"/>
    <w:rsid w:val="00FC6835"/>
    <w:rsid w:val="00FC6946"/>
    <w:rsid w:val="00FC75D5"/>
    <w:rsid w:val="00FC7CF4"/>
    <w:rsid w:val="00FC7E41"/>
    <w:rsid w:val="00FD048A"/>
    <w:rsid w:val="00FD1661"/>
    <w:rsid w:val="00FD1757"/>
    <w:rsid w:val="00FD1935"/>
    <w:rsid w:val="00FD263C"/>
    <w:rsid w:val="00FD3609"/>
    <w:rsid w:val="00FD3821"/>
    <w:rsid w:val="00FD3A5E"/>
    <w:rsid w:val="00FD3B3D"/>
    <w:rsid w:val="00FD3E60"/>
    <w:rsid w:val="00FD498D"/>
    <w:rsid w:val="00FD5489"/>
    <w:rsid w:val="00FD5534"/>
    <w:rsid w:val="00FD582A"/>
    <w:rsid w:val="00FD5AEA"/>
    <w:rsid w:val="00FD5B61"/>
    <w:rsid w:val="00FD5D32"/>
    <w:rsid w:val="00FD62C8"/>
    <w:rsid w:val="00FD6605"/>
    <w:rsid w:val="00FD6B52"/>
    <w:rsid w:val="00FD7B9B"/>
    <w:rsid w:val="00FE04E9"/>
    <w:rsid w:val="00FE085F"/>
    <w:rsid w:val="00FE0F82"/>
    <w:rsid w:val="00FE1AF0"/>
    <w:rsid w:val="00FE233A"/>
    <w:rsid w:val="00FE2499"/>
    <w:rsid w:val="00FE27AD"/>
    <w:rsid w:val="00FE3144"/>
    <w:rsid w:val="00FE34F9"/>
    <w:rsid w:val="00FE3787"/>
    <w:rsid w:val="00FE3EA8"/>
    <w:rsid w:val="00FE4982"/>
    <w:rsid w:val="00FE4EDA"/>
    <w:rsid w:val="00FE5410"/>
    <w:rsid w:val="00FE6357"/>
    <w:rsid w:val="00FE69F7"/>
    <w:rsid w:val="00FF0BB5"/>
    <w:rsid w:val="00FF1147"/>
    <w:rsid w:val="00FF1E2C"/>
    <w:rsid w:val="00FF2006"/>
    <w:rsid w:val="00FF26CB"/>
    <w:rsid w:val="00FF2A03"/>
    <w:rsid w:val="00FF2AF9"/>
    <w:rsid w:val="00FF2BE0"/>
    <w:rsid w:val="00FF2C17"/>
    <w:rsid w:val="00FF3022"/>
    <w:rsid w:val="00FF32F3"/>
    <w:rsid w:val="00FF35EC"/>
    <w:rsid w:val="00FF395D"/>
    <w:rsid w:val="00FF3C58"/>
    <w:rsid w:val="00FF3FC4"/>
    <w:rsid w:val="00FF4320"/>
    <w:rsid w:val="00FF479B"/>
    <w:rsid w:val="00FF50A9"/>
    <w:rsid w:val="00FF5111"/>
    <w:rsid w:val="00FF56DD"/>
    <w:rsid w:val="00FF65A2"/>
    <w:rsid w:val="00FF6625"/>
    <w:rsid w:val="00FF7114"/>
    <w:rsid w:val="00FF75A8"/>
    <w:rsid w:val="00FF7EEC"/>
    <w:rsid w:val="011D2798"/>
    <w:rsid w:val="01236151"/>
    <w:rsid w:val="015C5C79"/>
    <w:rsid w:val="018067FB"/>
    <w:rsid w:val="0192738E"/>
    <w:rsid w:val="01B06161"/>
    <w:rsid w:val="01CA3F1A"/>
    <w:rsid w:val="020C62E0"/>
    <w:rsid w:val="02445A7A"/>
    <w:rsid w:val="02A14C7A"/>
    <w:rsid w:val="02B12893"/>
    <w:rsid w:val="02E24CF0"/>
    <w:rsid w:val="030C5C44"/>
    <w:rsid w:val="030D2310"/>
    <w:rsid w:val="03261624"/>
    <w:rsid w:val="035A2E3C"/>
    <w:rsid w:val="037A095A"/>
    <w:rsid w:val="037C7496"/>
    <w:rsid w:val="03A03184"/>
    <w:rsid w:val="03B53F41"/>
    <w:rsid w:val="041E667D"/>
    <w:rsid w:val="04923FE5"/>
    <w:rsid w:val="04A96644"/>
    <w:rsid w:val="04C72531"/>
    <w:rsid w:val="04D00557"/>
    <w:rsid w:val="05327D53"/>
    <w:rsid w:val="056E1BB7"/>
    <w:rsid w:val="058B111D"/>
    <w:rsid w:val="05F1116D"/>
    <w:rsid w:val="060D37AF"/>
    <w:rsid w:val="0621736F"/>
    <w:rsid w:val="06362145"/>
    <w:rsid w:val="06437807"/>
    <w:rsid w:val="067D59FE"/>
    <w:rsid w:val="06850144"/>
    <w:rsid w:val="06996916"/>
    <w:rsid w:val="06AB6FEE"/>
    <w:rsid w:val="06AD45A4"/>
    <w:rsid w:val="06C97152"/>
    <w:rsid w:val="06DA7E6A"/>
    <w:rsid w:val="07493A79"/>
    <w:rsid w:val="07924D1D"/>
    <w:rsid w:val="08167EB9"/>
    <w:rsid w:val="089B537F"/>
    <w:rsid w:val="08B651F8"/>
    <w:rsid w:val="08B72E93"/>
    <w:rsid w:val="08DC3AD9"/>
    <w:rsid w:val="08F52D43"/>
    <w:rsid w:val="09330443"/>
    <w:rsid w:val="0972465A"/>
    <w:rsid w:val="098B4E65"/>
    <w:rsid w:val="09F00C17"/>
    <w:rsid w:val="0A081A83"/>
    <w:rsid w:val="0A251A6A"/>
    <w:rsid w:val="0A3328F3"/>
    <w:rsid w:val="0A4B1721"/>
    <w:rsid w:val="0A863186"/>
    <w:rsid w:val="0A984BB5"/>
    <w:rsid w:val="0AA474DF"/>
    <w:rsid w:val="0AE7328B"/>
    <w:rsid w:val="0B192ED5"/>
    <w:rsid w:val="0B873752"/>
    <w:rsid w:val="0BA01C3B"/>
    <w:rsid w:val="0BA37CB5"/>
    <w:rsid w:val="0BC65DDA"/>
    <w:rsid w:val="0BE11EDA"/>
    <w:rsid w:val="0C626420"/>
    <w:rsid w:val="0CD32796"/>
    <w:rsid w:val="0CE340E1"/>
    <w:rsid w:val="0D110C4F"/>
    <w:rsid w:val="0D2F3F34"/>
    <w:rsid w:val="0D6B401F"/>
    <w:rsid w:val="0D8E4244"/>
    <w:rsid w:val="0DB7100F"/>
    <w:rsid w:val="0DD56176"/>
    <w:rsid w:val="0DEC0073"/>
    <w:rsid w:val="0E2B67DA"/>
    <w:rsid w:val="0E2C2B37"/>
    <w:rsid w:val="0E597EBF"/>
    <w:rsid w:val="0E7F38A6"/>
    <w:rsid w:val="0F1862C4"/>
    <w:rsid w:val="0F81387C"/>
    <w:rsid w:val="0FAD1C70"/>
    <w:rsid w:val="0FB85B18"/>
    <w:rsid w:val="0FE120E9"/>
    <w:rsid w:val="101601C0"/>
    <w:rsid w:val="10DB6FCE"/>
    <w:rsid w:val="10EA5A3E"/>
    <w:rsid w:val="10FF07A2"/>
    <w:rsid w:val="110C5382"/>
    <w:rsid w:val="1129648A"/>
    <w:rsid w:val="113D0264"/>
    <w:rsid w:val="11B35C37"/>
    <w:rsid w:val="11DA1C1E"/>
    <w:rsid w:val="11DD5CFF"/>
    <w:rsid w:val="12577104"/>
    <w:rsid w:val="12A04196"/>
    <w:rsid w:val="12AD6EFA"/>
    <w:rsid w:val="12BB61E7"/>
    <w:rsid w:val="12E7492B"/>
    <w:rsid w:val="13041EA0"/>
    <w:rsid w:val="13382E3A"/>
    <w:rsid w:val="13824654"/>
    <w:rsid w:val="13D50C28"/>
    <w:rsid w:val="13E760A4"/>
    <w:rsid w:val="14024F80"/>
    <w:rsid w:val="143C559C"/>
    <w:rsid w:val="144050E2"/>
    <w:rsid w:val="1562473D"/>
    <w:rsid w:val="15985B02"/>
    <w:rsid w:val="162B0FD3"/>
    <w:rsid w:val="166167A3"/>
    <w:rsid w:val="16792337"/>
    <w:rsid w:val="16B56AEF"/>
    <w:rsid w:val="172818D4"/>
    <w:rsid w:val="175B5078"/>
    <w:rsid w:val="175D0460"/>
    <w:rsid w:val="178F5C2E"/>
    <w:rsid w:val="17D47717"/>
    <w:rsid w:val="18E27C99"/>
    <w:rsid w:val="19066B43"/>
    <w:rsid w:val="196F12BF"/>
    <w:rsid w:val="19AD7F51"/>
    <w:rsid w:val="19BE1C95"/>
    <w:rsid w:val="19F416DC"/>
    <w:rsid w:val="1A506C84"/>
    <w:rsid w:val="1A6112E5"/>
    <w:rsid w:val="1A7F5449"/>
    <w:rsid w:val="1A8B19D1"/>
    <w:rsid w:val="1AC252C2"/>
    <w:rsid w:val="1AE71D30"/>
    <w:rsid w:val="1AF04599"/>
    <w:rsid w:val="1B567410"/>
    <w:rsid w:val="1B6F54BE"/>
    <w:rsid w:val="1B816617"/>
    <w:rsid w:val="1B845D72"/>
    <w:rsid w:val="1B8C1BF4"/>
    <w:rsid w:val="1C4526C3"/>
    <w:rsid w:val="1C4F271B"/>
    <w:rsid w:val="1D080A70"/>
    <w:rsid w:val="1D214EDE"/>
    <w:rsid w:val="1D503F9C"/>
    <w:rsid w:val="1D9D267D"/>
    <w:rsid w:val="1E463F1E"/>
    <w:rsid w:val="1E4F5A7B"/>
    <w:rsid w:val="1E8E3BC5"/>
    <w:rsid w:val="1EA13D5D"/>
    <w:rsid w:val="1F0A2E56"/>
    <w:rsid w:val="1F1C3BAF"/>
    <w:rsid w:val="1F467431"/>
    <w:rsid w:val="1F624371"/>
    <w:rsid w:val="1F890B18"/>
    <w:rsid w:val="200C5BF3"/>
    <w:rsid w:val="201F1023"/>
    <w:rsid w:val="203A6D77"/>
    <w:rsid w:val="205F3F73"/>
    <w:rsid w:val="206A094A"/>
    <w:rsid w:val="20A57BD4"/>
    <w:rsid w:val="20AC2D10"/>
    <w:rsid w:val="20EE2C68"/>
    <w:rsid w:val="20FB348C"/>
    <w:rsid w:val="2100305C"/>
    <w:rsid w:val="211D776A"/>
    <w:rsid w:val="216266DE"/>
    <w:rsid w:val="21662D69"/>
    <w:rsid w:val="218E58C4"/>
    <w:rsid w:val="219A525F"/>
    <w:rsid w:val="21A460DD"/>
    <w:rsid w:val="21C31FDA"/>
    <w:rsid w:val="21ED538F"/>
    <w:rsid w:val="22393175"/>
    <w:rsid w:val="226402F8"/>
    <w:rsid w:val="22761872"/>
    <w:rsid w:val="227F2FA7"/>
    <w:rsid w:val="22CE4C57"/>
    <w:rsid w:val="23420D94"/>
    <w:rsid w:val="23701545"/>
    <w:rsid w:val="24024B03"/>
    <w:rsid w:val="243948BB"/>
    <w:rsid w:val="24521E21"/>
    <w:rsid w:val="246F1A84"/>
    <w:rsid w:val="24773635"/>
    <w:rsid w:val="24D2055D"/>
    <w:rsid w:val="25185FDE"/>
    <w:rsid w:val="252F3F10"/>
    <w:rsid w:val="258513D2"/>
    <w:rsid w:val="259E5192"/>
    <w:rsid w:val="25EC2D52"/>
    <w:rsid w:val="261E020C"/>
    <w:rsid w:val="26731846"/>
    <w:rsid w:val="26840B6C"/>
    <w:rsid w:val="26C012C4"/>
    <w:rsid w:val="26D31EAB"/>
    <w:rsid w:val="27103A72"/>
    <w:rsid w:val="273319C5"/>
    <w:rsid w:val="273566E0"/>
    <w:rsid w:val="275409EA"/>
    <w:rsid w:val="27CE5C62"/>
    <w:rsid w:val="27D17500"/>
    <w:rsid w:val="27D35344"/>
    <w:rsid w:val="27F97D93"/>
    <w:rsid w:val="27FFA1C8"/>
    <w:rsid w:val="280910D5"/>
    <w:rsid w:val="283D6FFD"/>
    <w:rsid w:val="287754B5"/>
    <w:rsid w:val="28963A16"/>
    <w:rsid w:val="28BE5CD7"/>
    <w:rsid w:val="292E3549"/>
    <w:rsid w:val="29B25A18"/>
    <w:rsid w:val="29BD6537"/>
    <w:rsid w:val="29E450B2"/>
    <w:rsid w:val="2A1F0C69"/>
    <w:rsid w:val="2A25181A"/>
    <w:rsid w:val="2A9676BE"/>
    <w:rsid w:val="2AC25093"/>
    <w:rsid w:val="2ACE6C3F"/>
    <w:rsid w:val="2AD417E1"/>
    <w:rsid w:val="2B2C33CC"/>
    <w:rsid w:val="2BB162F4"/>
    <w:rsid w:val="2C0010B8"/>
    <w:rsid w:val="2C2F65E3"/>
    <w:rsid w:val="2C475FE3"/>
    <w:rsid w:val="2C634557"/>
    <w:rsid w:val="2D184967"/>
    <w:rsid w:val="2D2E0F8B"/>
    <w:rsid w:val="2D504134"/>
    <w:rsid w:val="2D60735C"/>
    <w:rsid w:val="2D73767E"/>
    <w:rsid w:val="2D9132DA"/>
    <w:rsid w:val="2DD77A0E"/>
    <w:rsid w:val="2DE03FF9"/>
    <w:rsid w:val="2DF05FAC"/>
    <w:rsid w:val="2E3A7BAD"/>
    <w:rsid w:val="2EC61121"/>
    <w:rsid w:val="2ED2428A"/>
    <w:rsid w:val="2ED51684"/>
    <w:rsid w:val="2EDD6F9A"/>
    <w:rsid w:val="2F034334"/>
    <w:rsid w:val="2F0D38D2"/>
    <w:rsid w:val="2F5B1B89"/>
    <w:rsid w:val="302B10EC"/>
    <w:rsid w:val="30500CD9"/>
    <w:rsid w:val="307D6477"/>
    <w:rsid w:val="31010E56"/>
    <w:rsid w:val="313905F0"/>
    <w:rsid w:val="31662D27"/>
    <w:rsid w:val="31C37EBA"/>
    <w:rsid w:val="31E378B6"/>
    <w:rsid w:val="32201BFF"/>
    <w:rsid w:val="32276484"/>
    <w:rsid w:val="32345A06"/>
    <w:rsid w:val="32C023BD"/>
    <w:rsid w:val="32D81743"/>
    <w:rsid w:val="32E14993"/>
    <w:rsid w:val="33386758"/>
    <w:rsid w:val="33BD4946"/>
    <w:rsid w:val="33C608A7"/>
    <w:rsid w:val="33DB598F"/>
    <w:rsid w:val="33EF7E30"/>
    <w:rsid w:val="33FA438B"/>
    <w:rsid w:val="340C2647"/>
    <w:rsid w:val="341113B0"/>
    <w:rsid w:val="34285CFA"/>
    <w:rsid w:val="342863A1"/>
    <w:rsid w:val="34721917"/>
    <w:rsid w:val="34773AE4"/>
    <w:rsid w:val="34935E6B"/>
    <w:rsid w:val="34D44222"/>
    <w:rsid w:val="357D65D2"/>
    <w:rsid w:val="35803F72"/>
    <w:rsid w:val="35B45838"/>
    <w:rsid w:val="35BE475B"/>
    <w:rsid w:val="35E27F5C"/>
    <w:rsid w:val="36730100"/>
    <w:rsid w:val="36B22A7C"/>
    <w:rsid w:val="372671C7"/>
    <w:rsid w:val="375872F6"/>
    <w:rsid w:val="375A4E1C"/>
    <w:rsid w:val="37797999"/>
    <w:rsid w:val="37F43AF8"/>
    <w:rsid w:val="382062FF"/>
    <w:rsid w:val="383B1837"/>
    <w:rsid w:val="389008A9"/>
    <w:rsid w:val="38C5276A"/>
    <w:rsid w:val="38CA5959"/>
    <w:rsid w:val="390037A2"/>
    <w:rsid w:val="3916158F"/>
    <w:rsid w:val="398A0EA5"/>
    <w:rsid w:val="399053EB"/>
    <w:rsid w:val="39DA3202"/>
    <w:rsid w:val="3A0B073C"/>
    <w:rsid w:val="3A132B8D"/>
    <w:rsid w:val="3A6F0BDF"/>
    <w:rsid w:val="3AB20ABA"/>
    <w:rsid w:val="3AE81871"/>
    <w:rsid w:val="3AF173FE"/>
    <w:rsid w:val="3B326663"/>
    <w:rsid w:val="3B4A4B81"/>
    <w:rsid w:val="3B815055"/>
    <w:rsid w:val="3B846640"/>
    <w:rsid w:val="3BB16FD5"/>
    <w:rsid w:val="3BD80A06"/>
    <w:rsid w:val="3C2A63A2"/>
    <w:rsid w:val="3C2F2B58"/>
    <w:rsid w:val="3C45147A"/>
    <w:rsid w:val="3C54D836"/>
    <w:rsid w:val="3C9F3E90"/>
    <w:rsid w:val="3D7C11C7"/>
    <w:rsid w:val="3D8E3A72"/>
    <w:rsid w:val="3DEA4267"/>
    <w:rsid w:val="3DFC794D"/>
    <w:rsid w:val="3E0918F8"/>
    <w:rsid w:val="3E4069FC"/>
    <w:rsid w:val="3E6E1DC7"/>
    <w:rsid w:val="3EF433FD"/>
    <w:rsid w:val="3EFB0C93"/>
    <w:rsid w:val="3EFE0783"/>
    <w:rsid w:val="3F2F7F56"/>
    <w:rsid w:val="3F381EE7"/>
    <w:rsid w:val="3F7404F9"/>
    <w:rsid w:val="40053755"/>
    <w:rsid w:val="40142131"/>
    <w:rsid w:val="40335E45"/>
    <w:rsid w:val="405B644D"/>
    <w:rsid w:val="412B2639"/>
    <w:rsid w:val="41334A1D"/>
    <w:rsid w:val="417921E3"/>
    <w:rsid w:val="4185518C"/>
    <w:rsid w:val="41AD3A6E"/>
    <w:rsid w:val="41F8721B"/>
    <w:rsid w:val="420A4A78"/>
    <w:rsid w:val="42602158"/>
    <w:rsid w:val="42936A4D"/>
    <w:rsid w:val="429A10B4"/>
    <w:rsid w:val="42A81132"/>
    <w:rsid w:val="42F17B83"/>
    <w:rsid w:val="42FB0FCB"/>
    <w:rsid w:val="43225A2F"/>
    <w:rsid w:val="432D5ADB"/>
    <w:rsid w:val="434A15E9"/>
    <w:rsid w:val="43BB11EA"/>
    <w:rsid w:val="44016E40"/>
    <w:rsid w:val="44244B4E"/>
    <w:rsid w:val="44332C7D"/>
    <w:rsid w:val="443609BF"/>
    <w:rsid w:val="446562F9"/>
    <w:rsid w:val="44F857C2"/>
    <w:rsid w:val="450E7246"/>
    <w:rsid w:val="451D5CDD"/>
    <w:rsid w:val="45D50AAD"/>
    <w:rsid w:val="45E32481"/>
    <w:rsid w:val="46235FCE"/>
    <w:rsid w:val="46916503"/>
    <w:rsid w:val="46AB4CDC"/>
    <w:rsid w:val="47156D70"/>
    <w:rsid w:val="474A02DA"/>
    <w:rsid w:val="476A10AC"/>
    <w:rsid w:val="47820B4C"/>
    <w:rsid w:val="4800556C"/>
    <w:rsid w:val="48631573"/>
    <w:rsid w:val="487E62F5"/>
    <w:rsid w:val="48A578CE"/>
    <w:rsid w:val="49285D67"/>
    <w:rsid w:val="493F7CC6"/>
    <w:rsid w:val="494D3009"/>
    <w:rsid w:val="49861AA1"/>
    <w:rsid w:val="499252AD"/>
    <w:rsid w:val="49C43326"/>
    <w:rsid w:val="4A1432CF"/>
    <w:rsid w:val="4A1518A2"/>
    <w:rsid w:val="4A223BC6"/>
    <w:rsid w:val="4A345C4E"/>
    <w:rsid w:val="4A413094"/>
    <w:rsid w:val="4A730277"/>
    <w:rsid w:val="4AB327BB"/>
    <w:rsid w:val="4AFA56AD"/>
    <w:rsid w:val="4AFD6685"/>
    <w:rsid w:val="4BB9490F"/>
    <w:rsid w:val="4C0579A9"/>
    <w:rsid w:val="4C1265B6"/>
    <w:rsid w:val="4C5B5467"/>
    <w:rsid w:val="4C82108D"/>
    <w:rsid w:val="4C83051A"/>
    <w:rsid w:val="4C9E35A6"/>
    <w:rsid w:val="4CB066C9"/>
    <w:rsid w:val="4CDF2861"/>
    <w:rsid w:val="4D2E0486"/>
    <w:rsid w:val="4D7F7D04"/>
    <w:rsid w:val="4D981A95"/>
    <w:rsid w:val="4DB930B1"/>
    <w:rsid w:val="4E0350FE"/>
    <w:rsid w:val="4E3D6449"/>
    <w:rsid w:val="4E45017D"/>
    <w:rsid w:val="4E615D1A"/>
    <w:rsid w:val="4E687323"/>
    <w:rsid w:val="4E8174E0"/>
    <w:rsid w:val="4EAD5D22"/>
    <w:rsid w:val="4EE01C53"/>
    <w:rsid w:val="4F0022F6"/>
    <w:rsid w:val="4F0A0216"/>
    <w:rsid w:val="4F1E4279"/>
    <w:rsid w:val="4F2F6737"/>
    <w:rsid w:val="4F710AFD"/>
    <w:rsid w:val="4FBA02E0"/>
    <w:rsid w:val="501C0A6E"/>
    <w:rsid w:val="502E6212"/>
    <w:rsid w:val="50545C7F"/>
    <w:rsid w:val="506A6105"/>
    <w:rsid w:val="50B2253F"/>
    <w:rsid w:val="51143E36"/>
    <w:rsid w:val="518C4062"/>
    <w:rsid w:val="51B1343F"/>
    <w:rsid w:val="51D325C4"/>
    <w:rsid w:val="51EF19F3"/>
    <w:rsid w:val="52725E99"/>
    <w:rsid w:val="52741030"/>
    <w:rsid w:val="52841E36"/>
    <w:rsid w:val="52BA158C"/>
    <w:rsid w:val="52D47D21"/>
    <w:rsid w:val="52E743F8"/>
    <w:rsid w:val="539D7144"/>
    <w:rsid w:val="541E5140"/>
    <w:rsid w:val="54382BFD"/>
    <w:rsid w:val="54C57CFE"/>
    <w:rsid w:val="54D9161F"/>
    <w:rsid w:val="54DC0493"/>
    <w:rsid w:val="54F55D2D"/>
    <w:rsid w:val="55260147"/>
    <w:rsid w:val="55785FD6"/>
    <w:rsid w:val="559E11C9"/>
    <w:rsid w:val="55C45A13"/>
    <w:rsid w:val="561F441A"/>
    <w:rsid w:val="569F71AC"/>
    <w:rsid w:val="56B539C6"/>
    <w:rsid w:val="56BC3941"/>
    <w:rsid w:val="57144B90"/>
    <w:rsid w:val="572914EA"/>
    <w:rsid w:val="572F17E3"/>
    <w:rsid w:val="575B27BF"/>
    <w:rsid w:val="578D01D2"/>
    <w:rsid w:val="57AA7358"/>
    <w:rsid w:val="57BB500C"/>
    <w:rsid w:val="57DC3477"/>
    <w:rsid w:val="57EC78BB"/>
    <w:rsid w:val="581B1F4E"/>
    <w:rsid w:val="58206A73"/>
    <w:rsid w:val="583A23D4"/>
    <w:rsid w:val="584E7C2E"/>
    <w:rsid w:val="58703E3E"/>
    <w:rsid w:val="58A65CBC"/>
    <w:rsid w:val="58AE0A99"/>
    <w:rsid w:val="58C71AD3"/>
    <w:rsid w:val="597447F7"/>
    <w:rsid w:val="59A0095D"/>
    <w:rsid w:val="59B47F65"/>
    <w:rsid w:val="59DA5E4D"/>
    <w:rsid w:val="5A676F31"/>
    <w:rsid w:val="5A710F23"/>
    <w:rsid w:val="5A9214FD"/>
    <w:rsid w:val="5AAC5A89"/>
    <w:rsid w:val="5B036628"/>
    <w:rsid w:val="5B44665F"/>
    <w:rsid w:val="5B5321F3"/>
    <w:rsid w:val="5B5655AF"/>
    <w:rsid w:val="5B600782"/>
    <w:rsid w:val="5B77C670"/>
    <w:rsid w:val="5B78005B"/>
    <w:rsid w:val="5B921ECF"/>
    <w:rsid w:val="5BC00E43"/>
    <w:rsid w:val="5BEA6CBC"/>
    <w:rsid w:val="5BFFA811"/>
    <w:rsid w:val="5C0D7E00"/>
    <w:rsid w:val="5C163158"/>
    <w:rsid w:val="5C182A2D"/>
    <w:rsid w:val="5C311559"/>
    <w:rsid w:val="5C61275F"/>
    <w:rsid w:val="5C640BAC"/>
    <w:rsid w:val="5C8A28AF"/>
    <w:rsid w:val="5C8E2159"/>
    <w:rsid w:val="5CDC7EFE"/>
    <w:rsid w:val="5D0B2591"/>
    <w:rsid w:val="5D810AA5"/>
    <w:rsid w:val="5DF33714"/>
    <w:rsid w:val="5E5C1E61"/>
    <w:rsid w:val="5E6F24FB"/>
    <w:rsid w:val="5E8746AC"/>
    <w:rsid w:val="5F0331EE"/>
    <w:rsid w:val="5F091D3A"/>
    <w:rsid w:val="5F220B9E"/>
    <w:rsid w:val="5F741DD0"/>
    <w:rsid w:val="5F7B5E30"/>
    <w:rsid w:val="5F7F06E5"/>
    <w:rsid w:val="5FE3356B"/>
    <w:rsid w:val="5FE93471"/>
    <w:rsid w:val="5FEB5669"/>
    <w:rsid w:val="5FF15A50"/>
    <w:rsid w:val="60223BA7"/>
    <w:rsid w:val="603617FE"/>
    <w:rsid w:val="60FB6255"/>
    <w:rsid w:val="60FF240D"/>
    <w:rsid w:val="622F4764"/>
    <w:rsid w:val="6264037D"/>
    <w:rsid w:val="62A212A2"/>
    <w:rsid w:val="62C17277"/>
    <w:rsid w:val="63815896"/>
    <w:rsid w:val="63886005"/>
    <w:rsid w:val="638C29DA"/>
    <w:rsid w:val="63A12AE0"/>
    <w:rsid w:val="63D27965"/>
    <w:rsid w:val="64511A58"/>
    <w:rsid w:val="647D39BD"/>
    <w:rsid w:val="64A335B4"/>
    <w:rsid w:val="64EA5182"/>
    <w:rsid w:val="64EC4CF8"/>
    <w:rsid w:val="651D2E5B"/>
    <w:rsid w:val="65277DAA"/>
    <w:rsid w:val="65387C9C"/>
    <w:rsid w:val="65680364"/>
    <w:rsid w:val="658B24C1"/>
    <w:rsid w:val="65A75FAE"/>
    <w:rsid w:val="65D73958"/>
    <w:rsid w:val="65F242EE"/>
    <w:rsid w:val="65F8779D"/>
    <w:rsid w:val="66552ACF"/>
    <w:rsid w:val="665E3732"/>
    <w:rsid w:val="667C64F8"/>
    <w:rsid w:val="66BC66AA"/>
    <w:rsid w:val="66C26732"/>
    <w:rsid w:val="66D41C46"/>
    <w:rsid w:val="66E622AC"/>
    <w:rsid w:val="671E7365"/>
    <w:rsid w:val="676E7D45"/>
    <w:rsid w:val="678A5A6F"/>
    <w:rsid w:val="679118E5"/>
    <w:rsid w:val="67BD6B7E"/>
    <w:rsid w:val="67C41CBB"/>
    <w:rsid w:val="67D9264E"/>
    <w:rsid w:val="67FB268C"/>
    <w:rsid w:val="67FE2604"/>
    <w:rsid w:val="680C5928"/>
    <w:rsid w:val="688B0A2A"/>
    <w:rsid w:val="69074555"/>
    <w:rsid w:val="69117181"/>
    <w:rsid w:val="69236B86"/>
    <w:rsid w:val="693966D8"/>
    <w:rsid w:val="69D79CE8"/>
    <w:rsid w:val="69EF17FE"/>
    <w:rsid w:val="6A390777"/>
    <w:rsid w:val="6A5A425E"/>
    <w:rsid w:val="6A9E5C25"/>
    <w:rsid w:val="6AB9773A"/>
    <w:rsid w:val="6B1370C1"/>
    <w:rsid w:val="6B972098"/>
    <w:rsid w:val="6BAA566B"/>
    <w:rsid w:val="6BB42046"/>
    <w:rsid w:val="6BC04E8F"/>
    <w:rsid w:val="6C152AE5"/>
    <w:rsid w:val="6C3F0EC1"/>
    <w:rsid w:val="6C524E88"/>
    <w:rsid w:val="6CD01102"/>
    <w:rsid w:val="6D146CDD"/>
    <w:rsid w:val="6D25144D"/>
    <w:rsid w:val="6D486EEA"/>
    <w:rsid w:val="6D9F2E86"/>
    <w:rsid w:val="6DBF29AB"/>
    <w:rsid w:val="6DC04CD2"/>
    <w:rsid w:val="6E0A09A8"/>
    <w:rsid w:val="6E4836FC"/>
    <w:rsid w:val="6E783985"/>
    <w:rsid w:val="6E9266FF"/>
    <w:rsid w:val="6E991C4E"/>
    <w:rsid w:val="6ECB1E62"/>
    <w:rsid w:val="6EDD69B1"/>
    <w:rsid w:val="6EE1307C"/>
    <w:rsid w:val="6F06326D"/>
    <w:rsid w:val="6F093F1E"/>
    <w:rsid w:val="6F172C41"/>
    <w:rsid w:val="6F577834"/>
    <w:rsid w:val="6F685621"/>
    <w:rsid w:val="6FB933DA"/>
    <w:rsid w:val="6FC47D81"/>
    <w:rsid w:val="6FF15617"/>
    <w:rsid w:val="70357BF9"/>
    <w:rsid w:val="708141C5"/>
    <w:rsid w:val="70F06416"/>
    <w:rsid w:val="713D6E78"/>
    <w:rsid w:val="71D5169B"/>
    <w:rsid w:val="721816B3"/>
    <w:rsid w:val="72B96D93"/>
    <w:rsid w:val="72CC6A1D"/>
    <w:rsid w:val="72FF1980"/>
    <w:rsid w:val="73210EF1"/>
    <w:rsid w:val="734A16A2"/>
    <w:rsid w:val="734E7EE9"/>
    <w:rsid w:val="73561DDB"/>
    <w:rsid w:val="73BF1364"/>
    <w:rsid w:val="73CB2575"/>
    <w:rsid w:val="7417249A"/>
    <w:rsid w:val="744523D5"/>
    <w:rsid w:val="7499513D"/>
    <w:rsid w:val="74B530B7"/>
    <w:rsid w:val="75104791"/>
    <w:rsid w:val="753D2C53"/>
    <w:rsid w:val="75692733"/>
    <w:rsid w:val="757A1C0A"/>
    <w:rsid w:val="7582149C"/>
    <w:rsid w:val="75BE4653"/>
    <w:rsid w:val="75E61376"/>
    <w:rsid w:val="75F23E97"/>
    <w:rsid w:val="76037E52"/>
    <w:rsid w:val="760D0CD1"/>
    <w:rsid w:val="768C42EB"/>
    <w:rsid w:val="76A519F0"/>
    <w:rsid w:val="76AC1E5E"/>
    <w:rsid w:val="76CC293A"/>
    <w:rsid w:val="76DA5D80"/>
    <w:rsid w:val="76EA2B41"/>
    <w:rsid w:val="77204A34"/>
    <w:rsid w:val="77485724"/>
    <w:rsid w:val="7762504C"/>
    <w:rsid w:val="779777FC"/>
    <w:rsid w:val="779A1646"/>
    <w:rsid w:val="77A2369A"/>
    <w:rsid w:val="77D4491D"/>
    <w:rsid w:val="77FF9EEA"/>
    <w:rsid w:val="787B4617"/>
    <w:rsid w:val="791365FE"/>
    <w:rsid w:val="79262BA6"/>
    <w:rsid w:val="79896E7C"/>
    <w:rsid w:val="79A34B1A"/>
    <w:rsid w:val="7A122280"/>
    <w:rsid w:val="7A1563A6"/>
    <w:rsid w:val="7A470050"/>
    <w:rsid w:val="7A4D3D91"/>
    <w:rsid w:val="7A5B64AE"/>
    <w:rsid w:val="7AB358A6"/>
    <w:rsid w:val="7AC17D25"/>
    <w:rsid w:val="7AFE6836"/>
    <w:rsid w:val="7B6D468C"/>
    <w:rsid w:val="7B7517F2"/>
    <w:rsid w:val="7B804609"/>
    <w:rsid w:val="7BA27E62"/>
    <w:rsid w:val="7BF6158A"/>
    <w:rsid w:val="7BFB4513"/>
    <w:rsid w:val="7BFF4D22"/>
    <w:rsid w:val="7C120DEF"/>
    <w:rsid w:val="7C122B9D"/>
    <w:rsid w:val="7C814C74"/>
    <w:rsid w:val="7CC763C2"/>
    <w:rsid w:val="7CCA4EFD"/>
    <w:rsid w:val="7CD460A4"/>
    <w:rsid w:val="7CED05C6"/>
    <w:rsid w:val="7CF2683E"/>
    <w:rsid w:val="7D4F1BCF"/>
    <w:rsid w:val="7DA737B9"/>
    <w:rsid w:val="7E127555"/>
    <w:rsid w:val="7E5F35EB"/>
    <w:rsid w:val="7E7713DD"/>
    <w:rsid w:val="7E7B6015"/>
    <w:rsid w:val="7EB04B24"/>
    <w:rsid w:val="7EC14D4E"/>
    <w:rsid w:val="7EE94ADC"/>
    <w:rsid w:val="7EEB3B79"/>
    <w:rsid w:val="7F2C5306"/>
    <w:rsid w:val="7F556080"/>
    <w:rsid w:val="7F5D4BE2"/>
    <w:rsid w:val="7FBF1AA8"/>
    <w:rsid w:val="7FDFEF5A"/>
    <w:rsid w:val="7FFB1A22"/>
    <w:rsid w:val="7FFF168A"/>
    <w:rsid w:val="8FF730D6"/>
    <w:rsid w:val="AF7BDCA4"/>
    <w:rsid w:val="AF7D8FE2"/>
    <w:rsid w:val="BE79E28E"/>
    <w:rsid w:val="BF7FB1AA"/>
    <w:rsid w:val="DBDE892C"/>
    <w:rsid w:val="F0D79A96"/>
    <w:rsid w:val="F8EEBE24"/>
    <w:rsid w:val="FAE51141"/>
    <w:rsid w:val="FCF70238"/>
    <w:rsid w:val="FDF304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qFormat="1" w:unhideWhenUsed="0" w:uiPriority="0" w:semiHidden="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57" w:lineRule="atLeast"/>
      <w:jc w:val="both"/>
      <w:textAlignment w:val="baseline"/>
    </w:pPr>
    <w:rPr>
      <w:rFonts w:ascii="Times New Roman" w:hAnsi="Times New Roman" w:eastAsia="宋体" w:cs="Times New Roman"/>
      <w:color w:val="000000"/>
      <w:sz w:val="21"/>
      <w:u w:color="000000"/>
      <w:lang w:val="en-US" w:eastAsia="zh-CN" w:bidi="ar-SA"/>
    </w:rPr>
  </w:style>
  <w:style w:type="paragraph" w:styleId="3">
    <w:name w:val="heading 1"/>
    <w:basedOn w:val="1"/>
    <w:next w:val="1"/>
    <w:link w:val="169"/>
    <w:qFormat/>
    <w:uiPriority w:val="9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qFormat/>
    <w:uiPriority w:val="0"/>
    <w:pPr>
      <w:keepNext/>
      <w:keepLines/>
      <w:spacing w:before="240" w:after="64" w:line="320" w:lineRule="auto"/>
      <w:outlineLvl w:val="6"/>
    </w:pPr>
    <w:rPr>
      <w:b/>
      <w:bCs/>
      <w:sz w:val="24"/>
    </w:rPr>
  </w:style>
  <w:style w:type="paragraph" w:styleId="10">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53">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2">
    <w:name w:val="List 3"/>
    <w:basedOn w:val="1"/>
    <w:qFormat/>
    <w:uiPriority w:val="0"/>
    <w:pPr>
      <w:widowControl w:val="0"/>
      <w:spacing w:line="240" w:lineRule="auto"/>
      <w:ind w:left="100" w:leftChars="400" w:hanging="200" w:hangingChars="200"/>
      <w:textAlignment w:val="auto"/>
    </w:pPr>
    <w:rPr>
      <w:color w:val="auto"/>
      <w:kern w:val="2"/>
      <w:szCs w:val="24"/>
    </w:rPr>
  </w:style>
  <w:style w:type="paragraph" w:styleId="13">
    <w:name w:val="toc 7"/>
    <w:basedOn w:val="14"/>
    <w:next w:val="1"/>
    <w:qFormat/>
    <w:uiPriority w:val="39"/>
    <w:pPr>
      <w:tabs>
        <w:tab w:val="left" w:pos="210"/>
        <w:tab w:val="right" w:leader="dot" w:pos="9345"/>
      </w:tabs>
    </w:pPr>
  </w:style>
  <w:style w:type="paragraph" w:styleId="14">
    <w:name w:val="toc 6"/>
    <w:basedOn w:val="15"/>
    <w:next w:val="1"/>
    <w:qFormat/>
    <w:uiPriority w:val="39"/>
    <w:pPr>
      <w:tabs>
        <w:tab w:val="left" w:pos="210"/>
        <w:tab w:val="right" w:leader="dot" w:pos="9345"/>
      </w:tabs>
    </w:pPr>
  </w:style>
  <w:style w:type="paragraph" w:styleId="15">
    <w:name w:val="toc 5"/>
    <w:basedOn w:val="16"/>
    <w:next w:val="1"/>
    <w:qFormat/>
    <w:uiPriority w:val="39"/>
    <w:pPr>
      <w:tabs>
        <w:tab w:val="left" w:pos="210"/>
        <w:tab w:val="right" w:leader="dot" w:pos="9345"/>
      </w:tabs>
    </w:pPr>
  </w:style>
  <w:style w:type="paragraph" w:styleId="16">
    <w:name w:val="toc 4"/>
    <w:basedOn w:val="17"/>
    <w:next w:val="1"/>
    <w:qFormat/>
    <w:uiPriority w:val="39"/>
    <w:pPr>
      <w:tabs>
        <w:tab w:val="left" w:pos="210"/>
        <w:tab w:val="right" w:leader="dot" w:pos="9345"/>
      </w:tabs>
    </w:pPr>
  </w:style>
  <w:style w:type="paragraph" w:styleId="17">
    <w:name w:val="toc 3"/>
    <w:basedOn w:val="18"/>
    <w:next w:val="1"/>
    <w:qFormat/>
    <w:uiPriority w:val="39"/>
    <w:pPr>
      <w:tabs>
        <w:tab w:val="left" w:pos="210"/>
        <w:tab w:val="right" w:leader="dot" w:pos="9345"/>
      </w:tabs>
    </w:pPr>
  </w:style>
  <w:style w:type="paragraph" w:styleId="18">
    <w:name w:val="toc 2"/>
    <w:basedOn w:val="19"/>
    <w:next w:val="1"/>
    <w:qFormat/>
    <w:uiPriority w:val="39"/>
    <w:pPr>
      <w:tabs>
        <w:tab w:val="left" w:pos="210"/>
        <w:tab w:val="right" w:leader="dot" w:pos="9345"/>
      </w:tabs>
    </w:pPr>
    <w:rPr>
      <w:rFonts w:ascii="黑体" w:hAnsi="宋体" w:eastAsia="黑体"/>
    </w:rPr>
  </w:style>
  <w:style w:type="paragraph" w:styleId="19">
    <w:name w:val="toc 1"/>
    <w:next w:val="1"/>
    <w:qFormat/>
    <w:uiPriority w:val="39"/>
    <w:pPr>
      <w:tabs>
        <w:tab w:val="left" w:pos="210"/>
        <w:tab w:val="right" w:leader="dot" w:pos="9345"/>
      </w:tabs>
      <w:spacing w:line="400" w:lineRule="exact"/>
      <w:jc w:val="both"/>
    </w:pPr>
    <w:rPr>
      <w:rFonts w:ascii="宋体" w:hAnsi="Times New Roman" w:eastAsia="宋体" w:cs="Times New Roman"/>
      <w:sz w:val="21"/>
      <w:lang w:val="en-US" w:eastAsia="zh-CN" w:bidi="ar-SA"/>
    </w:rPr>
  </w:style>
  <w:style w:type="paragraph" w:styleId="20">
    <w:name w:val="List Bullet 4"/>
    <w:basedOn w:val="1"/>
    <w:qFormat/>
    <w:uiPriority w:val="0"/>
    <w:pPr>
      <w:widowControl w:val="0"/>
      <w:numPr>
        <w:ilvl w:val="0"/>
        <w:numId w:val="1"/>
      </w:numPr>
      <w:spacing w:line="240" w:lineRule="auto"/>
      <w:textAlignment w:val="auto"/>
    </w:pPr>
    <w:rPr>
      <w:color w:val="auto"/>
      <w:kern w:val="2"/>
      <w:szCs w:val="24"/>
    </w:rPr>
  </w:style>
  <w:style w:type="paragraph" w:styleId="21">
    <w:name w:val="Normal Indent"/>
    <w:basedOn w:val="1"/>
    <w:qFormat/>
    <w:uiPriority w:val="0"/>
    <w:pPr>
      <w:widowControl w:val="0"/>
      <w:spacing w:line="240" w:lineRule="auto"/>
      <w:ind w:firstLine="420"/>
      <w:textAlignment w:val="auto"/>
    </w:pPr>
    <w:rPr>
      <w:color w:val="auto"/>
      <w:kern w:val="2"/>
    </w:rPr>
  </w:style>
  <w:style w:type="paragraph" w:styleId="22">
    <w:name w:val="Document Map"/>
    <w:basedOn w:val="1"/>
    <w:link w:val="75"/>
    <w:unhideWhenUsed/>
    <w:qFormat/>
    <w:uiPriority w:val="99"/>
    <w:pPr>
      <w:widowControl w:val="0"/>
      <w:spacing w:line="560" w:lineRule="exact"/>
      <w:ind w:firstLine="200" w:firstLineChars="200"/>
      <w:jc w:val="left"/>
      <w:textAlignment w:val="auto"/>
    </w:pPr>
    <w:rPr>
      <w:rFonts w:ascii="宋体"/>
      <w:color w:val="auto"/>
      <w:kern w:val="2"/>
      <w:sz w:val="18"/>
      <w:szCs w:val="18"/>
    </w:rPr>
  </w:style>
  <w:style w:type="paragraph" w:styleId="23">
    <w:name w:val="annotation text"/>
    <w:basedOn w:val="1"/>
    <w:link w:val="82"/>
    <w:semiHidden/>
    <w:qFormat/>
    <w:uiPriority w:val="99"/>
    <w:pPr>
      <w:widowControl w:val="0"/>
      <w:spacing w:line="240" w:lineRule="auto"/>
      <w:jc w:val="left"/>
      <w:textAlignment w:val="auto"/>
    </w:pPr>
    <w:rPr>
      <w:color w:val="auto"/>
      <w:kern w:val="2"/>
      <w:szCs w:val="24"/>
    </w:rPr>
  </w:style>
  <w:style w:type="paragraph" w:styleId="24">
    <w:name w:val="List Bullet 3"/>
    <w:basedOn w:val="1"/>
    <w:qFormat/>
    <w:uiPriority w:val="0"/>
    <w:pPr>
      <w:widowControl w:val="0"/>
      <w:numPr>
        <w:ilvl w:val="0"/>
        <w:numId w:val="2"/>
      </w:numPr>
      <w:spacing w:line="240" w:lineRule="auto"/>
      <w:textAlignment w:val="auto"/>
    </w:pPr>
    <w:rPr>
      <w:color w:val="auto"/>
      <w:kern w:val="2"/>
      <w:szCs w:val="24"/>
    </w:rPr>
  </w:style>
  <w:style w:type="paragraph" w:styleId="25">
    <w:name w:val="Body Text"/>
    <w:basedOn w:val="1"/>
    <w:qFormat/>
    <w:uiPriority w:val="0"/>
    <w:pPr>
      <w:widowControl w:val="0"/>
      <w:spacing w:after="120" w:line="240" w:lineRule="auto"/>
      <w:textAlignment w:val="auto"/>
    </w:pPr>
    <w:rPr>
      <w:color w:val="auto"/>
      <w:kern w:val="2"/>
      <w:szCs w:val="24"/>
    </w:rPr>
  </w:style>
  <w:style w:type="paragraph" w:styleId="26">
    <w:name w:val="Body Text Indent"/>
    <w:basedOn w:val="1"/>
    <w:qFormat/>
    <w:uiPriority w:val="0"/>
    <w:pPr>
      <w:widowControl w:val="0"/>
      <w:spacing w:after="120" w:line="240" w:lineRule="auto"/>
      <w:ind w:left="420" w:leftChars="200"/>
      <w:textAlignment w:val="auto"/>
    </w:pPr>
    <w:rPr>
      <w:color w:val="auto"/>
      <w:kern w:val="2"/>
      <w:szCs w:val="24"/>
    </w:rPr>
  </w:style>
  <w:style w:type="paragraph" w:styleId="27">
    <w:name w:val="List 2"/>
    <w:basedOn w:val="1"/>
    <w:qFormat/>
    <w:uiPriority w:val="0"/>
    <w:pPr>
      <w:widowControl w:val="0"/>
      <w:spacing w:line="240" w:lineRule="auto"/>
      <w:ind w:left="100" w:leftChars="200" w:hanging="200" w:hangingChars="200"/>
      <w:textAlignment w:val="auto"/>
    </w:pPr>
    <w:rPr>
      <w:color w:val="auto"/>
      <w:kern w:val="2"/>
      <w:szCs w:val="24"/>
    </w:rPr>
  </w:style>
  <w:style w:type="paragraph" w:styleId="28">
    <w:name w:val="List Continue"/>
    <w:basedOn w:val="1"/>
    <w:qFormat/>
    <w:uiPriority w:val="0"/>
    <w:pPr>
      <w:widowControl w:val="0"/>
      <w:spacing w:after="120" w:line="240" w:lineRule="auto"/>
      <w:ind w:left="420" w:leftChars="200"/>
      <w:textAlignment w:val="auto"/>
    </w:pPr>
    <w:rPr>
      <w:color w:val="auto"/>
      <w:kern w:val="2"/>
      <w:szCs w:val="24"/>
    </w:rPr>
  </w:style>
  <w:style w:type="paragraph" w:styleId="29">
    <w:name w:val="List Bullet 2"/>
    <w:basedOn w:val="1"/>
    <w:qFormat/>
    <w:uiPriority w:val="0"/>
    <w:pPr>
      <w:widowControl w:val="0"/>
      <w:numPr>
        <w:ilvl w:val="0"/>
        <w:numId w:val="3"/>
      </w:numPr>
      <w:spacing w:line="240" w:lineRule="auto"/>
      <w:textAlignment w:val="auto"/>
    </w:pPr>
    <w:rPr>
      <w:color w:val="auto"/>
      <w:kern w:val="2"/>
      <w:szCs w:val="24"/>
    </w:rPr>
  </w:style>
  <w:style w:type="paragraph" w:styleId="30">
    <w:name w:val="HTML Address"/>
    <w:basedOn w:val="1"/>
    <w:qFormat/>
    <w:uiPriority w:val="0"/>
    <w:rPr>
      <w:i/>
      <w:iCs/>
    </w:rPr>
  </w:style>
  <w:style w:type="paragraph" w:styleId="31">
    <w:name w:val="Plain Text"/>
    <w:basedOn w:val="1"/>
    <w:link w:val="87"/>
    <w:qFormat/>
    <w:uiPriority w:val="0"/>
    <w:pPr>
      <w:widowControl w:val="0"/>
      <w:adjustRightInd w:val="0"/>
      <w:spacing w:line="312" w:lineRule="atLeast"/>
    </w:pPr>
    <w:rPr>
      <w:rFonts w:ascii="宋体" w:hAnsi="Courier New"/>
      <w:color w:val="auto"/>
    </w:rPr>
  </w:style>
  <w:style w:type="paragraph" w:styleId="32">
    <w:name w:val="List Bullet 5"/>
    <w:basedOn w:val="1"/>
    <w:qFormat/>
    <w:uiPriority w:val="0"/>
    <w:pPr>
      <w:widowControl w:val="0"/>
      <w:numPr>
        <w:ilvl w:val="0"/>
        <w:numId w:val="4"/>
      </w:numPr>
      <w:spacing w:line="240" w:lineRule="auto"/>
      <w:textAlignment w:val="auto"/>
    </w:pPr>
    <w:rPr>
      <w:color w:val="auto"/>
      <w:kern w:val="2"/>
      <w:szCs w:val="24"/>
    </w:rPr>
  </w:style>
  <w:style w:type="paragraph" w:styleId="33">
    <w:name w:val="toc 8"/>
    <w:basedOn w:val="13"/>
    <w:next w:val="1"/>
    <w:qFormat/>
    <w:uiPriority w:val="39"/>
  </w:style>
  <w:style w:type="paragraph" w:styleId="34">
    <w:name w:val="Date"/>
    <w:basedOn w:val="1"/>
    <w:next w:val="1"/>
    <w:qFormat/>
    <w:uiPriority w:val="0"/>
    <w:pPr>
      <w:widowControl w:val="0"/>
      <w:spacing w:line="240" w:lineRule="auto"/>
      <w:ind w:left="100" w:leftChars="2500"/>
      <w:textAlignment w:val="auto"/>
    </w:pPr>
    <w:rPr>
      <w:color w:val="auto"/>
      <w:kern w:val="2"/>
      <w:szCs w:val="24"/>
    </w:rPr>
  </w:style>
  <w:style w:type="paragraph" w:styleId="35">
    <w:name w:val="Balloon Text"/>
    <w:basedOn w:val="1"/>
    <w:link w:val="165"/>
    <w:semiHidden/>
    <w:qFormat/>
    <w:uiPriority w:val="0"/>
    <w:rPr>
      <w:sz w:val="18"/>
      <w:szCs w:val="18"/>
    </w:rPr>
  </w:style>
  <w:style w:type="paragraph" w:styleId="36">
    <w:name w:val="footer"/>
    <w:basedOn w:val="1"/>
    <w:link w:val="72"/>
    <w:qFormat/>
    <w:uiPriority w:val="99"/>
    <w:pPr>
      <w:tabs>
        <w:tab w:val="center" w:pos="4153"/>
        <w:tab w:val="right" w:pos="8306"/>
      </w:tabs>
      <w:snapToGrid w:val="0"/>
      <w:ind w:right="210" w:rightChars="100"/>
      <w:jc w:val="right"/>
    </w:pPr>
    <w:rPr>
      <w:sz w:val="18"/>
      <w:szCs w:val="18"/>
    </w:rPr>
  </w:style>
  <w:style w:type="paragraph" w:styleId="37">
    <w:name w:val="header"/>
    <w:basedOn w:val="1"/>
    <w:link w:val="85"/>
    <w:qFormat/>
    <w:uiPriority w:val="99"/>
    <w:pPr>
      <w:tabs>
        <w:tab w:val="center" w:pos="4153"/>
        <w:tab w:val="right" w:pos="8306"/>
      </w:tabs>
      <w:snapToGrid w:val="0"/>
      <w:jc w:val="center"/>
    </w:pPr>
    <w:rPr>
      <w:sz w:val="18"/>
      <w:szCs w:val="18"/>
    </w:rPr>
  </w:style>
  <w:style w:type="paragraph" w:styleId="38">
    <w:name w:val="List"/>
    <w:basedOn w:val="1"/>
    <w:qFormat/>
    <w:uiPriority w:val="0"/>
    <w:pPr>
      <w:widowControl w:val="0"/>
      <w:spacing w:line="240" w:lineRule="auto"/>
      <w:ind w:left="200" w:hanging="200" w:hangingChars="200"/>
      <w:textAlignment w:val="auto"/>
    </w:pPr>
    <w:rPr>
      <w:color w:val="auto"/>
      <w:kern w:val="2"/>
      <w:szCs w:val="24"/>
    </w:rPr>
  </w:style>
  <w:style w:type="paragraph" w:styleId="39">
    <w:name w:val="footnote text"/>
    <w:basedOn w:val="1"/>
    <w:semiHidden/>
    <w:qFormat/>
    <w:uiPriority w:val="0"/>
    <w:pPr>
      <w:snapToGrid w:val="0"/>
      <w:jc w:val="left"/>
    </w:pPr>
    <w:rPr>
      <w:sz w:val="18"/>
      <w:szCs w:val="18"/>
    </w:rPr>
  </w:style>
  <w:style w:type="paragraph" w:styleId="40">
    <w:name w:val="List 5"/>
    <w:basedOn w:val="1"/>
    <w:qFormat/>
    <w:uiPriority w:val="0"/>
    <w:pPr>
      <w:widowControl w:val="0"/>
      <w:spacing w:line="240" w:lineRule="auto"/>
      <w:ind w:left="100" w:leftChars="800" w:hanging="200" w:hangingChars="200"/>
      <w:textAlignment w:val="auto"/>
    </w:pPr>
    <w:rPr>
      <w:color w:val="auto"/>
      <w:kern w:val="2"/>
      <w:szCs w:val="24"/>
    </w:rPr>
  </w:style>
  <w:style w:type="paragraph" w:styleId="41">
    <w:name w:val="Body Text Indent 3"/>
    <w:basedOn w:val="1"/>
    <w:qFormat/>
    <w:uiPriority w:val="0"/>
    <w:pPr>
      <w:widowControl w:val="0"/>
      <w:spacing w:line="240" w:lineRule="auto"/>
      <w:ind w:firstLine="640" w:firstLineChars="200"/>
      <w:textAlignment w:val="auto"/>
    </w:pPr>
    <w:rPr>
      <w:rFonts w:ascii="仿宋_GB2312" w:eastAsia="仿宋_GB2312"/>
      <w:bCs/>
      <w:color w:val="auto"/>
      <w:kern w:val="2"/>
      <w:sz w:val="32"/>
      <w:szCs w:val="32"/>
    </w:rPr>
  </w:style>
  <w:style w:type="paragraph" w:styleId="42">
    <w:name w:val="toc 9"/>
    <w:basedOn w:val="33"/>
    <w:next w:val="1"/>
    <w:qFormat/>
    <w:uiPriority w:val="39"/>
  </w:style>
  <w:style w:type="paragraph" w:styleId="43">
    <w:name w:val="List 4"/>
    <w:basedOn w:val="1"/>
    <w:qFormat/>
    <w:uiPriority w:val="0"/>
    <w:pPr>
      <w:widowControl w:val="0"/>
      <w:spacing w:line="240" w:lineRule="auto"/>
      <w:ind w:left="100" w:leftChars="600" w:hanging="200" w:hangingChars="200"/>
      <w:textAlignment w:val="auto"/>
    </w:pPr>
    <w:rPr>
      <w:color w:val="auto"/>
      <w:kern w:val="2"/>
      <w:szCs w:val="24"/>
    </w:rPr>
  </w:style>
  <w:style w:type="paragraph" w:styleId="44">
    <w:name w:val="HTML Preformatted"/>
    <w:basedOn w:val="1"/>
    <w:qFormat/>
    <w:uiPriority w:val="0"/>
    <w:rPr>
      <w:rFonts w:ascii="Courier New" w:hAnsi="Courier New" w:cs="Courier New"/>
      <w:sz w:val="20"/>
    </w:rPr>
  </w:style>
  <w:style w:type="paragraph" w:styleId="45">
    <w:name w:val="Normal (Web)"/>
    <w:basedOn w:val="1"/>
    <w:qFormat/>
    <w:uiPriority w:val="99"/>
    <w:pPr>
      <w:spacing w:before="100" w:beforeAutospacing="1" w:after="100" w:afterAutospacing="1" w:line="240" w:lineRule="auto"/>
      <w:jc w:val="left"/>
      <w:textAlignment w:val="auto"/>
    </w:pPr>
    <w:rPr>
      <w:rFonts w:ascii="宋体" w:hAnsi="宋体"/>
      <w:color w:val="auto"/>
      <w:sz w:val="24"/>
      <w:szCs w:val="24"/>
    </w:rPr>
  </w:style>
  <w:style w:type="paragraph" w:styleId="46">
    <w:name w:val="Title"/>
    <w:basedOn w:val="1"/>
    <w:qFormat/>
    <w:uiPriority w:val="0"/>
    <w:pPr>
      <w:spacing w:before="240" w:after="60"/>
      <w:jc w:val="center"/>
      <w:outlineLvl w:val="0"/>
    </w:pPr>
    <w:rPr>
      <w:rFonts w:ascii="Arial" w:hAnsi="Arial" w:cs="Arial"/>
      <w:b/>
      <w:bCs/>
      <w:sz w:val="32"/>
      <w:szCs w:val="32"/>
    </w:rPr>
  </w:style>
  <w:style w:type="paragraph" w:styleId="47">
    <w:name w:val="annotation subject"/>
    <w:basedOn w:val="23"/>
    <w:next w:val="23"/>
    <w:link w:val="86"/>
    <w:qFormat/>
    <w:uiPriority w:val="0"/>
    <w:pPr>
      <w:widowControl/>
      <w:spacing w:line="357" w:lineRule="atLeast"/>
      <w:textAlignment w:val="baseline"/>
    </w:pPr>
    <w:rPr>
      <w:b/>
      <w:bCs/>
      <w:color w:val="000000"/>
    </w:rPr>
  </w:style>
  <w:style w:type="paragraph" w:styleId="48">
    <w:name w:val="Body Text First Indent"/>
    <w:basedOn w:val="25"/>
    <w:link w:val="170"/>
    <w:qFormat/>
    <w:uiPriority w:val="0"/>
    <w:pPr>
      <w:spacing w:before="158" w:beforeLines="50" w:after="158" w:afterLines="50"/>
      <w:ind w:firstLine="420" w:firstLineChars="200"/>
    </w:pPr>
    <w:rPr>
      <w:i/>
      <w:color w:val="FF0000"/>
    </w:rPr>
  </w:style>
  <w:style w:type="paragraph" w:styleId="49">
    <w:name w:val="Body Text First Indent 2"/>
    <w:basedOn w:val="26"/>
    <w:qFormat/>
    <w:uiPriority w:val="0"/>
    <w:pPr>
      <w:ind w:firstLine="420" w:firstLineChars="200"/>
    </w:pPr>
  </w:style>
  <w:style w:type="table" w:styleId="51">
    <w:name w:val="Table Grid"/>
    <w:basedOn w:val="50"/>
    <w:qFormat/>
    <w:uiPriority w:val="0"/>
    <w:pPr>
      <w:spacing w:line="357" w:lineRule="atLeast"/>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2">
    <w:name w:val="Table Classic 1"/>
    <w:basedOn w:val="50"/>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character" w:styleId="54">
    <w:name w:val="page number"/>
    <w:qFormat/>
    <w:uiPriority w:val="0"/>
    <w:rPr>
      <w:rFonts w:ascii="Times New Roman" w:hAnsi="Times New Roman" w:eastAsia="宋体"/>
      <w:sz w:val="18"/>
    </w:rPr>
  </w:style>
  <w:style w:type="character" w:styleId="55">
    <w:name w:val="HTML Definition"/>
    <w:qFormat/>
    <w:uiPriority w:val="0"/>
    <w:rPr>
      <w:i/>
      <w:iCs/>
    </w:rPr>
  </w:style>
  <w:style w:type="character" w:styleId="56">
    <w:name w:val="HTML Typewriter"/>
    <w:qFormat/>
    <w:uiPriority w:val="0"/>
    <w:rPr>
      <w:rFonts w:ascii="Courier New" w:hAnsi="Courier New"/>
      <w:sz w:val="20"/>
      <w:szCs w:val="20"/>
    </w:rPr>
  </w:style>
  <w:style w:type="character" w:styleId="57">
    <w:name w:val="HTML Acronym"/>
    <w:basedOn w:val="53"/>
    <w:qFormat/>
    <w:uiPriority w:val="0"/>
  </w:style>
  <w:style w:type="character" w:styleId="58">
    <w:name w:val="HTML Variable"/>
    <w:qFormat/>
    <w:uiPriority w:val="0"/>
    <w:rPr>
      <w:i/>
      <w:iCs/>
    </w:rPr>
  </w:style>
  <w:style w:type="character" w:styleId="59">
    <w:name w:val="Hyperlink"/>
    <w:qFormat/>
    <w:uiPriority w:val="99"/>
    <w:rPr>
      <w:rFonts w:ascii="Times New Roman" w:hAnsi="Times New Roman" w:eastAsia="宋体"/>
      <w:color w:val="auto"/>
      <w:spacing w:val="0"/>
      <w:w w:val="100"/>
      <w:position w:val="0"/>
      <w:sz w:val="21"/>
      <w:u w:val="none"/>
      <w:vertAlign w:val="baseline"/>
    </w:rPr>
  </w:style>
  <w:style w:type="character" w:styleId="60">
    <w:name w:val="HTML Code"/>
    <w:qFormat/>
    <w:uiPriority w:val="0"/>
    <w:rPr>
      <w:rFonts w:ascii="Courier New" w:hAnsi="Courier New"/>
      <w:sz w:val="20"/>
      <w:szCs w:val="20"/>
    </w:rPr>
  </w:style>
  <w:style w:type="character" w:styleId="61">
    <w:name w:val="annotation reference"/>
    <w:qFormat/>
    <w:uiPriority w:val="99"/>
    <w:rPr>
      <w:sz w:val="21"/>
      <w:szCs w:val="21"/>
    </w:rPr>
  </w:style>
  <w:style w:type="character" w:styleId="62">
    <w:name w:val="HTML Cite"/>
    <w:qFormat/>
    <w:uiPriority w:val="0"/>
    <w:rPr>
      <w:i/>
      <w:iCs/>
    </w:rPr>
  </w:style>
  <w:style w:type="character" w:styleId="63">
    <w:name w:val="footnote reference"/>
    <w:semiHidden/>
    <w:qFormat/>
    <w:uiPriority w:val="0"/>
    <w:rPr>
      <w:vertAlign w:val="superscript"/>
    </w:rPr>
  </w:style>
  <w:style w:type="character" w:styleId="64">
    <w:name w:val="HTML Keyboard"/>
    <w:qFormat/>
    <w:uiPriority w:val="0"/>
    <w:rPr>
      <w:rFonts w:ascii="Courier New" w:hAnsi="Courier New"/>
      <w:sz w:val="20"/>
      <w:szCs w:val="20"/>
    </w:rPr>
  </w:style>
  <w:style w:type="character" w:styleId="65">
    <w:name w:val="HTML Sample"/>
    <w:qFormat/>
    <w:uiPriority w:val="0"/>
    <w:rPr>
      <w:rFonts w:ascii="Courier New" w:hAnsi="Courier New"/>
    </w:rPr>
  </w:style>
  <w:style w:type="character" w:customStyle="1" w:styleId="66">
    <w:name w:val="文档结构图 Char1"/>
    <w:qFormat/>
    <w:uiPriority w:val="0"/>
    <w:rPr>
      <w:rFonts w:ascii="宋体"/>
      <w:color w:val="000000"/>
      <w:sz w:val="18"/>
      <w:szCs w:val="18"/>
      <w:u w:color="000000"/>
    </w:rPr>
  </w:style>
  <w:style w:type="character" w:customStyle="1" w:styleId="67">
    <w:name w:val="EmailStyle64"/>
    <w:qFormat/>
    <w:uiPriority w:val="0"/>
    <w:rPr>
      <w:rFonts w:ascii="Arial" w:hAnsi="Arial" w:eastAsia="宋体" w:cs="Arial"/>
      <w:color w:val="auto"/>
      <w:sz w:val="20"/>
    </w:rPr>
  </w:style>
  <w:style w:type="character" w:customStyle="1" w:styleId="68">
    <w:name w:val="EmailStyle63"/>
    <w:qFormat/>
    <w:uiPriority w:val="0"/>
    <w:rPr>
      <w:rFonts w:ascii="Arial" w:hAnsi="Arial" w:eastAsia="宋体" w:cs="Arial"/>
      <w:color w:val="auto"/>
      <w:sz w:val="20"/>
    </w:rPr>
  </w:style>
  <w:style w:type="character" w:customStyle="1" w:styleId="69">
    <w:name w:val="发布"/>
    <w:qFormat/>
    <w:uiPriority w:val="0"/>
    <w:rPr>
      <w:rFonts w:ascii="黑体" w:eastAsia="黑体"/>
      <w:spacing w:val="22"/>
      <w:w w:val="100"/>
      <w:position w:val="3"/>
      <w:sz w:val="28"/>
    </w:rPr>
  </w:style>
  <w:style w:type="character" w:customStyle="1" w:styleId="70">
    <w:name w:val="段 Char"/>
    <w:link w:val="71"/>
    <w:qFormat/>
    <w:uiPriority w:val="99"/>
    <w:rPr>
      <w:rFonts w:ascii="宋体"/>
      <w:sz w:val="21"/>
      <w:lang w:val="en-US" w:eastAsia="zh-CN" w:bidi="ar-SA"/>
    </w:rPr>
  </w:style>
  <w:style w:type="paragraph" w:customStyle="1" w:styleId="71">
    <w:name w:val="段"/>
    <w:link w:val="7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72">
    <w:name w:val="页脚 字符"/>
    <w:link w:val="36"/>
    <w:qFormat/>
    <w:uiPriority w:val="99"/>
    <w:rPr>
      <w:color w:val="000000"/>
      <w:sz w:val="18"/>
      <w:szCs w:val="18"/>
      <w:u w:color="000000"/>
    </w:rPr>
  </w:style>
  <w:style w:type="character" w:customStyle="1" w:styleId="73">
    <w:name w:val="表内容 Char"/>
    <w:link w:val="74"/>
    <w:qFormat/>
    <w:locked/>
    <w:uiPriority w:val="99"/>
    <w:rPr>
      <w:rFonts w:eastAsia="仿宋"/>
      <w:sz w:val="24"/>
      <w:szCs w:val="24"/>
    </w:rPr>
  </w:style>
  <w:style w:type="paragraph" w:customStyle="1" w:styleId="74">
    <w:name w:val="表内容"/>
    <w:basedOn w:val="1"/>
    <w:link w:val="73"/>
    <w:qFormat/>
    <w:uiPriority w:val="99"/>
    <w:pPr>
      <w:widowControl w:val="0"/>
      <w:spacing w:line="240" w:lineRule="auto"/>
      <w:jc w:val="center"/>
      <w:textAlignment w:val="auto"/>
    </w:pPr>
    <w:rPr>
      <w:rFonts w:eastAsia="仿宋"/>
      <w:color w:val="auto"/>
      <w:sz w:val="24"/>
      <w:szCs w:val="24"/>
    </w:rPr>
  </w:style>
  <w:style w:type="character" w:customStyle="1" w:styleId="75">
    <w:name w:val="文档结构图 字符"/>
    <w:link w:val="22"/>
    <w:qFormat/>
    <w:uiPriority w:val="99"/>
    <w:rPr>
      <w:rFonts w:ascii="宋体"/>
      <w:kern w:val="2"/>
      <w:sz w:val="18"/>
      <w:szCs w:val="18"/>
    </w:rPr>
  </w:style>
  <w:style w:type="character" w:customStyle="1" w:styleId="76">
    <w:name w:val="二级条 Char"/>
    <w:link w:val="77"/>
    <w:qFormat/>
    <w:uiPriority w:val="0"/>
    <w:rPr>
      <w:rFonts w:ascii="宋体"/>
      <w:sz w:val="24"/>
      <w:lang w:val="en-US" w:eastAsia="zh-CN" w:bidi="ar-SA"/>
    </w:rPr>
  </w:style>
  <w:style w:type="paragraph" w:customStyle="1" w:styleId="77">
    <w:name w:val="二级条"/>
    <w:next w:val="71"/>
    <w:link w:val="76"/>
    <w:qFormat/>
    <w:uiPriority w:val="0"/>
    <w:pPr>
      <w:spacing w:line="440" w:lineRule="exact"/>
    </w:pPr>
    <w:rPr>
      <w:rFonts w:ascii="宋体" w:hAnsi="Times New Roman" w:eastAsia="宋体" w:cs="Times New Roman"/>
      <w:sz w:val="24"/>
      <w:lang w:val="en-US" w:eastAsia="zh-CN" w:bidi="ar-SA"/>
    </w:rPr>
  </w:style>
  <w:style w:type="character" w:customStyle="1" w:styleId="78">
    <w:name w:val="List 1 Char Char"/>
    <w:link w:val="79"/>
    <w:qFormat/>
    <w:uiPriority w:val="0"/>
    <w:rPr>
      <w:rFonts w:ascii="Arial" w:hAnsi="Arial"/>
      <w:sz w:val="24"/>
      <w:szCs w:val="24"/>
      <w:lang w:val="en-GB" w:eastAsia="en-GB"/>
    </w:rPr>
  </w:style>
  <w:style w:type="paragraph" w:customStyle="1" w:styleId="79">
    <w:name w:val="List 1"/>
    <w:basedOn w:val="38"/>
    <w:link w:val="78"/>
    <w:qFormat/>
    <w:uiPriority w:val="0"/>
    <w:pPr>
      <w:widowControl/>
      <w:tabs>
        <w:tab w:val="left" w:pos="2880"/>
      </w:tabs>
      <w:spacing w:after="240"/>
      <w:ind w:left="2880" w:hanging="432" w:firstLineChars="0"/>
      <w:jc w:val="left"/>
    </w:pPr>
    <w:rPr>
      <w:rFonts w:ascii="Arial" w:hAnsi="Arial"/>
      <w:kern w:val="0"/>
      <w:sz w:val="24"/>
      <w:lang w:val="en-GB" w:eastAsia="en-GB"/>
    </w:rPr>
  </w:style>
  <w:style w:type="character" w:customStyle="1" w:styleId="80">
    <w:name w:val="导则正文 Char"/>
    <w:link w:val="81"/>
    <w:qFormat/>
    <w:uiPriority w:val="99"/>
    <w:rPr>
      <w:szCs w:val="21"/>
    </w:rPr>
  </w:style>
  <w:style w:type="paragraph" w:customStyle="1" w:styleId="81">
    <w:name w:val="导则正文"/>
    <w:basedOn w:val="1"/>
    <w:link w:val="80"/>
    <w:qFormat/>
    <w:uiPriority w:val="99"/>
    <w:pPr>
      <w:widowControl w:val="0"/>
      <w:spacing w:line="360" w:lineRule="auto"/>
      <w:ind w:firstLine="482" w:firstLineChars="200"/>
      <w:textAlignment w:val="auto"/>
    </w:pPr>
    <w:rPr>
      <w:color w:val="auto"/>
      <w:sz w:val="20"/>
      <w:szCs w:val="21"/>
    </w:rPr>
  </w:style>
  <w:style w:type="character" w:customStyle="1" w:styleId="82">
    <w:name w:val="批注文字 字符"/>
    <w:link w:val="23"/>
    <w:semiHidden/>
    <w:qFormat/>
    <w:uiPriority w:val="99"/>
    <w:rPr>
      <w:kern w:val="2"/>
      <w:sz w:val="21"/>
      <w:szCs w:val="24"/>
    </w:rPr>
  </w:style>
  <w:style w:type="character" w:customStyle="1" w:styleId="83">
    <w:name w:val="表标题 Char"/>
    <w:link w:val="84"/>
    <w:qFormat/>
    <w:locked/>
    <w:uiPriority w:val="0"/>
    <w:rPr>
      <w:rFonts w:eastAsia="仿宋"/>
      <w:b/>
      <w:bCs/>
      <w:sz w:val="28"/>
      <w:szCs w:val="18"/>
    </w:rPr>
  </w:style>
  <w:style w:type="paragraph" w:customStyle="1" w:styleId="84">
    <w:name w:val="表标题"/>
    <w:basedOn w:val="45"/>
    <w:link w:val="83"/>
    <w:qFormat/>
    <w:uiPriority w:val="0"/>
    <w:pPr>
      <w:spacing w:before="0" w:beforeAutospacing="0" w:after="0" w:afterAutospacing="0" w:line="560" w:lineRule="exact"/>
      <w:jc w:val="center"/>
    </w:pPr>
    <w:rPr>
      <w:rFonts w:ascii="Times New Roman" w:hAnsi="Times New Roman" w:eastAsia="仿宋"/>
      <w:b/>
      <w:bCs/>
      <w:sz w:val="28"/>
      <w:szCs w:val="18"/>
    </w:rPr>
  </w:style>
  <w:style w:type="character" w:customStyle="1" w:styleId="85">
    <w:name w:val="页眉 字符"/>
    <w:link w:val="37"/>
    <w:qFormat/>
    <w:uiPriority w:val="99"/>
    <w:rPr>
      <w:color w:val="000000"/>
      <w:sz w:val="18"/>
      <w:szCs w:val="18"/>
      <w:u w:color="000000"/>
    </w:rPr>
  </w:style>
  <w:style w:type="character" w:customStyle="1" w:styleId="86">
    <w:name w:val="批注主题 字符"/>
    <w:link w:val="47"/>
    <w:qFormat/>
    <w:uiPriority w:val="0"/>
    <w:rPr>
      <w:b/>
      <w:bCs/>
      <w:color w:val="000000"/>
      <w:kern w:val="2"/>
      <w:sz w:val="21"/>
      <w:szCs w:val="24"/>
      <w:u w:color="000000"/>
    </w:rPr>
  </w:style>
  <w:style w:type="character" w:customStyle="1" w:styleId="87">
    <w:name w:val="纯文本 字符"/>
    <w:link w:val="31"/>
    <w:qFormat/>
    <w:uiPriority w:val="0"/>
    <w:rPr>
      <w:rFonts w:ascii="宋体" w:hAnsi="Courier New"/>
      <w:sz w:val="21"/>
    </w:rPr>
  </w:style>
  <w:style w:type="paragraph" w:customStyle="1" w:styleId="88">
    <w:name w:val="章标题"/>
    <w:next w:val="71"/>
    <w:qFormat/>
    <w:uiPriority w:val="0"/>
    <w:pPr>
      <w:spacing w:beforeLines="50" w:afterLines="50"/>
      <w:jc w:val="both"/>
      <w:outlineLvl w:val="1"/>
    </w:pPr>
    <w:rPr>
      <w:rFonts w:ascii="黑体" w:hAnsi="Times New Roman" w:eastAsia="黑体" w:cs="Times New Roman"/>
      <w:sz w:val="21"/>
      <w:lang w:val="en-US" w:eastAsia="zh-CN" w:bidi="ar-SA"/>
    </w:rPr>
  </w:style>
  <w:style w:type="paragraph" w:customStyle="1" w:styleId="89">
    <w:name w:val="五级条标题"/>
    <w:basedOn w:val="90"/>
    <w:next w:val="71"/>
    <w:qFormat/>
    <w:uiPriority w:val="0"/>
    <w:pPr>
      <w:outlineLvl w:val="6"/>
    </w:pPr>
  </w:style>
  <w:style w:type="paragraph" w:customStyle="1" w:styleId="90">
    <w:name w:val="四级条标题"/>
    <w:basedOn w:val="91"/>
    <w:next w:val="71"/>
    <w:qFormat/>
    <w:uiPriority w:val="0"/>
    <w:pPr>
      <w:outlineLvl w:val="5"/>
    </w:pPr>
  </w:style>
  <w:style w:type="paragraph" w:customStyle="1" w:styleId="91">
    <w:name w:val="三级条标题"/>
    <w:basedOn w:val="92"/>
    <w:next w:val="71"/>
    <w:qFormat/>
    <w:uiPriority w:val="0"/>
    <w:pPr>
      <w:outlineLvl w:val="4"/>
    </w:pPr>
  </w:style>
  <w:style w:type="paragraph" w:customStyle="1" w:styleId="92">
    <w:name w:val="二级条标题"/>
    <w:basedOn w:val="93"/>
    <w:next w:val="71"/>
    <w:qFormat/>
    <w:uiPriority w:val="99"/>
    <w:pPr>
      <w:outlineLvl w:val="3"/>
    </w:pPr>
  </w:style>
  <w:style w:type="paragraph" w:customStyle="1" w:styleId="93">
    <w:name w:val="一级条标题"/>
    <w:next w:val="1"/>
    <w:qFormat/>
    <w:uiPriority w:val="99"/>
    <w:pPr>
      <w:outlineLvl w:val="2"/>
    </w:pPr>
    <w:rPr>
      <w:rFonts w:ascii="Times New Roman" w:hAnsi="Times New Roman" w:eastAsia="黑体" w:cs="Times New Roman"/>
      <w:sz w:val="21"/>
      <w:lang w:val="en-US" w:eastAsia="zh-CN" w:bidi="ar-SA"/>
    </w:rPr>
  </w:style>
  <w:style w:type="paragraph" w:customStyle="1" w:styleId="94">
    <w:name w:val="Char Char Char Char Char Char Char"/>
    <w:basedOn w:val="1"/>
    <w:qFormat/>
    <w:uiPriority w:val="0"/>
    <w:pPr>
      <w:spacing w:after="160" w:line="240" w:lineRule="exact"/>
      <w:jc w:val="left"/>
      <w:textAlignment w:val="auto"/>
    </w:pPr>
    <w:rPr>
      <w:rFonts w:ascii="Verdana" w:hAnsi="Verdana"/>
      <w:color w:val="auto"/>
      <w:sz w:val="20"/>
      <w:lang w:eastAsia="en-US"/>
    </w:rPr>
  </w:style>
  <w:style w:type="paragraph" w:customStyle="1" w:styleId="95">
    <w:name w:val="目次、标准名称标题"/>
    <w:basedOn w:val="96"/>
    <w:next w:val="71"/>
    <w:qFormat/>
    <w:uiPriority w:val="0"/>
    <w:pPr>
      <w:spacing w:line="460" w:lineRule="exact"/>
    </w:pPr>
  </w:style>
  <w:style w:type="paragraph" w:customStyle="1" w:styleId="96">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97">
    <w:name w:val="标准书眉_偶数页"/>
    <w:basedOn w:val="98"/>
    <w:next w:val="1"/>
    <w:qFormat/>
    <w:uiPriority w:val="0"/>
    <w:pPr>
      <w:tabs>
        <w:tab w:val="center" w:pos="4154"/>
        <w:tab w:val="right" w:pos="8306"/>
      </w:tabs>
      <w:jc w:val="left"/>
    </w:pPr>
  </w:style>
  <w:style w:type="paragraph" w:customStyle="1" w:styleId="9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99">
    <w:name w:val="二级无"/>
    <w:basedOn w:val="92"/>
    <w:qFormat/>
    <w:uiPriority w:val="0"/>
    <w:rPr>
      <w:rFonts w:ascii="宋体" w:eastAsia="宋体"/>
      <w:szCs w:val="21"/>
    </w:rPr>
  </w:style>
  <w:style w:type="paragraph" w:customStyle="1" w:styleId="100">
    <w:name w:val="Char Char Char Char Char Char Char Char Char Char Char Char Char Char Char Char"/>
    <w:basedOn w:val="1"/>
    <w:qFormat/>
    <w:uiPriority w:val="0"/>
    <w:pPr>
      <w:spacing w:after="160" w:line="240" w:lineRule="exact"/>
      <w:jc w:val="left"/>
    </w:pPr>
    <w:rPr>
      <w:rFonts w:ascii="Verdana" w:hAnsi="Verdana"/>
      <w:sz w:val="20"/>
      <w:lang w:eastAsia="en-US"/>
    </w:rPr>
  </w:style>
  <w:style w:type="paragraph" w:customStyle="1" w:styleId="101">
    <w:name w:val="封面正文"/>
    <w:qFormat/>
    <w:uiPriority w:val="0"/>
    <w:pPr>
      <w:jc w:val="both"/>
    </w:pPr>
    <w:rPr>
      <w:rFonts w:ascii="Times New Roman" w:hAnsi="Times New Roman" w:eastAsia="宋体" w:cs="Times New Roman"/>
      <w:lang w:val="en-US" w:eastAsia="zh-CN" w:bidi="ar-SA"/>
    </w:rPr>
  </w:style>
  <w:style w:type="paragraph" w:customStyle="1" w:styleId="102">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103">
    <w:name w:val="tablehead"/>
    <w:basedOn w:val="1"/>
    <w:next w:val="1"/>
    <w:qFormat/>
    <w:uiPriority w:val="0"/>
    <w:pPr>
      <w:keepNext/>
      <w:spacing w:before="80" w:after="80" w:line="240" w:lineRule="auto"/>
      <w:jc w:val="left"/>
      <w:textAlignment w:val="auto"/>
    </w:pPr>
    <w:rPr>
      <w:b/>
      <w:sz w:val="20"/>
      <w:lang w:val="en-GB" w:eastAsia="en-US"/>
    </w:rPr>
  </w:style>
  <w:style w:type="paragraph" w:customStyle="1" w:styleId="104">
    <w:name w:val="图和表标题"/>
    <w:next w:val="71"/>
    <w:qFormat/>
    <w:uiPriority w:val="0"/>
    <w:pPr>
      <w:spacing w:line="440" w:lineRule="exact"/>
      <w:jc w:val="center"/>
    </w:pPr>
    <w:rPr>
      <w:rFonts w:ascii="黑体" w:hAnsi="Times New Roman" w:eastAsia="黑体" w:cs="Times New Roman"/>
      <w:sz w:val="24"/>
      <w:lang w:val="en-US" w:eastAsia="zh-CN" w:bidi="ar-SA"/>
    </w:rPr>
  </w:style>
  <w:style w:type="paragraph" w:customStyle="1" w:styleId="105">
    <w:name w:val="Char1"/>
    <w:basedOn w:val="1"/>
    <w:qFormat/>
    <w:uiPriority w:val="0"/>
    <w:pPr>
      <w:adjustRightInd w:val="0"/>
      <w:spacing w:after="160" w:line="240" w:lineRule="exact"/>
      <w:jc w:val="left"/>
    </w:pPr>
    <w:rPr>
      <w:rFonts w:ascii="Arial" w:hAnsi="Arial" w:eastAsia="Times New Roman" w:cs="Verdana"/>
      <w:b/>
      <w:color w:val="auto"/>
      <w:sz w:val="24"/>
      <w:szCs w:val="24"/>
      <w:lang w:eastAsia="en-US"/>
    </w:rPr>
  </w:style>
  <w:style w:type="paragraph" w:customStyle="1" w:styleId="10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07">
    <w:name w:val="无级项"/>
    <w:basedOn w:val="71"/>
    <w:qFormat/>
    <w:uiPriority w:val="0"/>
    <w:pPr>
      <w:numPr>
        <w:ilvl w:val="6"/>
        <w:numId w:val="5"/>
      </w:numPr>
      <w:autoSpaceDE/>
      <w:autoSpaceDN/>
      <w:spacing w:line="440" w:lineRule="exact"/>
      <w:ind w:firstLineChars="0"/>
      <w:jc w:val="left"/>
    </w:pPr>
    <w:rPr>
      <w:sz w:val="24"/>
    </w:rPr>
  </w:style>
  <w:style w:type="paragraph" w:customStyle="1" w:styleId="108">
    <w:name w:val="实施日期"/>
    <w:basedOn w:val="109"/>
    <w:qFormat/>
    <w:uiPriority w:val="99"/>
    <w:pPr>
      <w:framePr w:hSpace="0" w:xAlign="right"/>
      <w:jc w:val="right"/>
    </w:pPr>
  </w:style>
  <w:style w:type="paragraph" w:customStyle="1" w:styleId="109">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10">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11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12">
    <w:name w:val="附录四级条标题"/>
    <w:basedOn w:val="113"/>
    <w:next w:val="71"/>
    <w:qFormat/>
    <w:uiPriority w:val="0"/>
    <w:pPr>
      <w:outlineLvl w:val="5"/>
    </w:pPr>
  </w:style>
  <w:style w:type="paragraph" w:customStyle="1" w:styleId="113">
    <w:name w:val="附录三级条标题"/>
    <w:basedOn w:val="114"/>
    <w:next w:val="71"/>
    <w:qFormat/>
    <w:uiPriority w:val="0"/>
    <w:pPr>
      <w:outlineLvl w:val="4"/>
    </w:pPr>
  </w:style>
  <w:style w:type="paragraph" w:customStyle="1" w:styleId="114">
    <w:name w:val="附录二级条标题"/>
    <w:basedOn w:val="115"/>
    <w:next w:val="71"/>
    <w:qFormat/>
    <w:uiPriority w:val="0"/>
    <w:pPr>
      <w:outlineLvl w:val="3"/>
    </w:pPr>
  </w:style>
  <w:style w:type="paragraph" w:customStyle="1" w:styleId="115">
    <w:name w:val="附录一级条标题"/>
    <w:basedOn w:val="116"/>
    <w:next w:val="71"/>
    <w:qFormat/>
    <w:uiPriority w:val="0"/>
    <w:pPr>
      <w:autoSpaceDN w:val="0"/>
      <w:spacing w:beforeLines="0" w:afterLines="0"/>
      <w:outlineLvl w:val="2"/>
    </w:pPr>
  </w:style>
  <w:style w:type="paragraph" w:customStyle="1" w:styleId="116">
    <w:name w:val="附录章标题"/>
    <w:next w:val="71"/>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17">
    <w:name w:val="附录标识"/>
    <w:basedOn w:val="96"/>
    <w:qFormat/>
    <w:uiPriority w:val="0"/>
    <w:pPr>
      <w:tabs>
        <w:tab w:val="left" w:pos="6405"/>
      </w:tabs>
      <w:spacing w:after="200"/>
    </w:pPr>
    <w:rPr>
      <w:sz w:val="21"/>
    </w:rPr>
  </w:style>
  <w:style w:type="paragraph" w:customStyle="1" w:styleId="118">
    <w:name w:val="表内序号"/>
    <w:basedOn w:val="1"/>
    <w:qFormat/>
    <w:uiPriority w:val="0"/>
    <w:pPr>
      <w:widowControl w:val="0"/>
      <w:numPr>
        <w:ilvl w:val="0"/>
        <w:numId w:val="6"/>
      </w:numPr>
      <w:tabs>
        <w:tab w:val="left" w:pos="580"/>
      </w:tabs>
      <w:autoSpaceDE w:val="0"/>
      <w:autoSpaceDN w:val="0"/>
      <w:snapToGrid w:val="0"/>
      <w:spacing w:line="360" w:lineRule="auto"/>
      <w:textAlignment w:val="auto"/>
    </w:pPr>
    <w:rPr>
      <w:rFonts w:ascii="Arial" w:hAnsi="Arial"/>
      <w:sz w:val="24"/>
    </w:rPr>
  </w:style>
  <w:style w:type="paragraph" w:customStyle="1" w:styleId="119">
    <w:name w:val="其他实施日期"/>
    <w:basedOn w:val="108"/>
    <w:qFormat/>
    <w:uiPriority w:val="0"/>
    <w:pPr>
      <w:framePr w:w="3997" w:h="471" w:hRule="exact" w:vSpace="181" w:vAnchor="page" w:hAnchor="page" w:x="7089" w:y="14097"/>
    </w:pPr>
  </w:style>
  <w:style w:type="paragraph" w:customStyle="1" w:styleId="120">
    <w:name w:val="Char Char Char Char Char Char Char Char Char Char Char"/>
    <w:basedOn w:val="1"/>
    <w:qFormat/>
    <w:uiPriority w:val="0"/>
    <w:pPr>
      <w:widowControl w:val="0"/>
      <w:spacing w:line="240" w:lineRule="auto"/>
      <w:textAlignment w:val="auto"/>
    </w:pPr>
    <w:rPr>
      <w:color w:val="auto"/>
      <w:kern w:val="2"/>
      <w:szCs w:val="24"/>
    </w:rPr>
  </w:style>
  <w:style w:type="paragraph" w:customStyle="1" w:styleId="121">
    <w:name w:val="封面标准号2"/>
    <w:basedOn w:val="122"/>
    <w:qFormat/>
    <w:uiPriority w:val="99"/>
    <w:pPr>
      <w:framePr w:w="9138" w:h="1244" w:hRule="exact" w:wrap="around" w:vAnchor="page" w:hAnchor="margin" w:y="2908"/>
      <w:adjustRightInd w:val="0"/>
      <w:spacing w:before="357" w:line="280" w:lineRule="exact"/>
    </w:pPr>
  </w:style>
  <w:style w:type="paragraph" w:customStyle="1" w:styleId="122">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23">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24">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25">
    <w:name w:val="发布部门"/>
    <w:next w:val="71"/>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126">
    <w:name w:val="注："/>
    <w:next w:val="71"/>
    <w:qFormat/>
    <w:uiPriority w:val="0"/>
    <w:pPr>
      <w:widowControl w:val="0"/>
      <w:numPr>
        <w:ilvl w:val="0"/>
        <w:numId w:val="7"/>
      </w:numPr>
      <w:tabs>
        <w:tab w:val="clear" w:pos="1140"/>
      </w:tabs>
      <w:autoSpaceDE w:val="0"/>
      <w:autoSpaceDN w:val="0"/>
      <w:jc w:val="both"/>
    </w:pPr>
    <w:rPr>
      <w:rFonts w:ascii="宋体" w:hAnsi="Times New Roman" w:eastAsia="宋体" w:cs="Times New Roman"/>
      <w:sz w:val="18"/>
      <w:lang w:val="en-US" w:eastAsia="zh-CN" w:bidi="ar-SA"/>
    </w:rPr>
  </w:style>
  <w:style w:type="paragraph" w:customStyle="1" w:styleId="127">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128">
    <w:name w:val="数字项"/>
    <w:basedOn w:val="129"/>
    <w:qFormat/>
    <w:uiPriority w:val="0"/>
    <w:pPr>
      <w:numPr>
        <w:ilvl w:val="8"/>
      </w:numPr>
      <w:ind w:left="640" w:leftChars="440" w:hanging="200"/>
    </w:pPr>
  </w:style>
  <w:style w:type="paragraph" w:customStyle="1" w:styleId="129">
    <w:name w:val="字母项"/>
    <w:basedOn w:val="71"/>
    <w:qFormat/>
    <w:uiPriority w:val="0"/>
    <w:pPr>
      <w:numPr>
        <w:ilvl w:val="7"/>
        <w:numId w:val="8"/>
      </w:numPr>
      <w:autoSpaceDE/>
      <w:autoSpaceDN/>
      <w:spacing w:line="440" w:lineRule="exact"/>
      <w:ind w:left="440" w:leftChars="240" w:hanging="200" w:hangingChars="200"/>
      <w:jc w:val="left"/>
    </w:pPr>
    <w:rPr>
      <w:sz w:val="24"/>
    </w:rPr>
  </w:style>
  <w:style w:type="paragraph" w:customStyle="1" w:styleId="130">
    <w:name w:val="Char Char Char Char Char Char Char Char Char Char Char1"/>
    <w:basedOn w:val="1"/>
    <w:qFormat/>
    <w:uiPriority w:val="0"/>
    <w:pPr>
      <w:widowControl w:val="0"/>
      <w:spacing w:line="240" w:lineRule="auto"/>
      <w:textAlignment w:val="auto"/>
    </w:pPr>
    <w:rPr>
      <w:color w:val="auto"/>
      <w:kern w:val="2"/>
      <w:szCs w:val="24"/>
    </w:rPr>
  </w:style>
  <w:style w:type="paragraph" w:customStyle="1" w:styleId="131">
    <w:name w:val="条文脚注"/>
    <w:basedOn w:val="39"/>
    <w:qFormat/>
    <w:uiPriority w:val="0"/>
    <w:pPr>
      <w:ind w:left="780" w:leftChars="200" w:hanging="360" w:hangingChars="200"/>
      <w:jc w:val="both"/>
    </w:pPr>
    <w:rPr>
      <w:rFonts w:ascii="宋体"/>
    </w:rPr>
  </w:style>
  <w:style w:type="paragraph" w:customStyle="1" w:styleId="132">
    <w:name w:val="封面标准代替信息"/>
    <w:basedOn w:val="121"/>
    <w:qFormat/>
    <w:uiPriority w:val="0"/>
    <w:pPr>
      <w:spacing w:before="57"/>
    </w:pPr>
    <w:rPr>
      <w:rFonts w:ascii="宋体"/>
      <w:sz w:val="21"/>
    </w:rPr>
  </w:style>
  <w:style w:type="paragraph" w:customStyle="1" w:styleId="133">
    <w:name w:val="TOC 标题1"/>
    <w:basedOn w:val="3"/>
    <w:next w:val="1"/>
    <w:qFormat/>
    <w:uiPriority w:val="39"/>
    <w:pPr>
      <w:spacing w:before="480" w:after="0" w:line="276" w:lineRule="auto"/>
      <w:jc w:val="left"/>
      <w:textAlignment w:val="auto"/>
      <w:outlineLvl w:val="9"/>
    </w:pPr>
    <w:rPr>
      <w:rFonts w:ascii="Cambria" w:hAnsi="Cambria"/>
      <w:color w:val="365F91"/>
      <w:kern w:val="0"/>
      <w:sz w:val="28"/>
      <w:szCs w:val="28"/>
    </w:rPr>
  </w:style>
  <w:style w:type="paragraph" w:customStyle="1" w:styleId="134">
    <w:name w:val="参考文献、索引标题"/>
    <w:basedOn w:val="96"/>
    <w:next w:val="1"/>
    <w:qFormat/>
    <w:uiPriority w:val="0"/>
    <w:pPr>
      <w:spacing w:after="200"/>
    </w:pPr>
    <w:rPr>
      <w:sz w:val="21"/>
    </w:rPr>
  </w:style>
  <w:style w:type="paragraph" w:customStyle="1" w:styleId="13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7">
    <w:name w:val="四级条"/>
    <w:basedOn w:val="77"/>
    <w:next w:val="71"/>
    <w:qFormat/>
    <w:uiPriority w:val="0"/>
  </w:style>
  <w:style w:type="paragraph" w:customStyle="1" w:styleId="138">
    <w:name w:val="图表脚注"/>
    <w:next w:val="71"/>
    <w:qFormat/>
    <w:uiPriority w:val="99"/>
    <w:pPr>
      <w:ind w:left="300" w:leftChars="200" w:hanging="100" w:hangingChars="100"/>
      <w:jc w:val="both"/>
    </w:pPr>
    <w:rPr>
      <w:rFonts w:ascii="宋体" w:hAnsi="Times New Roman" w:eastAsia="宋体" w:cs="Times New Roman"/>
      <w:sz w:val="18"/>
      <w:lang w:val="en-US" w:eastAsia="zh-CN" w:bidi="ar-SA"/>
    </w:rPr>
  </w:style>
  <w:style w:type="paragraph" w:customStyle="1" w:styleId="139">
    <w:name w:val="修订1"/>
    <w:semiHidden/>
    <w:qFormat/>
    <w:uiPriority w:val="99"/>
    <w:rPr>
      <w:rFonts w:ascii="Times New Roman" w:hAnsi="Times New Roman" w:eastAsia="宋体" w:cs="Times New Roman"/>
      <w:color w:val="000000"/>
      <w:sz w:val="21"/>
      <w:u w:color="000000"/>
      <w:lang w:val="en-US" w:eastAsia="zh-CN" w:bidi="ar-SA"/>
    </w:rPr>
  </w:style>
  <w:style w:type="paragraph" w:customStyle="1" w:styleId="140">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41">
    <w:name w:val="示例"/>
    <w:next w:val="71"/>
    <w:qFormat/>
    <w:uiPriority w:val="0"/>
    <w:pPr>
      <w:numPr>
        <w:ilvl w:val="0"/>
        <w:numId w:val="9"/>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142">
    <w:name w:val="Table Text"/>
    <w:basedOn w:val="1"/>
    <w:qFormat/>
    <w:uiPriority w:val="0"/>
    <w:pPr>
      <w:spacing w:line="240" w:lineRule="auto"/>
      <w:jc w:val="left"/>
      <w:textAlignment w:val="auto"/>
    </w:pPr>
    <w:rPr>
      <w:color w:val="auto"/>
      <w:sz w:val="20"/>
    </w:rPr>
  </w:style>
  <w:style w:type="paragraph" w:customStyle="1" w:styleId="143">
    <w:name w:val="三级条"/>
    <w:basedOn w:val="77"/>
    <w:qFormat/>
    <w:uiPriority w:val="0"/>
  </w:style>
  <w:style w:type="paragraph" w:customStyle="1" w:styleId="144">
    <w:name w:val="附录图标题"/>
    <w:next w:val="71"/>
    <w:qFormat/>
    <w:uiPriority w:val="0"/>
    <w:pPr>
      <w:numPr>
        <w:ilvl w:val="0"/>
        <w:numId w:val="10"/>
      </w:numPr>
      <w:jc w:val="center"/>
    </w:pPr>
    <w:rPr>
      <w:rFonts w:ascii="黑体" w:hAnsi="Times New Roman" w:eastAsia="黑体" w:cs="Times New Roman"/>
      <w:sz w:val="21"/>
      <w:lang w:val="en-US" w:eastAsia="zh-CN" w:bidi="ar-SA"/>
    </w:rPr>
  </w:style>
  <w:style w:type="paragraph" w:customStyle="1" w:styleId="145">
    <w:name w:val="编号列项（三级）"/>
    <w:qFormat/>
    <w:uiPriority w:val="0"/>
    <w:pPr>
      <w:ind w:left="800" w:leftChars="600" w:hanging="200" w:hangingChars="200"/>
    </w:pPr>
    <w:rPr>
      <w:rFonts w:ascii="宋体" w:hAnsi="Times New Roman" w:eastAsia="宋体" w:cs="Times New Roman"/>
      <w:sz w:val="21"/>
      <w:lang w:val="en-US" w:eastAsia="zh-CN" w:bidi="ar-SA"/>
    </w:rPr>
  </w:style>
  <w:style w:type="paragraph" w:customStyle="1" w:styleId="146">
    <w:name w:val="正文表标题"/>
    <w:next w:val="71"/>
    <w:qFormat/>
    <w:uiPriority w:val="0"/>
    <w:pPr>
      <w:numPr>
        <w:ilvl w:val="0"/>
        <w:numId w:val="11"/>
      </w:numPr>
      <w:jc w:val="center"/>
    </w:pPr>
    <w:rPr>
      <w:rFonts w:ascii="黑体" w:hAnsi="Times New Roman" w:eastAsia="黑体" w:cs="Times New Roman"/>
      <w:sz w:val="21"/>
      <w:lang w:val="en-US" w:eastAsia="zh-CN" w:bidi="ar-SA"/>
    </w:rPr>
  </w:style>
  <w:style w:type="paragraph" w:customStyle="1" w:styleId="147">
    <w:name w:val="列项——（一级）"/>
    <w:qFormat/>
    <w:uiPriority w:val="0"/>
    <w:pPr>
      <w:widowControl w:val="0"/>
      <w:numPr>
        <w:ilvl w:val="0"/>
        <w:numId w:val="12"/>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148">
    <w:name w:val="注×："/>
    <w:qFormat/>
    <w:uiPriority w:val="0"/>
    <w:pPr>
      <w:widowControl w:val="0"/>
      <w:numPr>
        <w:ilvl w:val="0"/>
        <w:numId w:val="13"/>
      </w:numPr>
      <w:tabs>
        <w:tab w:val="left" w:pos="630"/>
        <w:tab w:val="clear" w:pos="900"/>
      </w:tabs>
      <w:autoSpaceDE w:val="0"/>
      <w:autoSpaceDN w:val="0"/>
      <w:jc w:val="both"/>
    </w:pPr>
    <w:rPr>
      <w:rFonts w:ascii="宋体" w:hAnsi="Times New Roman" w:eastAsia="宋体" w:cs="Times New Roman"/>
      <w:sz w:val="18"/>
      <w:lang w:val="en-US" w:eastAsia="zh-CN" w:bidi="ar-SA"/>
    </w:rPr>
  </w:style>
  <w:style w:type="paragraph" w:styleId="149">
    <w:name w:val="List Paragraph"/>
    <w:basedOn w:val="1"/>
    <w:qFormat/>
    <w:uiPriority w:val="34"/>
    <w:pPr>
      <w:ind w:firstLine="420" w:firstLineChars="200"/>
    </w:pPr>
  </w:style>
  <w:style w:type="paragraph" w:customStyle="1" w:styleId="150">
    <w:name w:val="附录表标题"/>
    <w:next w:val="71"/>
    <w:qFormat/>
    <w:uiPriority w:val="0"/>
    <w:pPr>
      <w:numPr>
        <w:ilvl w:val="0"/>
        <w:numId w:val="14"/>
      </w:numPr>
      <w:jc w:val="center"/>
      <w:textAlignment w:val="baseline"/>
    </w:pPr>
    <w:rPr>
      <w:rFonts w:ascii="黑体" w:hAnsi="Times New Roman" w:eastAsia="黑体" w:cs="Times New Roman"/>
      <w:kern w:val="21"/>
      <w:sz w:val="21"/>
      <w:lang w:val="en-US" w:eastAsia="zh-CN" w:bidi="ar-SA"/>
    </w:rPr>
  </w:style>
  <w:style w:type="paragraph" w:customStyle="1" w:styleId="151">
    <w:name w:val="默认段落字体 Para Char Char Char Char Char Char Char"/>
    <w:basedOn w:val="1"/>
    <w:qFormat/>
    <w:uiPriority w:val="0"/>
    <w:pPr>
      <w:widowControl w:val="0"/>
      <w:spacing w:line="360" w:lineRule="auto"/>
      <w:textAlignment w:val="auto"/>
    </w:pPr>
    <w:rPr>
      <w:color w:val="auto"/>
      <w:kern w:val="2"/>
      <w:sz w:val="24"/>
      <w:szCs w:val="24"/>
    </w:rPr>
  </w:style>
  <w:style w:type="paragraph" w:customStyle="1" w:styleId="152">
    <w:name w:val="附录五级条标题"/>
    <w:basedOn w:val="112"/>
    <w:next w:val="71"/>
    <w:qFormat/>
    <w:uiPriority w:val="0"/>
    <w:pPr>
      <w:outlineLvl w:val="6"/>
    </w:pPr>
  </w:style>
  <w:style w:type="paragraph" w:customStyle="1" w:styleId="153">
    <w:name w:val="注×：（正文）"/>
    <w:qFormat/>
    <w:uiPriority w:val="0"/>
    <w:pPr>
      <w:numPr>
        <w:ilvl w:val="0"/>
        <w:numId w:val="15"/>
      </w:numPr>
      <w:jc w:val="both"/>
    </w:pPr>
    <w:rPr>
      <w:rFonts w:ascii="宋体" w:hAnsi="Times New Roman" w:eastAsia="宋体" w:cs="Times New Roman"/>
      <w:sz w:val="18"/>
      <w:szCs w:val="18"/>
      <w:lang w:val="en-US" w:eastAsia="zh-CN" w:bidi="ar-SA"/>
    </w:rPr>
  </w:style>
  <w:style w:type="paragraph" w:customStyle="1" w:styleId="154">
    <w:name w:val="其他发布部门"/>
    <w:basedOn w:val="125"/>
    <w:qFormat/>
    <w:uiPriority w:val="0"/>
    <w:pPr>
      <w:spacing w:line="0" w:lineRule="atLeast"/>
    </w:pPr>
    <w:rPr>
      <w:rFonts w:ascii="黑体" w:eastAsia="黑体"/>
      <w:b w:val="0"/>
    </w:rPr>
  </w:style>
  <w:style w:type="paragraph" w:customStyle="1" w:styleId="155">
    <w:name w:val="其他发布日期"/>
    <w:basedOn w:val="109"/>
    <w:qFormat/>
    <w:uiPriority w:val="0"/>
    <w:pPr>
      <w:framePr w:w="3997" w:h="471" w:hRule="exact" w:hSpace="0" w:vSpace="181" w:vAnchor="page" w:hAnchor="page" w:x="1419" w:y="14097"/>
    </w:pPr>
  </w:style>
  <w:style w:type="paragraph" w:customStyle="1" w:styleId="156">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57">
    <w:name w:val="正文图标题"/>
    <w:next w:val="71"/>
    <w:qFormat/>
    <w:uiPriority w:val="0"/>
    <w:pPr>
      <w:numPr>
        <w:ilvl w:val="0"/>
        <w:numId w:val="16"/>
      </w:numPr>
      <w:jc w:val="center"/>
    </w:pPr>
    <w:rPr>
      <w:rFonts w:ascii="黑体" w:hAnsi="Times New Roman" w:eastAsia="黑体" w:cs="Times New Roman"/>
      <w:sz w:val="21"/>
      <w:lang w:val="en-US" w:eastAsia="zh-CN" w:bidi="ar-SA"/>
    </w:rPr>
  </w:style>
  <w:style w:type="paragraph" w:customStyle="1" w:styleId="158">
    <w:name w:val="列项◆（三级）"/>
    <w:qFormat/>
    <w:uiPriority w:val="0"/>
    <w:pPr>
      <w:numPr>
        <w:ilvl w:val="0"/>
        <w:numId w:val="17"/>
      </w:numPr>
      <w:ind w:left="800" w:leftChars="600" w:hanging="200" w:hangingChars="200"/>
    </w:pPr>
    <w:rPr>
      <w:rFonts w:ascii="宋体" w:hAnsi="Times New Roman" w:eastAsia="宋体" w:cs="Times New Roman"/>
      <w:sz w:val="21"/>
      <w:lang w:val="en-US" w:eastAsia="zh-CN" w:bidi="ar-SA"/>
    </w:rPr>
  </w:style>
  <w:style w:type="paragraph" w:customStyle="1" w:styleId="159">
    <w:name w:val="列项●（二级）"/>
    <w:qFormat/>
    <w:uiPriority w:val="0"/>
    <w:pPr>
      <w:numPr>
        <w:ilvl w:val="0"/>
        <w:numId w:val="18"/>
      </w:numPr>
      <w:tabs>
        <w:tab w:val="left" w:pos="840"/>
      </w:tabs>
      <w:ind w:left="600" w:leftChars="400" w:hanging="200" w:hangingChars="200"/>
      <w:jc w:val="both"/>
    </w:pPr>
    <w:rPr>
      <w:rFonts w:ascii="宋体" w:hAnsi="Times New Roman" w:eastAsia="宋体" w:cs="Times New Roman"/>
      <w:sz w:val="21"/>
      <w:lang w:val="en-US" w:eastAsia="zh-CN" w:bidi="ar-SA"/>
    </w:rPr>
  </w:style>
  <w:style w:type="paragraph" w:customStyle="1" w:styleId="160">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61">
    <w:name w:val="标准书眉一"/>
    <w:qFormat/>
    <w:uiPriority w:val="0"/>
    <w:pPr>
      <w:jc w:val="both"/>
    </w:pPr>
    <w:rPr>
      <w:rFonts w:ascii="Times New Roman" w:hAnsi="Times New Roman" w:eastAsia="宋体" w:cs="Times New Roman"/>
      <w:lang w:val="en-US" w:eastAsia="zh-CN" w:bidi="ar-SA"/>
    </w:rPr>
  </w:style>
  <w:style w:type="paragraph" w:customStyle="1" w:styleId="16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63">
    <w:name w:val="非标题一级条"/>
    <w:next w:val="71"/>
    <w:qFormat/>
    <w:uiPriority w:val="0"/>
    <w:pPr>
      <w:spacing w:line="440" w:lineRule="exact"/>
    </w:pPr>
    <w:rPr>
      <w:rFonts w:ascii="宋体" w:hAnsi="Times New Roman" w:eastAsia="宋体" w:cs="Times New Roman"/>
      <w:sz w:val="24"/>
      <w:lang w:val="en-US" w:eastAsia="zh-CN" w:bidi="ar-SA"/>
    </w:rPr>
  </w:style>
  <w:style w:type="paragraph" w:customStyle="1" w:styleId="164">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character" w:customStyle="1" w:styleId="165">
    <w:name w:val="批注框文本 字符"/>
    <w:basedOn w:val="53"/>
    <w:link w:val="35"/>
    <w:semiHidden/>
    <w:qFormat/>
    <w:uiPriority w:val="0"/>
    <w:rPr>
      <w:color w:val="000000"/>
      <w:sz w:val="18"/>
      <w:szCs w:val="18"/>
      <w:u w:color="000000"/>
    </w:rPr>
  </w:style>
  <w:style w:type="paragraph" w:customStyle="1" w:styleId="166">
    <w:name w:val="正文-缩进"/>
    <w:basedOn w:val="1"/>
    <w:next w:val="1"/>
    <w:link w:val="167"/>
    <w:qFormat/>
    <w:uiPriority w:val="0"/>
    <w:pPr>
      <w:autoSpaceDE w:val="0"/>
      <w:autoSpaceDN w:val="0"/>
      <w:ind w:firstLine="200" w:firstLineChars="200"/>
    </w:pPr>
    <w:rPr>
      <w:rFonts w:ascii="宋体" w:hAnsi="宋体"/>
      <w:szCs w:val="26"/>
      <w:lang w:eastAsia="en-US"/>
    </w:rPr>
  </w:style>
  <w:style w:type="character" w:customStyle="1" w:styleId="167">
    <w:name w:val="正文-缩进 Char"/>
    <w:link w:val="166"/>
    <w:qFormat/>
    <w:uiPriority w:val="0"/>
    <w:rPr>
      <w:rFonts w:ascii="宋体" w:hAnsi="宋体"/>
      <w:color w:val="000000"/>
      <w:sz w:val="21"/>
      <w:szCs w:val="26"/>
      <w:u w:color="000000"/>
      <w:lang w:eastAsia="en-US"/>
    </w:rPr>
  </w:style>
  <w:style w:type="paragraph" w:customStyle="1" w:styleId="168">
    <w:name w:val="修订2"/>
    <w:hidden/>
    <w:unhideWhenUsed/>
    <w:qFormat/>
    <w:uiPriority w:val="99"/>
    <w:rPr>
      <w:rFonts w:ascii="Times New Roman" w:hAnsi="Times New Roman" w:eastAsia="宋体" w:cs="Times New Roman"/>
      <w:color w:val="000000"/>
      <w:sz w:val="21"/>
      <w:u w:color="000000"/>
      <w:lang w:val="en-US" w:eastAsia="zh-CN" w:bidi="ar-SA"/>
    </w:rPr>
  </w:style>
  <w:style w:type="character" w:customStyle="1" w:styleId="169">
    <w:name w:val="标题 1 字符"/>
    <w:link w:val="3"/>
    <w:qFormat/>
    <w:uiPriority w:val="99"/>
    <w:rPr>
      <w:b/>
      <w:bCs/>
      <w:color w:val="000000"/>
      <w:kern w:val="44"/>
      <w:sz w:val="44"/>
      <w:szCs w:val="44"/>
      <w:u w:color="000000"/>
    </w:rPr>
  </w:style>
  <w:style w:type="character" w:customStyle="1" w:styleId="170">
    <w:name w:val="正文文本首行缩进 字符"/>
    <w:basedOn w:val="53"/>
    <w:link w:val="48"/>
    <w:qFormat/>
    <w:uiPriority w:val="0"/>
    <w:rPr>
      <w:i/>
      <w:color w:val="FF0000"/>
      <w:kern w:val="2"/>
      <w:sz w:val="21"/>
      <w:szCs w:val="24"/>
      <w:u w:color="000000"/>
    </w:rPr>
  </w:style>
  <w:style w:type="paragraph" w:customStyle="1" w:styleId="171">
    <w:name w:val="Revision"/>
    <w:hidden/>
    <w:semiHidden/>
    <w:qFormat/>
    <w:uiPriority w:val="99"/>
    <w:rPr>
      <w:rFonts w:ascii="Times New Roman" w:hAnsi="Times New Roman" w:eastAsia="宋体" w:cs="Times New Roman"/>
      <w:color w:val="000000"/>
      <w:sz w:val="21"/>
      <w:u w:color="000000"/>
      <w:lang w:val="en-US" w:eastAsia="zh-CN" w:bidi="ar-SA"/>
    </w:rPr>
  </w:style>
  <w:style w:type="paragraph" w:customStyle="1" w:styleId="172">
    <w:name w:val="pf0"/>
    <w:basedOn w:val="1"/>
    <w:qFormat/>
    <w:uiPriority w:val="0"/>
    <w:pPr>
      <w:spacing w:before="100" w:beforeAutospacing="1" w:after="100" w:afterAutospacing="1" w:line="240" w:lineRule="auto"/>
      <w:jc w:val="left"/>
      <w:textAlignment w:val="auto"/>
    </w:pPr>
    <w:rPr>
      <w:rFonts w:ascii="宋体" w:hAnsi="宋体" w:cs="宋体"/>
      <w:color w:val="auto"/>
      <w:sz w:val="24"/>
      <w:szCs w:val="24"/>
    </w:rPr>
  </w:style>
  <w:style w:type="character" w:customStyle="1" w:styleId="173">
    <w:name w:val="cf01"/>
    <w:basedOn w:val="53"/>
    <w:qFormat/>
    <w:uiPriority w:val="0"/>
    <w:rPr>
      <w:rFonts w:hint="eastAsia" w:ascii="Microsoft YaHei UI" w:hAnsi="Microsoft YaHei UI" w:eastAsia="Microsoft YaHei UI"/>
      <w:sz w:val="18"/>
      <w:szCs w:val="18"/>
    </w:rPr>
  </w:style>
  <w:style w:type="character" w:customStyle="1" w:styleId="174">
    <w:name w:val="cf11"/>
    <w:basedOn w:val="53"/>
    <w:qFormat/>
    <w:uiPriority w:val="0"/>
    <w:rPr>
      <w:rFonts w:hint="eastAsia" w:ascii="Microsoft YaHei UI" w:hAnsi="Microsoft YaHei UI" w:eastAsia="Microsoft YaHei UI"/>
      <w:sz w:val="18"/>
      <w:szCs w:val="18"/>
    </w:rPr>
  </w:style>
  <w:style w:type="paragraph" w:customStyle="1" w:styleId="175">
    <w:name w:val="样式2标题2"/>
    <w:basedOn w:val="1"/>
    <w:qFormat/>
    <w:uiPriority w:val="0"/>
    <w:pPr>
      <w:spacing w:line="560" w:lineRule="exact"/>
      <w:ind w:firstLine="200" w:firstLineChars="200"/>
    </w:pPr>
    <w:rPr>
      <w:rFonts w:ascii="楷体_GB2312" w:hAnsi="宋体" w:eastAsia="楷体_GB2312"/>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9" Type="http://schemas.openxmlformats.org/officeDocument/2006/relationships/fontTable" Target="fontTable.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7.png"/><Relationship Id="rId45" Type="http://schemas.openxmlformats.org/officeDocument/2006/relationships/image" Target="media/image6.wmf"/><Relationship Id="rId44" Type="http://schemas.openxmlformats.org/officeDocument/2006/relationships/oleObject" Target="embeddings/oleObject4.bin"/><Relationship Id="rId43" Type="http://schemas.openxmlformats.org/officeDocument/2006/relationships/image" Target="media/image5.png"/><Relationship Id="rId42" Type="http://schemas.openxmlformats.org/officeDocument/2006/relationships/image" Target="media/image4.png"/><Relationship Id="rId41" Type="http://schemas.openxmlformats.org/officeDocument/2006/relationships/image" Target="media/image3.wmf"/><Relationship Id="rId40" Type="http://schemas.openxmlformats.org/officeDocument/2006/relationships/oleObject" Target="embeddings/oleObject3.bin"/><Relationship Id="rId4" Type="http://schemas.openxmlformats.org/officeDocument/2006/relationships/endnotes" Target="endnotes.xml"/><Relationship Id="rId39" Type="http://schemas.openxmlformats.org/officeDocument/2006/relationships/image" Target="media/image2.wmf"/><Relationship Id="rId38" Type="http://schemas.openxmlformats.org/officeDocument/2006/relationships/oleObject" Target="embeddings/oleObject2.bin"/><Relationship Id="rId37" Type="http://schemas.openxmlformats.org/officeDocument/2006/relationships/image" Target="media/image1.wmf"/><Relationship Id="rId36" Type="http://schemas.openxmlformats.org/officeDocument/2006/relationships/oleObject" Target="embeddings/oleObject1.bin"/><Relationship Id="rId35" Type="http://schemas.openxmlformats.org/officeDocument/2006/relationships/theme" Target="theme/theme1.xml"/><Relationship Id="rId34" Type="http://schemas.openxmlformats.org/officeDocument/2006/relationships/footer" Target="footer14.xml"/><Relationship Id="rId33" Type="http://schemas.openxmlformats.org/officeDocument/2006/relationships/footer" Target="footer13.xml"/><Relationship Id="rId32" Type="http://schemas.openxmlformats.org/officeDocument/2006/relationships/footer" Target="footer12.xml"/><Relationship Id="rId31" Type="http://schemas.openxmlformats.org/officeDocument/2006/relationships/header" Target="header16.xml"/><Relationship Id="rId30" Type="http://schemas.openxmlformats.org/officeDocument/2006/relationships/footer" Target="footer11.xml"/><Relationship Id="rId3" Type="http://schemas.openxmlformats.org/officeDocument/2006/relationships/footnotes" Target="footnotes.xml"/><Relationship Id="rId29" Type="http://schemas.openxmlformats.org/officeDocument/2006/relationships/footer" Target="footer10.xml"/><Relationship Id="rId28" Type="http://schemas.openxmlformats.org/officeDocument/2006/relationships/footer" Target="footer9.xml"/><Relationship Id="rId27" Type="http://schemas.openxmlformats.org/officeDocument/2006/relationships/footer" Target="footer8.xml"/><Relationship Id="rId26" Type="http://schemas.openxmlformats.org/officeDocument/2006/relationships/header" Target="header15.xml"/><Relationship Id="rId25" Type="http://schemas.openxmlformats.org/officeDocument/2006/relationships/header" Target="header14.xml"/><Relationship Id="rId24" Type="http://schemas.openxmlformats.org/officeDocument/2006/relationships/footer" Target="footer7.xml"/><Relationship Id="rId23" Type="http://schemas.openxmlformats.org/officeDocument/2006/relationships/footer" Target="footer6.xml"/><Relationship Id="rId22" Type="http://schemas.openxmlformats.org/officeDocument/2006/relationships/header" Target="header13.xml"/><Relationship Id="rId21" Type="http://schemas.openxmlformats.org/officeDocument/2006/relationships/footer" Target="footer5.xml"/><Relationship Id="rId20" Type="http://schemas.openxmlformats.org/officeDocument/2006/relationships/footer" Target="footer4.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3.xml"/><Relationship Id="rId12" Type="http://schemas.openxmlformats.org/officeDocument/2006/relationships/footer" Target="footer2.xml"/><Relationship Id="rId11" Type="http://schemas.openxmlformats.org/officeDocument/2006/relationships/footer" Target="footer1.xml"/><Relationship Id="rId10" Type="http://schemas.openxmlformats.org/officeDocument/2006/relationships/header" Target="header6.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yj/D:\Program%20Files\tds2.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tds2</Template>
  <Company>hqc</Company>
  <Pages>1</Pages>
  <Words>4332</Words>
  <Characters>24694</Characters>
  <Lines>205</Lines>
  <Paragraphs>57</Paragraphs>
  <TotalTime>1</TotalTime>
  <ScaleCrop>false</ScaleCrop>
  <LinksUpToDate>false</LinksUpToDate>
  <CharactersWithSpaces>28969</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2023-02-26T06:39:00Z</dcterms:created>
  <dc:creator>sz</dc:creator>
  <cp:lastModifiedBy>Jiapeng</cp:lastModifiedBy>
  <cp:lastPrinted>2022-09-23T10:34:00Z</cp:lastPrinted>
  <dcterms:modified xsi:type="dcterms:W3CDTF">2023-03-30T17:20:07Z</dcterms:modified>
  <dc:title>标准名称</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DS属性">
    <vt:lpwstr>TDS 2.0 Document</vt:lpwstr>
  </property>
  <property fmtid="{D5CDD505-2E9C-101B-9397-08002B2CF9AE}" pid="3" name="KSOProductBuildVer">
    <vt:lpwstr>2052-11.8.2.10505</vt:lpwstr>
  </property>
  <property fmtid="{D5CDD505-2E9C-101B-9397-08002B2CF9AE}" pid="4" name="ICV">
    <vt:lpwstr>779DF3F815974BE6B4EC7A1D6301879B</vt:lpwstr>
  </property>
</Properties>
</file>