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outlineLvl w:val="0"/>
        <w:rPr>
          <w:rFonts w:hint="eastAsia" w:ascii="黑体" w:hAnsi="黑体" w:eastAsia="黑体" w:cs="黑体"/>
          <w:b w:val="0"/>
          <w:bCs w:val="0"/>
          <w:spacing w:val="0"/>
          <w:sz w:val="32"/>
          <w:szCs w:val="32"/>
          <w:lang w:val="en-US" w:eastAsia="zh-CN"/>
        </w:rPr>
      </w:pPr>
      <w:r>
        <w:rPr>
          <w:rFonts w:hint="eastAsia" w:ascii="黑体" w:hAnsi="黑体" w:eastAsia="黑体" w:cs="黑体"/>
          <w:b w:val="0"/>
          <w:bCs w:val="0"/>
          <w:spacing w:val="0"/>
          <w:sz w:val="32"/>
          <w:szCs w:val="32"/>
          <w:lang w:eastAsia="zh-CN"/>
        </w:rPr>
        <w:t>附件</w:t>
      </w:r>
      <w:r>
        <w:rPr>
          <w:rFonts w:hint="eastAsia" w:ascii="宋体" w:hAnsi="宋体" w:eastAsia="宋体" w:cs="宋体"/>
          <w:b w:val="0"/>
          <w:bCs w:val="0"/>
          <w:spacing w:val="0"/>
          <w:sz w:val="32"/>
          <w:szCs w:val="32"/>
          <w:lang w:val="en-US" w:eastAsia="zh-CN"/>
        </w:rPr>
        <w:t>2</w:t>
      </w:r>
      <w:bookmarkStart w:id="12" w:name="_GoBack"/>
      <w:bookmarkEnd w:id="12"/>
    </w:p>
    <w:p>
      <w:pPr>
        <w:rPr>
          <w:rFonts w:hint="eastAsia" w:ascii="宋体" w:hAnsi="宋体" w:eastAsia="仿宋"/>
          <w:sz w:val="30"/>
          <w:szCs w:val="30"/>
        </w:rPr>
      </w:pPr>
    </w:p>
    <w:p>
      <w:pPr>
        <w:rPr>
          <w:rFonts w:hint="eastAsia" w:ascii="宋体" w:hAnsi="宋体" w:eastAsia="仿宋"/>
          <w:sz w:val="44"/>
          <w:szCs w:val="44"/>
        </w:rPr>
      </w:pPr>
    </w:p>
    <w:p>
      <w:pPr>
        <w:rPr>
          <w:rFonts w:hint="eastAsia" w:ascii="宋体" w:hAnsi="宋体" w:eastAsia="仿宋"/>
          <w:sz w:val="44"/>
          <w:szCs w:val="44"/>
        </w:rPr>
      </w:pPr>
    </w:p>
    <w:p>
      <w:pPr>
        <w:rPr>
          <w:rFonts w:hint="eastAsia" w:ascii="宋体" w:hAnsi="宋体" w:eastAsia="仿宋"/>
          <w:sz w:val="44"/>
          <w:szCs w:val="44"/>
        </w:rPr>
      </w:pPr>
    </w:p>
    <w:p>
      <w:pPr>
        <w:jc w:val="center"/>
        <w:rPr>
          <w:rFonts w:hint="eastAsia" w:ascii="宋体" w:hAnsi="宋体" w:eastAsia="方正小标宋简体"/>
          <w:sz w:val="44"/>
          <w:szCs w:val="44"/>
        </w:rPr>
      </w:pPr>
      <w:bookmarkStart w:id="0" w:name="_Toc2085077807_WPSOffice_Level2"/>
      <w:r>
        <w:rPr>
          <w:rFonts w:hint="eastAsia" w:ascii="宋体" w:hAnsi="宋体" w:eastAsia="方正小标宋简体"/>
          <w:sz w:val="44"/>
          <w:szCs w:val="44"/>
        </w:rPr>
        <w:t>《铝加工（深井铸造）安全规范》</w:t>
      </w:r>
    </w:p>
    <w:p>
      <w:pPr>
        <w:jc w:val="center"/>
        <w:rPr>
          <w:rFonts w:hint="eastAsia" w:ascii="宋体" w:hAnsi="宋体" w:eastAsia="仿宋_GB2312"/>
          <w:sz w:val="32"/>
          <w:szCs w:val="32"/>
        </w:rPr>
      </w:pPr>
      <w:r>
        <w:rPr>
          <w:rFonts w:hint="eastAsia" w:ascii="宋体" w:hAnsi="宋体" w:eastAsia="仿宋_GB2312"/>
          <w:sz w:val="32"/>
          <w:szCs w:val="32"/>
        </w:rPr>
        <w:t>（■征求意见稿</w:t>
      </w:r>
      <w:r>
        <w:rPr>
          <w:rFonts w:ascii="宋体" w:hAnsi="宋体" w:eastAsia="仿宋_GB2312"/>
          <w:sz w:val="32"/>
          <w:szCs w:val="32"/>
        </w:rPr>
        <w:t xml:space="preserve">  </w:t>
      </w:r>
      <w:r>
        <w:rPr>
          <w:rFonts w:hint="eastAsia" w:ascii="宋体" w:hAnsi="宋体" w:eastAsia="仿宋_GB2312"/>
          <w:sz w:val="32"/>
          <w:szCs w:val="32"/>
        </w:rPr>
        <w:t>□送审稿</w:t>
      </w:r>
      <w:r>
        <w:rPr>
          <w:rFonts w:ascii="宋体" w:hAnsi="宋体" w:eastAsia="仿宋_GB2312"/>
          <w:sz w:val="32"/>
          <w:szCs w:val="32"/>
        </w:rPr>
        <w:t xml:space="preserve">  </w:t>
      </w:r>
      <w:r>
        <w:rPr>
          <w:rFonts w:hint="eastAsia" w:ascii="宋体" w:hAnsi="宋体" w:eastAsia="仿宋_GB2312"/>
          <w:sz w:val="32"/>
          <w:szCs w:val="32"/>
        </w:rPr>
        <w:t>□报批稿）</w:t>
      </w:r>
    </w:p>
    <w:p>
      <w:pPr>
        <w:jc w:val="center"/>
        <w:rPr>
          <w:rFonts w:hint="eastAsia" w:ascii="宋体" w:hAnsi="宋体" w:eastAsia="方正小标宋简体"/>
          <w:sz w:val="44"/>
          <w:szCs w:val="44"/>
        </w:rPr>
      </w:pPr>
    </w:p>
    <w:p>
      <w:pPr>
        <w:jc w:val="center"/>
        <w:rPr>
          <w:rFonts w:hint="eastAsia" w:ascii="宋体" w:hAnsi="宋体" w:eastAsia="黑体" w:cs="黑体"/>
          <w:sz w:val="44"/>
          <w:szCs w:val="44"/>
        </w:rPr>
      </w:pPr>
      <w:r>
        <w:rPr>
          <w:rFonts w:hint="eastAsia" w:ascii="宋体" w:hAnsi="宋体" w:eastAsia="黑体" w:cs="黑体"/>
          <w:sz w:val="44"/>
          <w:szCs w:val="44"/>
        </w:rPr>
        <w:t>编制说明</w:t>
      </w:r>
      <w:bookmarkEnd w:id="0"/>
    </w:p>
    <w:p>
      <w:pPr>
        <w:jc w:val="center"/>
        <w:rPr>
          <w:rFonts w:hint="eastAsia" w:ascii="宋体" w:hAnsi="宋体" w:eastAsia="仿宋"/>
          <w:b/>
          <w:bCs/>
          <w:i/>
          <w:iCs/>
          <w:sz w:val="28"/>
          <w:szCs w:val="28"/>
        </w:rPr>
      </w:pPr>
      <w:r>
        <w:rPr>
          <w:rFonts w:ascii="宋体" w:hAnsi="宋体" w:eastAsia="仿宋"/>
          <w:i/>
          <w:iCs/>
          <w:sz w:val="28"/>
          <w:szCs w:val="28"/>
        </w:rPr>
        <w:br w:type="textWrapping"/>
      </w:r>
    </w:p>
    <w:p>
      <w:pPr>
        <w:jc w:val="center"/>
        <w:rPr>
          <w:rFonts w:hint="eastAsia" w:ascii="宋体" w:hAnsi="宋体" w:eastAsia="仿宋_GB2312"/>
          <w:i/>
          <w:iCs/>
          <w:sz w:val="28"/>
          <w:szCs w:val="28"/>
        </w:rPr>
      </w:pPr>
    </w:p>
    <w:p>
      <w:pPr>
        <w:jc w:val="center"/>
        <w:rPr>
          <w:rFonts w:hint="eastAsia" w:ascii="宋体" w:hAnsi="宋体" w:eastAsia="仿宋_GB2312"/>
          <w:i/>
          <w:iCs/>
          <w:sz w:val="28"/>
          <w:szCs w:val="28"/>
        </w:rPr>
      </w:pPr>
    </w:p>
    <w:p>
      <w:pPr>
        <w:rPr>
          <w:rFonts w:hint="eastAsia" w:ascii="宋体" w:hAnsi="宋体" w:eastAsia="仿宋_GB2312"/>
          <w:i/>
          <w:iCs/>
          <w:sz w:val="28"/>
          <w:szCs w:val="28"/>
        </w:rPr>
      </w:pPr>
    </w:p>
    <w:p>
      <w:pPr>
        <w:jc w:val="center"/>
        <w:rPr>
          <w:rFonts w:hint="eastAsia" w:ascii="宋体" w:hAnsi="宋体" w:eastAsia="仿宋_GB2312"/>
          <w:i/>
          <w:iCs/>
          <w:sz w:val="28"/>
          <w:szCs w:val="28"/>
        </w:rPr>
      </w:pPr>
    </w:p>
    <w:p>
      <w:pPr>
        <w:jc w:val="center"/>
        <w:rPr>
          <w:rFonts w:hint="eastAsia" w:ascii="宋体" w:hAnsi="宋体" w:eastAsia="仿宋_GB2312"/>
          <w:i/>
          <w:iCs/>
          <w:sz w:val="28"/>
          <w:szCs w:val="28"/>
        </w:rPr>
      </w:pPr>
    </w:p>
    <w:p>
      <w:pPr>
        <w:jc w:val="center"/>
        <w:rPr>
          <w:rFonts w:hint="eastAsia" w:ascii="宋体" w:hAnsi="宋体" w:eastAsia="仿宋_GB2312"/>
          <w:i/>
          <w:iCs/>
          <w:sz w:val="28"/>
          <w:szCs w:val="28"/>
        </w:rPr>
      </w:pPr>
    </w:p>
    <w:p>
      <w:pPr>
        <w:jc w:val="center"/>
        <w:rPr>
          <w:rFonts w:hint="eastAsia" w:ascii="宋体" w:hAnsi="宋体" w:eastAsia="仿宋_GB2312"/>
          <w:i/>
          <w:iCs/>
          <w:sz w:val="28"/>
          <w:szCs w:val="28"/>
        </w:rPr>
      </w:pPr>
    </w:p>
    <w:p>
      <w:pPr>
        <w:rPr>
          <w:rFonts w:hint="eastAsia" w:ascii="宋体" w:hAnsi="宋体" w:eastAsia="仿宋_GB2312"/>
          <w:sz w:val="28"/>
          <w:szCs w:val="28"/>
        </w:rPr>
      </w:pPr>
    </w:p>
    <w:p>
      <w:pPr>
        <w:jc w:val="center"/>
        <w:rPr>
          <w:rFonts w:hint="eastAsia" w:ascii="宋体" w:hAnsi="宋体" w:eastAsia="仿宋_GB2312" w:cs="仿宋_GB2312"/>
          <w:sz w:val="32"/>
          <w:szCs w:val="32"/>
        </w:rPr>
      </w:pPr>
      <w:r>
        <w:rPr>
          <w:rFonts w:hint="eastAsia" w:ascii="宋体" w:hAnsi="宋体" w:eastAsia="仿宋_GB2312" w:cs="仿宋_GB2312"/>
          <w:sz w:val="32"/>
          <w:szCs w:val="32"/>
        </w:rPr>
        <w:t>标准编制组</w:t>
      </w:r>
    </w:p>
    <w:p>
      <w:pPr>
        <w:jc w:val="center"/>
        <w:rPr>
          <w:rFonts w:hint="eastAsia" w:ascii="宋体" w:hAnsi="宋体"/>
          <w:b/>
          <w:sz w:val="32"/>
          <w:szCs w:val="32"/>
        </w:rPr>
      </w:pPr>
      <w:r>
        <w:rPr>
          <w:rFonts w:hint="eastAsia" w:ascii="宋体" w:hAnsi="宋体" w:eastAsia="仿宋_GB2312" w:cs="仿宋_GB2312"/>
          <w:sz w:val="32"/>
          <w:szCs w:val="32"/>
        </w:rPr>
        <w:t>2024年1</w:t>
      </w:r>
      <w:r>
        <w:rPr>
          <w:rFonts w:ascii="宋体" w:hAnsi="宋体" w:eastAsia="仿宋_GB2312" w:cs="仿宋_GB2312"/>
          <w:sz w:val="32"/>
          <w:szCs w:val="32"/>
        </w:rPr>
        <w:t>2</w:t>
      </w:r>
      <w:r>
        <w:rPr>
          <w:rFonts w:hint="eastAsia" w:ascii="宋体" w:hAnsi="宋体" w:eastAsia="仿宋_GB2312" w:cs="仿宋_GB2312"/>
          <w:sz w:val="32"/>
          <w:szCs w:val="32"/>
        </w:rPr>
        <w:t>月</w:t>
      </w:r>
      <w:r>
        <w:rPr>
          <w:rFonts w:ascii="宋体" w:hAnsi="宋体" w:eastAsia="仿宋_GB2312" w:cs="仿宋_GB2312"/>
          <w:sz w:val="32"/>
          <w:szCs w:val="32"/>
        </w:rPr>
        <w:t>2</w:t>
      </w:r>
      <w:r>
        <w:rPr>
          <w:rFonts w:hint="eastAsia" w:ascii="宋体" w:hAnsi="宋体" w:eastAsia="仿宋_GB2312" w:cs="仿宋_GB2312"/>
          <w:sz w:val="32"/>
          <w:szCs w:val="32"/>
        </w:rPr>
        <w:t>3日</w:t>
      </w:r>
    </w:p>
    <w:p>
      <w:pPr>
        <w:ind w:firstLine="880" w:firstLineChars="200"/>
        <w:jc w:val="center"/>
        <w:rPr>
          <w:rFonts w:hint="eastAsia" w:ascii="宋体" w:hAnsi="宋体" w:eastAsia="方正小标宋_GBK" w:cs="方正小标宋_GBK"/>
          <w:sz w:val="44"/>
          <w:szCs w:val="44"/>
        </w:rPr>
        <w:sectPr>
          <w:pgSz w:w="11906" w:h="16838"/>
          <w:pgMar w:top="1701" w:right="1474" w:bottom="1474" w:left="1587" w:header="851" w:footer="992" w:gutter="0"/>
          <w:cols w:space="0" w:num="1"/>
          <w:docGrid w:type="lines" w:linePitch="312" w:charSpace="0"/>
        </w:sectPr>
      </w:pPr>
    </w:p>
    <w:p>
      <w:pPr>
        <w:ind w:firstLine="880" w:firstLineChars="200"/>
        <w:jc w:val="center"/>
        <w:rPr>
          <w:rFonts w:hint="eastAsia" w:ascii="宋体" w:hAnsi="宋体" w:eastAsia="方正小标宋_GBK" w:cs="方正小标宋_GBK"/>
          <w:sz w:val="44"/>
          <w:szCs w:val="44"/>
        </w:rPr>
      </w:pPr>
      <w:r>
        <w:rPr>
          <w:rFonts w:hint="eastAsia" w:ascii="宋体" w:hAnsi="宋体" w:eastAsia="方正小标宋_GBK" w:cs="方正小标宋_GBK"/>
          <w:sz w:val="44"/>
          <w:szCs w:val="44"/>
        </w:rPr>
        <w:t>说 明</w:t>
      </w:r>
    </w:p>
    <w:p>
      <w:pPr>
        <w:spacing w:line="360" w:lineRule="auto"/>
        <w:rPr>
          <w:rFonts w:hint="eastAsia" w:ascii="宋体" w:hAnsi="宋体" w:eastAsia="仿宋_GB2312"/>
          <w:sz w:val="24"/>
          <w:szCs w:val="21"/>
        </w:rPr>
      </w:pPr>
      <w:r>
        <w:rPr>
          <w:rFonts w:hint="eastAsia" w:ascii="宋体" w:hAnsi="宋体" w:eastAsia="仿宋_GB2312"/>
          <w:sz w:val="24"/>
          <w:szCs w:val="21"/>
        </w:rPr>
        <w:t xml:space="preserve">    1．标准编制说明的封面</w:t>
      </w:r>
    </w:p>
    <w:p>
      <w:pPr>
        <w:spacing w:line="360" w:lineRule="auto"/>
        <w:ind w:firstLine="480" w:firstLineChars="200"/>
        <w:rPr>
          <w:rFonts w:hint="eastAsia" w:ascii="宋体" w:hAnsi="宋体" w:eastAsia="仿宋_GB2312"/>
          <w:sz w:val="24"/>
          <w:szCs w:val="21"/>
        </w:rPr>
      </w:pPr>
      <w:r>
        <w:rPr>
          <w:rFonts w:hint="eastAsia" w:ascii="宋体" w:hAnsi="宋体" w:eastAsia="仿宋_GB2312"/>
          <w:sz w:val="24"/>
          <w:szCs w:val="21"/>
        </w:rPr>
        <w:t>（1）标准名称。应在封面靠上居中位置，与标准稿名称保持一致。字体字号为方正小标宋二号。</w:t>
      </w:r>
    </w:p>
    <w:p>
      <w:pPr>
        <w:spacing w:line="360" w:lineRule="auto"/>
        <w:ind w:firstLine="480" w:firstLineChars="200"/>
        <w:rPr>
          <w:rFonts w:hint="eastAsia" w:ascii="宋体" w:hAnsi="宋体" w:eastAsia="仿宋_GB2312"/>
          <w:sz w:val="24"/>
          <w:szCs w:val="21"/>
        </w:rPr>
      </w:pPr>
      <w:r>
        <w:rPr>
          <w:rFonts w:hint="eastAsia" w:ascii="宋体" w:hAnsi="宋体" w:eastAsia="仿宋_GB2312"/>
          <w:sz w:val="24"/>
          <w:szCs w:val="21"/>
        </w:rPr>
        <w:t>（2）标准文稿版次。在标准名称下方“征求意见稿、送审稿、报批稿”前的方框涂选其一，例如“</w:t>
      </w:r>
      <w:r>
        <w:rPr>
          <w:rFonts w:hint="eastAsia" w:ascii="宋体" w:hAnsi="宋体" w:eastAsia="东文宋体" w:cs="东文宋体"/>
          <w:sz w:val="24"/>
          <w:szCs w:val="21"/>
        </w:rPr>
        <w:t>■</w:t>
      </w:r>
      <w:r>
        <w:rPr>
          <w:rFonts w:hint="eastAsia" w:ascii="宋体" w:hAnsi="宋体" w:eastAsia="仿宋_GB2312"/>
          <w:sz w:val="24"/>
          <w:szCs w:val="21"/>
        </w:rPr>
        <w:t>征求意见稿”。字体字号为仿宋三号。</w:t>
      </w:r>
    </w:p>
    <w:p>
      <w:pPr>
        <w:spacing w:line="360" w:lineRule="auto"/>
        <w:ind w:firstLine="480" w:firstLineChars="200"/>
        <w:rPr>
          <w:rFonts w:hint="eastAsia" w:ascii="宋体" w:hAnsi="宋体" w:eastAsia="仿宋_GB2312"/>
          <w:sz w:val="24"/>
          <w:szCs w:val="21"/>
        </w:rPr>
      </w:pPr>
      <w:r>
        <w:rPr>
          <w:rFonts w:hint="eastAsia" w:ascii="宋体" w:hAnsi="宋体" w:eastAsia="仿宋_GB2312"/>
          <w:sz w:val="24"/>
          <w:szCs w:val="21"/>
        </w:rPr>
        <w:t>（3）标准编制组。在封面靠下居中位置。字体字号为仿宋三号。</w:t>
      </w:r>
    </w:p>
    <w:p>
      <w:pPr>
        <w:spacing w:line="360" w:lineRule="auto"/>
        <w:ind w:firstLine="480" w:firstLineChars="200"/>
        <w:rPr>
          <w:rFonts w:hint="eastAsia" w:ascii="宋体" w:hAnsi="宋体" w:eastAsia="仿宋_GB2312"/>
          <w:sz w:val="24"/>
          <w:szCs w:val="21"/>
        </w:rPr>
      </w:pPr>
      <w:r>
        <w:rPr>
          <w:rFonts w:hint="eastAsia" w:ascii="宋体" w:hAnsi="宋体" w:eastAsia="仿宋_GB2312"/>
          <w:sz w:val="24"/>
          <w:szCs w:val="21"/>
        </w:rPr>
        <w:t>（4）编制日期。编制日期为本阶段完成的日期，以数字格式书写，字体为宋体，字号为三号。如：“2020</w:t>
      </w:r>
      <w:r>
        <w:rPr>
          <w:rFonts w:hint="eastAsia" w:ascii="宋体" w:hAnsi="宋体" w:eastAsia="仿宋_GB2312" w:cs="仿宋_GB2312"/>
          <w:sz w:val="24"/>
          <w:szCs w:val="21"/>
        </w:rPr>
        <w:t>年3月30日”</w:t>
      </w:r>
      <w:r>
        <w:rPr>
          <w:rFonts w:hint="eastAsia" w:ascii="宋体" w:hAnsi="宋体" w:eastAsia="仿宋_GB2312"/>
          <w:sz w:val="24"/>
          <w:szCs w:val="21"/>
        </w:rPr>
        <w:t>。</w:t>
      </w:r>
    </w:p>
    <w:p>
      <w:pPr>
        <w:spacing w:line="360" w:lineRule="auto"/>
        <w:rPr>
          <w:rFonts w:hint="eastAsia" w:ascii="宋体" w:hAnsi="宋体" w:eastAsia="仿宋_GB2312"/>
          <w:sz w:val="24"/>
          <w:szCs w:val="21"/>
        </w:rPr>
      </w:pPr>
      <w:r>
        <w:rPr>
          <w:rFonts w:hint="eastAsia" w:ascii="宋体" w:hAnsi="宋体" w:eastAsia="仿宋_GB2312"/>
          <w:sz w:val="24"/>
          <w:szCs w:val="21"/>
        </w:rPr>
        <w:t xml:space="preserve">    2．标准编制说明的正文</w:t>
      </w:r>
    </w:p>
    <w:p>
      <w:pPr>
        <w:spacing w:line="360" w:lineRule="auto"/>
        <w:ind w:firstLine="480" w:firstLineChars="200"/>
        <w:rPr>
          <w:rFonts w:hint="eastAsia" w:ascii="宋体" w:hAnsi="宋体" w:eastAsia="仿宋_GB2312"/>
          <w:sz w:val="24"/>
          <w:szCs w:val="21"/>
        </w:rPr>
      </w:pPr>
      <w:r>
        <w:rPr>
          <w:rFonts w:hint="eastAsia" w:ascii="宋体" w:hAnsi="宋体" w:eastAsia="仿宋_GB2312"/>
          <w:sz w:val="24"/>
          <w:szCs w:val="21"/>
        </w:rPr>
        <w:t>（1）正文页边距为上3cm、下</w:t>
      </w:r>
      <w:r>
        <w:rPr>
          <w:rFonts w:ascii="宋体" w:hAnsi="宋体" w:eastAsia="仿宋_GB2312"/>
          <w:sz w:val="24"/>
          <w:szCs w:val="21"/>
        </w:rPr>
        <w:t>2.6</w:t>
      </w:r>
      <w:r>
        <w:rPr>
          <w:rFonts w:hint="eastAsia" w:ascii="宋体" w:hAnsi="宋体" w:eastAsia="仿宋_GB2312"/>
          <w:sz w:val="24"/>
          <w:szCs w:val="21"/>
        </w:rPr>
        <w:t>cm、左2.8cm、右2.6cm。</w:t>
      </w:r>
    </w:p>
    <w:p>
      <w:pPr>
        <w:spacing w:line="360" w:lineRule="auto"/>
        <w:ind w:firstLine="480" w:firstLineChars="200"/>
        <w:rPr>
          <w:rFonts w:hint="eastAsia" w:ascii="宋体" w:hAnsi="宋体" w:eastAsia="仿宋_GB2312"/>
          <w:sz w:val="24"/>
          <w:szCs w:val="21"/>
        </w:rPr>
      </w:pPr>
      <w:r>
        <w:rPr>
          <w:rFonts w:hint="eastAsia" w:ascii="宋体" w:hAnsi="宋体" w:eastAsia="仿宋_GB2312"/>
          <w:sz w:val="24"/>
          <w:szCs w:val="21"/>
        </w:rPr>
        <w:t>（2）正文标题，一级标题用黑体三号字，二级标题用楷体三号字不加粗。三级、四级标题用仿宋GB-2312三号字不加粗。文中结构层次序数为“一、”“（一）”“1.”“（1）”标注。</w:t>
      </w:r>
    </w:p>
    <w:p>
      <w:pPr>
        <w:spacing w:line="360" w:lineRule="auto"/>
        <w:ind w:firstLine="480" w:firstLineChars="200"/>
        <w:rPr>
          <w:rFonts w:hint="eastAsia" w:ascii="宋体" w:hAnsi="宋体" w:eastAsia="仿宋_GB2312"/>
          <w:sz w:val="24"/>
          <w:szCs w:val="21"/>
        </w:rPr>
      </w:pPr>
      <w:r>
        <w:rPr>
          <w:rFonts w:hint="eastAsia" w:ascii="宋体" w:hAnsi="宋体" w:eastAsia="仿宋_GB2312"/>
          <w:sz w:val="24"/>
          <w:szCs w:val="21"/>
        </w:rPr>
        <w:t>（3）正文中文字体字号为仿宋GB-2312三号字，数字、字母等西文字体为宋体三号字，段落行距为28磅，首行缩进2字符。</w:t>
      </w:r>
    </w:p>
    <w:p>
      <w:pPr>
        <w:spacing w:line="360" w:lineRule="auto"/>
        <w:rPr>
          <w:rFonts w:hint="eastAsia" w:ascii="宋体" w:hAnsi="宋体" w:eastAsia="仿宋_GB2312"/>
          <w:sz w:val="24"/>
          <w:szCs w:val="21"/>
        </w:rPr>
      </w:pPr>
      <w:r>
        <w:rPr>
          <w:rFonts w:hint="eastAsia" w:ascii="宋体" w:hAnsi="宋体" w:eastAsia="仿宋_GB2312"/>
          <w:sz w:val="24"/>
          <w:szCs w:val="21"/>
        </w:rPr>
        <w:t xml:space="preserve">    3．编制说明的内容</w:t>
      </w:r>
    </w:p>
    <w:p>
      <w:pPr>
        <w:widowControl/>
        <w:spacing w:line="360" w:lineRule="auto"/>
        <w:ind w:firstLine="480"/>
        <w:rPr>
          <w:rFonts w:hint="eastAsia" w:ascii="宋体" w:hAnsi="宋体" w:eastAsia="仿宋_GB2312"/>
          <w:sz w:val="24"/>
          <w:szCs w:val="21"/>
        </w:rPr>
      </w:pPr>
      <w:r>
        <w:rPr>
          <w:rFonts w:hint="eastAsia" w:ascii="宋体" w:hAnsi="宋体" w:eastAsia="仿宋_GB2312"/>
          <w:sz w:val="24"/>
          <w:szCs w:val="21"/>
        </w:rPr>
        <w:t>（1）应按照格式要求逐条说明，不涉及的填“无”。</w:t>
      </w:r>
    </w:p>
    <w:p>
      <w:pPr>
        <w:widowControl/>
        <w:spacing w:line="360" w:lineRule="auto"/>
        <w:ind w:firstLine="480"/>
        <w:rPr>
          <w:rFonts w:hint="eastAsia" w:ascii="宋体" w:hAnsi="宋体" w:eastAsia="仿宋_GB2312"/>
          <w:sz w:val="24"/>
          <w:szCs w:val="21"/>
        </w:rPr>
      </w:pPr>
      <w:r>
        <w:rPr>
          <w:rFonts w:hint="eastAsia" w:ascii="宋体" w:hAnsi="宋体" w:eastAsia="仿宋_GB2312"/>
          <w:sz w:val="24"/>
          <w:szCs w:val="21"/>
        </w:rPr>
        <w:t>（2）应根据工作进度不断补充完善，工作过程有连续性。</w:t>
      </w:r>
    </w:p>
    <w:p>
      <w:pPr>
        <w:widowControl/>
        <w:spacing w:line="360" w:lineRule="auto"/>
        <w:ind w:firstLine="480"/>
        <w:rPr>
          <w:rFonts w:hint="eastAsia" w:ascii="宋体" w:hAnsi="宋体" w:eastAsia="仿宋_GB2312"/>
          <w:sz w:val="24"/>
          <w:szCs w:val="21"/>
        </w:rPr>
      </w:pPr>
      <w:r>
        <w:rPr>
          <w:rFonts w:hint="eastAsia" w:ascii="宋体" w:hAnsi="宋体" w:eastAsia="仿宋_GB2312"/>
          <w:sz w:val="24"/>
          <w:szCs w:val="21"/>
        </w:rPr>
        <w:t>（3）编制说明不是对标准内容的复制。</w:t>
      </w:r>
    </w:p>
    <w:p>
      <w:pPr>
        <w:spacing w:line="360" w:lineRule="auto"/>
        <w:ind w:firstLine="480" w:firstLineChars="200"/>
        <w:rPr>
          <w:rFonts w:hint="eastAsia" w:ascii="宋体" w:hAnsi="宋体" w:eastAsia="仿宋_GB2312"/>
          <w:sz w:val="24"/>
          <w:szCs w:val="21"/>
        </w:rPr>
      </w:pPr>
      <w:r>
        <w:rPr>
          <w:rFonts w:hint="eastAsia" w:ascii="宋体" w:hAnsi="宋体" w:eastAsia="仿宋_GB2312"/>
          <w:sz w:val="24"/>
          <w:szCs w:val="21"/>
        </w:rPr>
        <w:t>（4）应关注强制性标准的依据、修订标准的主要技术内容比对、标准实施过渡期、强制性标准实施政策等重要内容的编写，详见下文模板。</w:t>
      </w:r>
    </w:p>
    <w:p>
      <w:pPr>
        <w:widowControl/>
        <w:spacing w:line="360" w:lineRule="auto"/>
        <w:rPr>
          <w:rFonts w:hint="eastAsia" w:ascii="宋体" w:hAnsi="宋体" w:eastAsia="仿宋_GB2312"/>
          <w:sz w:val="24"/>
          <w:szCs w:val="21"/>
        </w:rPr>
      </w:pPr>
      <w:r>
        <w:rPr>
          <w:rFonts w:hint="eastAsia" w:ascii="宋体" w:hAnsi="宋体" w:eastAsia="仿宋_GB2312"/>
          <w:sz w:val="24"/>
          <w:szCs w:val="21"/>
        </w:rPr>
        <w:t xml:space="preserve">    4．其他</w:t>
      </w:r>
    </w:p>
    <w:p>
      <w:pPr>
        <w:widowControl/>
        <w:spacing w:line="360" w:lineRule="auto"/>
        <w:ind w:firstLine="480"/>
        <w:rPr>
          <w:rFonts w:hint="eastAsia" w:ascii="宋体" w:hAnsi="宋体" w:eastAsia="仿宋_GB2312"/>
          <w:sz w:val="24"/>
          <w:szCs w:val="21"/>
        </w:rPr>
      </w:pPr>
      <w:r>
        <w:rPr>
          <w:rFonts w:hint="eastAsia" w:ascii="宋体" w:hAnsi="宋体" w:eastAsia="仿宋_GB2312"/>
          <w:sz w:val="24"/>
          <w:szCs w:val="21"/>
        </w:rPr>
        <w:t>（1）编制说明内容模板中的斜体文字内容为参考，正式提交后应删除。</w:t>
      </w:r>
    </w:p>
    <w:p>
      <w:pPr>
        <w:widowControl/>
        <w:spacing w:line="360" w:lineRule="auto"/>
        <w:ind w:firstLine="480"/>
        <w:rPr>
          <w:rFonts w:hint="eastAsia" w:ascii="宋体" w:hAnsi="宋体" w:eastAsia="仿宋_GB2312"/>
          <w:sz w:val="24"/>
          <w:szCs w:val="21"/>
        </w:rPr>
      </w:pPr>
      <w:r>
        <w:rPr>
          <w:rFonts w:hint="eastAsia" w:ascii="宋体" w:hAnsi="宋体" w:eastAsia="仿宋_GB2312"/>
          <w:sz w:val="24"/>
          <w:szCs w:val="21"/>
        </w:rPr>
        <w:t>（2）编制说明应正反面打印。本说明保留，打印首页反面。</w:t>
      </w:r>
    </w:p>
    <w:p>
      <w:pPr>
        <w:widowControl/>
        <w:spacing w:line="360" w:lineRule="auto"/>
        <w:ind w:firstLine="480"/>
        <w:rPr>
          <w:rFonts w:hint="eastAsia" w:ascii="宋体" w:hAnsi="宋体" w:eastAsia="仿宋_GB2312"/>
          <w:sz w:val="24"/>
          <w:szCs w:val="21"/>
        </w:rPr>
      </w:pPr>
      <w:r>
        <w:rPr>
          <w:rFonts w:hint="eastAsia" w:ascii="宋体" w:hAnsi="宋体" w:eastAsia="仿宋_GB2312"/>
          <w:sz w:val="24"/>
          <w:szCs w:val="21"/>
        </w:rPr>
        <w:t>（3）页码从第三页开始编，起始页码为“</w:t>
      </w:r>
      <w:r>
        <w:rPr>
          <w:rFonts w:ascii="宋体" w:hAnsi="宋体" w:eastAsia="仿宋_GB2312"/>
          <w:sz w:val="24"/>
          <w:szCs w:val="21"/>
        </w:rPr>
        <w:t>1</w:t>
      </w:r>
      <w:r>
        <w:rPr>
          <w:rFonts w:hint="eastAsia" w:ascii="宋体" w:hAnsi="宋体" w:eastAsia="仿宋_GB2312"/>
          <w:sz w:val="24"/>
          <w:szCs w:val="21"/>
        </w:rPr>
        <w:t>”，页码为五号宋体。</w:t>
      </w:r>
    </w:p>
    <w:p>
      <w:pPr>
        <w:ind w:firstLine="1075" w:firstLineChars="336"/>
        <w:rPr>
          <w:rFonts w:hint="eastAsia" w:ascii="宋体" w:hAnsi="宋体" w:eastAsia="等线"/>
          <w:b/>
          <w:sz w:val="32"/>
          <w:szCs w:val="32"/>
        </w:rPr>
      </w:pPr>
    </w:p>
    <w:p>
      <w:pPr>
        <w:snapToGrid w:val="0"/>
        <w:spacing w:line="360" w:lineRule="auto"/>
        <w:ind w:firstLine="560" w:firstLineChars="200"/>
        <w:rPr>
          <w:rFonts w:hint="eastAsia" w:ascii="宋体" w:hAnsi="宋体" w:eastAsia="仿宋"/>
          <w:sz w:val="28"/>
          <w:szCs w:val="28"/>
        </w:rPr>
        <w:sectPr>
          <w:footerReference r:id="rId3" w:type="default"/>
          <w:pgSz w:w="11906" w:h="16838"/>
          <w:pgMar w:top="1701" w:right="1474" w:bottom="1474" w:left="1587" w:header="851" w:footer="992" w:gutter="0"/>
          <w:pgNumType w:start="1"/>
          <w:cols w:space="0" w:num="1"/>
          <w:docGrid w:type="lines" w:linePitch="312" w:charSpace="0"/>
        </w:sectPr>
      </w:pPr>
    </w:p>
    <w:p>
      <w:pPr>
        <w:widowControl/>
        <w:spacing w:line="560" w:lineRule="exact"/>
        <w:ind w:firstLine="640" w:firstLineChars="200"/>
        <w:outlineLvl w:val="0"/>
        <w:rPr>
          <w:rFonts w:hint="eastAsia" w:ascii="宋体" w:hAnsi="宋体" w:eastAsia="黑体"/>
          <w:sz w:val="32"/>
          <w:szCs w:val="32"/>
        </w:rPr>
      </w:pPr>
      <w:r>
        <w:rPr>
          <w:rFonts w:hint="eastAsia" w:ascii="宋体" w:hAnsi="宋体" w:eastAsia="黑体"/>
          <w:sz w:val="32"/>
          <w:szCs w:val="32"/>
        </w:rPr>
        <w:t>一、工作简况</w:t>
      </w:r>
    </w:p>
    <w:p>
      <w:pPr>
        <w:spacing w:line="560" w:lineRule="exact"/>
        <w:ind w:firstLine="640" w:firstLineChars="200"/>
        <w:rPr>
          <w:rFonts w:hint="eastAsia" w:ascii="宋体" w:hAnsi="宋体" w:eastAsia="楷体"/>
          <w:sz w:val="32"/>
          <w:szCs w:val="32"/>
          <w:shd w:val="clear" w:color="auto" w:fill="FFFFFF"/>
        </w:rPr>
      </w:pPr>
      <w:r>
        <w:rPr>
          <w:rFonts w:hint="eastAsia" w:ascii="宋体" w:hAnsi="宋体" w:eastAsia="楷体"/>
          <w:sz w:val="32"/>
          <w:szCs w:val="32"/>
          <w:shd w:val="clear" w:color="auto" w:fill="FFFFFF"/>
        </w:rPr>
        <w:t>（一）任务来源</w:t>
      </w:r>
    </w:p>
    <w:p>
      <w:pPr>
        <w:spacing w:line="560" w:lineRule="exact"/>
        <w:ind w:firstLine="640" w:firstLineChars="200"/>
        <w:rPr>
          <w:rFonts w:hint="eastAsia" w:ascii="宋体" w:hAnsi="宋体" w:eastAsia="仿宋_GB2312"/>
          <w:sz w:val="32"/>
          <w:szCs w:val="32"/>
          <w:shd w:val="clear" w:color="auto" w:fill="FFFFFF"/>
        </w:rPr>
      </w:pPr>
      <w:r>
        <w:rPr>
          <w:rFonts w:hint="eastAsia" w:ascii="宋体" w:hAnsi="宋体" w:eastAsia="仿宋_GB2312"/>
          <w:sz w:val="32"/>
          <w:szCs w:val="32"/>
          <w:shd w:val="clear" w:color="auto" w:fill="FFFFFF"/>
        </w:rPr>
        <w:t>根据应急管理部办公厅《关于印发34项行业标准制修订计划的通知》（应急厅函〔2024〕262号），《铝加工（深井铸造）安全规范》的制定计划编号为2024-AQ-36，由TC288/SC8全国安全生产标准化技术委员会冶金有色安全分技术委员会组织起草和审查。</w:t>
      </w:r>
    </w:p>
    <w:p>
      <w:pPr>
        <w:spacing w:line="560" w:lineRule="exact"/>
        <w:ind w:firstLine="640" w:firstLineChars="200"/>
        <w:rPr>
          <w:rFonts w:hint="eastAsia" w:ascii="宋体" w:hAnsi="宋体" w:eastAsia="楷体"/>
          <w:sz w:val="32"/>
          <w:szCs w:val="32"/>
          <w:shd w:val="clear" w:color="auto" w:fill="FFFFFF"/>
        </w:rPr>
      </w:pPr>
      <w:r>
        <w:rPr>
          <w:rFonts w:hint="eastAsia" w:ascii="宋体" w:hAnsi="宋体" w:eastAsia="楷体"/>
          <w:sz w:val="32"/>
          <w:szCs w:val="32"/>
          <w:shd w:val="clear" w:color="auto" w:fill="FFFFFF"/>
        </w:rPr>
        <w:t>（二）制定背景</w:t>
      </w:r>
    </w:p>
    <w:p>
      <w:pPr>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铝加工（深井铸造）</w:t>
      </w:r>
      <w:r>
        <w:rPr>
          <w:rFonts w:hint="eastAsia" w:ascii="宋体" w:hAnsi="宋体" w:eastAsia="仿宋_GB2312"/>
          <w:sz w:val="32"/>
          <w:szCs w:val="32"/>
          <w:shd w:val="clear" w:color="auto" w:fill="FFFFFF"/>
        </w:rPr>
        <w:t>生产过程中</w:t>
      </w:r>
      <w:r>
        <w:rPr>
          <w:rFonts w:hint="eastAsia" w:ascii="宋体" w:hAnsi="宋体" w:eastAsia="仿宋_GB2312" w:cs="仿宋_GB2312"/>
          <w:sz w:val="32"/>
          <w:szCs w:val="32"/>
        </w:rPr>
        <w:t>存在高温铝液，在铸造时一旦铝液大量泄漏进入铸井与冷却水接触，易发生爆炸造成群死群伤事故，风险程度较高。近年来，铝加工（深井铸造）企业生产安全事故频发，如广东精美特种型材“4·3”较大爆炸事故、</w:t>
      </w:r>
      <w:r>
        <w:fldChar w:fldCharType="begin"/>
      </w:r>
      <w:r>
        <w:instrText xml:space="preserve"> HYPERLINK "https://www.thepaper.cn/newsDetail_forward_26747581" \t "https://cn.bing.com/_blank" </w:instrText>
      </w:r>
      <w:r>
        <w:fldChar w:fldCharType="separate"/>
      </w:r>
      <w:r>
        <w:rPr>
          <w:rFonts w:hint="eastAsia" w:ascii="宋体" w:hAnsi="宋体" w:eastAsia="仿宋_GB2312" w:cs="仿宋_GB2312"/>
          <w:sz w:val="32"/>
          <w:szCs w:val="32"/>
        </w:rPr>
        <w:t>广西兴越材料“10·20”较大爆炸</w:t>
      </w:r>
      <w:r>
        <w:rPr>
          <w:rFonts w:hint="eastAsia" w:ascii="宋体" w:hAnsi="宋体" w:eastAsia="仿宋_GB2312" w:cs="仿宋_GB2312"/>
          <w:sz w:val="32"/>
          <w:szCs w:val="32"/>
        </w:rPr>
        <w:fldChar w:fldCharType="end"/>
      </w:r>
      <w:r>
        <w:rPr>
          <w:rFonts w:hint="eastAsia" w:ascii="宋体" w:hAnsi="宋体" w:eastAsia="仿宋_GB2312" w:cs="仿宋_GB2312"/>
          <w:sz w:val="32"/>
          <w:szCs w:val="32"/>
        </w:rPr>
        <w:t>事故、江苏亚太轻合金“</w:t>
      </w:r>
      <w:r>
        <w:fldChar w:fldCharType="begin"/>
      </w:r>
      <w:r>
        <w:instrText xml:space="preserve"> HYPERLINK "https://baike.baidu.com/item/2%C2%B718%E6%B5%B7%E5%AE%89%E5%B7%A5%E5%8E%82%E7%88%86%E7%82%B8%E4%BA%8B%E6%95%85/64066676" \t "https://cn.bing.com/_blank" </w:instrText>
      </w:r>
      <w:r>
        <w:fldChar w:fldCharType="separate"/>
      </w:r>
      <w:r>
        <w:rPr>
          <w:rFonts w:hint="eastAsia" w:ascii="宋体" w:hAnsi="宋体" w:eastAsia="仿宋_GB2312" w:cs="仿宋_GB2312"/>
          <w:sz w:val="32"/>
          <w:szCs w:val="32"/>
        </w:rPr>
        <w:t>2·18</w:t>
      </w:r>
      <w:r>
        <w:rPr>
          <w:rFonts w:hint="eastAsia" w:ascii="宋体" w:hAnsi="宋体" w:eastAsia="仿宋_GB2312" w:cs="仿宋_GB2312"/>
          <w:sz w:val="32"/>
          <w:szCs w:val="32"/>
        </w:rPr>
        <w:fldChar w:fldCharType="end"/>
      </w:r>
      <w:r>
        <w:rPr>
          <w:rFonts w:hint="eastAsia" w:ascii="宋体" w:hAnsi="宋体" w:eastAsia="仿宋_GB2312" w:cs="仿宋_GB2312"/>
          <w:sz w:val="32"/>
          <w:szCs w:val="32"/>
        </w:rPr>
        <w:t>”较大爆炸事故、河南中瑞有色“7.26”较大爆炸事故、山西东南精工“</w:t>
      </w:r>
      <w:r>
        <w:fldChar w:fldCharType="begin"/>
      </w:r>
      <w:r>
        <w:instrText xml:space="preserve"> HYPERLINK "https://baike.baidu.com/item/2%C2%B718%E6%B5%B7%E5%AE%89%E5%B7%A5%E5%8E%82%E7%88%86%E7%82%B8%E4%BA%8B%E6%95%85/64066676" \t "https://cn.bing.com/_blank" </w:instrText>
      </w:r>
      <w:r>
        <w:fldChar w:fldCharType="separate"/>
      </w:r>
      <w:r>
        <w:rPr>
          <w:rFonts w:hint="eastAsia" w:ascii="宋体" w:hAnsi="宋体" w:eastAsia="仿宋_GB2312" w:cs="仿宋_GB2312"/>
          <w:sz w:val="32"/>
          <w:szCs w:val="32"/>
        </w:rPr>
        <w:t>8·3</w:t>
      </w:r>
      <w:r>
        <w:rPr>
          <w:rFonts w:hint="eastAsia" w:ascii="宋体" w:hAnsi="宋体" w:eastAsia="仿宋_GB2312" w:cs="仿宋_GB2312"/>
          <w:sz w:val="32"/>
          <w:szCs w:val="32"/>
        </w:rPr>
        <w:fldChar w:fldCharType="end"/>
      </w:r>
      <w:r>
        <w:rPr>
          <w:rFonts w:hint="eastAsia" w:ascii="宋体" w:hAnsi="宋体" w:eastAsia="仿宋_GB2312" w:cs="仿宋_GB2312"/>
          <w:sz w:val="32"/>
          <w:szCs w:val="32"/>
        </w:rPr>
        <w:t>1”较大爆炸事故等，造成严重人员伤亡和财产损失，同时也暴露出铝加工（深井铸造）企业在安全生产主体责任落实、安全风险管控、安全管理等方面存在诸多问题。如深井铸造区域布置不合理、设备设施本质安全水平不高、对高温熔融金属等重点作业环节的安全风险认识不足、企业安全管理不到位、员工操作不规范等。</w:t>
      </w:r>
    </w:p>
    <w:p>
      <w:pPr>
        <w:spacing w:line="560" w:lineRule="exact"/>
        <w:ind w:firstLine="640" w:firstLineChars="200"/>
        <w:rPr>
          <w:rFonts w:hint="eastAsia" w:ascii="宋体" w:hAnsi="宋体" w:eastAsia="仿宋" w:cs="仿宋_GB2312"/>
          <w:sz w:val="32"/>
          <w:szCs w:val="32"/>
        </w:rPr>
      </w:pPr>
      <w:r>
        <w:rPr>
          <w:rFonts w:hint="eastAsia" w:ascii="宋体" w:hAnsi="宋体" w:eastAsia="仿宋_GB2312" w:cs="仿宋_GB2312"/>
          <w:sz w:val="32"/>
          <w:szCs w:val="32"/>
        </w:rPr>
        <w:t>铝加工（深井铸造）企业面临着严峻的安全生产挑战，迫切需要制定针对性安全生产标准，规范指导企业安全生产，提高整体安全管理水平。全国安全生产标准化技术委员会冶金有色安全分技术委员会在应急管理部执法工贸局的委托下，组织西南铝业（集团）有限责任公司等单位开展了调研工作，并提出了该标准制定项目。2024年9月，应急管理部批准立项制定行业标准《铝加工（深井铸造）安全规范》。</w:t>
      </w:r>
    </w:p>
    <w:p>
      <w:pPr>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该标准的制定，对其各生产环节设备设施及作业提出明确安全要求，可进一步规范指导铝加工（深井铸造）企业安全生产，为应急管理部门提供监管执法依据，同时提高整体的安全管理水平，推动铝加工（深井铸造）行业的技术升级和结构调整，提升行业整体安全水平和竞争力。</w:t>
      </w:r>
    </w:p>
    <w:p>
      <w:pPr>
        <w:spacing w:line="560" w:lineRule="exact"/>
        <w:ind w:firstLine="640" w:firstLineChars="200"/>
        <w:rPr>
          <w:rFonts w:hint="eastAsia" w:ascii="宋体" w:hAnsi="宋体" w:eastAsia="楷体"/>
          <w:sz w:val="32"/>
          <w:szCs w:val="32"/>
          <w:shd w:val="clear" w:color="auto" w:fill="FFFFFF"/>
        </w:rPr>
      </w:pPr>
      <w:r>
        <w:rPr>
          <w:rFonts w:hint="eastAsia" w:ascii="宋体" w:hAnsi="宋体" w:eastAsia="楷体"/>
          <w:sz w:val="32"/>
          <w:szCs w:val="32"/>
          <w:shd w:val="clear" w:color="auto" w:fill="FFFFFF"/>
        </w:rPr>
        <w:t>（三）起草单位</w:t>
      </w:r>
    </w:p>
    <w:p>
      <w:pPr>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2024年4月，成立标准起草工作组（以下简称“工作组”），由西南铝业（集团）有限责任公司牵头负责，中国铝业集团有限公司、中钢武汉安全环保研究院股份有限公司、北京科技大学、东北轻合金有限责任公司、中铝瑞闽股份有限公司、山东宏桥新型材料有限公司、山东兖矿轻合金有限公司等单位参加本标准的制定工作。</w:t>
      </w:r>
    </w:p>
    <w:p>
      <w:pPr>
        <w:spacing w:line="560" w:lineRule="exact"/>
        <w:ind w:firstLine="640" w:firstLineChars="200"/>
        <w:rPr>
          <w:rFonts w:hint="eastAsia" w:ascii="宋体" w:hAnsi="宋体" w:eastAsia="楷体"/>
          <w:sz w:val="32"/>
          <w:szCs w:val="32"/>
          <w:shd w:val="clear" w:color="auto" w:fill="FFFFFF"/>
        </w:rPr>
      </w:pPr>
      <w:r>
        <w:rPr>
          <w:rFonts w:hint="eastAsia" w:ascii="宋体" w:hAnsi="宋体" w:eastAsia="楷体"/>
          <w:sz w:val="32"/>
          <w:szCs w:val="32"/>
          <w:shd w:val="clear" w:color="auto" w:fill="FFFFFF"/>
        </w:rPr>
        <w:t>（四）主要起草过程</w:t>
      </w:r>
    </w:p>
    <w:p>
      <w:pPr>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1.</w:t>
      </w:r>
      <w:r>
        <w:rPr>
          <w:rFonts w:ascii="宋体" w:hAnsi="宋体" w:eastAsia="仿宋_GB2312" w:cs="仿宋_GB2312"/>
          <w:sz w:val="32"/>
          <w:szCs w:val="32"/>
        </w:rPr>
        <w:t>初稿编制阶段</w:t>
      </w:r>
    </w:p>
    <w:p>
      <w:pPr>
        <w:spacing w:line="560" w:lineRule="exact"/>
        <w:ind w:firstLine="640" w:firstLineChars="200"/>
        <w:rPr>
          <w:rFonts w:hint="eastAsia" w:ascii="宋体" w:hAnsi="宋体" w:eastAsia="仿宋_GB2312" w:cs="仿宋_GB2312"/>
          <w:sz w:val="32"/>
          <w:szCs w:val="32"/>
        </w:rPr>
      </w:pPr>
      <w:r>
        <w:rPr>
          <w:rFonts w:ascii="宋体" w:hAnsi="宋体" w:eastAsia="仿宋_GB2312" w:cs="仿宋_GB2312"/>
          <w:sz w:val="32"/>
          <w:szCs w:val="32"/>
        </w:rPr>
        <w:t>202</w:t>
      </w:r>
      <w:r>
        <w:rPr>
          <w:rFonts w:hint="eastAsia" w:ascii="宋体" w:hAnsi="宋体" w:eastAsia="仿宋_GB2312" w:cs="仿宋_GB2312"/>
          <w:sz w:val="32"/>
          <w:szCs w:val="32"/>
        </w:rPr>
        <w:t>4</w:t>
      </w:r>
      <w:r>
        <w:rPr>
          <w:rFonts w:ascii="宋体" w:hAnsi="宋体" w:eastAsia="仿宋_GB2312" w:cs="仿宋_GB2312"/>
          <w:sz w:val="32"/>
          <w:szCs w:val="32"/>
        </w:rPr>
        <w:t>年</w:t>
      </w:r>
      <w:r>
        <w:rPr>
          <w:rFonts w:hint="eastAsia" w:ascii="宋体" w:hAnsi="宋体" w:eastAsia="仿宋_GB2312" w:cs="仿宋_GB2312"/>
          <w:sz w:val="32"/>
          <w:szCs w:val="32"/>
        </w:rPr>
        <w:t>3月至4</w:t>
      </w:r>
      <w:r>
        <w:rPr>
          <w:rFonts w:ascii="宋体" w:hAnsi="宋体" w:eastAsia="仿宋_GB2312" w:cs="仿宋_GB2312"/>
          <w:sz w:val="32"/>
          <w:szCs w:val="32"/>
        </w:rPr>
        <w:t>月，</w:t>
      </w:r>
      <w:r>
        <w:rPr>
          <w:rFonts w:hint="eastAsia" w:ascii="宋体" w:hAnsi="宋体" w:eastAsia="仿宋_GB2312" w:cs="仿宋_GB2312"/>
          <w:sz w:val="32"/>
          <w:szCs w:val="32"/>
        </w:rPr>
        <w:t>工作组</w:t>
      </w:r>
      <w:r>
        <w:rPr>
          <w:rFonts w:ascii="宋体" w:hAnsi="宋体" w:eastAsia="仿宋_GB2312" w:cs="仿宋_GB2312"/>
          <w:sz w:val="32"/>
          <w:szCs w:val="32"/>
        </w:rPr>
        <w:t>开展项目调研，完成</w:t>
      </w:r>
      <w:r>
        <w:rPr>
          <w:rFonts w:hint="eastAsia" w:ascii="宋体" w:hAnsi="宋体" w:eastAsia="仿宋_GB2312" w:cs="仿宋_GB2312"/>
          <w:sz w:val="32"/>
          <w:szCs w:val="32"/>
        </w:rPr>
        <w:t>制定</w:t>
      </w:r>
      <w:r>
        <w:rPr>
          <w:rFonts w:ascii="宋体" w:hAnsi="宋体" w:eastAsia="仿宋_GB2312" w:cs="仿宋_GB2312"/>
          <w:sz w:val="32"/>
          <w:szCs w:val="32"/>
        </w:rPr>
        <w:t>《铝加工（深井铸造）安全规范</w:t>
      </w:r>
      <w:r>
        <w:rPr>
          <w:rFonts w:hint="eastAsia" w:ascii="宋体" w:hAnsi="宋体" w:eastAsia="仿宋_GB2312" w:cs="仿宋_GB2312"/>
          <w:sz w:val="32"/>
          <w:szCs w:val="32"/>
        </w:rPr>
        <w:t>（草案稿）</w:t>
      </w:r>
      <w:r>
        <w:rPr>
          <w:rFonts w:ascii="宋体" w:hAnsi="宋体" w:eastAsia="仿宋_GB2312" w:cs="仿宋_GB2312"/>
          <w:sz w:val="32"/>
          <w:szCs w:val="32"/>
        </w:rPr>
        <w:t>》</w:t>
      </w:r>
      <w:r>
        <w:rPr>
          <w:rFonts w:hint="eastAsia" w:ascii="宋体" w:hAnsi="宋体" w:eastAsia="仿宋_GB2312" w:cs="仿宋_GB2312"/>
          <w:sz w:val="32"/>
          <w:szCs w:val="32"/>
        </w:rPr>
        <w:t>（以下简称《标准草案稿》），并</w:t>
      </w:r>
      <w:r>
        <w:rPr>
          <w:rFonts w:ascii="宋体" w:hAnsi="宋体" w:eastAsia="仿宋_GB2312" w:cs="仿宋_GB2312"/>
          <w:sz w:val="32"/>
          <w:szCs w:val="32"/>
        </w:rPr>
        <w:t>与相关现行标准进行</w:t>
      </w:r>
      <w:r>
        <w:rPr>
          <w:rFonts w:hint="eastAsia" w:ascii="宋体" w:hAnsi="宋体" w:eastAsia="仿宋_GB2312" w:cs="仿宋_GB2312"/>
          <w:sz w:val="32"/>
          <w:szCs w:val="32"/>
        </w:rPr>
        <w:t>了</w:t>
      </w:r>
      <w:r>
        <w:rPr>
          <w:rFonts w:ascii="宋体" w:hAnsi="宋体" w:eastAsia="仿宋_GB2312" w:cs="仿宋_GB2312"/>
          <w:sz w:val="32"/>
          <w:szCs w:val="32"/>
        </w:rPr>
        <w:t>对标核查及研究。</w:t>
      </w:r>
    </w:p>
    <w:p>
      <w:pPr>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2024年4月下旬至7月，通过线上讨论、调研各参编单位意见等方式，共计汇总7家单位反馈的108条意见和建议，根据以上意见对《标准草案稿》进行了初次修改。</w:t>
      </w:r>
    </w:p>
    <w:p>
      <w:pPr>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2024年7月初，</w:t>
      </w:r>
      <w:r>
        <w:rPr>
          <w:rFonts w:ascii="宋体" w:hAnsi="宋体" w:eastAsia="仿宋_GB2312" w:cs="仿宋_GB2312"/>
          <w:sz w:val="32"/>
          <w:szCs w:val="32"/>
        </w:rPr>
        <w:t>西南铝业（集团）有限责任公司</w:t>
      </w:r>
      <w:r>
        <w:rPr>
          <w:rFonts w:hint="eastAsia" w:ascii="宋体" w:hAnsi="宋体" w:eastAsia="仿宋_GB2312" w:cs="仿宋_GB2312"/>
          <w:sz w:val="32"/>
          <w:szCs w:val="32"/>
        </w:rPr>
        <w:t>组织专家研讨会，会议集中研讨后对修订和新增的建议共计35条予以保留，将厂区布置修改为厂房布置，熔炼炉修改为熔炼炉系统，完成《标准草案稿》第二次修改。</w:t>
      </w:r>
    </w:p>
    <w:p>
      <w:pPr>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2024年7月17日，应急管理部执法工贸局组织召开《铝加工（深井铸造）安全规范》研讨会，参会人员有相关企业和科研院所专家、标准参编单位代表等，会议主要分章节对标准内容进行了审核研讨，重点对作业人员资格、流槽液位监测报警、铸造机电控系统功能、防爆涂料涂刷位置、液压油缸安全附件、应急水系统设置、铸造井内排水泵配置、铸造机安全参数等要求进行了讨论明确，会后工作组针对提出的意见对《标准草案稿》进行第三次修改。</w:t>
      </w:r>
    </w:p>
    <w:p>
      <w:pPr>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2024年8月27日至28日，中国铝业集团有限公司组织所属存在铝加工（深井铸造）工艺的17家企业领导专家、安全技术人员等40余人对《标准草案稿》进行讨论，对冷却水水质和作业人员资格等明确了具体要求。西南铝业（集团）有限责任公司牵头就会上讨论提出的修订意见修改形成</w:t>
      </w:r>
      <w:r>
        <w:rPr>
          <w:rFonts w:ascii="宋体" w:hAnsi="宋体" w:eastAsia="仿宋_GB2312" w:cs="仿宋_GB2312"/>
          <w:sz w:val="32"/>
          <w:szCs w:val="32"/>
        </w:rPr>
        <w:t>《铝加工（深井铸造）安全规范</w:t>
      </w:r>
      <w:r>
        <w:rPr>
          <w:rFonts w:hint="eastAsia" w:ascii="宋体" w:hAnsi="宋体" w:eastAsia="仿宋_GB2312" w:cs="仿宋_GB2312"/>
          <w:sz w:val="32"/>
          <w:szCs w:val="32"/>
        </w:rPr>
        <w:t>（初稿）</w:t>
      </w:r>
      <w:r>
        <w:rPr>
          <w:rFonts w:ascii="宋体" w:hAnsi="宋体" w:eastAsia="仿宋_GB2312" w:cs="仿宋_GB2312"/>
          <w:sz w:val="32"/>
          <w:szCs w:val="32"/>
        </w:rPr>
        <w:t>》</w:t>
      </w:r>
      <w:r>
        <w:rPr>
          <w:rFonts w:hint="eastAsia" w:ascii="宋体" w:hAnsi="宋体" w:eastAsia="仿宋_GB2312" w:cs="仿宋_GB2312"/>
          <w:sz w:val="32"/>
          <w:szCs w:val="32"/>
        </w:rPr>
        <w:t>（以下简称《标准初稿》）。</w:t>
      </w:r>
    </w:p>
    <w:p>
      <w:pPr>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2024年10月10日，工作组在全国安全生产标准化技术委员会冶金有色安全分技术委员会组织的专家研究会上征求了委员及专家建议，对冷却水过滤和检测、倾动式浇铸炉液压控制系统联锁等要求进行了重点确认，会议讨论决定新增油气混合铸造、负压（低压）铸造、钢丝绳铸造机变频器等安全要求。工作组针对修改意见进行了认真细致的研究，并对《标准初稿》进行了完善。</w:t>
      </w:r>
    </w:p>
    <w:p>
      <w:pPr>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2024年11月27日，应急管理部执法工贸局组织北京科技大学、西南铝业（集团）有限责任公司等单位对《标准初稿》中的关键安全技术指标进行了研讨，并对标准内容再次进行审核；12月20日，组织冶金有色分标委委员和行业专家对该项标准重要技术内容再次研讨确认。</w:t>
      </w:r>
      <w:r>
        <w:rPr>
          <w:rFonts w:ascii="宋体" w:hAnsi="宋体" w:eastAsia="仿宋_GB2312" w:cs="仿宋_GB2312"/>
          <w:sz w:val="32"/>
          <w:szCs w:val="32"/>
        </w:rPr>
        <w:t>工作</w:t>
      </w:r>
      <w:r>
        <w:rPr>
          <w:rFonts w:hint="eastAsia" w:ascii="宋体" w:hAnsi="宋体" w:eastAsia="仿宋_GB2312" w:cs="仿宋_GB2312"/>
          <w:sz w:val="32"/>
          <w:szCs w:val="32"/>
        </w:rPr>
        <w:t>组根据会议讨论情况对《标准初稿》进行了修改，形成</w:t>
      </w:r>
      <w:r>
        <w:rPr>
          <w:rFonts w:ascii="宋体" w:hAnsi="宋体" w:eastAsia="仿宋_GB2312" w:cs="仿宋_GB2312"/>
          <w:sz w:val="32"/>
          <w:szCs w:val="32"/>
        </w:rPr>
        <w:t>《铝加工（深井铸造）安全规范</w:t>
      </w:r>
      <w:r>
        <w:rPr>
          <w:rFonts w:hint="eastAsia" w:ascii="宋体" w:hAnsi="宋体" w:eastAsia="仿宋_GB2312" w:cs="仿宋_GB2312"/>
          <w:sz w:val="32"/>
          <w:szCs w:val="32"/>
        </w:rPr>
        <w:t>（征求意见稿）</w:t>
      </w:r>
      <w:r>
        <w:rPr>
          <w:rFonts w:ascii="宋体" w:hAnsi="宋体" w:eastAsia="仿宋_GB2312" w:cs="仿宋_GB2312"/>
          <w:sz w:val="32"/>
          <w:szCs w:val="32"/>
        </w:rPr>
        <w:t>》</w:t>
      </w:r>
      <w:r>
        <w:rPr>
          <w:rFonts w:hint="eastAsia" w:ascii="宋体" w:hAnsi="宋体" w:eastAsia="仿宋_GB2312" w:cs="仿宋_GB2312"/>
          <w:sz w:val="32"/>
          <w:szCs w:val="32"/>
        </w:rPr>
        <w:t>报请公开征求意见。</w:t>
      </w:r>
    </w:p>
    <w:p>
      <w:pPr>
        <w:widowControl/>
        <w:numPr>
          <w:ilvl w:val="0"/>
          <w:numId w:val="2"/>
        </w:numPr>
        <w:spacing w:line="560" w:lineRule="exact"/>
        <w:ind w:firstLine="640" w:firstLineChars="200"/>
        <w:outlineLvl w:val="0"/>
        <w:rPr>
          <w:rFonts w:hint="eastAsia" w:ascii="宋体" w:hAnsi="宋体" w:eastAsia="黑体"/>
          <w:sz w:val="32"/>
          <w:szCs w:val="32"/>
        </w:rPr>
      </w:pPr>
      <w:r>
        <w:rPr>
          <w:rFonts w:hint="eastAsia" w:ascii="宋体" w:hAnsi="宋体" w:eastAsia="黑体"/>
          <w:sz w:val="32"/>
          <w:szCs w:val="32"/>
        </w:rPr>
        <w:t>标准编制原则、主要技术内容及其确定依据</w:t>
      </w:r>
    </w:p>
    <w:p>
      <w:pPr>
        <w:spacing w:line="560" w:lineRule="exact"/>
        <w:ind w:firstLine="640" w:firstLineChars="200"/>
        <w:rPr>
          <w:rFonts w:hint="eastAsia" w:ascii="宋体" w:hAnsi="宋体" w:eastAsia="楷体"/>
          <w:sz w:val="32"/>
          <w:szCs w:val="32"/>
          <w:shd w:val="clear" w:color="auto" w:fill="FFFFFF"/>
        </w:rPr>
      </w:pPr>
      <w:r>
        <w:rPr>
          <w:rFonts w:hint="eastAsia" w:ascii="宋体" w:hAnsi="宋体" w:eastAsia="楷体"/>
          <w:sz w:val="32"/>
          <w:szCs w:val="32"/>
          <w:shd w:val="clear" w:color="auto" w:fill="FFFFFF"/>
        </w:rPr>
        <w:t>（一）标准编制原则</w:t>
      </w:r>
    </w:p>
    <w:p>
      <w:pPr>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1.本标准的制定严格遵守GB/T 1.1-2020《标准化工作导则 第 1 部分：标准化文件的结构和起草规则》的要求。</w:t>
      </w:r>
    </w:p>
    <w:p>
      <w:pPr>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2.遵循国家法律法规的规定，与现行的相关国家标准协调一致。</w:t>
      </w:r>
    </w:p>
    <w:p>
      <w:pPr>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3.起草工作遵循科学性、先进性、适应性的原则，力求语言表述规范，用语准确、简明，结构严谨，布局合理。</w:t>
      </w:r>
    </w:p>
    <w:p>
      <w:pPr>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4.在确定本标准主要技术内容时，注重文件内容的可操作性和适用性，并进行了广泛调研，广泛收集和采纳铝加工（深井铸造）</w:t>
      </w:r>
      <w:r>
        <w:rPr>
          <w:rFonts w:ascii="宋体" w:hAnsi="宋体" w:eastAsia="仿宋_GB2312" w:cs="仿宋_GB2312"/>
          <w:sz w:val="32"/>
          <w:szCs w:val="32"/>
        </w:rPr>
        <w:t>设计</w:t>
      </w:r>
      <w:r>
        <w:rPr>
          <w:rFonts w:hint="eastAsia" w:ascii="宋体" w:hAnsi="宋体" w:eastAsia="仿宋_GB2312" w:cs="仿宋_GB2312"/>
          <w:sz w:val="32"/>
          <w:szCs w:val="32"/>
        </w:rPr>
        <w:t>、生产、科研等相关单位的意见和建议，体现了标准的代表性。</w:t>
      </w:r>
    </w:p>
    <w:p>
      <w:pPr>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5.结合行业生产特点，并兼顾行业发展趋势，最大限度地保障铝加工（深井铸造）生产过程的本质安全，充分体现标准在技术上的先进性和合理性。</w:t>
      </w:r>
    </w:p>
    <w:p>
      <w:pPr>
        <w:spacing w:line="560" w:lineRule="exact"/>
        <w:ind w:firstLine="640" w:firstLineChars="200"/>
        <w:rPr>
          <w:rFonts w:hint="eastAsia" w:ascii="宋体" w:hAnsi="宋体" w:eastAsia="楷体"/>
          <w:sz w:val="32"/>
          <w:szCs w:val="32"/>
          <w:shd w:val="clear" w:color="auto" w:fill="FFFFFF"/>
        </w:rPr>
      </w:pPr>
      <w:r>
        <w:rPr>
          <w:rFonts w:hint="eastAsia" w:ascii="宋体" w:hAnsi="宋体" w:eastAsia="仿宋_GB2312" w:cs="仿宋_GB2312"/>
          <w:sz w:val="32"/>
          <w:szCs w:val="32"/>
        </w:rPr>
        <w:t>（</w:t>
      </w:r>
      <w:r>
        <w:rPr>
          <w:rFonts w:hint="eastAsia" w:ascii="宋体" w:hAnsi="宋体" w:eastAsia="楷体"/>
          <w:sz w:val="32"/>
          <w:szCs w:val="32"/>
          <w:shd w:val="clear" w:color="auto" w:fill="FFFFFF"/>
        </w:rPr>
        <w:t>二）标准主要技术内容及确定依据</w:t>
      </w:r>
    </w:p>
    <w:p>
      <w:pPr>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本标准共计9章。包括范围，规范性引用文件，术语和定义，总体要求，厂房布置及建（构）筑物，设备设施及工艺安全，作业安全，应急处置，证实方法。</w:t>
      </w:r>
    </w:p>
    <w:p>
      <w:pPr>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1.范围</w:t>
      </w:r>
    </w:p>
    <w:p>
      <w:pPr>
        <w:spacing w:line="560" w:lineRule="exact"/>
        <w:ind w:firstLine="640" w:firstLineChars="200"/>
        <w:rPr>
          <w:rFonts w:hint="eastAsia" w:ascii="宋体" w:hAnsi="宋体" w:eastAsia="仿宋_GB2312" w:cs="仿宋_GB2312"/>
          <w:sz w:val="32"/>
          <w:szCs w:val="32"/>
        </w:rPr>
      </w:pPr>
      <w:r>
        <w:rPr>
          <w:rFonts w:ascii="宋体" w:hAnsi="宋体" w:eastAsia="仿宋_GB2312" w:cs="仿宋_GB2312"/>
          <w:sz w:val="32"/>
          <w:szCs w:val="32"/>
        </w:rPr>
        <w:t>此章界定了标准的内容及适用范围。</w:t>
      </w:r>
    </w:p>
    <w:p>
      <w:pPr>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本标准主要规定了铝加工（深井铸造），又称铝及铝合金半连续（深井）铸造生产过程中的安全基本要求、厂房布置及建（构）筑物、设备设施及工艺安全、作业安全规范、应急处置等要求，以及描述了证实方法。</w:t>
      </w:r>
    </w:p>
    <w:p>
      <w:pPr>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本文件适用于铝及铝合金采用深井铸造工艺的设备设施的设计、施工、安装、验收、生产、运行的安全技术规范和安全管理要求。镁及镁合金深井铸造工艺可参照执行。</w:t>
      </w:r>
    </w:p>
    <w:p>
      <w:pPr>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2.规范性引用文件</w:t>
      </w:r>
    </w:p>
    <w:p>
      <w:pPr>
        <w:spacing w:line="560" w:lineRule="exact"/>
        <w:ind w:firstLine="640" w:firstLineChars="200"/>
        <w:rPr>
          <w:rFonts w:hint="eastAsia" w:ascii="宋体" w:hAnsi="宋体" w:eastAsia="仿宋_GB2312" w:cs="仿宋_GB2312"/>
          <w:sz w:val="32"/>
          <w:szCs w:val="32"/>
        </w:rPr>
      </w:pPr>
      <w:r>
        <w:rPr>
          <w:rFonts w:ascii="宋体" w:hAnsi="宋体" w:eastAsia="仿宋_GB2312" w:cs="仿宋_GB2312"/>
          <w:sz w:val="32"/>
          <w:szCs w:val="32"/>
        </w:rPr>
        <w:t>此章将在标准正文中引用的规范性文件明细列出，为执行标准提供支持。</w:t>
      </w:r>
    </w:p>
    <w:p>
      <w:pPr>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3.术语和定义</w:t>
      </w:r>
    </w:p>
    <w:p>
      <w:pPr>
        <w:spacing w:line="560" w:lineRule="exact"/>
        <w:ind w:firstLine="640" w:firstLineChars="200"/>
        <w:rPr>
          <w:rFonts w:hint="eastAsia" w:ascii="宋体" w:hAnsi="宋体" w:eastAsia="仿宋_GB2312" w:cs="仿宋_GB2312"/>
          <w:sz w:val="32"/>
          <w:szCs w:val="32"/>
        </w:rPr>
      </w:pPr>
      <w:r>
        <w:rPr>
          <w:rFonts w:ascii="宋体" w:hAnsi="宋体" w:eastAsia="仿宋_GB2312" w:cs="仿宋_GB2312"/>
          <w:sz w:val="32"/>
          <w:szCs w:val="32"/>
        </w:rPr>
        <w:t>本章按照GB/T</w:t>
      </w:r>
      <w:r>
        <w:rPr>
          <w:rFonts w:hint="eastAsia" w:ascii="宋体" w:hAnsi="宋体" w:eastAsia="仿宋_GB2312" w:cs="仿宋_GB2312"/>
          <w:sz w:val="32"/>
          <w:szCs w:val="32"/>
        </w:rPr>
        <w:t xml:space="preserve"> </w:t>
      </w:r>
      <w:r>
        <w:rPr>
          <w:rFonts w:ascii="宋体" w:hAnsi="宋体" w:eastAsia="仿宋_GB2312" w:cs="仿宋_GB2312"/>
          <w:sz w:val="32"/>
          <w:szCs w:val="32"/>
        </w:rPr>
        <w:t>1</w:t>
      </w:r>
      <w:r>
        <w:rPr>
          <w:rFonts w:hint="eastAsia" w:ascii="宋体" w:hAnsi="宋体" w:eastAsia="仿宋_GB2312" w:cs="仿宋_GB2312"/>
          <w:sz w:val="32"/>
          <w:szCs w:val="32"/>
        </w:rPr>
        <w:t>.1</w:t>
      </w:r>
      <w:r>
        <w:rPr>
          <w:rFonts w:ascii="宋体" w:hAnsi="宋体" w:eastAsia="仿宋_GB2312" w:cs="仿宋_GB2312"/>
          <w:sz w:val="32"/>
          <w:szCs w:val="32"/>
        </w:rPr>
        <w:t>的要求，结合标准内容所需，对文中多次出现的术语给出其定义解释。</w:t>
      </w:r>
    </w:p>
    <w:p>
      <w:pPr>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4.总体要求</w:t>
      </w:r>
    </w:p>
    <w:p>
      <w:pPr>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本章对铝加工（深井铸造）企业的新建项目、人员安全教育培训和持证、安全生产责任制、规章制度和操作规程、安全风险辨识管控和隐患排查治理、变更管理和危险作业、安全生产风险监测预警系统、铸造区域人员管控以及铸造生产设备设施的全生命周期管理等提出了要求。</w:t>
      </w:r>
    </w:p>
    <w:p>
      <w:pPr>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5.厂房布置及建（构）筑物</w:t>
      </w:r>
    </w:p>
    <w:p>
      <w:pPr>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本章分为厂房布置和建（构）筑物两个部分。</w:t>
      </w:r>
    </w:p>
    <w:p>
      <w:pPr>
        <w:spacing w:line="560" w:lineRule="exact"/>
        <w:ind w:firstLine="640" w:firstLineChars="200"/>
        <w:rPr>
          <w:rFonts w:hint="eastAsia" w:ascii="宋体" w:hAnsi="宋体" w:cs="仿宋_GB2312"/>
          <w:sz w:val="32"/>
          <w:szCs w:val="32"/>
        </w:rPr>
      </w:pPr>
      <w:r>
        <w:rPr>
          <w:rFonts w:hint="eastAsia" w:ascii="宋体" w:hAnsi="宋体" w:eastAsia="仿宋_GB2312" w:cs="仿宋_GB2312"/>
          <w:sz w:val="32"/>
          <w:szCs w:val="32"/>
        </w:rPr>
        <w:t>厂房布置部分主要是明确铝加工（深井铸造）企业的厂区布置设计，铸造区域独立设置或硬隔离措施、安全距离、安全通道、安全防护措施等方面。</w:t>
      </w:r>
    </w:p>
    <w:p>
      <w:pPr>
        <w:spacing w:line="560" w:lineRule="exact"/>
        <w:ind w:firstLine="640" w:firstLineChars="200"/>
        <w:rPr>
          <w:rFonts w:hint="eastAsia" w:ascii="宋体" w:hAnsi="宋体" w:cs="宋体"/>
          <w:color w:val="444444"/>
          <w:sz w:val="32"/>
          <w:szCs w:val="32"/>
          <w:shd w:val="clear" w:color="auto" w:fill="FFFFFF"/>
        </w:rPr>
      </w:pPr>
      <w:r>
        <w:rPr>
          <w:rFonts w:hint="eastAsia" w:ascii="宋体" w:hAnsi="宋体" w:eastAsia="仿宋_GB2312" w:cs="仿宋_GB2312"/>
          <w:sz w:val="32"/>
          <w:szCs w:val="32"/>
        </w:rPr>
        <w:t>建（构）筑物部分主要是对熔铸厂房（熔铸危险区域）厂址选择、厂房结构、防滴漏水措施、与铸造井的安全距离、防火防爆、自然通风、防雷等方面提出要求。</w:t>
      </w:r>
    </w:p>
    <w:p>
      <w:pPr>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6.设备设施及工艺安全</w:t>
      </w:r>
    </w:p>
    <w:p>
      <w:pPr>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本章分为通用要求，熔炼炉，浇铸炉（保温炉、静置炉、熔保一体炉），转注系统（供流系统、在线净化系统），铸造系统五个部分。</w:t>
      </w:r>
    </w:p>
    <w:p>
      <w:pPr>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通用要求部分主要是对熔铸设备电控系统、控制装置和关停装置设计（置），铸造机设计，燃气（油）管道和设备（施）设置，防铝液灼烫保护与声光警示，铝液和冷却水泄漏监控，氩气、氮气、氯气等防中毒窒息等通用性管理部分提出要求。</w:t>
      </w:r>
    </w:p>
    <w:p>
      <w:pPr>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熔炼炉系统部分主要是对燃气炉、电感应炉、电阻炉、电磁搅拌器等提出了要求。</w:t>
      </w:r>
    </w:p>
    <w:p>
      <w:pPr>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浇铸炉（保温炉、静置炉、熔保一体炉）部分主要是对固定式浇铸炉、倾动式浇铸炉等提出了要求。</w:t>
      </w:r>
    </w:p>
    <w:p>
      <w:pPr>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转注系统（供流系统、在线净化系统）部分主要是对供流流槽、除气、过滤等提出了要求。</w:t>
      </w:r>
    </w:p>
    <w:p>
      <w:pPr>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铸造系统部分主要是对流槽及分配流槽（盘）、铸造盘（模盘）、结晶器、引锭头（底座）、支架（托座、托盘、引锭盘）、液压式牵引系统、钢丝绳牵引系统、冷却水系统、应急水系统、铸造井等提出了要求。</w:t>
      </w:r>
    </w:p>
    <w:p>
      <w:pPr>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7.作业安全</w:t>
      </w:r>
    </w:p>
    <w:p>
      <w:pPr>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本章分为通用要求，熔炼炉（包括熔炼保温一体炉）作业，浇铸炉作业，转注系统作业，铸造系统作业，其他作业六个部分。</w:t>
      </w:r>
    </w:p>
    <w:p>
      <w:pPr>
        <w:spacing w:line="560" w:lineRule="exact"/>
        <w:ind w:firstLine="640" w:firstLineChars="200"/>
        <w:rPr>
          <w:rFonts w:hint="eastAsia" w:ascii="宋体" w:hAnsi="宋体" w:eastAsia="仿宋_GB2312" w:cs="仿宋_GB2312"/>
          <w:sz w:val="32"/>
          <w:szCs w:val="32"/>
        </w:rPr>
      </w:pPr>
      <w:bookmarkStart w:id="1" w:name="_Toc162360158"/>
      <w:bookmarkStart w:id="2" w:name="_Toc179366666"/>
      <w:r>
        <w:rPr>
          <w:rFonts w:hint="eastAsia" w:ascii="宋体" w:hAnsi="宋体" w:eastAsia="仿宋_GB2312" w:cs="仿宋_GB2312"/>
          <w:sz w:val="32"/>
          <w:szCs w:val="32"/>
        </w:rPr>
        <w:t>通用要求</w:t>
      </w:r>
      <w:bookmarkEnd w:id="1"/>
      <w:bookmarkEnd w:id="2"/>
      <w:r>
        <w:rPr>
          <w:rFonts w:hint="eastAsia" w:ascii="宋体" w:hAnsi="宋体" w:eastAsia="仿宋_GB2312" w:cs="仿宋_GB2312"/>
          <w:sz w:val="32"/>
          <w:szCs w:val="32"/>
        </w:rPr>
        <w:t>部分主要是对铸造系统的关键仪表和控制装置定期校验，熔铸作业及现场人员个体防护，定置管理，原、辅材料选择与预处理，熔保炉液位控制、防泄漏、防水、防爆管控，氯气作业等作业安全方面提出了要求。</w:t>
      </w:r>
    </w:p>
    <w:p>
      <w:pPr>
        <w:spacing w:line="560" w:lineRule="exact"/>
        <w:ind w:firstLine="640" w:firstLineChars="200"/>
        <w:rPr>
          <w:rFonts w:hint="eastAsia" w:ascii="宋体" w:hAnsi="宋体" w:eastAsia="仿宋_GB2312" w:cs="仿宋_GB2312"/>
          <w:sz w:val="32"/>
          <w:szCs w:val="32"/>
        </w:rPr>
      </w:pPr>
      <w:bookmarkStart w:id="3" w:name="_Toc179366667"/>
      <w:bookmarkStart w:id="4" w:name="_Toc163481540"/>
      <w:r>
        <w:rPr>
          <w:rFonts w:hint="eastAsia" w:ascii="宋体" w:hAnsi="宋体" w:eastAsia="仿宋_GB2312" w:cs="仿宋_GB2312"/>
          <w:sz w:val="32"/>
          <w:szCs w:val="32"/>
        </w:rPr>
        <w:t>熔炼炉（包括熔炼保温一体炉）作业</w:t>
      </w:r>
      <w:bookmarkEnd w:id="3"/>
      <w:bookmarkEnd w:id="4"/>
      <w:r>
        <w:rPr>
          <w:rFonts w:hint="eastAsia" w:ascii="宋体" w:hAnsi="宋体" w:eastAsia="仿宋_GB2312" w:cs="仿宋_GB2312"/>
          <w:sz w:val="32"/>
          <w:szCs w:val="32"/>
        </w:rPr>
        <w:t>部分主要是对燃气炉作业、电感应炉作业、电阻炉作业、电磁搅拌器作业、透气砖（塞）系统等作业安全方面提出了要求。</w:t>
      </w:r>
    </w:p>
    <w:p>
      <w:pPr>
        <w:spacing w:line="560" w:lineRule="exact"/>
        <w:ind w:firstLine="640" w:firstLineChars="200"/>
        <w:rPr>
          <w:rFonts w:hint="eastAsia" w:ascii="宋体" w:hAnsi="宋体" w:eastAsia="仿宋_GB2312" w:cs="仿宋_GB2312"/>
          <w:sz w:val="32"/>
          <w:szCs w:val="32"/>
        </w:rPr>
      </w:pPr>
      <w:bookmarkStart w:id="5" w:name="_Toc179366668"/>
      <w:bookmarkStart w:id="6" w:name="_Toc162360159"/>
      <w:r>
        <w:rPr>
          <w:rFonts w:hint="eastAsia" w:ascii="宋体" w:hAnsi="宋体" w:eastAsia="仿宋_GB2312" w:cs="仿宋_GB2312"/>
          <w:sz w:val="32"/>
          <w:szCs w:val="32"/>
        </w:rPr>
        <w:t>浇铸炉作业</w:t>
      </w:r>
      <w:bookmarkEnd w:id="5"/>
      <w:bookmarkEnd w:id="6"/>
      <w:r>
        <w:rPr>
          <w:rFonts w:hint="eastAsia" w:ascii="宋体" w:hAnsi="宋体" w:eastAsia="仿宋_GB2312" w:cs="仿宋_GB2312"/>
          <w:sz w:val="32"/>
          <w:szCs w:val="32"/>
        </w:rPr>
        <w:t>部分主要对固定式浇铸炉作业、倾动式浇铸炉作业等作业安全方面提出了要求。</w:t>
      </w:r>
    </w:p>
    <w:p>
      <w:pPr>
        <w:spacing w:line="560" w:lineRule="exact"/>
        <w:ind w:firstLine="640" w:firstLineChars="200"/>
        <w:rPr>
          <w:rFonts w:hint="eastAsia" w:ascii="宋体" w:hAnsi="宋体" w:eastAsia="仿宋_GB2312" w:cs="仿宋_GB2312"/>
          <w:sz w:val="32"/>
          <w:szCs w:val="32"/>
        </w:rPr>
      </w:pPr>
      <w:bookmarkStart w:id="7" w:name="_Toc162360160"/>
      <w:bookmarkStart w:id="8" w:name="_Toc179366669"/>
      <w:r>
        <w:rPr>
          <w:rFonts w:hint="eastAsia" w:ascii="宋体" w:hAnsi="宋体" w:eastAsia="仿宋_GB2312" w:cs="仿宋_GB2312"/>
          <w:sz w:val="32"/>
          <w:szCs w:val="32"/>
        </w:rPr>
        <w:t>转注系统作业</w:t>
      </w:r>
      <w:bookmarkEnd w:id="7"/>
      <w:bookmarkEnd w:id="8"/>
      <w:r>
        <w:rPr>
          <w:rFonts w:hint="eastAsia" w:ascii="宋体" w:hAnsi="宋体" w:eastAsia="仿宋_GB2312" w:cs="仿宋_GB2312"/>
          <w:sz w:val="32"/>
          <w:szCs w:val="32"/>
        </w:rPr>
        <w:t>部分主要对供流流槽作业、在线除气作业、在线过滤作业等作业安全方面提出了要求。</w:t>
      </w:r>
    </w:p>
    <w:p>
      <w:pPr>
        <w:spacing w:line="560" w:lineRule="exact"/>
        <w:ind w:firstLine="640" w:firstLineChars="200"/>
        <w:rPr>
          <w:rFonts w:hint="eastAsia" w:ascii="宋体" w:hAnsi="宋体" w:eastAsia="仿宋_GB2312" w:cs="仿宋_GB2312"/>
          <w:sz w:val="32"/>
          <w:szCs w:val="32"/>
        </w:rPr>
      </w:pPr>
      <w:bookmarkStart w:id="9" w:name="_Toc162360161"/>
      <w:bookmarkStart w:id="10" w:name="_Toc179366670"/>
      <w:r>
        <w:rPr>
          <w:rFonts w:hint="eastAsia" w:ascii="宋体" w:hAnsi="宋体" w:eastAsia="仿宋_GB2312" w:cs="仿宋_GB2312"/>
          <w:sz w:val="32"/>
          <w:szCs w:val="32"/>
        </w:rPr>
        <w:t>铸造系统作业</w:t>
      </w:r>
      <w:bookmarkEnd w:id="9"/>
      <w:bookmarkEnd w:id="10"/>
      <w:r>
        <w:rPr>
          <w:rFonts w:hint="eastAsia" w:ascii="宋体" w:hAnsi="宋体" w:eastAsia="仿宋_GB2312" w:cs="仿宋_GB2312"/>
          <w:sz w:val="32"/>
          <w:szCs w:val="32"/>
        </w:rPr>
        <w:t>部分主要是对分配流槽作业、热顶同水平铸造盘（模盘）作业、结晶器（模盘）作业、引锭头（底座）作业、支架（托座（盘））作业、液压式牵引系统作业、钢丝绳牵引系统作业、冷却水系统作业、应急水系统作业、铸造井作业</w:t>
      </w:r>
      <w:bookmarkStart w:id="11" w:name="_Toc179366671"/>
      <w:r>
        <w:rPr>
          <w:rFonts w:hint="eastAsia" w:ascii="宋体" w:hAnsi="宋体" w:eastAsia="仿宋_GB2312" w:cs="仿宋_GB2312"/>
          <w:sz w:val="32"/>
          <w:szCs w:val="32"/>
        </w:rPr>
        <w:t>以及起重机（天车）、叉车、铝液运输车、扒渣车的熔融金属转运作业</w:t>
      </w:r>
      <w:bookmarkEnd w:id="11"/>
      <w:r>
        <w:rPr>
          <w:rFonts w:hint="eastAsia" w:ascii="宋体" w:hAnsi="宋体" w:eastAsia="仿宋_GB2312" w:cs="仿宋_GB2312"/>
          <w:sz w:val="32"/>
          <w:szCs w:val="32"/>
        </w:rPr>
        <w:t>等作业安全方面提出了要求。</w:t>
      </w:r>
    </w:p>
    <w:p>
      <w:pPr>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8.应急处置</w:t>
      </w:r>
    </w:p>
    <w:p>
      <w:pPr>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本章对铝加工（深井铸造）企业应急预案、应急装备物资配备、应急设备设施的设置、应急处置方法等进行了明确规定。</w:t>
      </w:r>
    </w:p>
    <w:p>
      <w:pPr>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9.证实方法</w:t>
      </w:r>
    </w:p>
    <w:p>
      <w:pPr>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本章</w:t>
      </w:r>
      <w:r>
        <w:rPr>
          <w:rFonts w:hint="eastAsia" w:ascii="仿宋_GB2312" w:hAnsi="Times New Roman" w:eastAsia="仿宋_GB2312"/>
          <w:sz w:val="32"/>
          <w:szCs w:val="32"/>
          <w:shd w:val="clear" w:color="auto" w:fill="FFFFFF"/>
        </w:rPr>
        <w:t>对文件中明确规定的安全要求，给出相应的证实或验证方法。</w:t>
      </w:r>
    </w:p>
    <w:p>
      <w:pPr>
        <w:widowControl/>
        <w:spacing w:line="560" w:lineRule="exact"/>
        <w:ind w:firstLine="640" w:firstLineChars="200"/>
        <w:outlineLvl w:val="0"/>
        <w:rPr>
          <w:rFonts w:hint="eastAsia" w:ascii="宋体" w:hAnsi="宋体" w:eastAsia="黑体"/>
          <w:sz w:val="32"/>
          <w:szCs w:val="32"/>
        </w:rPr>
      </w:pPr>
      <w:r>
        <w:rPr>
          <w:rFonts w:hint="eastAsia" w:ascii="宋体" w:hAnsi="宋体" w:eastAsia="黑体"/>
          <w:sz w:val="32"/>
          <w:szCs w:val="32"/>
        </w:rPr>
        <w:t>三、试验验证的分析、综述报告、技术经济论证，预期的经济效益、社会效益和生态效益。</w:t>
      </w:r>
    </w:p>
    <w:p>
      <w:pPr>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本标准的制定能够解决当前铝加工（深井铸造）行业面临的主要安全问题，并对政府监管、行业规范以及产业发展起到重要的支撑作用，通过提高生产安全性，减少事故损失，降低生产成本，增强企业竞争力，具有较高的安全效益和社会效益。</w:t>
      </w:r>
    </w:p>
    <w:p>
      <w:pPr>
        <w:widowControl/>
        <w:numPr>
          <w:ilvl w:val="0"/>
          <w:numId w:val="3"/>
        </w:numPr>
        <w:spacing w:line="560" w:lineRule="exact"/>
        <w:ind w:firstLine="640" w:firstLineChars="200"/>
        <w:outlineLvl w:val="0"/>
        <w:rPr>
          <w:rFonts w:hint="eastAsia" w:ascii="宋体" w:hAnsi="宋体" w:eastAsia="黑体"/>
          <w:sz w:val="32"/>
          <w:szCs w:val="32"/>
        </w:rPr>
      </w:pPr>
      <w:r>
        <w:rPr>
          <w:rFonts w:hint="eastAsia" w:ascii="宋体" w:hAnsi="宋体" w:eastAsia="黑体"/>
          <w:sz w:val="32"/>
          <w:szCs w:val="32"/>
        </w:rPr>
        <w:t>与国际、国外同类标准技术内容的对比情况</w:t>
      </w:r>
    </w:p>
    <w:p>
      <w:pPr>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经查询，美国发布的Guidelines for Handling Molten Aluminum Fourth Edition-2016（《熔融铝处理指南》美国铝业协会2016年第4版）对铝加工深井铸造相关生产安全进行了要求。本标准中部分内容与Guidelines for Handling Molten Aluminum Fourth Edition-2016（《熔融铝处理指南》美国铝业协会2016年第4版）水平相一致，但是铸造冷却水部分略低于上述文件要求，主要原因是国内水质差异较大，水质检测、处理技术不能满足上述文件中的要求，因此本标准制定过程中结合国内实际情况，对相关技术指标进行了调整，更加适用我国铝加工（深井铸造）企业。</w:t>
      </w:r>
    </w:p>
    <w:p>
      <w:pPr>
        <w:widowControl/>
        <w:numPr>
          <w:ilvl w:val="0"/>
          <w:numId w:val="3"/>
        </w:numPr>
        <w:spacing w:line="560" w:lineRule="exact"/>
        <w:ind w:firstLine="640" w:firstLineChars="200"/>
        <w:outlineLvl w:val="0"/>
        <w:rPr>
          <w:rFonts w:hint="eastAsia" w:ascii="宋体" w:hAnsi="宋体" w:eastAsia="黑体"/>
          <w:sz w:val="32"/>
          <w:szCs w:val="32"/>
        </w:rPr>
      </w:pPr>
      <w:r>
        <w:rPr>
          <w:rFonts w:hint="eastAsia" w:ascii="宋体" w:hAnsi="宋体" w:eastAsia="黑体"/>
          <w:sz w:val="32"/>
          <w:szCs w:val="32"/>
        </w:rPr>
        <w:t>以国际标准为基础的起草情况、是否合规引用或采用国际国外标准以及未采用国际标准的原因</w:t>
      </w:r>
    </w:p>
    <w:p>
      <w:pPr>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本标准未引用或采用国际国外标准。</w:t>
      </w:r>
    </w:p>
    <w:p>
      <w:pPr>
        <w:widowControl/>
        <w:numPr>
          <w:ilvl w:val="0"/>
          <w:numId w:val="3"/>
        </w:numPr>
        <w:spacing w:line="560" w:lineRule="exact"/>
        <w:ind w:firstLine="640" w:firstLineChars="200"/>
        <w:outlineLvl w:val="0"/>
        <w:rPr>
          <w:rFonts w:hint="eastAsia" w:ascii="宋体" w:hAnsi="宋体" w:eastAsia="黑体"/>
          <w:sz w:val="32"/>
          <w:szCs w:val="32"/>
        </w:rPr>
      </w:pPr>
      <w:r>
        <w:rPr>
          <w:rFonts w:hint="eastAsia" w:ascii="宋体" w:hAnsi="宋体" w:eastAsia="黑体"/>
          <w:sz w:val="32"/>
          <w:szCs w:val="32"/>
        </w:rPr>
        <w:t>与有关法律、行政法规及相关标准水平的关系</w:t>
      </w:r>
    </w:p>
    <w:p>
      <w:pPr>
        <w:numPr>
          <w:ilvl w:val="0"/>
          <w:numId w:val="4"/>
        </w:numPr>
        <w:spacing w:line="560" w:lineRule="exact"/>
        <w:ind w:firstLine="640" w:firstLineChars="200"/>
        <w:rPr>
          <w:rFonts w:hint="eastAsia" w:ascii="宋体" w:hAnsi="宋体" w:eastAsia="楷体"/>
          <w:sz w:val="32"/>
          <w:szCs w:val="32"/>
          <w:shd w:val="clear" w:color="auto" w:fill="FFFFFF"/>
        </w:rPr>
      </w:pPr>
      <w:r>
        <w:rPr>
          <w:rFonts w:hint="eastAsia" w:ascii="宋体" w:hAnsi="宋体" w:eastAsia="楷体"/>
          <w:sz w:val="32"/>
          <w:szCs w:val="32"/>
          <w:shd w:val="clear" w:color="auto" w:fill="FFFFFF"/>
        </w:rPr>
        <w:t>与有关法律、行政法规、标准关系</w:t>
      </w:r>
    </w:p>
    <w:p>
      <w:pPr>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1.本标准的内容遵循《工贸企业重大事故隐患判定标准》（中华人民共和国应急管理部令 第10号），《关于印发&lt;工贸行业安全生产专项整治“百日清零行动”工作方案&gt;的通知》（应急厅函</w:t>
      </w:r>
      <w:r>
        <w:rPr>
          <w:rFonts w:hint="eastAsia" w:ascii="仿宋_GB2312" w:hAnsi="仿宋_GB2312" w:eastAsia="仿宋_GB2312" w:cs="仿宋_GB2312"/>
          <w:sz w:val="32"/>
          <w:szCs w:val="32"/>
        </w:rPr>
        <w:t>〔</w:t>
      </w:r>
      <w:r>
        <w:rPr>
          <w:rFonts w:hint="eastAsia" w:ascii="宋体" w:hAnsi="宋体" w:eastAsia="仿宋_GB2312" w:cs="仿宋_GB2312"/>
          <w:sz w:val="32"/>
          <w:szCs w:val="32"/>
        </w:rPr>
        <w:t>2022</w:t>
      </w:r>
      <w:r>
        <w:rPr>
          <w:rFonts w:hint="eastAsia" w:ascii="仿宋_GB2312" w:hAnsi="仿宋_GB2312" w:eastAsia="仿宋_GB2312" w:cs="仿宋_GB2312"/>
          <w:sz w:val="32"/>
          <w:szCs w:val="32"/>
        </w:rPr>
        <w:t>〕</w:t>
      </w:r>
      <w:r>
        <w:rPr>
          <w:rFonts w:hint="eastAsia" w:ascii="宋体" w:hAnsi="宋体" w:eastAsia="仿宋_GB2312" w:cs="仿宋_GB2312"/>
          <w:sz w:val="32"/>
          <w:szCs w:val="32"/>
        </w:rPr>
        <w:t>127号），《冶金企业和有色金属企业安全生产规定》（国家安全生产监督管理总局令 第91号）等规定。</w:t>
      </w:r>
    </w:p>
    <w:p>
      <w:pPr>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2.本标准中的规范性引用文件均采用国家行业现行标准，技术要求与国家行业相应标准相匹配，无原则分歧。对其他标准已有规定的，直接引用。</w:t>
      </w:r>
    </w:p>
    <w:p>
      <w:pPr>
        <w:spacing w:line="560" w:lineRule="exact"/>
        <w:ind w:firstLine="640" w:firstLineChars="200"/>
        <w:rPr>
          <w:rFonts w:hint="eastAsia" w:ascii="宋体" w:hAnsi="宋体" w:eastAsia="仿宋_GB2312" w:cs="仿宋_GB2312"/>
          <w:sz w:val="32"/>
          <w:szCs w:val="32"/>
        </w:rPr>
      </w:pPr>
      <w:r>
        <w:rPr>
          <w:rFonts w:ascii="宋体" w:hAnsi="宋体" w:eastAsia="仿宋_GB2312" w:cs="仿宋_GB2312"/>
          <w:sz w:val="32"/>
          <w:szCs w:val="32"/>
        </w:rPr>
        <w:t>本标准引用</w:t>
      </w:r>
      <w:r>
        <w:rPr>
          <w:rFonts w:hint="eastAsia" w:ascii="宋体" w:hAnsi="宋体" w:eastAsia="仿宋_GB2312" w:cs="仿宋_GB2312"/>
          <w:sz w:val="32"/>
          <w:szCs w:val="32"/>
        </w:rPr>
        <w:t>了</w:t>
      </w:r>
      <w:r>
        <w:rPr>
          <w:rFonts w:ascii="宋体" w:hAnsi="宋体" w:eastAsia="仿宋_GB2312" w:cs="仿宋_GB2312"/>
          <w:sz w:val="32"/>
          <w:szCs w:val="32"/>
        </w:rPr>
        <w:t>GB 20905</w:t>
      </w:r>
      <w:r>
        <w:rPr>
          <w:rFonts w:hint="eastAsia" w:ascii="宋体" w:hAnsi="宋体" w:eastAsia="仿宋_GB2312" w:cs="仿宋_GB2312"/>
          <w:sz w:val="32"/>
          <w:szCs w:val="32"/>
        </w:rPr>
        <w:t>《</w:t>
      </w:r>
      <w:r>
        <w:rPr>
          <w:rFonts w:ascii="宋体" w:hAnsi="宋体" w:eastAsia="仿宋_GB2312" w:cs="仿宋_GB2312"/>
          <w:sz w:val="32"/>
          <w:szCs w:val="32"/>
        </w:rPr>
        <w:t>铸造机械 安全要求</w:t>
      </w:r>
      <w:r>
        <w:rPr>
          <w:rFonts w:hint="eastAsia" w:ascii="宋体" w:hAnsi="宋体" w:eastAsia="仿宋_GB2312" w:cs="仿宋_GB2312"/>
          <w:sz w:val="32"/>
          <w:szCs w:val="32"/>
        </w:rPr>
        <w:t>》、</w:t>
      </w:r>
      <w:r>
        <w:rPr>
          <w:rFonts w:ascii="宋体" w:hAnsi="宋体" w:eastAsia="仿宋_GB2312" w:cs="仿宋_GB2312"/>
          <w:sz w:val="32"/>
          <w:szCs w:val="32"/>
        </w:rPr>
        <w:t>GB 50016</w:t>
      </w:r>
      <w:r>
        <w:rPr>
          <w:rFonts w:hint="eastAsia" w:ascii="宋体" w:hAnsi="宋体" w:eastAsia="仿宋_GB2312" w:cs="仿宋_GB2312"/>
          <w:sz w:val="32"/>
          <w:szCs w:val="32"/>
        </w:rPr>
        <w:t>《</w:t>
      </w:r>
      <w:r>
        <w:rPr>
          <w:rFonts w:ascii="宋体" w:hAnsi="宋体" w:eastAsia="仿宋_GB2312" w:cs="仿宋_GB2312"/>
          <w:sz w:val="32"/>
          <w:szCs w:val="32"/>
        </w:rPr>
        <w:t>建筑设计防火规范</w:t>
      </w:r>
      <w:r>
        <w:rPr>
          <w:rFonts w:hint="eastAsia" w:ascii="宋体" w:hAnsi="宋体" w:eastAsia="仿宋_GB2312" w:cs="仿宋_GB2312"/>
          <w:sz w:val="32"/>
          <w:szCs w:val="32"/>
        </w:rPr>
        <w:t>》、</w:t>
      </w:r>
      <w:r>
        <w:rPr>
          <w:rFonts w:ascii="宋体" w:hAnsi="宋体" w:eastAsia="仿宋_GB2312" w:cs="仿宋_GB2312"/>
          <w:sz w:val="32"/>
          <w:szCs w:val="32"/>
        </w:rPr>
        <w:t>GB 50052</w:t>
      </w:r>
      <w:r>
        <w:rPr>
          <w:rFonts w:hint="eastAsia" w:ascii="宋体" w:hAnsi="宋体" w:eastAsia="仿宋_GB2312" w:cs="仿宋_GB2312"/>
          <w:sz w:val="32"/>
          <w:szCs w:val="32"/>
        </w:rPr>
        <w:t>《</w:t>
      </w:r>
      <w:r>
        <w:rPr>
          <w:rFonts w:ascii="宋体" w:hAnsi="宋体" w:eastAsia="仿宋_GB2312" w:cs="仿宋_GB2312"/>
          <w:sz w:val="32"/>
          <w:szCs w:val="32"/>
        </w:rPr>
        <w:t>供配电系统设计规范</w:t>
      </w:r>
      <w:r>
        <w:rPr>
          <w:rFonts w:hint="eastAsia" w:ascii="宋体" w:hAnsi="宋体" w:eastAsia="仿宋_GB2312" w:cs="仿宋_GB2312"/>
          <w:sz w:val="32"/>
          <w:szCs w:val="32"/>
        </w:rPr>
        <w:t>》、</w:t>
      </w:r>
      <w:r>
        <w:rPr>
          <w:rFonts w:ascii="宋体" w:hAnsi="宋体" w:eastAsia="仿宋_GB2312" w:cs="仿宋_GB2312"/>
          <w:sz w:val="32"/>
          <w:szCs w:val="32"/>
        </w:rPr>
        <w:t>GB 50054</w:t>
      </w:r>
      <w:r>
        <w:rPr>
          <w:rFonts w:hint="eastAsia" w:ascii="宋体" w:hAnsi="宋体" w:eastAsia="仿宋_GB2312" w:cs="仿宋_GB2312"/>
          <w:sz w:val="32"/>
          <w:szCs w:val="32"/>
        </w:rPr>
        <w:t>《</w:t>
      </w:r>
      <w:r>
        <w:rPr>
          <w:rFonts w:ascii="宋体" w:hAnsi="宋体" w:eastAsia="仿宋_GB2312" w:cs="仿宋_GB2312"/>
          <w:sz w:val="32"/>
          <w:szCs w:val="32"/>
        </w:rPr>
        <w:t>低压配电设计规范</w:t>
      </w:r>
      <w:r>
        <w:rPr>
          <w:rFonts w:hint="eastAsia" w:ascii="宋体" w:hAnsi="宋体" w:eastAsia="仿宋_GB2312" w:cs="仿宋_GB2312"/>
          <w:sz w:val="32"/>
          <w:szCs w:val="32"/>
        </w:rPr>
        <w:t>》、</w:t>
      </w:r>
      <w:r>
        <w:rPr>
          <w:rFonts w:ascii="宋体" w:hAnsi="宋体" w:eastAsia="仿宋_GB2312" w:cs="仿宋_GB2312"/>
          <w:sz w:val="32"/>
          <w:szCs w:val="32"/>
        </w:rPr>
        <w:t>GB 50055</w:t>
      </w:r>
      <w:r>
        <w:rPr>
          <w:rFonts w:hint="eastAsia" w:ascii="宋体" w:hAnsi="宋体" w:eastAsia="仿宋_GB2312" w:cs="仿宋_GB2312"/>
          <w:sz w:val="32"/>
          <w:szCs w:val="32"/>
        </w:rPr>
        <w:t>《</w:t>
      </w:r>
      <w:r>
        <w:rPr>
          <w:rFonts w:ascii="宋体" w:hAnsi="宋体" w:eastAsia="仿宋_GB2312" w:cs="仿宋_GB2312"/>
          <w:sz w:val="32"/>
          <w:szCs w:val="32"/>
        </w:rPr>
        <w:t>通用用电设备配电设计规范</w:t>
      </w:r>
      <w:r>
        <w:rPr>
          <w:rFonts w:hint="eastAsia" w:ascii="宋体" w:hAnsi="宋体" w:eastAsia="仿宋_GB2312" w:cs="仿宋_GB2312"/>
          <w:sz w:val="32"/>
          <w:szCs w:val="32"/>
        </w:rPr>
        <w:t>》、</w:t>
      </w:r>
      <w:r>
        <w:rPr>
          <w:rFonts w:ascii="宋体" w:hAnsi="宋体" w:eastAsia="仿宋_GB2312" w:cs="仿宋_GB2312"/>
          <w:sz w:val="32"/>
          <w:szCs w:val="32"/>
        </w:rPr>
        <w:t>GB 50058</w:t>
      </w:r>
      <w:r>
        <w:rPr>
          <w:rFonts w:hint="eastAsia" w:ascii="宋体" w:hAnsi="宋体" w:eastAsia="仿宋_GB2312" w:cs="仿宋_GB2312"/>
          <w:sz w:val="32"/>
          <w:szCs w:val="32"/>
        </w:rPr>
        <w:t>《</w:t>
      </w:r>
      <w:r>
        <w:rPr>
          <w:rFonts w:ascii="宋体" w:hAnsi="宋体" w:eastAsia="仿宋_GB2312" w:cs="仿宋_GB2312"/>
          <w:sz w:val="32"/>
          <w:szCs w:val="32"/>
        </w:rPr>
        <w:t>爆炸危险环境电力装置设计规范</w:t>
      </w:r>
      <w:r>
        <w:rPr>
          <w:rFonts w:hint="eastAsia" w:ascii="宋体" w:hAnsi="宋体" w:eastAsia="仿宋_GB2312" w:cs="仿宋_GB2312"/>
          <w:sz w:val="32"/>
          <w:szCs w:val="32"/>
        </w:rPr>
        <w:t>》、</w:t>
      </w:r>
      <w:r>
        <w:rPr>
          <w:rFonts w:ascii="宋体" w:hAnsi="宋体" w:eastAsia="仿宋_GB2312" w:cs="仿宋_GB2312"/>
          <w:sz w:val="32"/>
          <w:szCs w:val="32"/>
        </w:rPr>
        <w:t>GB 50187</w:t>
      </w:r>
      <w:r>
        <w:rPr>
          <w:rFonts w:hint="eastAsia" w:ascii="宋体" w:hAnsi="宋体" w:eastAsia="仿宋_GB2312" w:cs="仿宋_GB2312"/>
          <w:sz w:val="32"/>
          <w:szCs w:val="32"/>
        </w:rPr>
        <w:t>《</w:t>
      </w:r>
      <w:r>
        <w:rPr>
          <w:rFonts w:ascii="宋体" w:hAnsi="宋体" w:eastAsia="仿宋_GB2312" w:cs="仿宋_GB2312"/>
          <w:sz w:val="32"/>
          <w:szCs w:val="32"/>
        </w:rPr>
        <w:t>工业企业总平面设计规范</w:t>
      </w:r>
      <w:r>
        <w:rPr>
          <w:rFonts w:hint="eastAsia" w:ascii="宋体" w:hAnsi="宋体" w:eastAsia="仿宋_GB2312" w:cs="仿宋_GB2312"/>
          <w:sz w:val="32"/>
          <w:szCs w:val="32"/>
        </w:rPr>
        <w:t>》、</w:t>
      </w:r>
      <w:r>
        <w:rPr>
          <w:rFonts w:ascii="宋体" w:hAnsi="宋体" w:eastAsia="仿宋_GB2312" w:cs="仿宋_GB2312"/>
          <w:sz w:val="32"/>
          <w:szCs w:val="32"/>
        </w:rPr>
        <w:t>GB 50482</w:t>
      </w:r>
      <w:r>
        <w:rPr>
          <w:rFonts w:hint="eastAsia" w:ascii="宋体" w:hAnsi="宋体" w:eastAsia="仿宋_GB2312" w:cs="仿宋_GB2312"/>
          <w:sz w:val="32"/>
          <w:szCs w:val="32"/>
        </w:rPr>
        <w:t>《</w:t>
      </w:r>
      <w:r>
        <w:rPr>
          <w:rFonts w:ascii="宋体" w:hAnsi="宋体" w:eastAsia="仿宋_GB2312" w:cs="仿宋_GB2312"/>
          <w:sz w:val="32"/>
          <w:szCs w:val="32"/>
        </w:rPr>
        <w:t>铝加工厂工艺设计规范</w:t>
      </w:r>
      <w:r>
        <w:rPr>
          <w:rFonts w:hint="eastAsia" w:ascii="宋体" w:hAnsi="宋体" w:eastAsia="仿宋_GB2312" w:cs="仿宋_GB2312"/>
          <w:sz w:val="32"/>
          <w:szCs w:val="32"/>
        </w:rPr>
        <w:t>》、</w:t>
      </w:r>
      <w:r>
        <w:rPr>
          <w:rFonts w:ascii="宋体" w:hAnsi="宋体" w:eastAsia="仿宋_GB2312" w:cs="仿宋_GB2312"/>
          <w:sz w:val="32"/>
          <w:szCs w:val="32"/>
        </w:rPr>
        <w:t>GB 50630</w:t>
      </w:r>
      <w:r>
        <w:rPr>
          <w:rFonts w:hint="eastAsia" w:ascii="宋体" w:hAnsi="宋体" w:eastAsia="仿宋_GB2312" w:cs="仿宋_GB2312"/>
          <w:sz w:val="32"/>
          <w:szCs w:val="32"/>
        </w:rPr>
        <w:t>《</w:t>
      </w:r>
      <w:r>
        <w:rPr>
          <w:rFonts w:ascii="宋体" w:hAnsi="宋体" w:eastAsia="仿宋_GB2312" w:cs="仿宋_GB2312"/>
          <w:sz w:val="32"/>
          <w:szCs w:val="32"/>
        </w:rPr>
        <w:t>有色金属工程设计防火规范</w:t>
      </w:r>
      <w:r>
        <w:rPr>
          <w:rFonts w:hint="eastAsia" w:ascii="宋体" w:hAnsi="宋体" w:eastAsia="仿宋_GB2312" w:cs="仿宋_GB2312"/>
          <w:sz w:val="32"/>
          <w:szCs w:val="32"/>
        </w:rPr>
        <w:t>》、</w:t>
      </w:r>
      <w:r>
        <w:rPr>
          <w:rFonts w:ascii="宋体" w:hAnsi="宋体" w:eastAsia="仿宋_GB2312" w:cs="仿宋_GB2312"/>
          <w:sz w:val="32"/>
          <w:szCs w:val="32"/>
        </w:rPr>
        <w:t>GB 55037</w:t>
      </w:r>
      <w:r>
        <w:rPr>
          <w:rFonts w:hint="eastAsia" w:ascii="宋体" w:hAnsi="宋体" w:eastAsia="仿宋_GB2312" w:cs="仿宋_GB2312"/>
          <w:sz w:val="32"/>
          <w:szCs w:val="32"/>
        </w:rPr>
        <w:t>《</w:t>
      </w:r>
      <w:r>
        <w:rPr>
          <w:rFonts w:ascii="宋体" w:hAnsi="宋体" w:eastAsia="仿宋_GB2312" w:cs="仿宋_GB2312"/>
          <w:sz w:val="32"/>
          <w:szCs w:val="32"/>
        </w:rPr>
        <w:t>建筑防火通用规范</w:t>
      </w:r>
      <w:r>
        <w:rPr>
          <w:rFonts w:hint="eastAsia" w:ascii="宋体" w:hAnsi="宋体" w:eastAsia="仿宋_GB2312" w:cs="仿宋_GB2312"/>
          <w:sz w:val="32"/>
          <w:szCs w:val="32"/>
        </w:rPr>
        <w:t>》、</w:t>
      </w:r>
      <w:r>
        <w:rPr>
          <w:rFonts w:ascii="宋体" w:hAnsi="宋体" w:eastAsia="仿宋_GB2312" w:cs="仿宋_GB2312"/>
          <w:sz w:val="32"/>
          <w:szCs w:val="32"/>
        </w:rPr>
        <w:t>AQ 3014</w:t>
      </w:r>
      <w:r>
        <w:rPr>
          <w:rFonts w:hint="eastAsia" w:ascii="宋体" w:hAnsi="宋体" w:eastAsia="仿宋_GB2312" w:cs="仿宋_GB2312"/>
          <w:sz w:val="32"/>
          <w:szCs w:val="32"/>
        </w:rPr>
        <w:t>《</w:t>
      </w:r>
      <w:r>
        <w:rPr>
          <w:rFonts w:ascii="宋体" w:hAnsi="宋体" w:eastAsia="仿宋_GB2312" w:cs="仿宋_GB2312"/>
          <w:sz w:val="32"/>
          <w:szCs w:val="32"/>
        </w:rPr>
        <w:t>液氯使用安全技术要求</w:t>
      </w:r>
      <w:r>
        <w:rPr>
          <w:rFonts w:hint="eastAsia" w:ascii="宋体" w:hAnsi="宋体" w:eastAsia="仿宋_GB2312" w:cs="仿宋_GB2312"/>
          <w:sz w:val="32"/>
          <w:szCs w:val="32"/>
        </w:rPr>
        <w:t>》等专业技术标准。</w:t>
      </w:r>
    </w:p>
    <w:p>
      <w:pPr>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3.本标准在GB 20905《铸造机械 安全要求》、GB 30078《变形铝及铝合金铸锭安全生产规范》的基础上，进一步聚焦补充制定铝加工（深井铸造）的设备设施及作业的安全要求，与</w:t>
      </w:r>
      <w:r>
        <w:rPr>
          <w:rFonts w:hint="eastAsia" w:ascii="宋体" w:hAnsi="宋体" w:eastAsia="仿宋_GB2312"/>
          <w:sz w:val="32"/>
          <w:szCs w:val="32"/>
        </w:rPr>
        <w:t>相关国家行业标准协调一致。</w:t>
      </w:r>
    </w:p>
    <w:p>
      <w:pPr>
        <w:numPr>
          <w:ilvl w:val="0"/>
          <w:numId w:val="4"/>
        </w:numPr>
        <w:spacing w:line="560" w:lineRule="exact"/>
        <w:ind w:firstLine="640" w:firstLineChars="200"/>
        <w:rPr>
          <w:rFonts w:hint="eastAsia" w:ascii="宋体" w:hAnsi="宋体" w:eastAsia="楷体"/>
          <w:sz w:val="32"/>
          <w:szCs w:val="32"/>
          <w:shd w:val="clear" w:color="auto" w:fill="FFFFFF"/>
        </w:rPr>
      </w:pPr>
      <w:r>
        <w:rPr>
          <w:rFonts w:hint="eastAsia" w:ascii="宋体" w:hAnsi="宋体" w:eastAsia="楷体"/>
          <w:sz w:val="32"/>
          <w:szCs w:val="32"/>
          <w:shd w:val="clear" w:color="auto" w:fill="FFFFFF"/>
        </w:rPr>
        <w:t>配套推荐性标准的制定情况</w:t>
      </w:r>
    </w:p>
    <w:p>
      <w:pPr>
        <w:spacing w:line="560" w:lineRule="exact"/>
        <w:ind w:firstLine="640" w:firstLineChars="200"/>
        <w:rPr>
          <w:rFonts w:hint="eastAsia" w:ascii="宋体" w:hAnsi="宋体" w:eastAsia="楷体"/>
          <w:sz w:val="32"/>
          <w:szCs w:val="32"/>
          <w:shd w:val="clear" w:color="auto" w:fill="FFFFFF"/>
        </w:rPr>
      </w:pPr>
      <w:r>
        <w:rPr>
          <w:rFonts w:hint="eastAsia" w:ascii="宋体" w:hAnsi="宋体" w:eastAsia="仿宋_GB2312" w:cs="仿宋_GB2312"/>
          <w:sz w:val="32"/>
          <w:szCs w:val="32"/>
        </w:rPr>
        <w:t>无。</w:t>
      </w:r>
    </w:p>
    <w:p>
      <w:pPr>
        <w:widowControl/>
        <w:numPr>
          <w:ilvl w:val="0"/>
          <w:numId w:val="3"/>
        </w:numPr>
        <w:spacing w:line="560" w:lineRule="exact"/>
        <w:ind w:firstLine="640" w:firstLineChars="200"/>
        <w:outlineLvl w:val="0"/>
        <w:rPr>
          <w:rFonts w:hint="eastAsia" w:ascii="宋体" w:hAnsi="宋体" w:eastAsia="黑体"/>
          <w:sz w:val="32"/>
          <w:szCs w:val="32"/>
        </w:rPr>
      </w:pPr>
      <w:r>
        <w:rPr>
          <w:rFonts w:hint="eastAsia" w:ascii="宋体" w:hAnsi="宋体" w:eastAsia="黑体"/>
          <w:sz w:val="32"/>
          <w:szCs w:val="32"/>
        </w:rPr>
        <w:t>重大分歧意见的处理过程及依据</w:t>
      </w:r>
    </w:p>
    <w:p>
      <w:pPr>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无。</w:t>
      </w:r>
    </w:p>
    <w:p>
      <w:pPr>
        <w:widowControl/>
        <w:numPr>
          <w:ilvl w:val="0"/>
          <w:numId w:val="3"/>
        </w:numPr>
        <w:spacing w:line="560" w:lineRule="exact"/>
        <w:ind w:firstLine="640" w:firstLineChars="200"/>
        <w:outlineLvl w:val="0"/>
        <w:rPr>
          <w:rFonts w:hint="eastAsia" w:ascii="宋体" w:hAnsi="宋体" w:eastAsia="黑体"/>
          <w:sz w:val="32"/>
          <w:szCs w:val="32"/>
        </w:rPr>
      </w:pPr>
      <w:r>
        <w:rPr>
          <w:rFonts w:hint="eastAsia" w:ascii="宋体" w:hAnsi="宋体" w:eastAsia="黑体"/>
          <w:sz w:val="32"/>
          <w:szCs w:val="32"/>
        </w:rPr>
        <w:t>作为强制性标准或推荐性标准的建议及理由</w:t>
      </w:r>
    </w:p>
    <w:p>
      <w:pPr>
        <w:widowControl/>
        <w:numPr>
          <w:ilvl w:val="255"/>
          <w:numId w:val="0"/>
        </w:numPr>
        <w:spacing w:line="560" w:lineRule="exact"/>
        <w:ind w:firstLine="640" w:firstLineChars="200"/>
        <w:jc w:val="left"/>
        <w:rPr>
          <w:rFonts w:hint="eastAsia" w:ascii="宋体" w:hAnsi="宋体" w:eastAsia="仿宋_GB2312" w:cs="仿宋_GB2312"/>
          <w:sz w:val="32"/>
          <w:szCs w:val="32"/>
        </w:rPr>
      </w:pPr>
      <w:r>
        <w:rPr>
          <w:rFonts w:hint="eastAsia" w:ascii="宋体" w:hAnsi="宋体" w:eastAsia="仿宋_GB2312" w:cs="仿宋_GB2312"/>
          <w:sz w:val="32"/>
          <w:szCs w:val="32"/>
        </w:rPr>
        <w:t>本文件规定了铝加工（深井铸造）各生产环节设备设施及作业的安全要求，其发布实施后可规范指导铝加工（深井铸造）安全生产，对企业</w:t>
      </w:r>
      <w:r>
        <w:rPr>
          <w:rFonts w:hint="eastAsia" w:ascii="宋体" w:hAnsi="宋体" w:eastAsia="仿宋_GB2312" w:cs="仿宋_GB2312"/>
          <w:sz w:val="32"/>
          <w:szCs w:val="32"/>
          <w:lang w:bidi="ar"/>
        </w:rPr>
        <w:t>财产和人身安全起到关键性的保障作用。</w:t>
      </w:r>
      <w:r>
        <w:rPr>
          <w:rFonts w:hint="eastAsia" w:ascii="宋体" w:hAnsi="宋体" w:eastAsia="仿宋_GB2312" w:cs="仿宋_GB2312"/>
          <w:sz w:val="32"/>
          <w:szCs w:val="32"/>
        </w:rPr>
        <w:t>符合《中华人民共和国标准化法》第十条规定“对保障人身健康和生命财产安全、国家安全、生态环境安全以及满足经济社会管理基本需要的技术要求，应当制定强制性国家标准”，建议《铝加工（深井铸造）安全规范》为强制性标准。</w:t>
      </w:r>
    </w:p>
    <w:p>
      <w:pPr>
        <w:widowControl/>
        <w:numPr>
          <w:ilvl w:val="0"/>
          <w:numId w:val="3"/>
        </w:numPr>
        <w:spacing w:line="560" w:lineRule="exact"/>
        <w:ind w:firstLine="640" w:firstLineChars="200"/>
        <w:outlineLvl w:val="0"/>
        <w:rPr>
          <w:rFonts w:hint="eastAsia" w:ascii="宋体" w:hAnsi="宋体" w:eastAsia="黑体"/>
          <w:sz w:val="32"/>
          <w:szCs w:val="32"/>
        </w:rPr>
      </w:pPr>
      <w:r>
        <w:rPr>
          <w:rFonts w:hint="eastAsia" w:ascii="宋体" w:hAnsi="宋体" w:eastAsia="黑体"/>
          <w:sz w:val="32"/>
          <w:szCs w:val="32"/>
        </w:rPr>
        <w:t>标准自发布日期至实施日期的过渡期建议及理由</w:t>
      </w:r>
    </w:p>
    <w:p>
      <w:pPr>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建议本标准从批准发布到正式实施设置6个月的过渡期，具体以国家标准公告规定的实施日期为准。</w:t>
      </w:r>
    </w:p>
    <w:p>
      <w:pPr>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因生产经营单位生产设备种类多、数量大，若是要求所有生产经营单位在新标准实施后必须严格执行新标准，可能有些设备改造无法实施，甚至有些老旧企业实施改造后也无法满足新标准的要求，这样势必影响到生产经营单位的正常、连续生产，难免造成一些负面的社会影响。</w:t>
      </w:r>
    </w:p>
    <w:p>
      <w:pPr>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过渡期内新建、改建、扩建工程中的生产设备建议执行新标准要求；自标准实施之日起，均应执行新标准。</w:t>
      </w:r>
    </w:p>
    <w:p>
      <w:pPr>
        <w:widowControl/>
        <w:numPr>
          <w:ilvl w:val="0"/>
          <w:numId w:val="3"/>
        </w:numPr>
        <w:spacing w:line="560" w:lineRule="exact"/>
        <w:ind w:firstLine="640" w:firstLineChars="200"/>
        <w:outlineLvl w:val="0"/>
        <w:rPr>
          <w:rFonts w:hint="eastAsia" w:ascii="宋体" w:hAnsi="宋体" w:eastAsia="黑体"/>
          <w:sz w:val="32"/>
          <w:szCs w:val="32"/>
        </w:rPr>
      </w:pPr>
      <w:r>
        <w:rPr>
          <w:rFonts w:hint="eastAsia" w:ascii="宋体" w:hAnsi="宋体" w:eastAsia="黑体"/>
          <w:sz w:val="32"/>
          <w:szCs w:val="32"/>
        </w:rPr>
        <w:t>与实施标准有关的政策措施</w:t>
      </w:r>
    </w:p>
    <w:p>
      <w:pPr>
        <w:spacing w:line="560" w:lineRule="exact"/>
        <w:ind w:firstLine="640" w:firstLineChars="200"/>
        <w:rPr>
          <w:rFonts w:hint="eastAsia" w:ascii="宋体" w:hAnsi="宋体" w:eastAsia="仿宋_GB2312"/>
          <w:i/>
          <w:iCs/>
          <w:color w:val="FF0000"/>
          <w:sz w:val="32"/>
          <w:szCs w:val="32"/>
        </w:rPr>
      </w:pPr>
      <w:r>
        <w:rPr>
          <w:rFonts w:hint="eastAsia" w:ascii="宋体" w:hAnsi="宋体" w:eastAsia="仿宋_GB2312" w:cs="仿宋_GB2312"/>
          <w:sz w:val="32"/>
          <w:szCs w:val="32"/>
        </w:rPr>
        <w:t>本标准将通过应急管理部、专业标准化技术委员会平台、微信公众号、技术交流、培训等渠道向铝加工（深井铸造）生产单位及有关安全生产技术服务机构等进行宣贯，使他们掌握并贯彻执行本标准的相关规定。</w:t>
      </w:r>
    </w:p>
    <w:p>
      <w:pPr>
        <w:widowControl/>
        <w:numPr>
          <w:ilvl w:val="0"/>
          <w:numId w:val="3"/>
        </w:numPr>
        <w:spacing w:line="560" w:lineRule="exact"/>
        <w:ind w:firstLine="640" w:firstLineChars="200"/>
        <w:outlineLvl w:val="0"/>
        <w:rPr>
          <w:rFonts w:hint="eastAsia" w:ascii="宋体" w:hAnsi="宋体" w:eastAsia="黑体"/>
          <w:sz w:val="32"/>
          <w:szCs w:val="32"/>
        </w:rPr>
      </w:pPr>
      <w:r>
        <w:rPr>
          <w:rFonts w:hint="eastAsia" w:ascii="宋体" w:hAnsi="宋体" w:eastAsia="黑体"/>
          <w:sz w:val="32"/>
          <w:szCs w:val="32"/>
        </w:rPr>
        <w:t>是否需要对外通报的建议及理由。</w:t>
      </w:r>
    </w:p>
    <w:p>
      <w:pPr>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无。</w:t>
      </w:r>
    </w:p>
    <w:p>
      <w:pPr>
        <w:widowControl/>
        <w:numPr>
          <w:ilvl w:val="0"/>
          <w:numId w:val="3"/>
        </w:numPr>
        <w:spacing w:line="560" w:lineRule="exact"/>
        <w:ind w:firstLine="640" w:firstLineChars="200"/>
        <w:outlineLvl w:val="0"/>
        <w:rPr>
          <w:rFonts w:hint="eastAsia" w:ascii="宋体" w:hAnsi="宋体" w:eastAsia="黑体"/>
          <w:sz w:val="32"/>
          <w:szCs w:val="32"/>
        </w:rPr>
      </w:pPr>
      <w:r>
        <w:rPr>
          <w:rFonts w:ascii="宋体" w:hAnsi="宋体" w:eastAsia="黑体"/>
          <w:sz w:val="32"/>
          <w:szCs w:val="32"/>
        </w:rPr>
        <w:t>废止现行有关标准的建议</w:t>
      </w:r>
    </w:p>
    <w:p>
      <w:pPr>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无。</w:t>
      </w:r>
    </w:p>
    <w:p>
      <w:pPr>
        <w:widowControl/>
        <w:numPr>
          <w:ilvl w:val="0"/>
          <w:numId w:val="3"/>
        </w:numPr>
        <w:spacing w:line="560" w:lineRule="exact"/>
        <w:ind w:firstLine="640" w:firstLineChars="200"/>
        <w:outlineLvl w:val="0"/>
        <w:rPr>
          <w:rFonts w:hint="eastAsia" w:ascii="宋体" w:hAnsi="宋体" w:eastAsia="黑体"/>
          <w:sz w:val="32"/>
          <w:szCs w:val="32"/>
        </w:rPr>
      </w:pPr>
      <w:r>
        <w:rPr>
          <w:rFonts w:hint="eastAsia" w:ascii="宋体" w:hAnsi="宋体" w:eastAsia="黑体"/>
          <w:sz w:val="32"/>
          <w:szCs w:val="32"/>
        </w:rPr>
        <w:t>涉及专利的有关说明</w:t>
      </w:r>
    </w:p>
    <w:p>
      <w:pPr>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无。</w:t>
      </w:r>
    </w:p>
    <w:p>
      <w:pPr>
        <w:widowControl/>
        <w:numPr>
          <w:ilvl w:val="0"/>
          <w:numId w:val="3"/>
        </w:numPr>
        <w:spacing w:line="560" w:lineRule="exact"/>
        <w:ind w:firstLine="640" w:firstLineChars="200"/>
        <w:outlineLvl w:val="0"/>
        <w:rPr>
          <w:rFonts w:hint="eastAsia" w:ascii="宋体" w:hAnsi="宋体" w:eastAsia="黑体"/>
          <w:sz w:val="32"/>
          <w:szCs w:val="32"/>
        </w:rPr>
      </w:pPr>
      <w:r>
        <w:rPr>
          <w:rFonts w:hint="eastAsia" w:ascii="宋体" w:hAnsi="宋体" w:eastAsia="黑体"/>
          <w:sz w:val="32"/>
          <w:szCs w:val="32"/>
        </w:rPr>
        <w:t>标准所涉及的产品、过程或者服务目录</w:t>
      </w:r>
    </w:p>
    <w:p>
      <w:pPr>
        <w:spacing w:line="560" w:lineRule="exact"/>
        <w:ind w:firstLine="640" w:firstLineChars="200"/>
        <w:rPr>
          <w:rFonts w:hint="eastAsia" w:ascii="宋体" w:hAnsi="宋体" w:eastAsia="仿宋_GB2312"/>
          <w:i/>
          <w:color w:val="FF0000"/>
          <w:sz w:val="32"/>
          <w:szCs w:val="32"/>
        </w:rPr>
      </w:pPr>
      <w:r>
        <w:rPr>
          <w:rFonts w:hint="eastAsia" w:ascii="宋体" w:hAnsi="宋体" w:eastAsia="仿宋_GB2312" w:cs="仿宋_GB2312"/>
          <w:sz w:val="32"/>
          <w:szCs w:val="32"/>
        </w:rPr>
        <w:t>钢丝绳铸造机、固定式浇铸炉。</w:t>
      </w:r>
    </w:p>
    <w:p>
      <w:pPr>
        <w:widowControl/>
        <w:numPr>
          <w:ilvl w:val="0"/>
          <w:numId w:val="3"/>
        </w:numPr>
        <w:spacing w:line="560" w:lineRule="exact"/>
        <w:ind w:firstLine="640" w:firstLineChars="200"/>
        <w:outlineLvl w:val="0"/>
        <w:rPr>
          <w:rFonts w:hint="eastAsia" w:ascii="宋体" w:hAnsi="宋体" w:eastAsia="黑体"/>
          <w:sz w:val="32"/>
          <w:szCs w:val="32"/>
        </w:rPr>
      </w:pPr>
      <w:r>
        <w:rPr>
          <w:rFonts w:hint="eastAsia" w:ascii="宋体" w:hAnsi="宋体" w:eastAsia="黑体"/>
          <w:sz w:val="32"/>
          <w:szCs w:val="32"/>
        </w:rPr>
        <w:t>其他</w:t>
      </w:r>
      <w:r>
        <w:rPr>
          <w:rFonts w:ascii="宋体" w:hAnsi="宋体" w:eastAsia="黑体"/>
          <w:sz w:val="32"/>
          <w:szCs w:val="32"/>
        </w:rPr>
        <w:t>应予以说明的事项</w:t>
      </w:r>
    </w:p>
    <w:p>
      <w:pPr>
        <w:widowControl/>
        <w:numPr>
          <w:ilvl w:val="255"/>
          <w:numId w:val="0"/>
        </w:numPr>
        <w:spacing w:line="560" w:lineRule="exact"/>
        <w:ind w:firstLine="640" w:firstLineChars="200"/>
        <w:jc w:val="left"/>
        <w:rPr>
          <w:rFonts w:hint="eastAsia" w:ascii="宋体" w:hAnsi="宋体" w:eastAsia="仿宋_GB2312" w:cs="仿宋_GB2312"/>
          <w:sz w:val="32"/>
          <w:szCs w:val="32"/>
        </w:rPr>
      </w:pPr>
      <w:r>
        <w:rPr>
          <w:rFonts w:hint="eastAsia" w:ascii="宋体" w:hAnsi="宋体" w:eastAsia="仿宋_GB2312" w:cs="仿宋_GB2312"/>
          <w:sz w:val="32"/>
          <w:szCs w:val="32"/>
        </w:rPr>
        <w:t>无。</w:t>
      </w:r>
    </w:p>
    <w:p>
      <w:pPr>
        <w:spacing w:line="560" w:lineRule="exact"/>
        <w:ind w:firstLine="640" w:firstLineChars="200"/>
        <w:rPr>
          <w:rFonts w:hint="eastAsia" w:ascii="宋体" w:hAnsi="宋体" w:eastAsia="仿宋_GB2312"/>
          <w:sz w:val="32"/>
          <w:szCs w:val="32"/>
        </w:rPr>
      </w:pPr>
    </w:p>
    <w:p>
      <w:pPr>
        <w:rPr>
          <w:rFonts w:hint="eastAsia" w:ascii="宋体" w:hAnsi="宋体"/>
        </w:rPr>
      </w:pPr>
    </w:p>
    <w:sectPr>
      <w:pgSz w:w="11906" w:h="16838"/>
      <w:pgMar w:top="1701" w:right="1474" w:bottom="1474" w:left="1587" w:header="851" w:footer="992" w:gutter="0"/>
      <w:pgNumType w:start="1"/>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东文宋体">
    <w:altName w:val="宋体"/>
    <w:panose1 w:val="00000000000000000000"/>
    <w:charset w:val="00"/>
    <w:family w:val="auto"/>
    <w:pitch w:val="default"/>
    <w:sig w:usb0="00000000" w:usb1="00000000" w:usb2="00000000" w:usb3="00000000" w:csb0="00040001"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 w:name="Batang">
    <w:panose1 w:val="02030600000101010101"/>
    <w:charset w:val="81"/>
    <w:family w:val="auto"/>
    <w:pitch w:val="default"/>
    <w:sig w:usb0="B00002AF" w:usb1="69D77CFB" w:usb2="00000030" w:usb3="00000000" w:csb0="4008009F" w:csb1="DFD7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21885836"/>
      <w:docPartObj>
        <w:docPartGallery w:val="AutoText"/>
      </w:docPartObj>
    </w:sdtPr>
    <w:sdtEndPr>
      <w:rPr>
        <w:rFonts w:asciiTheme="minorEastAsia" w:hAnsiTheme="minorEastAsia" w:eastAsiaTheme="minorEastAsia"/>
        <w:sz w:val="21"/>
        <w:szCs w:val="21"/>
      </w:rPr>
    </w:sdtEndPr>
    <w:sdtContent>
      <w:p>
        <w:pPr>
          <w:pStyle w:val="5"/>
          <w:jc w:val="center"/>
          <w:rPr>
            <w:rFonts w:hint="eastAsia" w:asciiTheme="minorEastAsia" w:hAnsiTheme="minorEastAsia" w:eastAsiaTheme="minorEastAsia"/>
            <w:sz w:val="21"/>
            <w:szCs w:val="21"/>
          </w:rPr>
        </w:pPr>
        <w:r>
          <w:rPr>
            <w:rFonts w:asciiTheme="minorEastAsia" w:hAnsiTheme="minorEastAsia" w:eastAsiaTheme="minorEastAsia"/>
            <w:sz w:val="21"/>
            <w:szCs w:val="21"/>
          </w:rPr>
          <w:fldChar w:fldCharType="begin"/>
        </w:r>
        <w:r>
          <w:rPr>
            <w:rFonts w:asciiTheme="minorEastAsia" w:hAnsiTheme="minorEastAsia" w:eastAsiaTheme="minorEastAsia"/>
            <w:sz w:val="21"/>
            <w:szCs w:val="21"/>
          </w:rPr>
          <w:instrText xml:space="preserve">PAGE   \* MERGEFORMAT</w:instrText>
        </w:r>
        <w:r>
          <w:rPr>
            <w:rFonts w:asciiTheme="minorEastAsia" w:hAnsiTheme="minorEastAsia" w:eastAsiaTheme="minorEastAsia"/>
            <w:sz w:val="21"/>
            <w:szCs w:val="21"/>
          </w:rPr>
          <w:fldChar w:fldCharType="separate"/>
        </w:r>
        <w:r>
          <w:rPr>
            <w:rFonts w:asciiTheme="minorEastAsia" w:hAnsiTheme="minorEastAsia" w:eastAsiaTheme="minorEastAsia"/>
            <w:sz w:val="21"/>
            <w:szCs w:val="21"/>
            <w:lang w:val="zh-CN"/>
          </w:rPr>
          <w:t>2</w:t>
        </w:r>
        <w:r>
          <w:rPr>
            <w:rFonts w:asciiTheme="minorEastAsia" w:hAnsiTheme="minorEastAsia" w:eastAsiaTheme="minorEastAsia"/>
            <w:sz w:val="21"/>
            <w:szCs w:val="21"/>
          </w:rPr>
          <w:fldChar w:fldCharType="end"/>
        </w:r>
      </w:p>
    </w:sdtContent>
  </w:sdt>
  <w:p>
    <w:pPr>
      <w:tabs>
        <w:tab w:val="center" w:pos="4153"/>
        <w:tab w:val="right" w:pos="8306"/>
      </w:tabs>
      <w:snapToGrid w:val="0"/>
      <w:jc w:val="left"/>
      <w:rPr>
        <w:rFonts w:hint="eastAsia" w:ascii="等线" w:hAnsi="等线" w:eastAsia="等线"/>
        <w:sz w:val="18"/>
        <w:szCs w:val="1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EE6F9B"/>
    <w:multiLevelType w:val="singleLevel"/>
    <w:tmpl w:val="EFEE6F9B"/>
    <w:lvl w:ilvl="0" w:tentative="0">
      <w:start w:val="2"/>
      <w:numFmt w:val="chineseCounting"/>
      <w:suff w:val="nothing"/>
      <w:lvlText w:val="%1、"/>
      <w:lvlJc w:val="left"/>
      <w:rPr>
        <w:rFonts w:hint="eastAsia"/>
      </w:rPr>
    </w:lvl>
  </w:abstractNum>
  <w:abstractNum w:abstractNumId="1">
    <w:nsid w:val="F79EAE0B"/>
    <w:multiLevelType w:val="singleLevel"/>
    <w:tmpl w:val="F79EAE0B"/>
    <w:lvl w:ilvl="0" w:tentative="0">
      <w:start w:val="1"/>
      <w:numFmt w:val="chineseCounting"/>
      <w:suff w:val="nothing"/>
      <w:lvlText w:val="（%1）"/>
      <w:lvlJc w:val="left"/>
      <w:rPr>
        <w:rFonts w:hint="eastAsia"/>
      </w:rPr>
    </w:lvl>
  </w:abstractNum>
  <w:abstractNum w:abstractNumId="2">
    <w:nsid w:val="671F11B1"/>
    <w:multiLevelType w:val="singleLevel"/>
    <w:tmpl w:val="671F11B1"/>
    <w:lvl w:ilvl="0" w:tentative="0">
      <w:start w:val="4"/>
      <w:numFmt w:val="chineseCounting"/>
      <w:suff w:val="nothing"/>
      <w:lvlText w:val="%1、"/>
      <w:lvlJc w:val="left"/>
      <w:rPr>
        <w:rFonts w:hint="eastAsia"/>
      </w:rPr>
    </w:lvl>
  </w:abstractNum>
  <w:abstractNum w:abstractNumId="3">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pStyle w:val="15"/>
      <w:suff w:val="nothing"/>
      <w:lvlText w:val="%1%2　"/>
      <w:lvlJc w:val="left"/>
      <w:pPr>
        <w:ind w:left="0" w:firstLine="0"/>
      </w:pPr>
      <w:rPr>
        <w:rFonts w:hint="eastAsia" w:ascii="黑体" w:eastAsia="黑体"/>
        <w:b w:val="0"/>
        <w:i w:val="0"/>
        <w:sz w:val="21"/>
      </w:rPr>
    </w:lvl>
    <w:lvl w:ilvl="2" w:tentative="0">
      <w:start w:val="1"/>
      <w:numFmt w:val="decimal"/>
      <w:pStyle w:val="14"/>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13"/>
      <w:suff w:val="nothing"/>
      <w:lvlText w:val="%1%2.%3.%4　"/>
      <w:lvlJc w:val="left"/>
      <w:pPr>
        <w:ind w:left="0" w:firstLine="0"/>
      </w:pPr>
      <w:rPr>
        <w:rFonts w:hint="eastAsia" w:ascii="黑体" w:eastAsia="黑体"/>
        <w:b w:val="0"/>
        <w:i w:val="0"/>
        <w:sz w:val="21"/>
      </w:rPr>
    </w:lvl>
    <w:lvl w:ilvl="4" w:tentative="0">
      <w:start w:val="1"/>
      <w:numFmt w:val="decimal"/>
      <w:pStyle w:val="18"/>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Y0Nzc2NGY3NTYzYTQ2ZmE4MTE0ZjlmYjI3YzBiMjcifQ=="/>
  </w:docVars>
  <w:rsids>
    <w:rsidRoot w:val="00785EA5"/>
    <w:rsid w:val="00271971"/>
    <w:rsid w:val="0035036B"/>
    <w:rsid w:val="0051358B"/>
    <w:rsid w:val="005525C1"/>
    <w:rsid w:val="00785EA5"/>
    <w:rsid w:val="009824E7"/>
    <w:rsid w:val="009F10C7"/>
    <w:rsid w:val="009F72DA"/>
    <w:rsid w:val="00A42211"/>
    <w:rsid w:val="00B0465F"/>
    <w:rsid w:val="00B43C75"/>
    <w:rsid w:val="00C1611F"/>
    <w:rsid w:val="00CE06DB"/>
    <w:rsid w:val="00DE055F"/>
    <w:rsid w:val="00E61530"/>
    <w:rsid w:val="00EA058C"/>
    <w:rsid w:val="00EF0C61"/>
    <w:rsid w:val="01CB442B"/>
    <w:rsid w:val="01EF06D8"/>
    <w:rsid w:val="02063EF6"/>
    <w:rsid w:val="02DB72BE"/>
    <w:rsid w:val="0A686B0A"/>
    <w:rsid w:val="0AA61B92"/>
    <w:rsid w:val="0B114DEE"/>
    <w:rsid w:val="0BCB4FC8"/>
    <w:rsid w:val="0C335263"/>
    <w:rsid w:val="0E803D50"/>
    <w:rsid w:val="0F1E1987"/>
    <w:rsid w:val="10F81694"/>
    <w:rsid w:val="1306354B"/>
    <w:rsid w:val="139A6CBE"/>
    <w:rsid w:val="1A577716"/>
    <w:rsid w:val="1F2702B4"/>
    <w:rsid w:val="23781057"/>
    <w:rsid w:val="23AC7D42"/>
    <w:rsid w:val="24D85091"/>
    <w:rsid w:val="2516797B"/>
    <w:rsid w:val="254E581B"/>
    <w:rsid w:val="26A7576F"/>
    <w:rsid w:val="288A7DDB"/>
    <w:rsid w:val="295F0AE1"/>
    <w:rsid w:val="297A12A9"/>
    <w:rsid w:val="2CEF2357"/>
    <w:rsid w:val="2D4E5D1E"/>
    <w:rsid w:val="2E3E8810"/>
    <w:rsid w:val="2E5A3DAC"/>
    <w:rsid w:val="30B764C3"/>
    <w:rsid w:val="33566D9F"/>
    <w:rsid w:val="33857F9E"/>
    <w:rsid w:val="36DF4395"/>
    <w:rsid w:val="37CE7B13"/>
    <w:rsid w:val="3EAB0813"/>
    <w:rsid w:val="3F8E7EFE"/>
    <w:rsid w:val="3FEE681C"/>
    <w:rsid w:val="401D74A3"/>
    <w:rsid w:val="43993299"/>
    <w:rsid w:val="4C200EA9"/>
    <w:rsid w:val="4CA63DE7"/>
    <w:rsid w:val="4D622825"/>
    <w:rsid w:val="4FFADECC"/>
    <w:rsid w:val="4FFD0FFD"/>
    <w:rsid w:val="50593A6B"/>
    <w:rsid w:val="529D2442"/>
    <w:rsid w:val="52A82333"/>
    <w:rsid w:val="52B639B0"/>
    <w:rsid w:val="54BF70D0"/>
    <w:rsid w:val="59B76200"/>
    <w:rsid w:val="5A2250BB"/>
    <w:rsid w:val="5A5B7AFC"/>
    <w:rsid w:val="5B28300A"/>
    <w:rsid w:val="5C1E200D"/>
    <w:rsid w:val="5D0F0C7E"/>
    <w:rsid w:val="5DBF48ED"/>
    <w:rsid w:val="5E1E198D"/>
    <w:rsid w:val="5EEA61D6"/>
    <w:rsid w:val="60FD5033"/>
    <w:rsid w:val="64340B0D"/>
    <w:rsid w:val="64EE75AE"/>
    <w:rsid w:val="65134E56"/>
    <w:rsid w:val="69C77840"/>
    <w:rsid w:val="6BFF6D16"/>
    <w:rsid w:val="6CC0575D"/>
    <w:rsid w:val="6DC92ECC"/>
    <w:rsid w:val="6E40096F"/>
    <w:rsid w:val="734E75B7"/>
    <w:rsid w:val="76845C13"/>
    <w:rsid w:val="78B06ECD"/>
    <w:rsid w:val="7E7AB470"/>
    <w:rsid w:val="7F2A751F"/>
    <w:rsid w:val="7FAE135F"/>
    <w:rsid w:val="7FFD8C36"/>
    <w:rsid w:val="BF7B5377"/>
    <w:rsid w:val="BF7FC04E"/>
    <w:rsid w:val="BFB42AFE"/>
    <w:rsid w:val="D7FFDEFD"/>
    <w:rsid w:val="DEC4D2C5"/>
    <w:rsid w:val="ED7F1D88"/>
    <w:rsid w:val="EEAF607B"/>
    <w:rsid w:val="F7EDFFAE"/>
    <w:rsid w:val="FB7B20E1"/>
    <w:rsid w:val="FEE999BD"/>
    <w:rsid w:val="FF4F459A"/>
    <w:rsid w:val="FFEB6813"/>
    <w:rsid w:val="FFEE62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bCs/>
      <w:kern w:val="44"/>
      <w:sz w:val="48"/>
      <w:szCs w:val="48"/>
    </w:rPr>
  </w:style>
  <w:style w:type="paragraph" w:styleId="3">
    <w:name w:val="heading 2"/>
    <w:basedOn w:val="1"/>
    <w:next w:val="1"/>
    <w:semiHidden/>
    <w:unhideWhenUsed/>
    <w:qFormat/>
    <w:uiPriority w:val="0"/>
    <w:pPr>
      <w:spacing w:beforeAutospacing="1" w:afterAutospacing="1"/>
      <w:jc w:val="left"/>
      <w:outlineLvl w:val="1"/>
    </w:pPr>
    <w:rPr>
      <w:rFonts w:hint="eastAsia" w:ascii="宋体" w:hAnsi="宋体"/>
      <w:b/>
      <w:bCs/>
      <w:kern w:val="0"/>
      <w:sz w:val="36"/>
      <w:szCs w:val="36"/>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20"/>
    <w:qFormat/>
    <w:uiPriority w:val="99"/>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0"/>
    <w:pPr>
      <w:spacing w:before="100" w:beforeAutospacing="1" w:after="100" w:afterAutospacing="1"/>
      <w:jc w:val="left"/>
    </w:pPr>
    <w:rPr>
      <w:kern w:val="0"/>
      <w:sz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qFormat/>
    <w:uiPriority w:val="0"/>
    <w:rPr>
      <w:color w:val="0000FF"/>
      <w:u w:val="single"/>
    </w:rPr>
  </w:style>
  <w:style w:type="paragraph" w:customStyle="1" w:styleId="12">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3">
    <w:name w:val="标准文件_二级条标题"/>
    <w:next w:val="12"/>
    <w:qFormat/>
    <w:uiPriority w:val="0"/>
    <w:pPr>
      <w:widowControl w:val="0"/>
      <w:numPr>
        <w:ilvl w:val="3"/>
        <w:numId w:val="1"/>
      </w:numPr>
      <w:spacing w:before="50" w:beforeLines="50" w:after="50" w:afterLines="50"/>
      <w:jc w:val="both"/>
      <w:outlineLvl w:val="2"/>
    </w:pPr>
    <w:rPr>
      <w:rFonts w:ascii="黑体" w:hAnsi="Times New Roman" w:eastAsia="黑体" w:cs="Times New Roman"/>
      <w:sz w:val="21"/>
      <w:lang w:val="en-US" w:eastAsia="zh-CN" w:bidi="ar-SA"/>
    </w:rPr>
  </w:style>
  <w:style w:type="paragraph" w:customStyle="1" w:styleId="14">
    <w:name w:val="标准文件_一级条标题"/>
    <w:basedOn w:val="15"/>
    <w:next w:val="12"/>
    <w:qFormat/>
    <w:uiPriority w:val="0"/>
    <w:pPr>
      <w:numPr>
        <w:ilvl w:val="2"/>
      </w:numPr>
      <w:spacing w:before="50" w:beforeLines="50" w:after="50" w:afterLines="50"/>
      <w:outlineLvl w:val="1"/>
    </w:pPr>
  </w:style>
  <w:style w:type="paragraph" w:customStyle="1" w:styleId="15">
    <w:name w:val="标准文件_章标题"/>
    <w:next w:val="12"/>
    <w:qFormat/>
    <w:uiPriority w:val="0"/>
    <w:pPr>
      <w:numPr>
        <w:ilvl w:val="1"/>
        <w:numId w:val="1"/>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6">
    <w:name w:val="标准文件_一级无标题"/>
    <w:basedOn w:val="14"/>
    <w:qFormat/>
    <w:uiPriority w:val="0"/>
    <w:pPr>
      <w:spacing w:before="0" w:beforeLines="0" w:after="0" w:afterLines="0"/>
      <w:outlineLvl w:val="9"/>
    </w:pPr>
    <w:rPr>
      <w:rFonts w:ascii="宋体" w:eastAsia="宋体"/>
    </w:rPr>
  </w:style>
  <w:style w:type="paragraph" w:customStyle="1" w:styleId="17">
    <w:name w:val="标准文件_三级无标题"/>
    <w:basedOn w:val="18"/>
    <w:qFormat/>
    <w:uiPriority w:val="0"/>
    <w:pPr>
      <w:spacing w:before="0" w:beforeLines="0" w:after="0" w:afterLines="0"/>
      <w:outlineLvl w:val="9"/>
    </w:pPr>
    <w:rPr>
      <w:rFonts w:ascii="宋体" w:eastAsia="宋体"/>
    </w:rPr>
  </w:style>
  <w:style w:type="paragraph" w:customStyle="1" w:styleId="18">
    <w:name w:val="标准文件_三级条标题"/>
    <w:basedOn w:val="13"/>
    <w:next w:val="12"/>
    <w:qFormat/>
    <w:uiPriority w:val="0"/>
    <w:pPr>
      <w:widowControl/>
      <w:numPr>
        <w:ilvl w:val="4"/>
      </w:numPr>
      <w:outlineLvl w:val="3"/>
    </w:pPr>
  </w:style>
  <w:style w:type="paragraph" w:customStyle="1" w:styleId="19">
    <w:name w:val="标准文件_二级无标题"/>
    <w:basedOn w:val="13"/>
    <w:qFormat/>
    <w:uiPriority w:val="0"/>
    <w:pPr>
      <w:spacing w:before="0" w:beforeLines="0" w:after="0" w:afterLines="0"/>
      <w:outlineLvl w:val="9"/>
    </w:pPr>
    <w:rPr>
      <w:rFonts w:ascii="宋体" w:eastAsia="宋体"/>
    </w:rPr>
  </w:style>
  <w:style w:type="character" w:customStyle="1" w:styleId="20">
    <w:name w:val="页脚 字符"/>
    <w:basedOn w:val="10"/>
    <w:link w:val="5"/>
    <w:qFormat/>
    <w:uiPriority w:val="99"/>
    <w:rPr>
      <w:rFonts w:ascii="Calibri" w:hAnsi="Calibri"/>
      <w:kern w:val="2"/>
      <w:sz w:val="18"/>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13</Pages>
  <Words>1028</Words>
  <Characters>5864</Characters>
  <Lines>48</Lines>
  <Paragraphs>13</Paragraphs>
  <TotalTime>26</TotalTime>
  <ScaleCrop>false</ScaleCrop>
  <LinksUpToDate>false</LinksUpToDate>
  <CharactersWithSpaces>6879</CharactersWithSpaces>
  <Application>WPS Office_11.8.2.11681_F1E327BC-269C-435d-A152-05C5408002CA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2014-10-31T12:08:00Z</dcterms:created>
  <dc:creator>Administrator</dc:creator>
  <cp:lastModifiedBy>王琦-执法工贸局</cp:lastModifiedBy>
  <dcterms:modified xsi:type="dcterms:W3CDTF">2024-12-26T14:31:29Z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2052-11.8.2.11681</vt:lpwstr>
  </property>
  <property fmtid="{D5CDD505-2E9C-101B-9397-08002B2CF9AE}" pid="3" name="ICV">
    <vt:lpwstr>5F211F06BE1E4B7594A9E838404965A0_13</vt:lpwstr>
  </property>
</Properties>
</file>