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E48A8">
      <w:pPr>
        <w:pStyle w:val="273"/>
        <w:sectPr>
          <w:headerReference r:id="rId5" w:type="first"/>
          <w:headerReference r:id="rId3" w:type="default"/>
          <w:headerReference r:id="rId4" w:type="even"/>
          <w:footerReference r:id="rId6" w:type="even"/>
          <w:pgSz w:w="11907" w:h="16839"/>
          <w:pgMar w:top="720" w:right="851" w:bottom="1134" w:left="1418" w:header="0" w:footer="0" w:gutter="0"/>
          <w:pgNumType w:fmt="decimal" w:start="1"/>
          <w:cols w:space="0" w:num="1"/>
          <w:titlePg/>
          <w:docGrid w:type="lines" w:linePitch="312" w:charSpace="0"/>
        </w:sectPr>
      </w:pPr>
      <w:bookmarkStart w:id="0" w:name="标准封面"/>
      <w:bookmarkEnd w:id="0"/>
      <w:bookmarkStart w:id="1" w:name="SectionMark0"/>
      <w:r>
        <w:rPr>
          <w:sz w:val="24"/>
        </w:rPr>
        <mc:AlternateContent>
          <mc:Choice Requires="wpg">
            <w:drawing>
              <wp:anchor distT="0" distB="0" distL="114300" distR="114300" simplePos="0" relativeHeight="251669504" behindDoc="0" locked="0" layoutInCell="1" allowOverlap="1">
                <wp:simplePos x="0" y="0"/>
                <wp:positionH relativeFrom="column">
                  <wp:posOffset>-230505</wp:posOffset>
                </wp:positionH>
                <wp:positionV relativeFrom="paragraph">
                  <wp:posOffset>8639810</wp:posOffset>
                </wp:positionV>
                <wp:extent cx="6221095" cy="999490"/>
                <wp:effectExtent l="0" t="0" r="0" b="10160"/>
                <wp:wrapNone/>
                <wp:docPr id="33" name="组合 33"/>
                <wp:cNvGraphicFramePr/>
                <a:graphic xmlns:a="http://schemas.openxmlformats.org/drawingml/2006/main">
                  <a:graphicData uri="http://schemas.microsoft.com/office/word/2010/wordprocessingGroup">
                    <wpg:wgp>
                      <wpg:cNvGrpSpPr/>
                      <wpg:grpSpPr>
                        <a:xfrm>
                          <a:off x="0" y="0"/>
                          <a:ext cx="6221095" cy="999490"/>
                          <a:chOff x="6035" y="13426"/>
                          <a:chExt cx="9797" cy="1574"/>
                        </a:xfrm>
                      </wpg:grpSpPr>
                      <wps:wsp>
                        <wps:cNvPr id="26" name="矩形 26"/>
                        <wps:cNvSpPr/>
                        <wps:spPr>
                          <a:xfrm>
                            <a:off x="9871" y="14520"/>
                            <a:ext cx="2000" cy="480"/>
                          </a:xfrm>
                          <a:prstGeom prst="rect">
                            <a:avLst/>
                          </a:prstGeom>
                          <a:solidFill>
                            <a:srgbClr val="FFFFFF"/>
                          </a:solidFill>
                          <a:ln>
                            <a:noFill/>
                          </a:ln>
                        </wps:spPr>
                        <wps:bodyPr upright="1"/>
                      </wps:wsp>
                      <wps:wsp>
                        <wps:cNvPr id="27" name="文本框 27"/>
                        <wps:cNvSpPr txBox="1"/>
                        <wps:spPr>
                          <a:xfrm>
                            <a:off x="6140" y="13426"/>
                            <a:ext cx="3180" cy="492"/>
                          </a:xfrm>
                          <a:prstGeom prst="rect">
                            <a:avLst/>
                          </a:prstGeom>
                          <a:solidFill>
                            <a:srgbClr val="FFFFFF"/>
                          </a:solidFill>
                          <a:ln>
                            <a:noFill/>
                          </a:ln>
                        </wps:spPr>
                        <wps:txbx>
                          <w:txbxContent>
                            <w:p w14:paraId="6C7679FA">
                              <w:pPr>
                                <w:pStyle w:val="264"/>
                                <w:adjustRightInd w:val="0"/>
                                <w:snapToGrid w:val="0"/>
                              </w:pPr>
                              <w:r>
                                <w:rPr>
                                  <w:rFonts w:hint="eastAsia" w:ascii="黑体"/>
                                </w:rPr>
                                <w:t>××</w:t>
                              </w:r>
                              <w:r>
                                <w:rPr>
                                  <w:rFonts w:hint="eastAsia" w:ascii="黑体" w:hAnsi="TimesNewRomanPSMT" w:cs="TimesNewRomanPSMT"/>
                                  <w:szCs w:val="28"/>
                                </w:rPr>
                                <w:t>×</w:t>
                              </w:r>
                              <w:r>
                                <w:rPr>
                                  <w:rFonts w:hint="eastAsia" w:ascii="黑体"/>
                                </w:rPr>
                                <w:t>×</w:t>
                              </w:r>
                              <w:r>
                                <w:rPr>
                                  <w:rFonts w:hint="eastAsia" w:ascii="黑体" w:hAnsi="TimesNewRomanPSMT" w:cs="TimesNewRomanPSMT"/>
                                  <w:szCs w:val="28"/>
                                </w:rPr>
                                <w:t>-</w:t>
                              </w:r>
                              <w:r>
                                <w:rPr>
                                  <w:rFonts w:hint="eastAsia" w:ascii="黑体"/>
                                </w:rPr>
                                <w:t>××</w:t>
                              </w:r>
                              <w:r>
                                <w:rPr>
                                  <w:rFonts w:hint="eastAsia" w:ascii="黑体" w:hAnsi="TimesNewRomanPSMT" w:cs="TimesNewRomanPSMT"/>
                                  <w:szCs w:val="28"/>
                                </w:rPr>
                                <w:t>-</w:t>
                              </w:r>
                              <w:r>
                                <w:rPr>
                                  <w:rFonts w:hint="eastAsia" w:ascii="黑体"/>
                                </w:rPr>
                                <w:t>××</w:t>
                              </w:r>
                              <w:r>
                                <w:rPr>
                                  <w:rFonts w:hint="eastAsia"/>
                                </w:rPr>
                                <w:t>发布</w:t>
                              </w:r>
                            </w:p>
                          </w:txbxContent>
                        </wps:txbx>
                        <wps:bodyPr lIns="0" tIns="0" rIns="0" bIns="0" upright="1"/>
                      </wps:wsp>
                      <wps:wsp>
                        <wps:cNvPr id="28" name="文本框 28"/>
                        <wps:cNvSpPr txBox="1"/>
                        <wps:spPr>
                          <a:xfrm>
                            <a:off x="12440" y="13426"/>
                            <a:ext cx="3180" cy="492"/>
                          </a:xfrm>
                          <a:prstGeom prst="rect">
                            <a:avLst/>
                          </a:prstGeom>
                          <a:solidFill>
                            <a:srgbClr val="FFFFFF"/>
                          </a:solidFill>
                          <a:ln>
                            <a:noFill/>
                          </a:ln>
                        </wps:spPr>
                        <wps:txbx>
                          <w:txbxContent>
                            <w:p w14:paraId="4EA529C6">
                              <w:pPr>
                                <w:pStyle w:val="291"/>
                              </w:pPr>
                              <w:r>
                                <w:rPr>
                                  <w:rFonts w:hint="eastAsia" w:ascii="黑体"/>
                                </w:rPr>
                                <w:t>××××</w:t>
                              </w:r>
                              <w:r>
                                <w:rPr>
                                  <w:rFonts w:hint="eastAsia" w:ascii="黑体" w:hAnsi="TimesNewRomanPSMT" w:cs="TimesNewRomanPSMT"/>
                                  <w:szCs w:val="28"/>
                                </w:rPr>
                                <w:t>-</w:t>
                              </w:r>
                              <w:r>
                                <w:rPr>
                                  <w:rFonts w:hint="eastAsia" w:ascii="黑体"/>
                                </w:rPr>
                                <w:t>××</w:t>
                              </w:r>
                              <w:r>
                                <w:rPr>
                                  <w:rFonts w:hint="eastAsia" w:ascii="黑体" w:hAnsi="TimesNewRomanPSMT" w:cs="TimesNewRomanPSMT"/>
                                  <w:szCs w:val="28"/>
                                </w:rPr>
                                <w:t>-</w:t>
                              </w:r>
                              <w:r>
                                <w:rPr>
                                  <w:rFonts w:hint="eastAsia" w:ascii="黑体"/>
                                </w:rPr>
                                <w:t>××</w:t>
                              </w:r>
                              <w:r>
                                <w:rPr>
                                  <w:rFonts w:hint="eastAsia"/>
                                </w:rPr>
                                <w:t>实施</w:t>
                              </w:r>
                            </w:p>
                          </w:txbxContent>
                        </wps:txbx>
                        <wps:bodyPr lIns="0" tIns="0" rIns="0" bIns="0" upright="1"/>
                      </wps:wsp>
                      <wps:wsp>
                        <wps:cNvPr id="29" name="文本框 29"/>
                        <wps:cNvSpPr txBox="1"/>
                        <wps:spPr>
                          <a:xfrm>
                            <a:off x="6320" y="14050"/>
                            <a:ext cx="7920" cy="468"/>
                          </a:xfrm>
                          <a:prstGeom prst="rect">
                            <a:avLst/>
                          </a:prstGeom>
                          <a:solidFill>
                            <a:srgbClr val="FFFFFF"/>
                          </a:solidFill>
                          <a:ln>
                            <a:noFill/>
                          </a:ln>
                        </wps:spPr>
                        <wps:txbx>
                          <w:txbxContent>
                            <w:p w14:paraId="68AFA1B2">
                              <w:pPr>
                                <w:pStyle w:val="535"/>
                                <w:jc w:val="distribute"/>
                                <w:rPr>
                                  <w:rFonts w:hint="eastAsia"/>
                                  <w:szCs w:val="28"/>
                                </w:rPr>
                              </w:pPr>
                              <w:r>
                                <w:rPr>
                                  <w:rFonts w:hint="eastAsia"/>
                                  <w:szCs w:val="28"/>
                                </w:rPr>
                                <w:t>××××××××××××</w:t>
                              </w:r>
                            </w:p>
                          </w:txbxContent>
                        </wps:txbx>
                        <wps:bodyPr lIns="0" tIns="0" rIns="0" bIns="0" upright="1"/>
                      </wps:wsp>
                      <wps:wsp>
                        <wps:cNvPr id="30" name="文本框 30"/>
                        <wps:cNvSpPr txBox="1"/>
                        <wps:spPr>
                          <a:xfrm>
                            <a:off x="6320" y="14518"/>
                            <a:ext cx="7920" cy="468"/>
                          </a:xfrm>
                          <a:prstGeom prst="rect">
                            <a:avLst/>
                          </a:prstGeom>
                          <a:solidFill>
                            <a:srgbClr val="FFFFFF"/>
                          </a:solidFill>
                          <a:ln>
                            <a:noFill/>
                          </a:ln>
                        </wps:spPr>
                        <wps:txbx>
                          <w:txbxContent>
                            <w:p w14:paraId="49000A78">
                              <w:pPr>
                                <w:pStyle w:val="258"/>
                                <w:tabs>
                                  <w:tab w:val="center" w:pos="4201"/>
                                  <w:tab w:val="right" w:leader="dot" w:pos="9298"/>
                                </w:tabs>
                                <w:ind w:firstLine="0" w:firstLineChars="0"/>
                                <w:jc w:val="distribute"/>
                                <w:rPr>
                                  <w:rFonts w:hint="eastAsia"/>
                                  <w:sz w:val="28"/>
                                  <w:szCs w:val="28"/>
                                </w:rPr>
                              </w:pPr>
                              <w:r>
                                <w:rPr>
                                  <w:rFonts w:hint="eastAsia"/>
                                  <w:b/>
                                  <w:spacing w:val="20"/>
                                  <w:w w:val="135"/>
                                  <w:sz w:val="28"/>
                                  <w:szCs w:val="28"/>
                                </w:rPr>
                                <w:t>中 国 国 家 标 准 化 管 理 委 员 会</w:t>
                              </w:r>
                            </w:p>
                            <w:p w14:paraId="2D064C24">
                              <w:pPr>
                                <w:rPr>
                                  <w:rFonts w:hint="eastAsia"/>
                                </w:rPr>
                              </w:pPr>
                            </w:p>
                          </w:txbxContent>
                        </wps:txbx>
                        <wps:bodyPr lIns="0" tIns="0" rIns="0" bIns="0" upright="1"/>
                      </wps:wsp>
                      <wps:wsp>
                        <wps:cNvPr id="31" name="直接连接符 31"/>
                        <wps:cNvCnPr/>
                        <wps:spPr>
                          <a:xfrm>
                            <a:off x="6035" y="13916"/>
                            <a:ext cx="9640" cy="0"/>
                          </a:xfrm>
                          <a:prstGeom prst="line">
                            <a:avLst/>
                          </a:prstGeom>
                          <a:ln w="19050" cap="flat" cmpd="sng">
                            <a:solidFill>
                              <a:srgbClr val="080000"/>
                            </a:solidFill>
                            <a:prstDash val="solid"/>
                            <a:headEnd type="none" w="med" len="med"/>
                            <a:tailEnd type="none" w="med" len="med"/>
                          </a:ln>
                        </wps:spPr>
                        <wps:bodyPr upright="1"/>
                      </wps:wsp>
                      <wps:wsp>
                        <wps:cNvPr id="32" name="文本框 32"/>
                        <wps:cNvSpPr txBox="1"/>
                        <wps:spPr>
                          <a:xfrm>
                            <a:off x="14400" y="14203"/>
                            <a:ext cx="1433" cy="600"/>
                          </a:xfrm>
                          <a:prstGeom prst="rect">
                            <a:avLst/>
                          </a:prstGeom>
                          <a:noFill/>
                          <a:ln>
                            <a:noFill/>
                          </a:ln>
                        </wps:spPr>
                        <wps:txbx>
                          <w:txbxContent>
                            <w:p w14:paraId="6668031C">
                              <w:pPr>
                                <w:rPr>
                                  <w:rFonts w:hint="eastAsia" w:ascii="黑体" w:hAnsi="黑体" w:eastAsia="黑体" w:cs="黑体"/>
                                  <w:b/>
                                  <w:bCs/>
                                  <w:sz w:val="28"/>
                                  <w:szCs w:val="28"/>
                                </w:rPr>
                              </w:pPr>
                              <w:r>
                                <w:rPr>
                                  <w:rFonts w:hint="eastAsia" w:ascii="黑体" w:hAnsi="黑体" w:eastAsia="黑体" w:cs="黑体"/>
                                  <w:b/>
                                  <w:bCs/>
                                  <w:sz w:val="28"/>
                                  <w:szCs w:val="28"/>
                                </w:rPr>
                                <w:t>发布</w:t>
                              </w:r>
                            </w:p>
                          </w:txbxContent>
                        </wps:txbx>
                        <wps:bodyPr lIns="67666" tIns="33833" rIns="67666" bIns="33833" upright="1"/>
                      </wps:wsp>
                    </wpg:wgp>
                  </a:graphicData>
                </a:graphic>
              </wp:anchor>
            </w:drawing>
          </mc:Choice>
          <mc:Fallback>
            <w:pict>
              <v:group id="_x0000_s1026" o:spid="_x0000_s1026" o:spt="203" style="position:absolute;left:0pt;margin-left:-18.15pt;margin-top:680.3pt;height:78.7pt;width:489.85pt;z-index:251669504;mso-width-relative:page;mso-height-relative:page;" coordorigin="6035,13426" coordsize="9797,1574" o:gfxdata="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">
                <o:lock v:ext="edit" aspectratio="f"/>
                <v:rect id="_x0000_s1026" o:spid="_x0000_s1026" o:spt="1" style="position:absolute;left:9871;top:14520;height:480;width:2000;" fillcolor="#FFFFFF" filled="t" stroked="f" coordsize="21600,21600" o:gfxdata="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Ej97vQAA&#10;ANsAAAAPAAAAAAAAAAEAIAAAACIAAABkcnMvZG93bnJldi54bWxQSwECFAAUAAAACACHTuJAMy8F&#10;njsAAAA5AAAAEAAAAAAAAAABACAAAAAMAQAAZHJzL3NoYXBleG1sLnhtbFBLBQYAAAAABgAGAFsB&#10;AAC2AwAAAAA=&#10;">
                  <v:fill on="t" focussize="0,0"/>
                  <v:stroke on="f"/>
                  <v:imagedata o:title=""/>
                  <o:lock v:ext="edit" aspectratio="f"/>
                </v:rect>
                <v:shape id="_x0000_s1026" o:spid="_x0000_s1026" o:spt="202" type="#_x0000_t202" style="position:absolute;left:6140;top:13426;height:492;width:3180;" fillcolor="#FFFFFF" filled="t" stroked="f" coordsize="21600,21600" o:gfxdata="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5TVmL4A&#10;AADbAAAADwAAAAAAAAABACAAAAAiAAAAZHJzL2Rvd25yZXYueG1sUEsBAhQAFAAAAAgAh07iQDMv&#10;BZ47AAAAOQAAABAAAAAAAAAAAQAgAAAADQEAAGRycy9zaGFwZXhtbC54bWxQSwUGAAAAAAYABgBb&#10;AQAAtwMAAAAA&#10;">
                  <v:fill on="t" focussize="0,0"/>
                  <v:stroke on="f"/>
                  <v:imagedata o:title=""/>
                  <o:lock v:ext="edit" aspectratio="f"/>
                  <v:textbox inset="0mm,0mm,0mm,0mm">
                    <w:txbxContent>
                      <w:p w14:paraId="6C7679FA">
                        <w:pPr>
                          <w:pStyle w:val="264"/>
                          <w:adjustRightInd w:val="0"/>
                          <w:snapToGrid w:val="0"/>
                        </w:pPr>
                        <w:r>
                          <w:rPr>
                            <w:rFonts w:hint="eastAsia" w:ascii="黑体"/>
                          </w:rPr>
                          <w:t>××</w:t>
                        </w:r>
                        <w:r>
                          <w:rPr>
                            <w:rFonts w:hint="eastAsia" w:ascii="黑体" w:hAnsi="TimesNewRomanPSMT" w:cs="TimesNewRomanPSMT"/>
                            <w:szCs w:val="28"/>
                          </w:rPr>
                          <w:t>×</w:t>
                        </w:r>
                        <w:r>
                          <w:rPr>
                            <w:rFonts w:hint="eastAsia" w:ascii="黑体"/>
                          </w:rPr>
                          <w:t>×</w:t>
                        </w:r>
                        <w:r>
                          <w:rPr>
                            <w:rFonts w:hint="eastAsia" w:ascii="黑体" w:hAnsi="TimesNewRomanPSMT" w:cs="TimesNewRomanPSMT"/>
                            <w:szCs w:val="28"/>
                          </w:rPr>
                          <w:t>-</w:t>
                        </w:r>
                        <w:r>
                          <w:rPr>
                            <w:rFonts w:hint="eastAsia" w:ascii="黑体"/>
                          </w:rPr>
                          <w:t>××</w:t>
                        </w:r>
                        <w:r>
                          <w:rPr>
                            <w:rFonts w:hint="eastAsia" w:ascii="黑体" w:hAnsi="TimesNewRomanPSMT" w:cs="TimesNewRomanPSMT"/>
                            <w:szCs w:val="28"/>
                          </w:rPr>
                          <w:t>-</w:t>
                        </w:r>
                        <w:r>
                          <w:rPr>
                            <w:rFonts w:hint="eastAsia" w:ascii="黑体"/>
                          </w:rPr>
                          <w:t>××</w:t>
                        </w:r>
                        <w:r>
                          <w:rPr>
                            <w:rFonts w:hint="eastAsia"/>
                          </w:rPr>
                          <w:t>发布</w:t>
                        </w:r>
                      </w:p>
                    </w:txbxContent>
                  </v:textbox>
                </v:shape>
                <v:shape id="_x0000_s1026" o:spid="_x0000_s1026" o:spt="202" type="#_x0000_t202" style="position:absolute;left:12440;top:13426;height:492;width:3180;" fillcolor="#FFFFFF" filled="t" stroked="f" coordsize="21600,21600" o:gfxdata="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LYLQeq2AAAA2wAAAA8A&#10;AAAAAAAAAQAgAAAAIgAAAGRycy9kb3ducmV2LnhtbFBLAQIUABQAAAAIAIdO4kAzLwWeOwAAADkA&#10;AAAQAAAAAAAAAAEAIAAAAAUBAABkcnMvc2hhcGV4bWwueG1sUEsFBgAAAAAGAAYAWwEAAK8DAAAA&#10;AA==&#10;">
                  <v:fill on="t" focussize="0,0"/>
                  <v:stroke on="f"/>
                  <v:imagedata o:title=""/>
                  <o:lock v:ext="edit" aspectratio="f"/>
                  <v:textbox inset="0mm,0mm,0mm,0mm">
                    <w:txbxContent>
                      <w:p w14:paraId="4EA529C6">
                        <w:pPr>
                          <w:pStyle w:val="291"/>
                        </w:pPr>
                        <w:r>
                          <w:rPr>
                            <w:rFonts w:hint="eastAsia" w:ascii="黑体"/>
                          </w:rPr>
                          <w:t>××××</w:t>
                        </w:r>
                        <w:r>
                          <w:rPr>
                            <w:rFonts w:hint="eastAsia" w:ascii="黑体" w:hAnsi="TimesNewRomanPSMT" w:cs="TimesNewRomanPSMT"/>
                            <w:szCs w:val="28"/>
                          </w:rPr>
                          <w:t>-</w:t>
                        </w:r>
                        <w:r>
                          <w:rPr>
                            <w:rFonts w:hint="eastAsia" w:ascii="黑体"/>
                          </w:rPr>
                          <w:t>××</w:t>
                        </w:r>
                        <w:r>
                          <w:rPr>
                            <w:rFonts w:hint="eastAsia" w:ascii="黑体" w:hAnsi="TimesNewRomanPSMT" w:cs="TimesNewRomanPSMT"/>
                            <w:szCs w:val="28"/>
                          </w:rPr>
                          <w:t>-</w:t>
                        </w:r>
                        <w:r>
                          <w:rPr>
                            <w:rFonts w:hint="eastAsia" w:ascii="黑体"/>
                          </w:rPr>
                          <w:t>××</w:t>
                        </w:r>
                        <w:r>
                          <w:rPr>
                            <w:rFonts w:hint="eastAsia"/>
                          </w:rPr>
                          <w:t>实施</w:t>
                        </w:r>
                      </w:p>
                    </w:txbxContent>
                  </v:textbox>
                </v:shape>
                <v:shape id="_x0000_s1026" o:spid="_x0000_s1026" o:spt="202" type="#_x0000_t202" style="position:absolute;left:6320;top:14050;height:468;width:7920;" fillcolor="#FFFFFF" filled="t" stroked="f" coordsize="21600,21600" o:gfxdata="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Ufkcb4A&#10;AADbAAAADwAAAAAAAAABACAAAAAiAAAAZHJzL2Rvd25yZXYueG1sUEsBAhQAFAAAAAgAh07iQDMv&#10;BZ47AAAAOQAAABAAAAAAAAAAAQAgAAAADQEAAGRycy9zaGFwZXhtbC54bWxQSwUGAAAAAAYABgBb&#10;AQAAtwMAAAAA&#10;">
                  <v:fill on="t" focussize="0,0"/>
                  <v:stroke on="f"/>
                  <v:imagedata o:title=""/>
                  <o:lock v:ext="edit" aspectratio="f"/>
                  <v:textbox inset="0mm,0mm,0mm,0mm">
                    <w:txbxContent>
                      <w:p w14:paraId="68AFA1B2">
                        <w:pPr>
                          <w:pStyle w:val="535"/>
                          <w:jc w:val="distribute"/>
                          <w:rPr>
                            <w:rFonts w:hint="eastAsia"/>
                            <w:szCs w:val="28"/>
                          </w:rPr>
                        </w:pPr>
                        <w:r>
                          <w:rPr>
                            <w:rFonts w:hint="eastAsia"/>
                            <w:szCs w:val="28"/>
                          </w:rPr>
                          <w:t>××××××××××××</w:t>
                        </w:r>
                      </w:p>
                    </w:txbxContent>
                  </v:textbox>
                </v:shape>
                <v:shape id="_x0000_s1026" o:spid="_x0000_s1026" o:spt="202" type="#_x0000_t202" style="position:absolute;left:6320;top:14518;height:468;width:7920;" fillcolor="#FFFFFF" filled="t" stroked="f" coordsize="21600,21600" o:gfxdata="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NpNsxtwAAANsAAAAP&#10;AAAAAAAAAAEAIAAAACIAAABkcnMvZG93bnJldi54bWxQSwECFAAUAAAACACHTuJAMy8FnjsAAAA5&#10;AAAAEAAAAAAAAAABACAAAAAGAQAAZHJzL3NoYXBleG1sLnhtbFBLBQYAAAAABgAGAFsBAACwAwAA&#10;AAA=&#10;">
                  <v:fill on="t" focussize="0,0"/>
                  <v:stroke on="f"/>
                  <v:imagedata o:title=""/>
                  <o:lock v:ext="edit" aspectratio="f"/>
                  <v:textbox inset="0mm,0mm,0mm,0mm">
                    <w:txbxContent>
                      <w:p w14:paraId="49000A78">
                        <w:pPr>
                          <w:pStyle w:val="258"/>
                          <w:tabs>
                            <w:tab w:val="center" w:pos="4201"/>
                            <w:tab w:val="right" w:leader="dot" w:pos="9298"/>
                          </w:tabs>
                          <w:ind w:firstLine="0" w:firstLineChars="0"/>
                          <w:jc w:val="distribute"/>
                          <w:rPr>
                            <w:rFonts w:hint="eastAsia"/>
                            <w:sz w:val="28"/>
                            <w:szCs w:val="28"/>
                          </w:rPr>
                        </w:pPr>
                        <w:r>
                          <w:rPr>
                            <w:rFonts w:hint="eastAsia"/>
                            <w:b/>
                            <w:spacing w:val="20"/>
                            <w:w w:val="135"/>
                            <w:sz w:val="28"/>
                            <w:szCs w:val="28"/>
                          </w:rPr>
                          <w:t>中 国 国 家 标 准 化 管 理 委 员 会</w:t>
                        </w:r>
                      </w:p>
                      <w:p w14:paraId="2D064C24">
                        <w:pPr>
                          <w:rPr>
                            <w:rFonts w:hint="eastAsia"/>
                          </w:rPr>
                        </w:pPr>
                      </w:p>
                    </w:txbxContent>
                  </v:textbox>
                </v:shape>
                <v:line id="_x0000_s1026" o:spid="_x0000_s1026" o:spt="20" style="position:absolute;left:6035;top:13916;height:0;width:9640;" filled="f" stroked="t" coordsize="21600,21600" o:gfxdata="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BsHLi8AAAA&#10;2wAAAA8AAAAAAAAAAQAgAAAAIgAAAGRycy9kb3ducmV2LnhtbFBLAQIUABQAAAAIAIdO4kAzLwWe&#10;OwAAADkAAAAQAAAAAAAAAAEAIAAAAAsBAABkcnMvc2hhcGV4bWwueG1sUEsFBgAAAAAGAAYAWwEA&#10;ALUDAAAAAA==&#10;">
                  <v:fill on="f" focussize="0,0"/>
                  <v:stroke weight="1.5pt" color="#080000" joinstyle="round"/>
                  <v:imagedata o:title=""/>
                  <o:lock v:ext="edit" aspectratio="f"/>
                </v:line>
                <v:shape id="_x0000_s1026" o:spid="_x0000_s1026" o:spt="202" type="#_x0000_t202" style="position:absolute;left:14400;top:14203;height:600;width:1433;" filled="f" stroked="f" coordsize="21600,21600" o:gfxdata="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W/LY74A&#10;AADbAAAADwAAAAAAAAABACAAAAAiAAAAZHJzL2Rvd25yZXYueG1sUEsBAhQAFAAAAAgAh07iQDMv&#10;BZ47AAAAOQAAABAAAAAAAAAAAQAgAAAADQEAAGRycy9zaGFwZXhtbC54bWxQSwUGAAAAAAYABgBb&#10;AQAAtwMAAAAA&#10;">
                  <v:fill on="f" focussize="0,0"/>
                  <v:stroke on="f"/>
                  <v:imagedata o:title=""/>
                  <o:lock v:ext="edit" aspectratio="f"/>
                  <v:textbox inset="5.32803149606299pt,2.6640157480315pt,5.32803149606299pt,2.6640157480315pt">
                    <w:txbxContent>
                      <w:p w14:paraId="6668031C">
                        <w:pPr>
                          <w:rPr>
                            <w:rFonts w:hint="eastAsia" w:ascii="黑体" w:hAnsi="黑体" w:eastAsia="黑体" w:cs="黑体"/>
                            <w:b/>
                            <w:bCs/>
                            <w:sz w:val="28"/>
                            <w:szCs w:val="28"/>
                          </w:rPr>
                        </w:pPr>
                        <w:r>
                          <w:rPr>
                            <w:rFonts w:hint="eastAsia" w:ascii="黑体" w:hAnsi="黑体" w:eastAsia="黑体" w:cs="黑体"/>
                            <w:b/>
                            <w:bCs/>
                            <w:sz w:val="28"/>
                            <w:szCs w:val="28"/>
                          </w:rPr>
                          <w:t>发布</w:t>
                        </w:r>
                      </w:p>
                    </w:txbxContent>
                  </v:textbox>
                </v:shape>
              </v:group>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2273300</wp:posOffset>
                </wp:positionV>
                <wp:extent cx="6121400" cy="0"/>
                <wp:effectExtent l="0" t="0" r="0" b="0"/>
                <wp:wrapNone/>
                <wp:docPr id="14" name="直接连接符 14"/>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79pt;height:0pt;width:482pt;z-index:251667456;mso-width-relative:page;mso-height-relative:page;" filled="f" stroked="t" coordsize="21600,21600" o:gfxdata="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E&#10;or7UAAAACAEAAA8AAAAAAAAAAQAgAAAAIgAAAGRycy9kb3ducmV2LnhtbFBLAQIUABQAAAAIAIdO&#10;4kBU2Lo/7gEAANsDAAAOAAAAAAAAAAEAIAAAACMBAABkcnMvZTJvRG9jLnhtbFBLBQYAAAAABgAG&#10;AFkBAACDBQAAAAA=&#10;">
                <v:fill on="f" focussize="0,0"/>
                <v:stroke weight="1pt" color="#800008" joinstyle="round"/>
                <v:imagedata o:title=""/>
                <o:lock v:ext="edit" aspectratio="f"/>
              </v:line>
            </w:pict>
          </mc:Fallback>
        </mc:AlternateContent>
      </w:r>
      <w:r>
        <mc:AlternateContent>
          <mc:Choice Requires="wps">
            <w:drawing>
              <wp:anchor distT="0" distB="0" distL="114300" distR="114300" simplePos="0" relativeHeight="251666432" behindDoc="0" locked="1" layoutInCell="1" allowOverlap="1">
                <wp:simplePos x="0" y="0"/>
                <wp:positionH relativeFrom="margin">
                  <wp:posOffset>1104900</wp:posOffset>
                </wp:positionH>
                <wp:positionV relativeFrom="margin">
                  <wp:posOffset>8890000</wp:posOffset>
                </wp:positionV>
                <wp:extent cx="3286760" cy="594360"/>
                <wp:effectExtent l="0" t="0" r="8890" b="15240"/>
                <wp:wrapNone/>
                <wp:docPr id="15" name="文本框 15"/>
                <wp:cNvGraphicFramePr/>
                <a:graphic xmlns:a="http://schemas.openxmlformats.org/drawingml/2006/main">
                  <a:graphicData uri="http://schemas.microsoft.com/office/word/2010/wordprocessingShape">
                    <wps:wsp>
                      <wps:cNvSpPr txBox="1"/>
                      <wps:spPr>
                        <a:xfrm>
                          <a:off x="0" y="0"/>
                          <a:ext cx="3286760" cy="594360"/>
                        </a:xfrm>
                        <a:prstGeom prst="rect">
                          <a:avLst/>
                        </a:prstGeom>
                        <a:solidFill>
                          <a:srgbClr val="FFFFFF"/>
                        </a:solidFill>
                        <a:ln>
                          <a:noFill/>
                        </a:ln>
                      </wps:spPr>
                      <wps:txbx>
                        <w:txbxContent>
                          <w:p w14:paraId="1655CFEC">
                            <w:pPr>
                              <w:pStyle w:val="535"/>
                            </w:pPr>
                          </w:p>
                        </w:txbxContent>
                      </wps:txbx>
                      <wps:bodyPr wrap="none" lIns="0" tIns="0" rIns="0" bIns="0" upright="1">
                        <a:spAutoFit/>
                      </wps:bodyPr>
                    </wps:wsp>
                  </a:graphicData>
                </a:graphic>
              </wp:anchor>
            </w:drawing>
          </mc:Choice>
          <mc:Fallback>
            <w:pict>
              <v:shape id="_x0000_s1026" o:spid="_x0000_s1026" o:spt="202" type="#_x0000_t202" style="position:absolute;left:0pt;margin-left:87pt;margin-top:700pt;height:46.8pt;width:258.8pt;mso-position-horizontal-relative:margin;mso-position-vertical-relative:margin;mso-wrap-style:none;z-index:251666432;mso-width-relative:page;mso-height-relative:page;" fillcolor="#FFFFFF" filled="t" stroked="f" coordsize="21600,21600" o:gfxdata="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t0O6tkAAAAN&#10;AQAADwAAAAAAAAABACAAAAAiAAAAZHJzL2Rvd25yZXYueG1sUEsBAhQAFAAAAAgAh07iQIfXLb/i&#10;AQAAwwMAAA4AAAAAAAAAAQAgAAAAKAEAAGRycy9lMm9Eb2MueG1sUEsFBgAAAAAGAAYAWQEAAHwF&#10;AAAAAA==&#10;">
                <v:fill on="t" focussize="0,0"/>
                <v:stroke on="f"/>
                <v:imagedata o:title=""/>
                <o:lock v:ext="edit" aspectratio="f"/>
                <v:textbox inset="0mm,0mm,0mm,0mm" style="mso-fit-shape-to-text:t;">
                  <w:txbxContent>
                    <w:p w14:paraId="1655CFEC">
                      <w:pPr>
                        <w:pStyle w:val="535"/>
                      </w:pPr>
                    </w:p>
                  </w:txbxContent>
                </v:textbox>
                <w10:anchorlock/>
              </v:shape>
            </w:pict>
          </mc:Fallback>
        </mc:AlternateContent>
      </w:r>
      <w:r>
        <mc:AlternateContent>
          <mc:Choice Requires="wps">
            <w:drawing>
              <wp:anchor distT="0" distB="0" distL="114300" distR="114300" simplePos="0" relativeHeight="251664384" behindDoc="0" locked="1" layoutInCell="1" allowOverlap="1">
                <wp:simplePos x="0" y="0"/>
                <wp:positionH relativeFrom="margin">
                  <wp:posOffset>0</wp:posOffset>
                </wp:positionH>
                <wp:positionV relativeFrom="margin">
                  <wp:posOffset>3635375</wp:posOffset>
                </wp:positionV>
                <wp:extent cx="5969000" cy="4681220"/>
                <wp:effectExtent l="0" t="0" r="12700" b="5080"/>
                <wp:wrapNone/>
                <wp:docPr id="18" name="文本框 18"/>
                <wp:cNvGraphicFramePr/>
                <a:graphic xmlns:a="http://schemas.openxmlformats.org/drawingml/2006/main">
                  <a:graphicData uri="http://schemas.microsoft.com/office/word/2010/wordprocessingShape">
                    <wps:wsp>
                      <wps:cNvSpPr txBox="1"/>
                      <wps:spPr>
                        <a:xfrm>
                          <a:off x="0" y="0"/>
                          <a:ext cx="5969000" cy="4681220"/>
                        </a:xfrm>
                        <a:prstGeom prst="rect">
                          <a:avLst/>
                        </a:prstGeom>
                        <a:solidFill>
                          <a:srgbClr val="FFFFFF"/>
                        </a:solidFill>
                        <a:ln>
                          <a:noFill/>
                        </a:ln>
                      </wps:spPr>
                      <wps:txbx>
                        <w:txbxContent>
                          <w:p w14:paraId="2D861053">
                            <w:pPr>
                              <w:pStyle w:val="268"/>
                            </w:pPr>
                            <w:r>
                              <w:rPr>
                                <w:rFonts w:hint="eastAsia"/>
                              </w:rPr>
                              <w:t>海洋石油固定平台安全规范</w:t>
                            </w:r>
                          </w:p>
                          <w:p w14:paraId="6792CAC7">
                            <w:pPr>
                              <w:pStyle w:val="271"/>
                              <w:rPr>
                                <w:rFonts w:ascii="Times New Roman"/>
                                <w:b/>
                              </w:rPr>
                            </w:pPr>
                            <w:r>
                              <w:rPr>
                                <w:rFonts w:ascii="Times New Roman"/>
                                <w:b/>
                              </w:rPr>
                              <w:t>Safety specification for offshore fixed platforms</w:t>
                            </w:r>
                          </w:p>
                          <w:p w14:paraId="404842BC">
                            <w:pPr>
                              <w:pStyle w:val="271"/>
                              <w:spacing w:before="440"/>
                            </w:pPr>
                          </w:p>
                          <w:p w14:paraId="10267F7B">
                            <w:pPr>
                              <w:pStyle w:val="272"/>
                            </w:pPr>
                            <w:r>
                              <w:rPr>
                                <w:rFonts w:hint="eastAsia"/>
                              </w:rPr>
                              <w:t>(征求意见稿)</w:t>
                            </w:r>
                          </w:p>
                          <w:p w14:paraId="5CA22439">
                            <w:pPr>
                              <w:pStyle w:val="269"/>
                            </w:pPr>
                          </w:p>
                        </w:txbxContent>
                      </wps:txbx>
                      <wps:bodyPr lIns="0" tIns="0" rIns="0" bIns="0" upright="1"/>
                    </wps:wsp>
                  </a:graphicData>
                </a:graphic>
              </wp:anchor>
            </w:drawing>
          </mc:Choice>
          <mc:Fallback>
            <w:pict>
              <v:shape id="_x0000_s1026" o:spid="_x0000_s1026" o:spt="202" type="#_x0000_t202" style="position:absolute;left:0pt;margin-left:0pt;margin-top:286.25pt;height:368.6pt;width:470pt;mso-position-horizontal-relative:margin;mso-position-vertical-relative:margin;z-index:251664384;mso-width-relative:page;mso-height-relative:page;" fillcolor="#FFFFFF" filled="t" stroked="f" coordsize="21600,21600"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VFefcdgAAAAJAQAADwAAAAAAAAABACAAAAAi&#10;AAAAZHJzL2Rvd25yZXYueG1sUEsBAhQAFAAAAAgAh07iQMRsguXRAQAAngMAAA4AAAAAAAAAAQAg&#10;AAAAJwEAAGRycy9lMm9Eb2MueG1sUEsFBgAAAAAGAAYAWQEAAGoFAAAAAA==&#10;">
                <v:fill on="t" focussize="0,0"/>
                <v:stroke on="f"/>
                <v:imagedata o:title=""/>
                <o:lock v:ext="edit" aspectratio="f"/>
                <v:textbox inset="0mm,0mm,0mm,0mm">
                  <w:txbxContent>
                    <w:p w14:paraId="2D861053">
                      <w:pPr>
                        <w:pStyle w:val="268"/>
                      </w:pPr>
                      <w:r>
                        <w:rPr>
                          <w:rFonts w:hint="eastAsia"/>
                        </w:rPr>
                        <w:t>海洋石油固定平台安全规范</w:t>
                      </w:r>
                    </w:p>
                    <w:p w14:paraId="6792CAC7">
                      <w:pPr>
                        <w:pStyle w:val="271"/>
                        <w:rPr>
                          <w:rFonts w:ascii="Times New Roman"/>
                          <w:b/>
                        </w:rPr>
                      </w:pPr>
                      <w:r>
                        <w:rPr>
                          <w:rFonts w:ascii="Times New Roman"/>
                          <w:b/>
                        </w:rPr>
                        <w:t>Safety specification for offshore fixed platforms</w:t>
                      </w:r>
                    </w:p>
                    <w:p w14:paraId="404842BC">
                      <w:pPr>
                        <w:pStyle w:val="271"/>
                        <w:spacing w:before="440"/>
                      </w:pPr>
                    </w:p>
                    <w:p w14:paraId="10267F7B">
                      <w:pPr>
                        <w:pStyle w:val="272"/>
                      </w:pPr>
                      <w:r>
                        <w:rPr>
                          <w:rFonts w:hint="eastAsia"/>
                        </w:rPr>
                        <w:t>(征求意见稿)</w:t>
                      </w:r>
                    </w:p>
                    <w:p w14:paraId="5CA22439">
                      <w:pPr>
                        <w:pStyle w:val="269"/>
                      </w:pPr>
                    </w:p>
                  </w:txbxContent>
                </v:textbox>
                <w10:anchorlock/>
              </v:shape>
            </w:pict>
          </mc:Fallback>
        </mc:AlternateContent>
      </w:r>
      <w: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1510665</wp:posOffset>
                </wp:positionV>
                <wp:extent cx="5820410" cy="751205"/>
                <wp:effectExtent l="0" t="0" r="8890" b="10795"/>
                <wp:wrapNone/>
                <wp:docPr id="21" name="文本框 21"/>
                <wp:cNvGraphicFramePr/>
                <a:graphic xmlns:a="http://schemas.openxmlformats.org/drawingml/2006/main">
                  <a:graphicData uri="http://schemas.microsoft.com/office/word/2010/wordprocessingShape">
                    <wps:wsp>
                      <wps:cNvSpPr txBox="1"/>
                      <wps:spPr>
                        <a:xfrm>
                          <a:off x="0" y="0"/>
                          <a:ext cx="5820410" cy="751205"/>
                        </a:xfrm>
                        <a:prstGeom prst="rect">
                          <a:avLst/>
                        </a:prstGeom>
                        <a:solidFill>
                          <a:srgbClr val="FFFFFF"/>
                        </a:solidFill>
                        <a:ln>
                          <a:noFill/>
                        </a:ln>
                      </wps:spPr>
                      <wps:txbx>
                        <w:txbxContent>
                          <w:p w14:paraId="10B760BA">
                            <w:pPr>
                              <w:pStyle w:val="266"/>
                              <w:rPr>
                                <w:color w:val="FF0000"/>
                              </w:rPr>
                            </w:pPr>
                            <w:r>
                              <w:rPr>
                                <w:b/>
                              </w:rPr>
                              <w:t>GB</w:t>
                            </w:r>
                            <w:r>
                              <w:rPr>
                                <w:rFonts w:hAnsi="黑体"/>
                              </w:rPr>
                              <w:t xml:space="preserve"> </w:t>
                            </w:r>
                            <w:r>
                              <w:rPr>
                                <w:rFonts w:hint="eastAsia" w:hAnsi="黑体"/>
                              </w:rPr>
                              <w:t>××××</w:t>
                            </w:r>
                            <w:r>
                              <w:t>—</w:t>
                            </w:r>
                            <w:r>
                              <w:rPr>
                                <w:rFonts w:hint="eastAsia" w:hAnsi="黑体"/>
                              </w:rPr>
                              <w:t>××××</w:t>
                            </w:r>
                          </w:p>
                        </w:txbxContent>
                      </wps:txbx>
                      <wps:bodyPr lIns="0" tIns="0" rIns="0" bIns="0" upright="1"/>
                    </wps:wsp>
                  </a:graphicData>
                </a:graphic>
              </wp:anchor>
            </w:drawing>
          </mc:Choice>
          <mc:Fallback>
            <w:pict>
              <v:shape id="_x0000_s1026" o:spid="_x0000_s1026" o:spt="202" type="#_x0000_t202" style="position:absolute;left:0pt;margin-left:0pt;margin-top:118.95pt;height:59.15pt;width:458.3pt;mso-position-horizontal-relative:margin;mso-position-vertical-relative:margin;z-index:251663360;mso-width-relative:page;mso-height-relative:page;" fillcolor="#FFFFFF" filled="t" stroked="f" coordsize="21600,21600" o:gfxdata="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bXlr99gAAAAIAQAADwAAAAAAAAABACAAAAAiAAAA&#10;ZHJzL2Rvd25yZXYueG1sUEsBAhQAFAAAAAgAh07iQK3YFarOAQAAnQMAAA4AAAAAAAAAAQAgAAAA&#10;JwEAAGRycy9lMm9Eb2MueG1sUEsFBgAAAAAGAAYAWQEAAGcFAAAAAA==&#10;">
                <v:fill on="t" focussize="0,0"/>
                <v:stroke on="f"/>
                <v:imagedata o:title=""/>
                <o:lock v:ext="edit" aspectratio="f"/>
                <v:textbox inset="0mm,0mm,0mm,0mm">
                  <w:txbxContent>
                    <w:p w14:paraId="10B760BA">
                      <w:pPr>
                        <w:pStyle w:val="266"/>
                        <w:rPr>
                          <w:color w:val="FF0000"/>
                        </w:rPr>
                      </w:pPr>
                      <w:r>
                        <w:rPr>
                          <w:b/>
                        </w:rPr>
                        <w:t>GB</w:t>
                      </w:r>
                      <w:r>
                        <w:rPr>
                          <w:rFonts w:hAnsi="黑体"/>
                        </w:rPr>
                        <w:t xml:space="preserve"> </w:t>
                      </w:r>
                      <w:r>
                        <w:rPr>
                          <w:rFonts w:hint="eastAsia" w:hAnsi="黑体"/>
                        </w:rPr>
                        <w:t>××××</w:t>
                      </w:r>
                      <w:r>
                        <w:t>—</w:t>
                      </w:r>
                      <w:r>
                        <w:rPr>
                          <w:rFonts w:hint="eastAsia" w:hAnsi="黑体"/>
                        </w:rPr>
                        <w:t>××××</w:t>
                      </w:r>
                    </w:p>
                  </w:txbxContent>
                </v:textbox>
                <w10:anchorlock/>
              </v:shape>
            </w:pict>
          </mc:Fallback>
        </mc:AlternateContent>
      </w:r>
      <w:r>
        <w:drawing>
          <wp:anchor distT="0" distB="0" distL="114300" distR="114300" simplePos="0" relativeHeight="251662336" behindDoc="0" locked="1" layoutInCell="1" allowOverlap="1">
            <wp:simplePos x="0" y="0"/>
            <wp:positionH relativeFrom="margin">
              <wp:posOffset>4284345</wp:posOffset>
            </wp:positionH>
            <wp:positionV relativeFrom="margin">
              <wp:posOffset>107315</wp:posOffset>
            </wp:positionV>
            <wp:extent cx="1403350" cy="720090"/>
            <wp:effectExtent l="0" t="0" r="6350" b="3810"/>
            <wp:wrapNone/>
            <wp:docPr id="19" name="HBPicture" descr="GB"/>
            <wp:cNvGraphicFramePr/>
            <a:graphic xmlns:a="http://schemas.openxmlformats.org/drawingml/2006/main">
              <a:graphicData uri="http://schemas.openxmlformats.org/drawingml/2006/picture">
                <pic:pic xmlns:pic="http://schemas.openxmlformats.org/drawingml/2006/picture">
                  <pic:nvPicPr>
                    <pic:cNvPr id="19" name="HBPicture" descr="GB"/>
                    <pic:cNvPicPr/>
                  </pic:nvPicPr>
                  <pic:blipFill>
                    <a:blip r:embed="rId25"/>
                    <a:stretch>
                      <a:fillRect/>
                    </a:stretch>
                  </pic:blipFill>
                  <pic:spPr>
                    <a:xfrm>
                      <a:off x="0" y="0"/>
                      <a:ext cx="1403350" cy="720090"/>
                    </a:xfrm>
                    <a:prstGeom prst="rect">
                      <a:avLst/>
                    </a:prstGeom>
                    <a:noFill/>
                    <a:ln>
                      <a:noFill/>
                    </a:ln>
                  </pic:spPr>
                </pic:pic>
              </a:graphicData>
            </a:graphic>
          </wp:anchor>
        </w:drawing>
      </w:r>
      <w:r>
        <mc:AlternateContent>
          <mc:Choice Requires="wps">
            <w:drawing>
              <wp:anchor distT="0" distB="0" distL="114300" distR="114300" simplePos="0" relativeHeight="251661312" behindDoc="0" locked="1" layoutInCell="1" allowOverlap="1">
                <wp:simplePos x="0" y="0"/>
                <wp:positionH relativeFrom="margin">
                  <wp:posOffset>0</wp:posOffset>
                </wp:positionH>
                <wp:positionV relativeFrom="margin">
                  <wp:posOffset>1010920</wp:posOffset>
                </wp:positionV>
                <wp:extent cx="6120130" cy="391160"/>
                <wp:effectExtent l="0" t="0" r="13970" b="8890"/>
                <wp:wrapNone/>
                <wp:docPr id="16" name="文本框 16"/>
                <wp:cNvGraphicFramePr/>
                <a:graphic xmlns:a="http://schemas.openxmlformats.org/drawingml/2006/main">
                  <a:graphicData uri="http://schemas.microsoft.com/office/word/2010/wordprocessingShape">
                    <wps:wsp>
                      <wps:cNvSpPr txBox="1"/>
                      <wps:spPr>
                        <a:xfrm>
                          <a:off x="0" y="0"/>
                          <a:ext cx="6120130" cy="391160"/>
                        </a:xfrm>
                        <a:prstGeom prst="rect">
                          <a:avLst/>
                        </a:prstGeom>
                        <a:solidFill>
                          <a:srgbClr val="FFFFFF"/>
                        </a:solidFill>
                        <a:ln>
                          <a:noFill/>
                        </a:ln>
                      </wps:spPr>
                      <wps:txbx>
                        <w:txbxContent>
                          <w:p w14:paraId="694C9F74">
                            <w:pPr>
                              <w:pStyle w:val="536"/>
                            </w:pPr>
                            <w:r>
                              <w:rPr>
                                <w:rFonts w:hint="eastAsia"/>
                              </w:rPr>
                              <w:t>中华人民共和国国家标准</w:t>
                            </w:r>
                          </w:p>
                        </w:txbxContent>
                      </wps:txbx>
                      <wps:bodyPr lIns="0" tIns="0" rIns="0" bIns="0" upright="1"/>
                    </wps:wsp>
                  </a:graphicData>
                </a:graphic>
              </wp:anchor>
            </w:drawing>
          </mc:Choice>
          <mc:Fallback>
            <w:pict>
              <v:shape id="_x0000_s1026" o:spid="_x0000_s1026" o:spt="202" type="#_x0000_t202" style="position:absolute;left:0pt;margin-left:0pt;margin-top:79.6pt;height:30.8pt;width:481.9pt;mso-position-horizontal-relative:margin;mso-position-vertical-relative:margin;z-index:251661312;mso-width-relative:page;mso-height-relative:page;" fillcolor="#FFFFFF" filled="t" stroked="f" coordsize="21600,21600" o:gfxdata="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Rg5HBdcAAAAIAQAADwAAAAAAAAABACAAAAAiAAAA&#10;ZHJzL2Rvd25yZXYueG1sUEsBAhQAFAAAAAgAh07iQIsC8vDPAQAAnQMAAA4AAAAAAAAAAQAgAAAA&#10;JgEAAGRycy9lMm9Eb2MueG1sUEsFBgAAAAAGAAYAWQEAAGcFAAAAAA==&#10;">
                <v:fill on="t" focussize="0,0"/>
                <v:stroke on="f"/>
                <v:imagedata o:title=""/>
                <o:lock v:ext="edit" aspectratio="f"/>
                <v:textbox inset="0mm,0mm,0mm,0mm">
                  <w:txbxContent>
                    <w:p w14:paraId="694C9F74">
                      <w:pPr>
                        <w:pStyle w:val="536"/>
                      </w:pPr>
                      <w:r>
                        <w:rPr>
                          <w:rFonts w:hint="eastAsia"/>
                        </w:rPr>
                        <w:t>中华人民共和国国家标准</w:t>
                      </w:r>
                    </w:p>
                  </w:txbxContent>
                </v:textbox>
                <w10:anchorlock/>
              </v:shape>
            </w:pict>
          </mc:Fallback>
        </mc:AlternateContent>
      </w:r>
      <w: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0</wp:posOffset>
                </wp:positionV>
                <wp:extent cx="2540000" cy="657860"/>
                <wp:effectExtent l="0" t="0" r="12700" b="8890"/>
                <wp:wrapNone/>
                <wp:docPr id="20" name="文本框 20"/>
                <wp:cNvGraphicFramePr/>
                <a:graphic xmlns:a="http://schemas.openxmlformats.org/drawingml/2006/main">
                  <a:graphicData uri="http://schemas.microsoft.com/office/word/2010/wordprocessingShape">
                    <wps:wsp>
                      <wps:cNvSpPr txBox="1"/>
                      <wps:spPr>
                        <a:xfrm>
                          <a:off x="0" y="0"/>
                          <a:ext cx="2540000" cy="657860"/>
                        </a:xfrm>
                        <a:prstGeom prst="rect">
                          <a:avLst/>
                        </a:prstGeom>
                        <a:solidFill>
                          <a:srgbClr val="FFFFFF"/>
                        </a:solidFill>
                        <a:ln>
                          <a:noFill/>
                        </a:ln>
                      </wps:spPr>
                      <wps:txbx>
                        <w:txbxContent>
                          <w:p w14:paraId="0AB1C593">
                            <w:pPr>
                              <w:pStyle w:val="298"/>
                              <w:rPr>
                                <w:b/>
                              </w:rPr>
                            </w:pPr>
                            <w:r>
                              <w:rPr>
                                <w:b/>
                              </w:rPr>
                              <w:t>ICS 1</w:t>
                            </w:r>
                            <w:r>
                              <w:rPr>
                                <w:rFonts w:hint="eastAsia"/>
                                <w:b/>
                              </w:rPr>
                              <w:t>3</w:t>
                            </w:r>
                            <w:r>
                              <w:rPr>
                                <w:b/>
                              </w:rPr>
                              <w:t>.1</w:t>
                            </w:r>
                            <w:r>
                              <w:rPr>
                                <w:rFonts w:hint="eastAsia"/>
                                <w:b/>
                              </w:rPr>
                              <w:t>0</w:t>
                            </w:r>
                            <w:r>
                              <w:rPr>
                                <w:b/>
                              </w:rPr>
                              <w:t>0</w:t>
                            </w:r>
                          </w:p>
                          <w:p w14:paraId="709A7216">
                            <w:pPr>
                              <w:pStyle w:val="298"/>
                              <w:rPr>
                                <w:b/>
                              </w:rPr>
                            </w:pPr>
                            <w:r>
                              <w:rPr>
                                <w:b/>
                              </w:rPr>
                              <w:t xml:space="preserve">CCS </w:t>
                            </w:r>
                            <w:r>
                              <w:rPr>
                                <w:rFonts w:hint="eastAsia"/>
                                <w:b/>
                              </w:rPr>
                              <w:t>E</w:t>
                            </w:r>
                            <w:r>
                              <w:rPr>
                                <w:b/>
                              </w:rPr>
                              <w:t xml:space="preserve"> 0</w:t>
                            </w:r>
                            <w:r>
                              <w:rPr>
                                <w:rFonts w:hint="eastAsia"/>
                                <w:b/>
                              </w:rPr>
                              <w:t>9</w:t>
                            </w:r>
                          </w:p>
                        </w:txbxContent>
                      </wps:txbx>
                      <wps:bodyPr lIns="0" tIns="0" rIns="0" bIns="0" upright="1"/>
                    </wps:wsp>
                  </a:graphicData>
                </a:graphic>
              </wp:anchor>
            </w:drawing>
          </mc:Choice>
          <mc:Fallback>
            <w:pict>
              <v:shape id="_x0000_s1026" o:spid="_x0000_s1026" o:spt="202" type="#_x0000_t202" style="position:absolute;left:0pt;margin-left:0pt;margin-top:0pt;height:51.8pt;width:200pt;mso-position-horizontal-relative:margin;mso-position-vertical-relative:margin;z-index:251660288;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xezL4NMAAAAFAQAADwAAAAAAAAABACAAAAAiAAAAZHJz&#10;L2Rvd25yZXYueG1sUEsBAhQAFAAAAAgAh07iQDwSArrQAQAAnQMAAA4AAAAAAAAAAQAgAAAAIgEA&#10;AGRycy9lMm9Eb2MueG1sUEsFBgAAAAAGAAYAWQEAAGQFAAAAAA==&#10;">
                <v:fill on="t" focussize="0,0"/>
                <v:stroke on="f"/>
                <v:imagedata o:title=""/>
                <o:lock v:ext="edit" aspectratio="f"/>
                <v:textbox inset="0mm,0mm,0mm,0mm">
                  <w:txbxContent>
                    <w:p w14:paraId="0AB1C593">
                      <w:pPr>
                        <w:pStyle w:val="298"/>
                        <w:rPr>
                          <w:b/>
                        </w:rPr>
                      </w:pPr>
                      <w:r>
                        <w:rPr>
                          <w:b/>
                        </w:rPr>
                        <w:t>ICS 1</w:t>
                      </w:r>
                      <w:r>
                        <w:rPr>
                          <w:rFonts w:hint="eastAsia"/>
                          <w:b/>
                        </w:rPr>
                        <w:t>3</w:t>
                      </w:r>
                      <w:r>
                        <w:rPr>
                          <w:b/>
                        </w:rPr>
                        <w:t>.1</w:t>
                      </w:r>
                      <w:r>
                        <w:rPr>
                          <w:rFonts w:hint="eastAsia"/>
                          <w:b/>
                        </w:rPr>
                        <w:t>0</w:t>
                      </w:r>
                      <w:r>
                        <w:rPr>
                          <w:b/>
                        </w:rPr>
                        <w:t>0</w:t>
                      </w:r>
                    </w:p>
                    <w:p w14:paraId="709A7216">
                      <w:pPr>
                        <w:pStyle w:val="298"/>
                        <w:rPr>
                          <w:b/>
                        </w:rPr>
                      </w:pPr>
                      <w:r>
                        <w:rPr>
                          <w:b/>
                        </w:rPr>
                        <w:t xml:space="preserve">CCS </w:t>
                      </w:r>
                      <w:r>
                        <w:rPr>
                          <w:rFonts w:hint="eastAsia"/>
                          <w:b/>
                        </w:rPr>
                        <w:t>E</w:t>
                      </w:r>
                      <w:r>
                        <w:rPr>
                          <w:b/>
                        </w:rPr>
                        <w:t xml:space="preserve"> 0</w:t>
                      </w:r>
                      <w:r>
                        <w:rPr>
                          <w:rFonts w:hint="eastAsia"/>
                          <w:b/>
                        </w:rPr>
                        <w:t>9</w:t>
                      </w:r>
                    </w:p>
                  </w:txbxContent>
                </v:textbox>
                <w10:anchorlock/>
              </v:shape>
            </w:pict>
          </mc:Fallback>
        </mc:AlternateContent>
      </w:r>
    </w:p>
    <w:bookmarkEnd w:id="1"/>
    <w:p w14:paraId="4866EAB0">
      <w:pPr>
        <w:pStyle w:val="286"/>
        <w:rPr>
          <w:rFonts w:ascii="Times New Roman"/>
        </w:rPr>
      </w:pPr>
      <w:bookmarkStart w:id="2" w:name="标准目次"/>
      <w:bookmarkEnd w:id="2"/>
      <w:bookmarkStart w:id="3" w:name="标准目次内容"/>
      <w:r>
        <w:rPr>
          <w:rFonts w:ascii="Times New Roman"/>
        </w:rPr>
        <w:t>目    次</w:t>
      </w:r>
    </w:p>
    <w:p w14:paraId="0B69C151">
      <w:pPr>
        <w:pStyle w:val="19"/>
        <w:tabs>
          <w:tab w:val="right" w:leader="dot" w:pos="9368"/>
        </w:tabs>
        <w:spacing w:before="60" w:after="60"/>
      </w:pPr>
      <w:r>
        <w:rPr>
          <w:rFonts w:ascii="Times New Roman"/>
        </w:rPr>
        <w:fldChar w:fldCharType="begin"/>
      </w:r>
      <w:r>
        <w:rPr>
          <w:rFonts w:ascii="Times New Roman"/>
        </w:rPr>
        <w:instrText xml:space="preserve">TOC \o "1-3" \h</w:instrText>
      </w:r>
      <w:r>
        <w:rPr>
          <w:rFonts w:ascii="Times New Roman"/>
        </w:rPr>
        <w:fldChar w:fldCharType="separate"/>
      </w:r>
      <w:r>
        <w:fldChar w:fldCharType="begin"/>
      </w:r>
      <w:r>
        <w:instrText xml:space="preserve"> HYPERLINK \l "_Toc19550" </w:instrText>
      </w:r>
      <w:r>
        <w:fldChar w:fldCharType="separate"/>
      </w:r>
      <w:r>
        <w:rPr>
          <w:rFonts w:ascii="Times New Roman"/>
        </w:rPr>
        <w:t>前    言</w:t>
      </w:r>
      <w:r>
        <w:tab/>
      </w:r>
      <w:r>
        <w:fldChar w:fldCharType="begin"/>
      </w:r>
      <w:r>
        <w:instrText xml:space="preserve"> PAGEREF _Toc19550 \h </w:instrText>
      </w:r>
      <w:r>
        <w:fldChar w:fldCharType="separate"/>
      </w:r>
      <w:r>
        <w:t>V</w:t>
      </w:r>
      <w:r>
        <w:fldChar w:fldCharType="end"/>
      </w:r>
      <w:r>
        <w:fldChar w:fldCharType="end"/>
      </w:r>
    </w:p>
    <w:p w14:paraId="01D4B935">
      <w:pPr>
        <w:pStyle w:val="18"/>
        <w:tabs>
          <w:tab w:val="right" w:leader="dot" w:pos="9368"/>
        </w:tabs>
        <w:spacing w:before="60" w:after="60"/>
      </w:pPr>
      <w:r>
        <w:fldChar w:fldCharType="begin"/>
      </w:r>
      <w:r>
        <w:instrText xml:space="preserve"> HYPERLINK \l "_Toc16549" </w:instrText>
      </w:r>
      <w:r>
        <w:fldChar w:fldCharType="separate"/>
      </w:r>
      <w:r>
        <w:rPr>
          <w:rFonts w:hint="eastAsia" w:ascii="黑体" w:eastAsia="黑体"/>
          <w:szCs w:val="21"/>
        </w:rPr>
        <w:t xml:space="preserve">1 </w:t>
      </w:r>
      <w:r>
        <w:rPr>
          <w:rFonts w:ascii="Times New Roman"/>
        </w:rPr>
        <w:t>范围</w:t>
      </w:r>
      <w:r>
        <w:tab/>
      </w:r>
      <w:r>
        <w:fldChar w:fldCharType="begin"/>
      </w:r>
      <w:r>
        <w:instrText xml:space="preserve"> PAGEREF _Toc16549 \h </w:instrText>
      </w:r>
      <w:r>
        <w:fldChar w:fldCharType="separate"/>
      </w:r>
      <w:r>
        <w:t>1</w:t>
      </w:r>
      <w:r>
        <w:fldChar w:fldCharType="end"/>
      </w:r>
      <w:r>
        <w:fldChar w:fldCharType="end"/>
      </w:r>
    </w:p>
    <w:p w14:paraId="1343B161">
      <w:pPr>
        <w:pStyle w:val="18"/>
        <w:tabs>
          <w:tab w:val="right" w:leader="dot" w:pos="9368"/>
        </w:tabs>
        <w:spacing w:before="60" w:after="60"/>
      </w:pPr>
      <w:r>
        <w:fldChar w:fldCharType="begin"/>
      </w:r>
      <w:r>
        <w:instrText xml:space="preserve"> HYPERLINK \l "_Toc6105" </w:instrText>
      </w:r>
      <w:r>
        <w:fldChar w:fldCharType="separate"/>
      </w:r>
      <w:r>
        <w:rPr>
          <w:rFonts w:hint="eastAsia" w:ascii="黑体" w:eastAsia="黑体"/>
          <w:szCs w:val="21"/>
        </w:rPr>
        <w:t xml:space="preserve">2 </w:t>
      </w:r>
      <w:r>
        <w:rPr>
          <w:rFonts w:ascii="Times New Roman"/>
        </w:rPr>
        <w:t>规范性引用文件</w:t>
      </w:r>
      <w:r>
        <w:tab/>
      </w:r>
      <w:r>
        <w:fldChar w:fldCharType="begin"/>
      </w:r>
      <w:r>
        <w:instrText xml:space="preserve"> PAGEREF _Toc6105 \h </w:instrText>
      </w:r>
      <w:r>
        <w:fldChar w:fldCharType="separate"/>
      </w:r>
      <w:r>
        <w:t>1</w:t>
      </w:r>
      <w:r>
        <w:fldChar w:fldCharType="end"/>
      </w:r>
      <w:r>
        <w:fldChar w:fldCharType="end"/>
      </w:r>
    </w:p>
    <w:p w14:paraId="10469771">
      <w:pPr>
        <w:pStyle w:val="18"/>
        <w:tabs>
          <w:tab w:val="right" w:leader="dot" w:pos="9368"/>
        </w:tabs>
        <w:spacing w:before="60" w:after="60"/>
      </w:pPr>
      <w:r>
        <w:fldChar w:fldCharType="begin"/>
      </w:r>
      <w:r>
        <w:instrText xml:space="preserve"> HYPERLINK \l "_Toc12371" </w:instrText>
      </w:r>
      <w:r>
        <w:fldChar w:fldCharType="separate"/>
      </w:r>
      <w:r>
        <w:rPr>
          <w:rFonts w:hint="eastAsia" w:ascii="黑体" w:eastAsia="黑体"/>
          <w:szCs w:val="21"/>
        </w:rPr>
        <w:t xml:space="preserve">3 </w:t>
      </w:r>
      <w:r>
        <w:rPr>
          <w:rFonts w:ascii="Times New Roman"/>
        </w:rPr>
        <w:t>术语和定义</w:t>
      </w:r>
      <w:r>
        <w:tab/>
      </w:r>
      <w:r>
        <w:fldChar w:fldCharType="begin"/>
      </w:r>
      <w:r>
        <w:instrText xml:space="preserve"> PAGEREF _Toc12371 \h </w:instrText>
      </w:r>
      <w:r>
        <w:fldChar w:fldCharType="separate"/>
      </w:r>
      <w:r>
        <w:t>1</w:t>
      </w:r>
      <w:r>
        <w:fldChar w:fldCharType="end"/>
      </w:r>
      <w:r>
        <w:fldChar w:fldCharType="end"/>
      </w:r>
    </w:p>
    <w:p w14:paraId="45EA4681">
      <w:pPr>
        <w:pStyle w:val="18"/>
        <w:tabs>
          <w:tab w:val="right" w:leader="dot" w:pos="9368"/>
        </w:tabs>
        <w:spacing w:before="60" w:after="60"/>
      </w:pPr>
      <w:r>
        <w:fldChar w:fldCharType="begin"/>
      </w:r>
      <w:r>
        <w:instrText xml:space="preserve"> HYPERLINK \l "_Toc7701" </w:instrText>
      </w:r>
      <w:r>
        <w:fldChar w:fldCharType="separate"/>
      </w:r>
      <w:r>
        <w:rPr>
          <w:rFonts w:hint="eastAsia" w:ascii="黑体" w:eastAsia="黑体"/>
          <w:szCs w:val="21"/>
        </w:rPr>
        <w:t xml:space="preserve">4 </w:t>
      </w:r>
      <w:r>
        <w:rPr>
          <w:rFonts w:ascii="Times New Roman"/>
        </w:rPr>
        <w:t>缩略语</w:t>
      </w:r>
      <w:r>
        <w:tab/>
      </w:r>
      <w:r>
        <w:fldChar w:fldCharType="begin"/>
      </w:r>
      <w:r>
        <w:instrText xml:space="preserve"> PAGEREF _Toc7701 \h </w:instrText>
      </w:r>
      <w:r>
        <w:fldChar w:fldCharType="separate"/>
      </w:r>
      <w:r>
        <w:t>3</w:t>
      </w:r>
      <w:r>
        <w:fldChar w:fldCharType="end"/>
      </w:r>
      <w:r>
        <w:fldChar w:fldCharType="end"/>
      </w:r>
    </w:p>
    <w:p w14:paraId="4A651F32">
      <w:pPr>
        <w:pStyle w:val="18"/>
        <w:tabs>
          <w:tab w:val="right" w:leader="dot" w:pos="9368"/>
        </w:tabs>
        <w:spacing w:before="60" w:after="60"/>
      </w:pPr>
      <w:r>
        <w:fldChar w:fldCharType="begin"/>
      </w:r>
      <w:r>
        <w:instrText xml:space="preserve"> HYPERLINK \l "_Toc15090" </w:instrText>
      </w:r>
      <w:r>
        <w:fldChar w:fldCharType="separate"/>
      </w:r>
      <w:r>
        <w:rPr>
          <w:rFonts w:hint="eastAsia" w:ascii="黑体" w:eastAsia="黑体"/>
          <w:szCs w:val="21"/>
        </w:rPr>
        <w:t xml:space="preserve">5 </w:t>
      </w:r>
      <w:r>
        <w:rPr>
          <w:rFonts w:ascii="Times New Roman"/>
        </w:rPr>
        <w:t>总体要求</w:t>
      </w:r>
      <w:r>
        <w:tab/>
      </w:r>
      <w:r>
        <w:fldChar w:fldCharType="begin"/>
      </w:r>
      <w:r>
        <w:instrText xml:space="preserve"> PAGEREF _Toc15090 \h </w:instrText>
      </w:r>
      <w:r>
        <w:fldChar w:fldCharType="separate"/>
      </w:r>
      <w:r>
        <w:t>3</w:t>
      </w:r>
      <w:r>
        <w:fldChar w:fldCharType="end"/>
      </w:r>
      <w:r>
        <w:fldChar w:fldCharType="end"/>
      </w:r>
    </w:p>
    <w:p w14:paraId="012EBF76">
      <w:pPr>
        <w:pStyle w:val="18"/>
        <w:tabs>
          <w:tab w:val="right" w:leader="dot" w:pos="9368"/>
        </w:tabs>
        <w:spacing w:before="60" w:after="60"/>
      </w:pPr>
      <w:r>
        <w:fldChar w:fldCharType="begin"/>
      </w:r>
      <w:r>
        <w:instrText xml:space="preserve"> HYPERLINK \l "_Toc20195" </w:instrText>
      </w:r>
      <w:r>
        <w:fldChar w:fldCharType="separate"/>
      </w:r>
      <w:r>
        <w:rPr>
          <w:rFonts w:hint="eastAsia" w:ascii="黑体" w:eastAsia="黑体"/>
          <w:szCs w:val="21"/>
        </w:rPr>
        <w:t xml:space="preserve">6 </w:t>
      </w:r>
      <w:r>
        <w:rPr>
          <w:rFonts w:ascii="Times New Roman"/>
        </w:rPr>
        <w:t>平台布置</w:t>
      </w:r>
      <w:r>
        <w:tab/>
      </w:r>
      <w:r>
        <w:fldChar w:fldCharType="begin"/>
      </w:r>
      <w:r>
        <w:instrText xml:space="preserve"> PAGEREF _Toc20195 \h </w:instrText>
      </w:r>
      <w:r>
        <w:fldChar w:fldCharType="separate"/>
      </w:r>
      <w:r>
        <w:t>4</w:t>
      </w:r>
      <w:r>
        <w:fldChar w:fldCharType="end"/>
      </w:r>
      <w:r>
        <w:fldChar w:fldCharType="end"/>
      </w:r>
    </w:p>
    <w:p w14:paraId="074DAF0E">
      <w:pPr>
        <w:pStyle w:val="17"/>
        <w:tabs>
          <w:tab w:val="right" w:leader="dot" w:pos="9368"/>
        </w:tabs>
        <w:spacing w:before="60" w:after="60"/>
        <w:ind w:left="210"/>
      </w:pPr>
      <w:r>
        <w:fldChar w:fldCharType="begin"/>
      </w:r>
      <w:r>
        <w:instrText xml:space="preserve"> HYPERLINK \l "_Toc15525" </w:instrText>
      </w:r>
      <w:r>
        <w:fldChar w:fldCharType="separate"/>
      </w:r>
      <w:r>
        <w:rPr>
          <w:rFonts w:hint="eastAsia" w:ascii="黑体" w:eastAsia="黑体"/>
          <w:kern w:val="0"/>
          <w:szCs w:val="21"/>
        </w:rPr>
        <w:t xml:space="preserve">6.1 </w:t>
      </w:r>
      <w:r>
        <w:rPr>
          <w:rFonts w:ascii="Times New Roman"/>
        </w:rPr>
        <w:t>一般规定</w:t>
      </w:r>
      <w:r>
        <w:tab/>
      </w:r>
      <w:r>
        <w:fldChar w:fldCharType="begin"/>
      </w:r>
      <w:r>
        <w:instrText xml:space="preserve"> PAGEREF _Toc15525 \h </w:instrText>
      </w:r>
      <w:r>
        <w:fldChar w:fldCharType="separate"/>
      </w:r>
      <w:r>
        <w:t>4</w:t>
      </w:r>
      <w:r>
        <w:fldChar w:fldCharType="end"/>
      </w:r>
      <w:r>
        <w:fldChar w:fldCharType="end"/>
      </w:r>
    </w:p>
    <w:p w14:paraId="364331E1">
      <w:pPr>
        <w:pStyle w:val="17"/>
        <w:tabs>
          <w:tab w:val="right" w:leader="dot" w:pos="9368"/>
        </w:tabs>
        <w:spacing w:before="60" w:after="60"/>
        <w:ind w:left="210"/>
      </w:pPr>
      <w:r>
        <w:fldChar w:fldCharType="begin"/>
      </w:r>
      <w:r>
        <w:instrText xml:space="preserve"> HYPERLINK \l "_Toc31499" </w:instrText>
      </w:r>
      <w:r>
        <w:fldChar w:fldCharType="separate"/>
      </w:r>
      <w:r>
        <w:rPr>
          <w:rFonts w:hint="eastAsia" w:ascii="黑体" w:eastAsia="黑体"/>
          <w:kern w:val="0"/>
          <w:szCs w:val="21"/>
        </w:rPr>
        <w:t xml:space="preserve">6.2 </w:t>
      </w:r>
      <w:r>
        <w:rPr>
          <w:rFonts w:ascii="Times New Roman"/>
        </w:rPr>
        <w:t>布置原则</w:t>
      </w:r>
      <w:r>
        <w:tab/>
      </w:r>
      <w:r>
        <w:fldChar w:fldCharType="begin"/>
      </w:r>
      <w:r>
        <w:instrText xml:space="preserve"> PAGEREF _Toc31499 \h </w:instrText>
      </w:r>
      <w:r>
        <w:fldChar w:fldCharType="separate"/>
      </w:r>
      <w:r>
        <w:t>4</w:t>
      </w:r>
      <w:r>
        <w:fldChar w:fldCharType="end"/>
      </w:r>
      <w:r>
        <w:fldChar w:fldCharType="end"/>
      </w:r>
    </w:p>
    <w:p w14:paraId="5F79038D">
      <w:pPr>
        <w:pStyle w:val="17"/>
        <w:tabs>
          <w:tab w:val="right" w:leader="dot" w:pos="9368"/>
        </w:tabs>
        <w:spacing w:before="60" w:after="60"/>
        <w:ind w:left="210"/>
      </w:pPr>
      <w:r>
        <w:fldChar w:fldCharType="begin"/>
      </w:r>
      <w:r>
        <w:instrText xml:space="preserve"> HYPERLINK \l "_Toc23427" </w:instrText>
      </w:r>
      <w:r>
        <w:fldChar w:fldCharType="separate"/>
      </w:r>
      <w:r>
        <w:rPr>
          <w:rFonts w:hint="eastAsia" w:ascii="黑体" w:eastAsia="黑体"/>
          <w:kern w:val="0"/>
          <w:szCs w:val="21"/>
        </w:rPr>
        <w:t xml:space="preserve">6.3 </w:t>
      </w:r>
      <w:r>
        <w:rPr>
          <w:rFonts w:ascii="Times New Roman"/>
        </w:rPr>
        <w:t>井口区</w:t>
      </w:r>
      <w:r>
        <w:tab/>
      </w:r>
      <w:r>
        <w:fldChar w:fldCharType="begin"/>
      </w:r>
      <w:r>
        <w:instrText xml:space="preserve"> PAGEREF _Toc23427 \h </w:instrText>
      </w:r>
      <w:r>
        <w:fldChar w:fldCharType="separate"/>
      </w:r>
      <w:r>
        <w:t>5</w:t>
      </w:r>
      <w:r>
        <w:fldChar w:fldCharType="end"/>
      </w:r>
      <w:r>
        <w:fldChar w:fldCharType="end"/>
      </w:r>
    </w:p>
    <w:p w14:paraId="3B96A26C">
      <w:pPr>
        <w:pStyle w:val="17"/>
        <w:tabs>
          <w:tab w:val="right" w:leader="dot" w:pos="9368"/>
        </w:tabs>
        <w:spacing w:before="60" w:after="60"/>
        <w:ind w:left="210"/>
      </w:pPr>
      <w:r>
        <w:fldChar w:fldCharType="begin"/>
      </w:r>
      <w:r>
        <w:instrText xml:space="preserve"> HYPERLINK \l "_Toc3857" </w:instrText>
      </w:r>
      <w:r>
        <w:fldChar w:fldCharType="separate"/>
      </w:r>
      <w:r>
        <w:rPr>
          <w:rFonts w:hint="eastAsia" w:ascii="黑体" w:eastAsia="黑体"/>
          <w:kern w:val="0"/>
          <w:szCs w:val="21"/>
        </w:rPr>
        <w:t xml:space="preserve">6.4 </w:t>
      </w:r>
      <w:r>
        <w:rPr>
          <w:rFonts w:ascii="Times New Roman"/>
        </w:rPr>
        <w:t>设备区</w:t>
      </w:r>
      <w:r>
        <w:tab/>
      </w:r>
      <w:r>
        <w:fldChar w:fldCharType="begin"/>
      </w:r>
      <w:r>
        <w:instrText xml:space="preserve"> PAGEREF _Toc3857 \h </w:instrText>
      </w:r>
      <w:r>
        <w:fldChar w:fldCharType="separate"/>
      </w:r>
      <w:r>
        <w:t>5</w:t>
      </w:r>
      <w:r>
        <w:fldChar w:fldCharType="end"/>
      </w:r>
      <w:r>
        <w:fldChar w:fldCharType="end"/>
      </w:r>
    </w:p>
    <w:p w14:paraId="615FC7C2">
      <w:pPr>
        <w:pStyle w:val="17"/>
        <w:tabs>
          <w:tab w:val="right" w:leader="dot" w:pos="9368"/>
        </w:tabs>
        <w:spacing w:before="60" w:after="60"/>
        <w:ind w:left="210"/>
      </w:pPr>
      <w:r>
        <w:fldChar w:fldCharType="begin"/>
      </w:r>
      <w:r>
        <w:instrText xml:space="preserve"> HYPERLINK \l "_Toc15800" </w:instrText>
      </w:r>
      <w:r>
        <w:fldChar w:fldCharType="separate"/>
      </w:r>
      <w:r>
        <w:rPr>
          <w:rFonts w:hint="eastAsia" w:ascii="黑体" w:eastAsia="黑体"/>
          <w:kern w:val="0"/>
          <w:szCs w:val="21"/>
        </w:rPr>
        <w:t xml:space="preserve">6.5 </w:t>
      </w:r>
      <w:r>
        <w:rPr>
          <w:rFonts w:ascii="Times New Roman"/>
        </w:rPr>
        <w:t>房间区</w:t>
      </w:r>
      <w:r>
        <w:tab/>
      </w:r>
      <w:r>
        <w:fldChar w:fldCharType="begin"/>
      </w:r>
      <w:r>
        <w:instrText xml:space="preserve"> PAGEREF _Toc15800 \h </w:instrText>
      </w:r>
      <w:r>
        <w:fldChar w:fldCharType="separate"/>
      </w:r>
      <w:r>
        <w:t>5</w:t>
      </w:r>
      <w:r>
        <w:fldChar w:fldCharType="end"/>
      </w:r>
      <w:r>
        <w:fldChar w:fldCharType="end"/>
      </w:r>
    </w:p>
    <w:p w14:paraId="50F4FF80">
      <w:pPr>
        <w:pStyle w:val="17"/>
        <w:tabs>
          <w:tab w:val="right" w:leader="dot" w:pos="9368"/>
        </w:tabs>
        <w:spacing w:before="60" w:after="60"/>
        <w:ind w:left="210"/>
      </w:pPr>
      <w:r>
        <w:fldChar w:fldCharType="begin"/>
      </w:r>
      <w:r>
        <w:instrText xml:space="preserve"> HYPERLINK \l "_Toc15673" </w:instrText>
      </w:r>
      <w:r>
        <w:fldChar w:fldCharType="separate"/>
      </w:r>
      <w:r>
        <w:rPr>
          <w:rFonts w:hint="eastAsia" w:ascii="黑体" w:eastAsia="黑体"/>
          <w:kern w:val="0"/>
          <w:szCs w:val="21"/>
        </w:rPr>
        <w:t xml:space="preserve">6.6 </w:t>
      </w:r>
      <w:r>
        <w:rPr>
          <w:rFonts w:ascii="Times New Roman"/>
        </w:rPr>
        <w:t>生活区</w:t>
      </w:r>
      <w:r>
        <w:tab/>
      </w:r>
      <w:r>
        <w:fldChar w:fldCharType="begin"/>
      </w:r>
      <w:r>
        <w:instrText xml:space="preserve"> PAGEREF _Toc15673 \h </w:instrText>
      </w:r>
      <w:r>
        <w:fldChar w:fldCharType="separate"/>
      </w:r>
      <w:r>
        <w:t>5</w:t>
      </w:r>
      <w:r>
        <w:fldChar w:fldCharType="end"/>
      </w:r>
      <w:r>
        <w:fldChar w:fldCharType="end"/>
      </w:r>
    </w:p>
    <w:p w14:paraId="5A461FBD">
      <w:pPr>
        <w:pStyle w:val="17"/>
        <w:tabs>
          <w:tab w:val="right" w:leader="dot" w:pos="9368"/>
        </w:tabs>
        <w:spacing w:before="60" w:after="60"/>
        <w:ind w:left="210"/>
      </w:pPr>
      <w:r>
        <w:fldChar w:fldCharType="begin"/>
      </w:r>
      <w:r>
        <w:instrText xml:space="preserve"> HYPERLINK \l "_Toc9730" </w:instrText>
      </w:r>
      <w:r>
        <w:fldChar w:fldCharType="separate"/>
      </w:r>
      <w:r>
        <w:rPr>
          <w:rFonts w:hint="eastAsia" w:ascii="黑体" w:eastAsia="黑体"/>
          <w:kern w:val="0"/>
          <w:szCs w:val="21"/>
        </w:rPr>
        <w:t xml:space="preserve">6.7 </w:t>
      </w:r>
      <w:r>
        <w:rPr>
          <w:rFonts w:ascii="Times New Roman"/>
        </w:rPr>
        <w:t>其他</w:t>
      </w:r>
      <w:r>
        <w:tab/>
      </w:r>
      <w:r>
        <w:fldChar w:fldCharType="begin"/>
      </w:r>
      <w:r>
        <w:instrText xml:space="preserve"> PAGEREF _Toc9730 \h </w:instrText>
      </w:r>
      <w:r>
        <w:fldChar w:fldCharType="separate"/>
      </w:r>
      <w:r>
        <w:t>5</w:t>
      </w:r>
      <w:r>
        <w:fldChar w:fldCharType="end"/>
      </w:r>
      <w:r>
        <w:fldChar w:fldCharType="end"/>
      </w:r>
    </w:p>
    <w:p w14:paraId="35844679">
      <w:pPr>
        <w:pStyle w:val="18"/>
        <w:tabs>
          <w:tab w:val="right" w:leader="dot" w:pos="9368"/>
        </w:tabs>
        <w:spacing w:before="60" w:after="60"/>
      </w:pPr>
      <w:r>
        <w:fldChar w:fldCharType="begin"/>
      </w:r>
      <w:r>
        <w:instrText xml:space="preserve"> HYPERLINK \l "_Toc22708" </w:instrText>
      </w:r>
      <w:r>
        <w:fldChar w:fldCharType="separate"/>
      </w:r>
      <w:r>
        <w:rPr>
          <w:rFonts w:hint="eastAsia" w:ascii="黑体" w:eastAsia="黑体"/>
          <w:szCs w:val="21"/>
        </w:rPr>
        <w:t xml:space="preserve">7 </w:t>
      </w:r>
      <w:r>
        <w:rPr>
          <w:rFonts w:ascii="Times New Roman"/>
        </w:rPr>
        <w:t>平台结构</w:t>
      </w:r>
      <w:r>
        <w:tab/>
      </w:r>
      <w:r>
        <w:fldChar w:fldCharType="begin"/>
      </w:r>
      <w:r>
        <w:instrText xml:space="preserve"> PAGEREF _Toc22708 \h </w:instrText>
      </w:r>
      <w:r>
        <w:fldChar w:fldCharType="separate"/>
      </w:r>
      <w:r>
        <w:t>5</w:t>
      </w:r>
      <w:r>
        <w:fldChar w:fldCharType="end"/>
      </w:r>
      <w:r>
        <w:fldChar w:fldCharType="end"/>
      </w:r>
    </w:p>
    <w:p w14:paraId="548FC72C">
      <w:pPr>
        <w:pStyle w:val="17"/>
        <w:tabs>
          <w:tab w:val="right" w:leader="dot" w:pos="9368"/>
        </w:tabs>
        <w:spacing w:before="60" w:after="60"/>
        <w:ind w:left="210"/>
      </w:pPr>
      <w:r>
        <w:fldChar w:fldCharType="begin"/>
      </w:r>
      <w:r>
        <w:instrText xml:space="preserve"> HYPERLINK \l "_Toc20651" </w:instrText>
      </w:r>
      <w:r>
        <w:fldChar w:fldCharType="separate"/>
      </w:r>
      <w:r>
        <w:rPr>
          <w:rFonts w:hint="eastAsia" w:ascii="黑体" w:eastAsia="黑体"/>
          <w:kern w:val="0"/>
          <w:szCs w:val="21"/>
        </w:rPr>
        <w:t xml:space="preserve">7.1 </w:t>
      </w:r>
      <w:r>
        <w:rPr>
          <w:rFonts w:ascii="Times New Roman"/>
        </w:rPr>
        <w:t>一般规定</w:t>
      </w:r>
      <w:r>
        <w:tab/>
      </w:r>
      <w:r>
        <w:fldChar w:fldCharType="begin"/>
      </w:r>
      <w:r>
        <w:instrText xml:space="preserve"> PAGEREF _Toc20651 \h </w:instrText>
      </w:r>
      <w:r>
        <w:fldChar w:fldCharType="separate"/>
      </w:r>
      <w:r>
        <w:t>6</w:t>
      </w:r>
      <w:r>
        <w:fldChar w:fldCharType="end"/>
      </w:r>
      <w:r>
        <w:fldChar w:fldCharType="end"/>
      </w:r>
    </w:p>
    <w:p w14:paraId="25EE196B">
      <w:pPr>
        <w:pStyle w:val="17"/>
        <w:tabs>
          <w:tab w:val="right" w:leader="dot" w:pos="9368"/>
        </w:tabs>
        <w:spacing w:before="60" w:after="60"/>
        <w:ind w:left="210"/>
      </w:pPr>
      <w:r>
        <w:fldChar w:fldCharType="begin"/>
      </w:r>
      <w:r>
        <w:instrText xml:space="preserve"> HYPERLINK \l "_Toc29457" </w:instrText>
      </w:r>
      <w:r>
        <w:fldChar w:fldCharType="separate"/>
      </w:r>
      <w:r>
        <w:rPr>
          <w:rFonts w:hint="eastAsia" w:ascii="黑体" w:eastAsia="黑体"/>
          <w:kern w:val="0"/>
          <w:szCs w:val="21"/>
        </w:rPr>
        <w:t xml:space="preserve">7.2 </w:t>
      </w:r>
      <w:r>
        <w:rPr>
          <w:rFonts w:ascii="Times New Roman"/>
        </w:rPr>
        <w:t>设计基础</w:t>
      </w:r>
      <w:r>
        <w:tab/>
      </w:r>
      <w:r>
        <w:fldChar w:fldCharType="begin"/>
      </w:r>
      <w:r>
        <w:instrText xml:space="preserve"> PAGEREF _Toc29457 \h </w:instrText>
      </w:r>
      <w:r>
        <w:fldChar w:fldCharType="separate"/>
      </w:r>
      <w:r>
        <w:t>6</w:t>
      </w:r>
      <w:r>
        <w:fldChar w:fldCharType="end"/>
      </w:r>
      <w:r>
        <w:fldChar w:fldCharType="end"/>
      </w:r>
    </w:p>
    <w:p w14:paraId="373985EF">
      <w:pPr>
        <w:pStyle w:val="17"/>
        <w:tabs>
          <w:tab w:val="right" w:leader="dot" w:pos="9368"/>
        </w:tabs>
        <w:spacing w:before="60" w:after="60"/>
        <w:ind w:left="210"/>
      </w:pPr>
      <w:r>
        <w:fldChar w:fldCharType="begin"/>
      </w:r>
      <w:r>
        <w:instrText xml:space="preserve"> HYPERLINK \l "_Toc32170" </w:instrText>
      </w:r>
      <w:r>
        <w:fldChar w:fldCharType="separate"/>
      </w:r>
      <w:r>
        <w:rPr>
          <w:rFonts w:hint="eastAsia" w:ascii="黑体" w:eastAsia="黑体"/>
          <w:kern w:val="0"/>
          <w:szCs w:val="21"/>
        </w:rPr>
        <w:t xml:space="preserve">7.3 </w:t>
      </w:r>
      <w:r>
        <w:rPr>
          <w:rFonts w:ascii="Times New Roman"/>
        </w:rPr>
        <w:t>荷载及荷载组合</w:t>
      </w:r>
      <w:r>
        <w:tab/>
      </w:r>
      <w:r>
        <w:fldChar w:fldCharType="begin"/>
      </w:r>
      <w:r>
        <w:instrText xml:space="preserve"> PAGEREF _Toc32170 \h </w:instrText>
      </w:r>
      <w:r>
        <w:fldChar w:fldCharType="separate"/>
      </w:r>
      <w:r>
        <w:t>6</w:t>
      </w:r>
      <w:r>
        <w:fldChar w:fldCharType="end"/>
      </w:r>
      <w:r>
        <w:fldChar w:fldCharType="end"/>
      </w:r>
    </w:p>
    <w:p w14:paraId="54402413">
      <w:pPr>
        <w:pStyle w:val="17"/>
        <w:tabs>
          <w:tab w:val="right" w:leader="dot" w:pos="9368"/>
        </w:tabs>
        <w:spacing w:before="60" w:after="60"/>
        <w:ind w:left="210"/>
      </w:pPr>
      <w:r>
        <w:fldChar w:fldCharType="begin"/>
      </w:r>
      <w:r>
        <w:instrText xml:space="preserve"> HYPERLINK \l "_Toc5744" </w:instrText>
      </w:r>
      <w:r>
        <w:fldChar w:fldCharType="separate"/>
      </w:r>
      <w:r>
        <w:rPr>
          <w:rFonts w:hint="eastAsia" w:ascii="黑体" w:eastAsia="黑体"/>
          <w:kern w:val="0"/>
          <w:szCs w:val="21"/>
        </w:rPr>
        <w:t xml:space="preserve">7.4 </w:t>
      </w:r>
      <w:r>
        <w:rPr>
          <w:rFonts w:ascii="Times New Roman"/>
        </w:rPr>
        <w:t>结构分析</w:t>
      </w:r>
      <w:r>
        <w:tab/>
      </w:r>
      <w:r>
        <w:fldChar w:fldCharType="begin"/>
      </w:r>
      <w:r>
        <w:instrText xml:space="preserve"> PAGEREF _Toc5744 \h </w:instrText>
      </w:r>
      <w:r>
        <w:fldChar w:fldCharType="separate"/>
      </w:r>
      <w:r>
        <w:t>7</w:t>
      </w:r>
      <w:r>
        <w:fldChar w:fldCharType="end"/>
      </w:r>
      <w:r>
        <w:fldChar w:fldCharType="end"/>
      </w:r>
    </w:p>
    <w:p w14:paraId="2D1EBF24">
      <w:pPr>
        <w:pStyle w:val="17"/>
        <w:tabs>
          <w:tab w:val="right" w:leader="dot" w:pos="9368"/>
        </w:tabs>
        <w:spacing w:before="60" w:after="60"/>
        <w:ind w:left="210"/>
      </w:pPr>
      <w:r>
        <w:fldChar w:fldCharType="begin"/>
      </w:r>
      <w:r>
        <w:instrText xml:space="preserve"> HYPERLINK \l "_Toc14493" </w:instrText>
      </w:r>
      <w:r>
        <w:fldChar w:fldCharType="separate"/>
      </w:r>
      <w:r>
        <w:rPr>
          <w:rFonts w:hint="eastAsia" w:ascii="黑体" w:eastAsia="黑体"/>
          <w:kern w:val="0"/>
          <w:szCs w:val="21"/>
        </w:rPr>
        <w:t xml:space="preserve">7.5 </w:t>
      </w:r>
      <w:r>
        <w:rPr>
          <w:rFonts w:ascii="Times New Roman"/>
        </w:rPr>
        <w:t>结构设计</w:t>
      </w:r>
      <w:r>
        <w:tab/>
      </w:r>
      <w:r>
        <w:fldChar w:fldCharType="begin"/>
      </w:r>
      <w:r>
        <w:instrText xml:space="preserve"> PAGEREF _Toc14493 \h </w:instrText>
      </w:r>
      <w:r>
        <w:fldChar w:fldCharType="separate"/>
      </w:r>
      <w:r>
        <w:t>7</w:t>
      </w:r>
      <w:r>
        <w:fldChar w:fldCharType="end"/>
      </w:r>
      <w:r>
        <w:fldChar w:fldCharType="end"/>
      </w:r>
    </w:p>
    <w:p w14:paraId="49DE00C0">
      <w:pPr>
        <w:pStyle w:val="17"/>
        <w:tabs>
          <w:tab w:val="right" w:leader="dot" w:pos="9368"/>
        </w:tabs>
        <w:spacing w:before="60" w:after="60"/>
        <w:ind w:left="210"/>
      </w:pPr>
      <w:r>
        <w:fldChar w:fldCharType="begin"/>
      </w:r>
      <w:r>
        <w:instrText xml:space="preserve"> HYPERLINK \l "_Toc2565" </w:instrText>
      </w:r>
      <w:r>
        <w:fldChar w:fldCharType="separate"/>
      </w:r>
      <w:r>
        <w:rPr>
          <w:rFonts w:hint="eastAsia" w:ascii="黑体" w:eastAsia="黑体"/>
          <w:kern w:val="0"/>
          <w:szCs w:val="21"/>
        </w:rPr>
        <w:t xml:space="preserve">7.6 </w:t>
      </w:r>
      <w:r>
        <w:rPr>
          <w:rFonts w:ascii="Times New Roman"/>
        </w:rPr>
        <w:t>材料</w:t>
      </w:r>
      <w:r>
        <w:tab/>
      </w:r>
      <w:r>
        <w:fldChar w:fldCharType="begin"/>
      </w:r>
      <w:r>
        <w:instrText xml:space="preserve"> PAGEREF _Toc2565 \h </w:instrText>
      </w:r>
      <w:r>
        <w:fldChar w:fldCharType="separate"/>
      </w:r>
      <w:r>
        <w:t>8</w:t>
      </w:r>
      <w:r>
        <w:fldChar w:fldCharType="end"/>
      </w:r>
      <w:r>
        <w:fldChar w:fldCharType="end"/>
      </w:r>
    </w:p>
    <w:p w14:paraId="1E73D706">
      <w:pPr>
        <w:pStyle w:val="17"/>
        <w:tabs>
          <w:tab w:val="right" w:leader="dot" w:pos="9368"/>
        </w:tabs>
        <w:spacing w:before="60" w:after="60"/>
        <w:ind w:left="210"/>
      </w:pPr>
      <w:r>
        <w:fldChar w:fldCharType="begin"/>
      </w:r>
      <w:r>
        <w:instrText xml:space="preserve"> HYPERLINK \l "_Toc13748" </w:instrText>
      </w:r>
      <w:r>
        <w:fldChar w:fldCharType="separate"/>
      </w:r>
      <w:r>
        <w:rPr>
          <w:rFonts w:hint="eastAsia" w:ascii="黑体" w:eastAsia="黑体"/>
          <w:kern w:val="0"/>
          <w:szCs w:val="21"/>
        </w:rPr>
        <w:t xml:space="preserve">7.7 </w:t>
      </w:r>
      <w:r>
        <w:rPr>
          <w:rFonts w:ascii="Times New Roman"/>
        </w:rPr>
        <w:t>建造</w:t>
      </w:r>
      <w:r>
        <w:tab/>
      </w:r>
      <w:r>
        <w:fldChar w:fldCharType="begin"/>
      </w:r>
      <w:r>
        <w:instrText xml:space="preserve"> PAGEREF _Toc13748 \h </w:instrText>
      </w:r>
      <w:r>
        <w:fldChar w:fldCharType="separate"/>
      </w:r>
      <w:r>
        <w:t>8</w:t>
      </w:r>
      <w:r>
        <w:fldChar w:fldCharType="end"/>
      </w:r>
      <w:r>
        <w:fldChar w:fldCharType="end"/>
      </w:r>
    </w:p>
    <w:p w14:paraId="7762B657">
      <w:pPr>
        <w:pStyle w:val="17"/>
        <w:tabs>
          <w:tab w:val="right" w:leader="dot" w:pos="9368"/>
        </w:tabs>
        <w:spacing w:before="60" w:after="60"/>
        <w:ind w:left="210"/>
      </w:pPr>
      <w:r>
        <w:fldChar w:fldCharType="begin"/>
      </w:r>
      <w:r>
        <w:instrText xml:space="preserve"> HYPERLINK \l "_Toc15334" </w:instrText>
      </w:r>
      <w:r>
        <w:fldChar w:fldCharType="separate"/>
      </w:r>
      <w:r>
        <w:rPr>
          <w:rFonts w:hint="eastAsia" w:ascii="黑体" w:eastAsia="黑体"/>
          <w:kern w:val="0"/>
          <w:szCs w:val="21"/>
        </w:rPr>
        <w:t xml:space="preserve">7.8 </w:t>
      </w:r>
      <w:r>
        <w:rPr>
          <w:rFonts w:ascii="Times New Roman"/>
        </w:rPr>
        <w:t>焊接及其他连接</w:t>
      </w:r>
      <w:r>
        <w:tab/>
      </w:r>
      <w:r>
        <w:fldChar w:fldCharType="begin"/>
      </w:r>
      <w:r>
        <w:instrText xml:space="preserve"> PAGEREF _Toc15334 \h </w:instrText>
      </w:r>
      <w:r>
        <w:fldChar w:fldCharType="separate"/>
      </w:r>
      <w:r>
        <w:t>8</w:t>
      </w:r>
      <w:r>
        <w:fldChar w:fldCharType="end"/>
      </w:r>
      <w:r>
        <w:fldChar w:fldCharType="end"/>
      </w:r>
    </w:p>
    <w:p w14:paraId="67696804">
      <w:pPr>
        <w:pStyle w:val="18"/>
        <w:tabs>
          <w:tab w:val="right" w:leader="dot" w:pos="9368"/>
        </w:tabs>
        <w:spacing w:before="60" w:after="60"/>
      </w:pPr>
      <w:r>
        <w:fldChar w:fldCharType="begin"/>
      </w:r>
      <w:r>
        <w:instrText xml:space="preserve"> HYPERLINK \l "_Toc4802" </w:instrText>
      </w:r>
      <w:r>
        <w:fldChar w:fldCharType="separate"/>
      </w:r>
      <w:r>
        <w:rPr>
          <w:rFonts w:hint="eastAsia" w:ascii="黑体" w:eastAsia="黑体"/>
          <w:szCs w:val="21"/>
        </w:rPr>
        <w:t xml:space="preserve">8 </w:t>
      </w:r>
      <w:r>
        <w:rPr>
          <w:rFonts w:hint="eastAsia" w:ascii="Times New Roman"/>
        </w:rPr>
        <w:t>防腐</w:t>
      </w:r>
      <w:r>
        <w:tab/>
      </w:r>
      <w:r>
        <w:fldChar w:fldCharType="begin"/>
      </w:r>
      <w:r>
        <w:instrText xml:space="preserve"> PAGEREF _Toc4802 \h </w:instrText>
      </w:r>
      <w:r>
        <w:fldChar w:fldCharType="separate"/>
      </w:r>
      <w:r>
        <w:t>5</w:t>
      </w:r>
      <w:r>
        <w:fldChar w:fldCharType="end"/>
      </w:r>
      <w:r>
        <w:fldChar w:fldCharType="end"/>
      </w:r>
    </w:p>
    <w:p w14:paraId="032256DA">
      <w:pPr>
        <w:pStyle w:val="17"/>
        <w:tabs>
          <w:tab w:val="right" w:leader="dot" w:pos="9368"/>
        </w:tabs>
        <w:spacing w:before="60" w:after="60"/>
        <w:ind w:left="210"/>
      </w:pPr>
      <w:r>
        <w:fldChar w:fldCharType="begin"/>
      </w:r>
      <w:r>
        <w:instrText xml:space="preserve"> HYPERLINK \l "_Toc584" </w:instrText>
      </w:r>
      <w:r>
        <w:fldChar w:fldCharType="separate"/>
      </w:r>
      <w:r>
        <w:rPr>
          <w:rFonts w:hint="eastAsia" w:ascii="黑体" w:eastAsia="黑体"/>
          <w:kern w:val="0"/>
          <w:szCs w:val="21"/>
        </w:rPr>
        <w:t xml:space="preserve">8.1 </w:t>
      </w:r>
      <w:r>
        <w:rPr>
          <w:rFonts w:hint="eastAsia" w:ascii="Times New Roman"/>
        </w:rPr>
        <w:t>一般规定</w:t>
      </w:r>
      <w:r>
        <w:tab/>
      </w:r>
      <w:r>
        <w:fldChar w:fldCharType="begin"/>
      </w:r>
      <w:r>
        <w:instrText xml:space="preserve"> PAGEREF _Toc584 \h </w:instrText>
      </w:r>
      <w:r>
        <w:fldChar w:fldCharType="separate"/>
      </w:r>
      <w:r>
        <w:t>9</w:t>
      </w:r>
      <w:r>
        <w:fldChar w:fldCharType="end"/>
      </w:r>
      <w:r>
        <w:fldChar w:fldCharType="end"/>
      </w:r>
    </w:p>
    <w:p w14:paraId="5D1EFDAD">
      <w:pPr>
        <w:pStyle w:val="17"/>
        <w:tabs>
          <w:tab w:val="right" w:leader="dot" w:pos="9368"/>
        </w:tabs>
        <w:spacing w:before="60" w:after="60"/>
        <w:ind w:left="210"/>
      </w:pPr>
      <w:r>
        <w:fldChar w:fldCharType="begin"/>
      </w:r>
      <w:r>
        <w:instrText xml:space="preserve"> HYPERLINK \l "_Toc1554" </w:instrText>
      </w:r>
      <w:r>
        <w:fldChar w:fldCharType="separate"/>
      </w:r>
      <w:r>
        <w:rPr>
          <w:rFonts w:hint="eastAsia" w:ascii="黑体" w:eastAsia="黑体"/>
          <w:kern w:val="0"/>
          <w:szCs w:val="21"/>
        </w:rPr>
        <w:t xml:space="preserve">8.2 </w:t>
      </w:r>
      <w:r>
        <w:rPr>
          <w:rFonts w:hint="eastAsia"/>
        </w:rPr>
        <w:t>涂层</w:t>
      </w:r>
      <w:r>
        <w:tab/>
      </w:r>
      <w:r>
        <w:fldChar w:fldCharType="begin"/>
      </w:r>
      <w:r>
        <w:instrText xml:space="preserve"> PAGEREF _Toc1554 \h </w:instrText>
      </w:r>
      <w:r>
        <w:fldChar w:fldCharType="separate"/>
      </w:r>
      <w:r>
        <w:t>9</w:t>
      </w:r>
      <w:r>
        <w:fldChar w:fldCharType="end"/>
      </w:r>
      <w:r>
        <w:fldChar w:fldCharType="end"/>
      </w:r>
    </w:p>
    <w:p w14:paraId="5755F953">
      <w:pPr>
        <w:pStyle w:val="17"/>
        <w:tabs>
          <w:tab w:val="right" w:leader="dot" w:pos="9368"/>
        </w:tabs>
        <w:spacing w:before="60" w:after="60"/>
        <w:ind w:left="210"/>
      </w:pPr>
      <w:r>
        <w:fldChar w:fldCharType="begin"/>
      </w:r>
      <w:r>
        <w:instrText xml:space="preserve"> HYPERLINK \l "_Toc14223" </w:instrText>
      </w:r>
      <w:r>
        <w:fldChar w:fldCharType="separate"/>
      </w:r>
      <w:r>
        <w:rPr>
          <w:rFonts w:hint="eastAsia" w:ascii="黑体" w:eastAsia="黑体"/>
          <w:kern w:val="0"/>
          <w:szCs w:val="21"/>
        </w:rPr>
        <w:t xml:space="preserve">8.3 </w:t>
      </w:r>
      <w:r>
        <w:rPr>
          <w:rFonts w:hint="eastAsia"/>
        </w:rPr>
        <w:t>阴极保护</w:t>
      </w:r>
      <w:r>
        <w:tab/>
      </w:r>
      <w:r>
        <w:fldChar w:fldCharType="begin"/>
      </w:r>
      <w:r>
        <w:instrText xml:space="preserve"> PAGEREF _Toc14223 \h </w:instrText>
      </w:r>
      <w:r>
        <w:fldChar w:fldCharType="separate"/>
      </w:r>
      <w:r>
        <w:t>10</w:t>
      </w:r>
      <w:r>
        <w:fldChar w:fldCharType="end"/>
      </w:r>
      <w:r>
        <w:fldChar w:fldCharType="end"/>
      </w:r>
    </w:p>
    <w:p w14:paraId="5564BA70">
      <w:pPr>
        <w:pStyle w:val="17"/>
        <w:tabs>
          <w:tab w:val="right" w:leader="dot" w:pos="9368"/>
        </w:tabs>
        <w:spacing w:before="60" w:after="60"/>
        <w:ind w:left="210"/>
      </w:pPr>
      <w:r>
        <w:fldChar w:fldCharType="begin"/>
      </w:r>
      <w:r>
        <w:instrText xml:space="preserve"> HYPERLINK \l "_Toc4278" </w:instrText>
      </w:r>
      <w:r>
        <w:fldChar w:fldCharType="separate"/>
      </w:r>
      <w:r>
        <w:rPr>
          <w:rFonts w:hint="eastAsia" w:ascii="黑体" w:eastAsia="黑体"/>
          <w:kern w:val="0"/>
          <w:szCs w:val="21"/>
        </w:rPr>
        <w:t xml:space="preserve">8.4 </w:t>
      </w:r>
      <w:r>
        <w:rPr>
          <w:rFonts w:hint="eastAsia"/>
        </w:rPr>
        <w:t>内腐蚀防护</w:t>
      </w:r>
      <w:r>
        <w:tab/>
      </w:r>
      <w:r>
        <w:fldChar w:fldCharType="begin"/>
      </w:r>
      <w:r>
        <w:instrText xml:space="preserve"> PAGEREF _Toc4278 \h </w:instrText>
      </w:r>
      <w:r>
        <w:fldChar w:fldCharType="separate"/>
      </w:r>
      <w:r>
        <w:t>10</w:t>
      </w:r>
      <w:r>
        <w:fldChar w:fldCharType="end"/>
      </w:r>
      <w:r>
        <w:fldChar w:fldCharType="end"/>
      </w:r>
    </w:p>
    <w:p w14:paraId="57CFA93E">
      <w:pPr>
        <w:pStyle w:val="17"/>
        <w:tabs>
          <w:tab w:val="right" w:leader="dot" w:pos="9368"/>
        </w:tabs>
        <w:spacing w:before="60" w:after="60"/>
        <w:ind w:left="210"/>
      </w:pPr>
      <w:r>
        <w:fldChar w:fldCharType="begin"/>
      </w:r>
      <w:r>
        <w:instrText xml:space="preserve"> HYPERLINK \l "_Toc4056" </w:instrText>
      </w:r>
      <w:r>
        <w:fldChar w:fldCharType="separate"/>
      </w:r>
      <w:r>
        <w:rPr>
          <w:rFonts w:hint="eastAsia" w:ascii="黑体" w:eastAsia="黑体"/>
          <w:kern w:val="0"/>
          <w:szCs w:val="21"/>
        </w:rPr>
        <w:t xml:space="preserve">8.5 </w:t>
      </w:r>
      <w:r>
        <w:rPr>
          <w:rFonts w:hint="eastAsia"/>
        </w:rPr>
        <w:t>腐蚀监测与检测</w:t>
      </w:r>
      <w:r>
        <w:tab/>
      </w:r>
      <w:r>
        <w:fldChar w:fldCharType="begin"/>
      </w:r>
      <w:r>
        <w:instrText xml:space="preserve"> PAGEREF _Toc4056 \h </w:instrText>
      </w:r>
      <w:r>
        <w:fldChar w:fldCharType="separate"/>
      </w:r>
      <w:r>
        <w:t>10</w:t>
      </w:r>
      <w:r>
        <w:fldChar w:fldCharType="end"/>
      </w:r>
      <w:r>
        <w:fldChar w:fldCharType="end"/>
      </w:r>
    </w:p>
    <w:p w14:paraId="021F9EEC">
      <w:pPr>
        <w:pStyle w:val="18"/>
        <w:tabs>
          <w:tab w:val="right" w:leader="dot" w:pos="9368"/>
        </w:tabs>
        <w:spacing w:before="60" w:after="60"/>
      </w:pPr>
      <w:r>
        <w:fldChar w:fldCharType="begin"/>
      </w:r>
      <w:r>
        <w:instrText xml:space="preserve"> HYPERLINK \l "_Toc14432" </w:instrText>
      </w:r>
      <w:r>
        <w:fldChar w:fldCharType="separate"/>
      </w:r>
      <w:r>
        <w:rPr>
          <w:rFonts w:hint="eastAsia" w:ascii="黑体" w:eastAsia="黑体"/>
          <w:szCs w:val="21"/>
        </w:rPr>
        <w:t xml:space="preserve">9 </w:t>
      </w:r>
      <w:r>
        <w:rPr>
          <w:rFonts w:hint="eastAsia"/>
        </w:rPr>
        <w:t>钻修井系统</w:t>
      </w:r>
      <w:r>
        <w:tab/>
      </w:r>
      <w:r>
        <w:fldChar w:fldCharType="begin"/>
      </w:r>
      <w:r>
        <w:instrText xml:space="preserve"> PAGEREF _Toc14432 \h </w:instrText>
      </w:r>
      <w:r>
        <w:fldChar w:fldCharType="separate"/>
      </w:r>
      <w:r>
        <w:t>10</w:t>
      </w:r>
      <w:r>
        <w:fldChar w:fldCharType="end"/>
      </w:r>
      <w:r>
        <w:fldChar w:fldCharType="end"/>
      </w:r>
    </w:p>
    <w:p w14:paraId="7CB603AC">
      <w:pPr>
        <w:pStyle w:val="17"/>
        <w:tabs>
          <w:tab w:val="right" w:leader="dot" w:pos="9368"/>
        </w:tabs>
        <w:spacing w:before="60" w:after="60"/>
        <w:ind w:left="210"/>
      </w:pPr>
      <w:r>
        <w:fldChar w:fldCharType="begin"/>
      </w:r>
      <w:r>
        <w:instrText xml:space="preserve"> HYPERLINK \l "_Toc15339" </w:instrText>
      </w:r>
      <w:r>
        <w:fldChar w:fldCharType="separate"/>
      </w:r>
      <w:r>
        <w:rPr>
          <w:rFonts w:hint="eastAsia" w:ascii="黑体" w:eastAsia="黑体"/>
          <w:kern w:val="0"/>
          <w:szCs w:val="21"/>
        </w:rPr>
        <w:t xml:space="preserve">9.1 </w:t>
      </w:r>
      <w:r>
        <w:rPr>
          <w:rFonts w:hint="eastAsia"/>
        </w:rPr>
        <w:t>一般规定</w:t>
      </w:r>
      <w:r>
        <w:tab/>
      </w:r>
      <w:r>
        <w:fldChar w:fldCharType="begin"/>
      </w:r>
      <w:r>
        <w:instrText xml:space="preserve"> PAGEREF _Toc15339 \h </w:instrText>
      </w:r>
      <w:r>
        <w:fldChar w:fldCharType="separate"/>
      </w:r>
      <w:r>
        <w:t>10</w:t>
      </w:r>
      <w:r>
        <w:fldChar w:fldCharType="end"/>
      </w:r>
      <w:r>
        <w:fldChar w:fldCharType="end"/>
      </w:r>
    </w:p>
    <w:p w14:paraId="26A21738">
      <w:pPr>
        <w:pStyle w:val="17"/>
        <w:tabs>
          <w:tab w:val="right" w:leader="dot" w:pos="9368"/>
        </w:tabs>
        <w:spacing w:before="60" w:after="60"/>
        <w:ind w:left="210"/>
      </w:pPr>
      <w:r>
        <w:fldChar w:fldCharType="begin"/>
      </w:r>
      <w:r>
        <w:instrText xml:space="preserve"> HYPERLINK \l "_Toc11537" </w:instrText>
      </w:r>
      <w:r>
        <w:fldChar w:fldCharType="separate"/>
      </w:r>
      <w:r>
        <w:rPr>
          <w:rFonts w:hint="eastAsia" w:ascii="黑体" w:eastAsia="黑体"/>
          <w:kern w:val="0"/>
          <w:szCs w:val="21"/>
        </w:rPr>
        <w:t xml:space="preserve">9.2 </w:t>
      </w:r>
      <w:r>
        <w:rPr>
          <w:rFonts w:hint="eastAsia"/>
        </w:rPr>
        <w:t>提升设备与钻台面</w:t>
      </w:r>
      <w:r>
        <w:tab/>
      </w:r>
      <w:r>
        <w:fldChar w:fldCharType="begin"/>
      </w:r>
      <w:r>
        <w:instrText xml:space="preserve"> PAGEREF _Toc11537 \h </w:instrText>
      </w:r>
      <w:r>
        <w:fldChar w:fldCharType="separate"/>
      </w:r>
      <w:r>
        <w:t>10</w:t>
      </w:r>
      <w:r>
        <w:fldChar w:fldCharType="end"/>
      </w:r>
      <w:r>
        <w:fldChar w:fldCharType="end"/>
      </w:r>
    </w:p>
    <w:p w14:paraId="7BAD4E36">
      <w:pPr>
        <w:pStyle w:val="17"/>
        <w:tabs>
          <w:tab w:val="right" w:leader="dot" w:pos="9368"/>
        </w:tabs>
        <w:spacing w:before="60" w:after="60"/>
        <w:ind w:left="210"/>
      </w:pPr>
      <w:r>
        <w:fldChar w:fldCharType="begin"/>
      </w:r>
      <w:r>
        <w:instrText xml:space="preserve"> HYPERLINK \l "_Toc19644" </w:instrText>
      </w:r>
      <w:r>
        <w:fldChar w:fldCharType="separate"/>
      </w:r>
      <w:r>
        <w:rPr>
          <w:rFonts w:hint="eastAsia" w:ascii="黑体" w:eastAsia="黑体"/>
          <w:kern w:val="0"/>
          <w:szCs w:val="21"/>
        </w:rPr>
        <w:t xml:space="preserve">9.3 </w:t>
      </w:r>
      <w:r>
        <w:rPr>
          <w:rFonts w:hint="eastAsia"/>
        </w:rPr>
        <w:t>井控系统</w:t>
      </w:r>
      <w:r>
        <w:tab/>
      </w:r>
      <w:r>
        <w:fldChar w:fldCharType="begin"/>
      </w:r>
      <w:r>
        <w:instrText xml:space="preserve"> PAGEREF _Toc19644 \h </w:instrText>
      </w:r>
      <w:r>
        <w:fldChar w:fldCharType="separate"/>
      </w:r>
      <w:r>
        <w:t>11</w:t>
      </w:r>
      <w:r>
        <w:fldChar w:fldCharType="end"/>
      </w:r>
      <w:r>
        <w:fldChar w:fldCharType="end"/>
      </w:r>
    </w:p>
    <w:p w14:paraId="73FCB21D">
      <w:pPr>
        <w:pStyle w:val="17"/>
        <w:tabs>
          <w:tab w:val="right" w:leader="dot" w:pos="9368"/>
        </w:tabs>
        <w:spacing w:before="60" w:after="60"/>
        <w:ind w:left="210"/>
      </w:pPr>
      <w:r>
        <w:fldChar w:fldCharType="begin"/>
      </w:r>
      <w:r>
        <w:instrText xml:space="preserve"> HYPERLINK \l "_Toc8472" </w:instrText>
      </w:r>
      <w:r>
        <w:fldChar w:fldCharType="separate"/>
      </w:r>
      <w:r>
        <w:rPr>
          <w:rFonts w:hint="eastAsia" w:ascii="黑体" w:eastAsia="黑体"/>
          <w:kern w:val="0"/>
          <w:szCs w:val="21"/>
        </w:rPr>
        <w:t xml:space="preserve">9.4 </w:t>
      </w:r>
      <w:r>
        <w:rPr>
          <w:rFonts w:hint="eastAsia"/>
        </w:rPr>
        <w:t>动力系统</w:t>
      </w:r>
      <w:r>
        <w:tab/>
      </w:r>
      <w:r>
        <w:fldChar w:fldCharType="begin"/>
      </w:r>
      <w:r>
        <w:instrText xml:space="preserve"> PAGEREF _Toc8472 \h </w:instrText>
      </w:r>
      <w:r>
        <w:fldChar w:fldCharType="separate"/>
      </w:r>
      <w:r>
        <w:t>12</w:t>
      </w:r>
      <w:r>
        <w:fldChar w:fldCharType="end"/>
      </w:r>
      <w:r>
        <w:fldChar w:fldCharType="end"/>
      </w:r>
    </w:p>
    <w:p w14:paraId="2D73FBD5">
      <w:pPr>
        <w:pStyle w:val="17"/>
        <w:tabs>
          <w:tab w:val="right" w:leader="dot" w:pos="9368"/>
        </w:tabs>
        <w:spacing w:before="60" w:after="60"/>
        <w:ind w:left="210"/>
      </w:pPr>
      <w:r>
        <w:fldChar w:fldCharType="begin"/>
      </w:r>
      <w:r>
        <w:instrText xml:space="preserve"> HYPERLINK \l "_Toc9180" </w:instrText>
      </w:r>
      <w:r>
        <w:fldChar w:fldCharType="separate"/>
      </w:r>
      <w:r>
        <w:rPr>
          <w:rFonts w:hint="eastAsia" w:ascii="黑体" w:eastAsia="黑体"/>
          <w:kern w:val="0"/>
          <w:szCs w:val="21"/>
        </w:rPr>
        <w:t xml:space="preserve">9.5 </w:t>
      </w:r>
      <w:r>
        <w:rPr>
          <w:rFonts w:hint="eastAsia"/>
        </w:rPr>
        <w:t>有毒有害气体、可燃气体监测及防控</w:t>
      </w:r>
      <w:r>
        <w:tab/>
      </w:r>
      <w:r>
        <w:fldChar w:fldCharType="begin"/>
      </w:r>
      <w:r>
        <w:instrText xml:space="preserve"> PAGEREF _Toc9180 \h </w:instrText>
      </w:r>
      <w:r>
        <w:fldChar w:fldCharType="separate"/>
      </w:r>
      <w:r>
        <w:t>12</w:t>
      </w:r>
      <w:r>
        <w:fldChar w:fldCharType="end"/>
      </w:r>
      <w:r>
        <w:fldChar w:fldCharType="end"/>
      </w:r>
    </w:p>
    <w:p w14:paraId="43C5B079">
      <w:pPr>
        <w:pStyle w:val="17"/>
        <w:tabs>
          <w:tab w:val="right" w:leader="dot" w:pos="9368"/>
        </w:tabs>
        <w:spacing w:before="60" w:after="60"/>
        <w:ind w:left="210"/>
      </w:pPr>
      <w:r>
        <w:fldChar w:fldCharType="begin"/>
      </w:r>
      <w:r>
        <w:instrText xml:space="preserve"> HYPERLINK \l "_Toc3643" </w:instrText>
      </w:r>
      <w:r>
        <w:fldChar w:fldCharType="separate"/>
      </w:r>
      <w:r>
        <w:rPr>
          <w:rFonts w:hint="eastAsia" w:ascii="黑体" w:eastAsia="黑体"/>
          <w:kern w:val="0"/>
          <w:szCs w:val="21"/>
        </w:rPr>
        <w:t xml:space="preserve">9.6 </w:t>
      </w:r>
      <w:r>
        <w:rPr>
          <w:rFonts w:hint="eastAsia"/>
        </w:rPr>
        <w:t>其它主要系统</w:t>
      </w:r>
      <w:r>
        <w:tab/>
      </w:r>
      <w:r>
        <w:fldChar w:fldCharType="begin"/>
      </w:r>
      <w:r>
        <w:instrText xml:space="preserve"> PAGEREF _Toc3643 \h </w:instrText>
      </w:r>
      <w:r>
        <w:fldChar w:fldCharType="separate"/>
      </w:r>
      <w:r>
        <w:t>12</w:t>
      </w:r>
      <w:r>
        <w:fldChar w:fldCharType="end"/>
      </w:r>
      <w:r>
        <w:fldChar w:fldCharType="end"/>
      </w:r>
    </w:p>
    <w:p w14:paraId="0FF6F6E7">
      <w:pPr>
        <w:pStyle w:val="18"/>
        <w:tabs>
          <w:tab w:val="right" w:leader="dot" w:pos="9368"/>
        </w:tabs>
        <w:spacing w:before="60" w:after="60"/>
      </w:pPr>
      <w:r>
        <w:fldChar w:fldCharType="begin"/>
      </w:r>
      <w:r>
        <w:instrText xml:space="preserve"> HYPERLINK \l "_Toc24714" </w:instrText>
      </w:r>
      <w:r>
        <w:fldChar w:fldCharType="separate"/>
      </w:r>
      <w:r>
        <w:rPr>
          <w:rFonts w:hint="eastAsia" w:ascii="黑体" w:eastAsia="黑体"/>
          <w:szCs w:val="21"/>
        </w:rPr>
        <w:t xml:space="preserve">10 </w:t>
      </w:r>
      <w:r>
        <w:rPr>
          <w:rFonts w:hint="eastAsia"/>
        </w:rPr>
        <w:t>油气生产工艺系统</w:t>
      </w:r>
      <w:r>
        <w:tab/>
      </w:r>
      <w:r>
        <w:fldChar w:fldCharType="begin"/>
      </w:r>
      <w:r>
        <w:instrText xml:space="preserve"> PAGEREF _Toc24714 \h </w:instrText>
      </w:r>
      <w:r>
        <w:fldChar w:fldCharType="separate"/>
      </w:r>
      <w:r>
        <w:t>10</w:t>
      </w:r>
      <w:r>
        <w:fldChar w:fldCharType="end"/>
      </w:r>
      <w:r>
        <w:fldChar w:fldCharType="end"/>
      </w:r>
    </w:p>
    <w:p w14:paraId="6FC5379C">
      <w:pPr>
        <w:pStyle w:val="17"/>
        <w:tabs>
          <w:tab w:val="right" w:leader="dot" w:pos="9368"/>
        </w:tabs>
        <w:spacing w:before="60" w:after="60"/>
        <w:ind w:left="210"/>
      </w:pPr>
      <w:r>
        <w:fldChar w:fldCharType="begin"/>
      </w:r>
      <w:r>
        <w:instrText xml:space="preserve"> HYPERLINK \l "_Toc30284" </w:instrText>
      </w:r>
      <w:r>
        <w:fldChar w:fldCharType="separate"/>
      </w:r>
      <w:r>
        <w:rPr>
          <w:rFonts w:hint="eastAsia" w:ascii="黑体" w:eastAsia="黑体"/>
          <w:kern w:val="0"/>
          <w:szCs w:val="21"/>
        </w:rPr>
        <w:t xml:space="preserve">10.1 </w:t>
      </w:r>
      <w:r>
        <w:rPr>
          <w:rFonts w:hint="eastAsia"/>
        </w:rPr>
        <w:t>一般规定</w:t>
      </w:r>
      <w:r>
        <w:tab/>
      </w:r>
      <w:r>
        <w:fldChar w:fldCharType="begin"/>
      </w:r>
      <w:r>
        <w:instrText xml:space="preserve"> PAGEREF _Toc30284 \h </w:instrText>
      </w:r>
      <w:r>
        <w:fldChar w:fldCharType="separate"/>
      </w:r>
      <w:r>
        <w:t>13</w:t>
      </w:r>
      <w:r>
        <w:fldChar w:fldCharType="end"/>
      </w:r>
      <w:r>
        <w:fldChar w:fldCharType="end"/>
      </w:r>
    </w:p>
    <w:p w14:paraId="2F14F65B">
      <w:pPr>
        <w:pStyle w:val="17"/>
        <w:tabs>
          <w:tab w:val="right" w:leader="dot" w:pos="9368"/>
        </w:tabs>
        <w:spacing w:before="60" w:after="60"/>
        <w:ind w:left="210"/>
      </w:pPr>
      <w:r>
        <w:fldChar w:fldCharType="begin"/>
      </w:r>
      <w:r>
        <w:instrText xml:space="preserve"> HYPERLINK \l "_Toc2946" </w:instrText>
      </w:r>
      <w:r>
        <w:fldChar w:fldCharType="separate"/>
      </w:r>
      <w:r>
        <w:rPr>
          <w:rFonts w:hint="eastAsia" w:ascii="黑体" w:eastAsia="黑体"/>
          <w:kern w:val="0"/>
          <w:szCs w:val="21"/>
        </w:rPr>
        <w:t xml:space="preserve">10.2 </w:t>
      </w:r>
      <w:r>
        <w:rPr>
          <w:rFonts w:hint="eastAsia"/>
        </w:rPr>
        <w:t>工艺设备及设施安全保护</w:t>
      </w:r>
      <w:r>
        <w:tab/>
      </w:r>
      <w:r>
        <w:fldChar w:fldCharType="begin"/>
      </w:r>
      <w:r>
        <w:instrText xml:space="preserve"> PAGEREF _Toc2946 \h </w:instrText>
      </w:r>
      <w:r>
        <w:fldChar w:fldCharType="separate"/>
      </w:r>
      <w:r>
        <w:t>13</w:t>
      </w:r>
      <w:r>
        <w:fldChar w:fldCharType="end"/>
      </w:r>
      <w:r>
        <w:fldChar w:fldCharType="end"/>
      </w:r>
    </w:p>
    <w:p w14:paraId="097BDB2A">
      <w:pPr>
        <w:pStyle w:val="17"/>
        <w:tabs>
          <w:tab w:val="right" w:leader="dot" w:pos="9368"/>
        </w:tabs>
        <w:spacing w:before="60" w:after="60"/>
        <w:ind w:left="210"/>
      </w:pPr>
      <w:r>
        <w:fldChar w:fldCharType="begin"/>
      </w:r>
      <w:r>
        <w:instrText xml:space="preserve"> HYPERLINK \l "_Toc16685" </w:instrText>
      </w:r>
      <w:r>
        <w:fldChar w:fldCharType="separate"/>
      </w:r>
      <w:r>
        <w:rPr>
          <w:rFonts w:hint="eastAsia" w:ascii="黑体" w:eastAsia="黑体"/>
          <w:kern w:val="0"/>
          <w:szCs w:val="21"/>
        </w:rPr>
        <w:t xml:space="preserve">10.3 </w:t>
      </w:r>
      <w:r>
        <w:rPr>
          <w:rFonts w:hint="eastAsia"/>
        </w:rPr>
        <w:t>其他安全保护</w:t>
      </w:r>
      <w:r>
        <w:tab/>
      </w:r>
      <w:r>
        <w:fldChar w:fldCharType="begin"/>
      </w:r>
      <w:r>
        <w:instrText xml:space="preserve"> PAGEREF _Toc16685 \h </w:instrText>
      </w:r>
      <w:r>
        <w:fldChar w:fldCharType="separate"/>
      </w:r>
      <w:r>
        <w:t>20</w:t>
      </w:r>
      <w:r>
        <w:fldChar w:fldCharType="end"/>
      </w:r>
      <w:r>
        <w:fldChar w:fldCharType="end"/>
      </w:r>
    </w:p>
    <w:p w14:paraId="41B04D5F">
      <w:pPr>
        <w:pStyle w:val="17"/>
        <w:tabs>
          <w:tab w:val="right" w:leader="dot" w:pos="9368"/>
        </w:tabs>
        <w:spacing w:before="60" w:after="60"/>
        <w:ind w:left="210"/>
      </w:pPr>
      <w:r>
        <w:fldChar w:fldCharType="begin"/>
      </w:r>
      <w:r>
        <w:instrText xml:space="preserve"> HYPERLINK \l "_Toc27386" </w:instrText>
      </w:r>
      <w:r>
        <w:fldChar w:fldCharType="separate"/>
      </w:r>
      <w:r>
        <w:rPr>
          <w:rFonts w:hint="eastAsia" w:ascii="黑体" w:eastAsia="黑体"/>
          <w:kern w:val="0"/>
          <w:szCs w:val="21"/>
        </w:rPr>
        <w:t xml:space="preserve">10.4 </w:t>
      </w:r>
      <w:r>
        <w:rPr>
          <w:rFonts w:hint="eastAsia"/>
        </w:rPr>
        <w:t>工艺安全分析</w:t>
      </w:r>
      <w:r>
        <w:tab/>
      </w:r>
      <w:r>
        <w:fldChar w:fldCharType="begin"/>
      </w:r>
      <w:r>
        <w:instrText xml:space="preserve"> PAGEREF _Toc27386 \h </w:instrText>
      </w:r>
      <w:r>
        <w:fldChar w:fldCharType="separate"/>
      </w:r>
      <w:r>
        <w:t>22</w:t>
      </w:r>
      <w:r>
        <w:fldChar w:fldCharType="end"/>
      </w:r>
      <w:r>
        <w:fldChar w:fldCharType="end"/>
      </w:r>
    </w:p>
    <w:p w14:paraId="788AB9B0">
      <w:pPr>
        <w:pStyle w:val="17"/>
        <w:tabs>
          <w:tab w:val="right" w:leader="dot" w:pos="9368"/>
        </w:tabs>
        <w:spacing w:before="60" w:after="60"/>
        <w:ind w:left="210"/>
      </w:pPr>
      <w:r>
        <w:fldChar w:fldCharType="begin"/>
      </w:r>
      <w:r>
        <w:instrText xml:space="preserve"> HYPERLINK \l "_Toc19734" </w:instrText>
      </w:r>
      <w:r>
        <w:fldChar w:fldCharType="separate"/>
      </w:r>
      <w:r>
        <w:rPr>
          <w:rFonts w:hint="eastAsia" w:ascii="黑体" w:eastAsia="黑体"/>
          <w:kern w:val="0"/>
          <w:szCs w:val="21"/>
        </w:rPr>
        <w:t xml:space="preserve">10.5 </w:t>
      </w:r>
      <w:r>
        <w:rPr>
          <w:rFonts w:hint="eastAsia"/>
        </w:rPr>
        <w:t>保温及伴热</w:t>
      </w:r>
      <w:r>
        <w:tab/>
      </w:r>
      <w:r>
        <w:fldChar w:fldCharType="begin"/>
      </w:r>
      <w:r>
        <w:instrText xml:space="preserve"> PAGEREF _Toc19734 \h </w:instrText>
      </w:r>
      <w:r>
        <w:fldChar w:fldCharType="separate"/>
      </w:r>
      <w:r>
        <w:t>22</w:t>
      </w:r>
      <w:r>
        <w:fldChar w:fldCharType="end"/>
      </w:r>
      <w:r>
        <w:fldChar w:fldCharType="end"/>
      </w:r>
    </w:p>
    <w:p w14:paraId="091C1BFA">
      <w:pPr>
        <w:pStyle w:val="17"/>
        <w:tabs>
          <w:tab w:val="right" w:leader="dot" w:pos="9368"/>
        </w:tabs>
        <w:spacing w:before="60" w:after="60"/>
        <w:ind w:left="210"/>
      </w:pPr>
      <w:r>
        <w:fldChar w:fldCharType="begin"/>
      </w:r>
      <w:r>
        <w:instrText xml:space="preserve"> HYPERLINK \l "_Toc2153" </w:instrText>
      </w:r>
      <w:r>
        <w:fldChar w:fldCharType="separate"/>
      </w:r>
      <w:r>
        <w:rPr>
          <w:rFonts w:hint="eastAsia" w:ascii="黑体" w:eastAsia="黑体"/>
          <w:kern w:val="0"/>
          <w:szCs w:val="21"/>
        </w:rPr>
        <w:t xml:space="preserve">10.6 </w:t>
      </w:r>
      <w:r>
        <w:rPr>
          <w:rFonts w:hint="eastAsia"/>
        </w:rPr>
        <w:t>保冷及防冻</w:t>
      </w:r>
      <w:r>
        <w:tab/>
      </w:r>
      <w:r>
        <w:fldChar w:fldCharType="begin"/>
      </w:r>
      <w:r>
        <w:instrText xml:space="preserve"> PAGEREF _Toc2153 \h </w:instrText>
      </w:r>
      <w:r>
        <w:fldChar w:fldCharType="separate"/>
      </w:r>
      <w:r>
        <w:t>22</w:t>
      </w:r>
      <w:r>
        <w:fldChar w:fldCharType="end"/>
      </w:r>
      <w:r>
        <w:fldChar w:fldCharType="end"/>
      </w:r>
    </w:p>
    <w:p w14:paraId="401DEE4C">
      <w:pPr>
        <w:pStyle w:val="18"/>
        <w:tabs>
          <w:tab w:val="right" w:leader="dot" w:pos="9368"/>
        </w:tabs>
        <w:spacing w:before="60" w:after="60"/>
      </w:pPr>
      <w:r>
        <w:fldChar w:fldCharType="begin"/>
      </w:r>
      <w:r>
        <w:instrText xml:space="preserve"> HYPERLINK \l "_Toc28901" </w:instrText>
      </w:r>
      <w:r>
        <w:fldChar w:fldCharType="separate"/>
      </w:r>
      <w:r>
        <w:rPr>
          <w:rFonts w:hint="eastAsia" w:ascii="黑体" w:eastAsia="黑体"/>
          <w:szCs w:val="21"/>
        </w:rPr>
        <w:t xml:space="preserve">11 </w:t>
      </w:r>
      <w:r>
        <w:rPr>
          <w:rFonts w:hint="eastAsia"/>
        </w:rPr>
        <w:t>工艺管道</w:t>
      </w:r>
      <w:r>
        <w:tab/>
      </w:r>
      <w:r>
        <w:fldChar w:fldCharType="begin"/>
      </w:r>
      <w:r>
        <w:instrText xml:space="preserve"> PAGEREF _Toc28901 \h </w:instrText>
      </w:r>
      <w:r>
        <w:fldChar w:fldCharType="separate"/>
      </w:r>
      <w:r>
        <w:t>22</w:t>
      </w:r>
      <w:r>
        <w:fldChar w:fldCharType="end"/>
      </w:r>
      <w:r>
        <w:fldChar w:fldCharType="end"/>
      </w:r>
    </w:p>
    <w:p w14:paraId="689E16E6">
      <w:pPr>
        <w:pStyle w:val="17"/>
        <w:tabs>
          <w:tab w:val="right" w:leader="dot" w:pos="9368"/>
        </w:tabs>
        <w:spacing w:before="60" w:after="60"/>
        <w:ind w:left="210"/>
      </w:pPr>
      <w:r>
        <w:fldChar w:fldCharType="begin"/>
      </w:r>
      <w:r>
        <w:instrText xml:space="preserve"> HYPERLINK \l "_Toc27075" </w:instrText>
      </w:r>
      <w:r>
        <w:fldChar w:fldCharType="separate"/>
      </w:r>
      <w:r>
        <w:rPr>
          <w:rFonts w:hint="eastAsia" w:ascii="黑体" w:eastAsia="黑体"/>
          <w:kern w:val="0"/>
          <w:szCs w:val="21"/>
        </w:rPr>
        <w:t xml:space="preserve">11.1 </w:t>
      </w:r>
      <w:r>
        <w:rPr>
          <w:rFonts w:hint="eastAsia"/>
        </w:rPr>
        <w:t>一般规定</w:t>
      </w:r>
      <w:r>
        <w:tab/>
      </w:r>
      <w:r>
        <w:fldChar w:fldCharType="begin"/>
      </w:r>
      <w:r>
        <w:instrText xml:space="preserve"> PAGEREF _Toc27075 \h </w:instrText>
      </w:r>
      <w:r>
        <w:fldChar w:fldCharType="separate"/>
      </w:r>
      <w:r>
        <w:t>22</w:t>
      </w:r>
      <w:r>
        <w:fldChar w:fldCharType="end"/>
      </w:r>
      <w:r>
        <w:fldChar w:fldCharType="end"/>
      </w:r>
    </w:p>
    <w:p w14:paraId="7EFD99FC">
      <w:pPr>
        <w:pStyle w:val="17"/>
        <w:tabs>
          <w:tab w:val="right" w:leader="dot" w:pos="9368"/>
        </w:tabs>
        <w:spacing w:before="60" w:after="60"/>
        <w:ind w:left="210"/>
      </w:pPr>
      <w:r>
        <w:fldChar w:fldCharType="begin"/>
      </w:r>
      <w:r>
        <w:instrText xml:space="preserve"> HYPERLINK \l "_Toc8996" </w:instrText>
      </w:r>
      <w:r>
        <w:fldChar w:fldCharType="separate"/>
      </w:r>
      <w:r>
        <w:rPr>
          <w:rFonts w:hint="eastAsia" w:ascii="黑体" w:eastAsia="黑体"/>
          <w:kern w:val="0"/>
          <w:szCs w:val="21"/>
        </w:rPr>
        <w:t xml:space="preserve">11.2 </w:t>
      </w:r>
      <w:r>
        <w:rPr>
          <w:rFonts w:hint="eastAsia"/>
        </w:rPr>
        <w:t>管道布置</w:t>
      </w:r>
      <w:r>
        <w:tab/>
      </w:r>
      <w:r>
        <w:fldChar w:fldCharType="begin"/>
      </w:r>
      <w:r>
        <w:instrText xml:space="preserve"> PAGEREF _Toc8996 \h </w:instrText>
      </w:r>
      <w:r>
        <w:fldChar w:fldCharType="separate"/>
      </w:r>
      <w:r>
        <w:t>22</w:t>
      </w:r>
      <w:r>
        <w:fldChar w:fldCharType="end"/>
      </w:r>
      <w:r>
        <w:fldChar w:fldCharType="end"/>
      </w:r>
    </w:p>
    <w:p w14:paraId="565224E7">
      <w:pPr>
        <w:pStyle w:val="17"/>
        <w:tabs>
          <w:tab w:val="right" w:leader="dot" w:pos="9368"/>
        </w:tabs>
        <w:spacing w:before="60" w:after="60"/>
        <w:ind w:left="210"/>
      </w:pPr>
      <w:r>
        <w:fldChar w:fldCharType="begin"/>
      </w:r>
      <w:r>
        <w:instrText xml:space="preserve"> HYPERLINK \l "_Toc6723" </w:instrText>
      </w:r>
      <w:r>
        <w:fldChar w:fldCharType="separate"/>
      </w:r>
      <w:r>
        <w:rPr>
          <w:rFonts w:hint="eastAsia" w:ascii="黑体" w:eastAsia="黑体"/>
          <w:kern w:val="0"/>
          <w:szCs w:val="21"/>
        </w:rPr>
        <w:t xml:space="preserve">11.3 </w:t>
      </w:r>
      <w:r>
        <w:rPr>
          <w:rFonts w:hint="eastAsia"/>
        </w:rPr>
        <w:t>管道设计</w:t>
      </w:r>
      <w:r>
        <w:tab/>
      </w:r>
      <w:r>
        <w:fldChar w:fldCharType="begin"/>
      </w:r>
      <w:r>
        <w:instrText xml:space="preserve"> PAGEREF _Toc6723 \h </w:instrText>
      </w:r>
      <w:r>
        <w:fldChar w:fldCharType="separate"/>
      </w:r>
      <w:r>
        <w:t>23</w:t>
      </w:r>
      <w:r>
        <w:fldChar w:fldCharType="end"/>
      </w:r>
      <w:r>
        <w:fldChar w:fldCharType="end"/>
      </w:r>
    </w:p>
    <w:p w14:paraId="6C72287E">
      <w:pPr>
        <w:pStyle w:val="17"/>
        <w:tabs>
          <w:tab w:val="right" w:leader="dot" w:pos="9368"/>
        </w:tabs>
        <w:spacing w:before="60" w:after="60"/>
        <w:ind w:left="210"/>
      </w:pPr>
      <w:r>
        <w:fldChar w:fldCharType="begin"/>
      </w:r>
      <w:r>
        <w:instrText xml:space="preserve"> HYPERLINK \l "_Toc23951" </w:instrText>
      </w:r>
      <w:r>
        <w:fldChar w:fldCharType="separate"/>
      </w:r>
      <w:r>
        <w:rPr>
          <w:rFonts w:hint="eastAsia" w:ascii="黑体" w:eastAsia="黑体"/>
          <w:kern w:val="0"/>
          <w:szCs w:val="21"/>
        </w:rPr>
        <w:t xml:space="preserve">11.4 </w:t>
      </w:r>
      <w:r>
        <w:rPr>
          <w:rFonts w:hint="eastAsia"/>
        </w:rPr>
        <w:t>管道安装</w:t>
      </w:r>
      <w:r>
        <w:tab/>
      </w:r>
      <w:r>
        <w:fldChar w:fldCharType="begin"/>
      </w:r>
      <w:r>
        <w:instrText xml:space="preserve"> PAGEREF _Toc23951 \h </w:instrText>
      </w:r>
      <w:r>
        <w:fldChar w:fldCharType="separate"/>
      </w:r>
      <w:r>
        <w:t>23</w:t>
      </w:r>
      <w:r>
        <w:fldChar w:fldCharType="end"/>
      </w:r>
      <w:r>
        <w:fldChar w:fldCharType="end"/>
      </w:r>
    </w:p>
    <w:p w14:paraId="33CE36EF">
      <w:pPr>
        <w:pStyle w:val="17"/>
        <w:tabs>
          <w:tab w:val="right" w:leader="dot" w:pos="9368"/>
        </w:tabs>
        <w:spacing w:before="60" w:after="60"/>
        <w:ind w:left="210"/>
      </w:pPr>
      <w:r>
        <w:fldChar w:fldCharType="begin"/>
      </w:r>
      <w:r>
        <w:instrText xml:space="preserve"> HYPERLINK \l "_Toc8796" </w:instrText>
      </w:r>
      <w:r>
        <w:fldChar w:fldCharType="separate"/>
      </w:r>
      <w:r>
        <w:rPr>
          <w:rFonts w:hint="eastAsia" w:ascii="黑体" w:eastAsia="黑体"/>
          <w:kern w:val="0"/>
          <w:szCs w:val="21"/>
        </w:rPr>
        <w:t xml:space="preserve">11.5 </w:t>
      </w:r>
      <w:r>
        <w:rPr>
          <w:rFonts w:hint="eastAsia"/>
        </w:rPr>
        <w:t>隔热与伴热</w:t>
      </w:r>
      <w:r>
        <w:tab/>
      </w:r>
      <w:r>
        <w:fldChar w:fldCharType="begin"/>
      </w:r>
      <w:r>
        <w:instrText xml:space="preserve"> PAGEREF _Toc8796 \h </w:instrText>
      </w:r>
      <w:r>
        <w:fldChar w:fldCharType="separate"/>
      </w:r>
      <w:r>
        <w:t>23</w:t>
      </w:r>
      <w:r>
        <w:fldChar w:fldCharType="end"/>
      </w:r>
      <w:r>
        <w:fldChar w:fldCharType="end"/>
      </w:r>
    </w:p>
    <w:p w14:paraId="6270A564">
      <w:pPr>
        <w:pStyle w:val="17"/>
        <w:tabs>
          <w:tab w:val="right" w:leader="dot" w:pos="9368"/>
        </w:tabs>
        <w:spacing w:before="60" w:after="60"/>
        <w:ind w:left="210"/>
      </w:pPr>
      <w:r>
        <w:fldChar w:fldCharType="begin"/>
      </w:r>
      <w:r>
        <w:instrText xml:space="preserve"> HYPERLINK \l "_Toc19925" </w:instrText>
      </w:r>
      <w:r>
        <w:fldChar w:fldCharType="separate"/>
      </w:r>
      <w:r>
        <w:rPr>
          <w:rFonts w:hint="eastAsia" w:ascii="黑体" w:eastAsia="黑体"/>
          <w:kern w:val="0"/>
          <w:szCs w:val="21"/>
        </w:rPr>
        <w:t xml:space="preserve">11.6 </w:t>
      </w:r>
      <w:r>
        <w:rPr>
          <w:rFonts w:hint="eastAsia"/>
        </w:rPr>
        <w:t>安全装置和标识</w:t>
      </w:r>
      <w:r>
        <w:tab/>
      </w:r>
      <w:r>
        <w:fldChar w:fldCharType="begin"/>
      </w:r>
      <w:r>
        <w:instrText xml:space="preserve"> PAGEREF _Toc19925 \h </w:instrText>
      </w:r>
      <w:r>
        <w:fldChar w:fldCharType="separate"/>
      </w:r>
      <w:r>
        <w:t>23</w:t>
      </w:r>
      <w:r>
        <w:fldChar w:fldCharType="end"/>
      </w:r>
      <w:r>
        <w:fldChar w:fldCharType="end"/>
      </w:r>
    </w:p>
    <w:p w14:paraId="37C4BDDB">
      <w:pPr>
        <w:pStyle w:val="18"/>
        <w:tabs>
          <w:tab w:val="right" w:leader="dot" w:pos="9368"/>
        </w:tabs>
        <w:spacing w:before="60" w:after="60"/>
      </w:pPr>
      <w:r>
        <w:fldChar w:fldCharType="begin"/>
      </w:r>
      <w:r>
        <w:instrText xml:space="preserve"> HYPERLINK \l "_Toc11265" </w:instrText>
      </w:r>
      <w:r>
        <w:fldChar w:fldCharType="separate"/>
      </w:r>
      <w:r>
        <w:rPr>
          <w:rFonts w:hint="eastAsia" w:ascii="黑体" w:eastAsia="黑体"/>
          <w:szCs w:val="21"/>
        </w:rPr>
        <w:t xml:space="preserve">12 </w:t>
      </w:r>
      <w:r>
        <w:rPr>
          <w:rFonts w:hint="eastAsia" w:ascii="Times New Roman"/>
        </w:rPr>
        <w:t>机</w:t>
      </w:r>
      <w:r>
        <w:rPr>
          <w:rFonts w:ascii="Times New Roman"/>
        </w:rPr>
        <w:t>械设备及管系</w:t>
      </w:r>
      <w:r>
        <w:tab/>
      </w:r>
      <w:r>
        <w:fldChar w:fldCharType="begin"/>
      </w:r>
      <w:r>
        <w:instrText xml:space="preserve"> PAGEREF _Toc11265 \h </w:instrText>
      </w:r>
      <w:r>
        <w:fldChar w:fldCharType="separate"/>
      </w:r>
      <w:r>
        <w:t>23</w:t>
      </w:r>
      <w:r>
        <w:fldChar w:fldCharType="end"/>
      </w:r>
      <w:r>
        <w:fldChar w:fldCharType="end"/>
      </w:r>
    </w:p>
    <w:p w14:paraId="3DF1473D">
      <w:pPr>
        <w:pStyle w:val="17"/>
        <w:tabs>
          <w:tab w:val="right" w:leader="dot" w:pos="9368"/>
        </w:tabs>
        <w:spacing w:before="60" w:after="60"/>
        <w:ind w:left="210"/>
      </w:pPr>
      <w:r>
        <w:fldChar w:fldCharType="begin"/>
      </w:r>
      <w:r>
        <w:instrText xml:space="preserve"> HYPERLINK \l "_Toc17703" </w:instrText>
      </w:r>
      <w:r>
        <w:fldChar w:fldCharType="separate"/>
      </w:r>
      <w:r>
        <w:rPr>
          <w:rFonts w:hint="eastAsia" w:ascii="黑体" w:eastAsia="黑体"/>
          <w:kern w:val="0"/>
          <w:szCs w:val="21"/>
        </w:rPr>
        <w:t xml:space="preserve">12.1 </w:t>
      </w:r>
      <w:r>
        <w:rPr>
          <w:rFonts w:ascii="Times New Roman"/>
        </w:rPr>
        <w:t>一般规定</w:t>
      </w:r>
      <w:r>
        <w:tab/>
      </w:r>
      <w:r>
        <w:fldChar w:fldCharType="begin"/>
      </w:r>
      <w:r>
        <w:instrText xml:space="preserve"> PAGEREF _Toc17703 \h </w:instrText>
      </w:r>
      <w:r>
        <w:fldChar w:fldCharType="separate"/>
      </w:r>
      <w:r>
        <w:t>23</w:t>
      </w:r>
      <w:r>
        <w:fldChar w:fldCharType="end"/>
      </w:r>
      <w:r>
        <w:fldChar w:fldCharType="end"/>
      </w:r>
    </w:p>
    <w:p w14:paraId="31C3C7B5">
      <w:pPr>
        <w:pStyle w:val="17"/>
        <w:tabs>
          <w:tab w:val="right" w:leader="dot" w:pos="9368"/>
        </w:tabs>
        <w:spacing w:before="60" w:after="60"/>
        <w:ind w:left="210"/>
      </w:pPr>
      <w:r>
        <w:fldChar w:fldCharType="begin"/>
      </w:r>
      <w:r>
        <w:instrText xml:space="preserve"> HYPERLINK \l "_Toc7777" </w:instrText>
      </w:r>
      <w:r>
        <w:fldChar w:fldCharType="separate"/>
      </w:r>
      <w:r>
        <w:rPr>
          <w:rFonts w:hint="eastAsia" w:ascii="黑体" w:eastAsia="黑体"/>
          <w:kern w:val="0"/>
          <w:szCs w:val="21"/>
        </w:rPr>
        <w:t xml:space="preserve">12.2 </w:t>
      </w:r>
      <w:r>
        <w:rPr>
          <w:rFonts w:ascii="Times New Roman"/>
        </w:rPr>
        <w:t>柴油机</w:t>
      </w:r>
      <w:r>
        <w:tab/>
      </w:r>
      <w:r>
        <w:fldChar w:fldCharType="begin"/>
      </w:r>
      <w:r>
        <w:instrText xml:space="preserve"> PAGEREF _Toc7777 \h </w:instrText>
      </w:r>
      <w:r>
        <w:fldChar w:fldCharType="separate"/>
      </w:r>
      <w:r>
        <w:t>24</w:t>
      </w:r>
      <w:r>
        <w:fldChar w:fldCharType="end"/>
      </w:r>
      <w:r>
        <w:fldChar w:fldCharType="end"/>
      </w:r>
    </w:p>
    <w:p w14:paraId="33AF9CBD">
      <w:pPr>
        <w:pStyle w:val="17"/>
        <w:tabs>
          <w:tab w:val="right" w:leader="dot" w:pos="9368"/>
        </w:tabs>
        <w:spacing w:before="60" w:after="60"/>
        <w:ind w:left="210"/>
      </w:pPr>
      <w:r>
        <w:fldChar w:fldCharType="begin"/>
      </w:r>
      <w:r>
        <w:instrText xml:space="preserve"> HYPERLINK \l "_Toc9633" </w:instrText>
      </w:r>
      <w:r>
        <w:fldChar w:fldCharType="separate"/>
      </w:r>
      <w:r>
        <w:rPr>
          <w:rFonts w:hint="eastAsia" w:ascii="黑体" w:eastAsia="黑体"/>
          <w:kern w:val="0"/>
          <w:szCs w:val="21"/>
        </w:rPr>
        <w:t xml:space="preserve">12.3 </w:t>
      </w:r>
      <w:r>
        <w:rPr>
          <w:rFonts w:hint="eastAsia" w:ascii="Times New Roman"/>
        </w:rPr>
        <w:t>其他往复式发动</w:t>
      </w:r>
      <w:r>
        <w:rPr>
          <w:rFonts w:ascii="Times New Roman"/>
        </w:rPr>
        <w:t>机</w:t>
      </w:r>
      <w:r>
        <w:tab/>
      </w:r>
      <w:r>
        <w:fldChar w:fldCharType="begin"/>
      </w:r>
      <w:r>
        <w:instrText xml:space="preserve"> PAGEREF _Toc9633 \h </w:instrText>
      </w:r>
      <w:r>
        <w:fldChar w:fldCharType="separate"/>
      </w:r>
      <w:r>
        <w:t>25</w:t>
      </w:r>
      <w:r>
        <w:fldChar w:fldCharType="end"/>
      </w:r>
      <w:r>
        <w:fldChar w:fldCharType="end"/>
      </w:r>
    </w:p>
    <w:p w14:paraId="7065D1A1">
      <w:pPr>
        <w:pStyle w:val="17"/>
        <w:tabs>
          <w:tab w:val="right" w:leader="dot" w:pos="9368"/>
        </w:tabs>
        <w:spacing w:before="60" w:after="60"/>
        <w:ind w:left="210"/>
      </w:pPr>
      <w:r>
        <w:fldChar w:fldCharType="begin"/>
      </w:r>
      <w:r>
        <w:instrText xml:space="preserve"> HYPERLINK \l "_Toc5193" </w:instrText>
      </w:r>
      <w:r>
        <w:fldChar w:fldCharType="separate"/>
      </w:r>
      <w:r>
        <w:rPr>
          <w:rFonts w:hint="eastAsia" w:ascii="黑体" w:eastAsia="黑体"/>
          <w:kern w:val="0"/>
          <w:szCs w:val="21"/>
        </w:rPr>
        <w:t xml:space="preserve">12.4 </w:t>
      </w:r>
      <w:r>
        <w:rPr>
          <w:rFonts w:ascii="Times New Roman"/>
        </w:rPr>
        <w:t>燃气轮机</w:t>
      </w:r>
      <w:r>
        <w:tab/>
      </w:r>
      <w:r>
        <w:fldChar w:fldCharType="begin"/>
      </w:r>
      <w:r>
        <w:instrText xml:space="preserve"> PAGEREF _Toc5193 \h </w:instrText>
      </w:r>
      <w:r>
        <w:fldChar w:fldCharType="separate"/>
      </w:r>
      <w:r>
        <w:t>25</w:t>
      </w:r>
      <w:r>
        <w:fldChar w:fldCharType="end"/>
      </w:r>
      <w:r>
        <w:fldChar w:fldCharType="end"/>
      </w:r>
    </w:p>
    <w:p w14:paraId="1FB208AA">
      <w:pPr>
        <w:pStyle w:val="17"/>
        <w:tabs>
          <w:tab w:val="right" w:leader="dot" w:pos="9368"/>
        </w:tabs>
        <w:spacing w:before="60" w:after="60"/>
        <w:ind w:left="210"/>
      </w:pPr>
      <w:r>
        <w:fldChar w:fldCharType="begin"/>
      </w:r>
      <w:r>
        <w:instrText xml:space="preserve"> HYPERLINK \l "_Toc17291" </w:instrText>
      </w:r>
      <w:r>
        <w:fldChar w:fldCharType="separate"/>
      </w:r>
      <w:r>
        <w:rPr>
          <w:rFonts w:hint="eastAsia" w:ascii="黑体" w:eastAsia="黑体"/>
          <w:kern w:val="0"/>
          <w:szCs w:val="21"/>
        </w:rPr>
        <w:t xml:space="preserve">12.5 </w:t>
      </w:r>
      <w:r>
        <w:rPr>
          <w:rFonts w:ascii="Times New Roman"/>
        </w:rPr>
        <w:t>压缩机</w:t>
      </w:r>
      <w:r>
        <w:tab/>
      </w:r>
      <w:r>
        <w:fldChar w:fldCharType="begin"/>
      </w:r>
      <w:r>
        <w:instrText xml:space="preserve"> PAGEREF _Toc17291 \h </w:instrText>
      </w:r>
      <w:r>
        <w:fldChar w:fldCharType="separate"/>
      </w:r>
      <w:r>
        <w:t>26</w:t>
      </w:r>
      <w:r>
        <w:fldChar w:fldCharType="end"/>
      </w:r>
      <w:r>
        <w:fldChar w:fldCharType="end"/>
      </w:r>
    </w:p>
    <w:p w14:paraId="65AE9C13">
      <w:pPr>
        <w:pStyle w:val="17"/>
        <w:tabs>
          <w:tab w:val="right" w:leader="dot" w:pos="9368"/>
        </w:tabs>
        <w:spacing w:before="60" w:after="60"/>
        <w:ind w:left="210"/>
      </w:pPr>
      <w:r>
        <w:fldChar w:fldCharType="begin"/>
      </w:r>
      <w:r>
        <w:instrText xml:space="preserve"> HYPERLINK \l "_Toc27334" </w:instrText>
      </w:r>
      <w:r>
        <w:fldChar w:fldCharType="separate"/>
      </w:r>
      <w:r>
        <w:rPr>
          <w:rFonts w:hint="eastAsia" w:ascii="黑体" w:eastAsia="黑体"/>
          <w:kern w:val="0"/>
          <w:szCs w:val="21"/>
        </w:rPr>
        <w:t xml:space="preserve">12.6 </w:t>
      </w:r>
      <w:r>
        <w:rPr>
          <w:rFonts w:ascii="Times New Roman"/>
        </w:rPr>
        <w:t>泵</w:t>
      </w:r>
      <w:r>
        <w:tab/>
      </w:r>
      <w:r>
        <w:fldChar w:fldCharType="begin"/>
      </w:r>
      <w:r>
        <w:instrText xml:space="preserve"> PAGEREF _Toc27334 \h </w:instrText>
      </w:r>
      <w:r>
        <w:fldChar w:fldCharType="separate"/>
      </w:r>
      <w:r>
        <w:t>26</w:t>
      </w:r>
      <w:r>
        <w:fldChar w:fldCharType="end"/>
      </w:r>
      <w:r>
        <w:fldChar w:fldCharType="end"/>
      </w:r>
    </w:p>
    <w:p w14:paraId="62AC41AE">
      <w:pPr>
        <w:pStyle w:val="17"/>
        <w:tabs>
          <w:tab w:val="right" w:leader="dot" w:pos="9368"/>
        </w:tabs>
        <w:spacing w:before="60" w:after="60"/>
        <w:ind w:left="210"/>
      </w:pPr>
      <w:r>
        <w:fldChar w:fldCharType="begin"/>
      </w:r>
      <w:r>
        <w:instrText xml:space="preserve"> HYPERLINK \l "_Toc8703" </w:instrText>
      </w:r>
      <w:r>
        <w:fldChar w:fldCharType="separate"/>
      </w:r>
      <w:r>
        <w:rPr>
          <w:rFonts w:hint="eastAsia" w:ascii="黑体" w:eastAsia="黑体"/>
          <w:kern w:val="0"/>
          <w:szCs w:val="21"/>
        </w:rPr>
        <w:t xml:space="preserve">12.7 </w:t>
      </w:r>
      <w:r>
        <w:rPr>
          <w:rFonts w:ascii="Times New Roman"/>
        </w:rPr>
        <w:t>锅炉</w:t>
      </w:r>
      <w:r>
        <w:tab/>
      </w:r>
      <w:r>
        <w:fldChar w:fldCharType="begin"/>
      </w:r>
      <w:r>
        <w:instrText xml:space="preserve"> PAGEREF _Toc8703 \h </w:instrText>
      </w:r>
      <w:r>
        <w:fldChar w:fldCharType="separate"/>
      </w:r>
      <w:r>
        <w:t>26</w:t>
      </w:r>
      <w:r>
        <w:fldChar w:fldCharType="end"/>
      </w:r>
      <w:r>
        <w:fldChar w:fldCharType="end"/>
      </w:r>
    </w:p>
    <w:p w14:paraId="52AD56EC">
      <w:pPr>
        <w:pStyle w:val="17"/>
        <w:tabs>
          <w:tab w:val="right" w:leader="dot" w:pos="9368"/>
        </w:tabs>
        <w:spacing w:before="60" w:after="60"/>
        <w:ind w:left="210"/>
      </w:pPr>
      <w:r>
        <w:fldChar w:fldCharType="begin"/>
      </w:r>
      <w:r>
        <w:instrText xml:space="preserve"> HYPERLINK \l "_Toc20936" </w:instrText>
      </w:r>
      <w:r>
        <w:fldChar w:fldCharType="separate"/>
      </w:r>
      <w:r>
        <w:rPr>
          <w:rFonts w:hint="eastAsia" w:ascii="黑体" w:eastAsia="黑体"/>
          <w:kern w:val="0"/>
          <w:szCs w:val="21"/>
        </w:rPr>
        <w:t xml:space="preserve">12.8 </w:t>
      </w:r>
      <w:r>
        <w:rPr>
          <w:rFonts w:ascii="Times New Roman"/>
        </w:rPr>
        <w:t>压力容器</w:t>
      </w:r>
      <w:r>
        <w:tab/>
      </w:r>
      <w:r>
        <w:fldChar w:fldCharType="begin"/>
      </w:r>
      <w:r>
        <w:instrText xml:space="preserve"> PAGEREF _Toc20936 \h </w:instrText>
      </w:r>
      <w:r>
        <w:fldChar w:fldCharType="separate"/>
      </w:r>
      <w:r>
        <w:t>27</w:t>
      </w:r>
      <w:r>
        <w:fldChar w:fldCharType="end"/>
      </w:r>
      <w:r>
        <w:fldChar w:fldCharType="end"/>
      </w:r>
    </w:p>
    <w:p w14:paraId="016B8491">
      <w:pPr>
        <w:pStyle w:val="17"/>
        <w:tabs>
          <w:tab w:val="right" w:leader="dot" w:pos="9368"/>
        </w:tabs>
        <w:spacing w:before="60" w:after="60"/>
        <w:ind w:left="210"/>
      </w:pPr>
      <w:r>
        <w:fldChar w:fldCharType="begin"/>
      </w:r>
      <w:r>
        <w:instrText xml:space="preserve"> HYPERLINK \l "_Toc28034" </w:instrText>
      </w:r>
      <w:r>
        <w:fldChar w:fldCharType="separate"/>
      </w:r>
      <w:r>
        <w:rPr>
          <w:rFonts w:hint="eastAsia" w:ascii="黑体" w:eastAsia="黑体"/>
          <w:kern w:val="0"/>
          <w:szCs w:val="21"/>
        </w:rPr>
        <w:t xml:space="preserve">12.9 </w:t>
      </w:r>
      <w:r>
        <w:rPr>
          <w:rFonts w:ascii="Times New Roman"/>
        </w:rPr>
        <w:t>设备管系</w:t>
      </w:r>
      <w:r>
        <w:tab/>
      </w:r>
      <w:r>
        <w:fldChar w:fldCharType="begin"/>
      </w:r>
      <w:r>
        <w:instrText xml:space="preserve"> PAGEREF _Toc28034 \h </w:instrText>
      </w:r>
      <w:r>
        <w:fldChar w:fldCharType="separate"/>
      </w:r>
      <w:r>
        <w:t>28</w:t>
      </w:r>
      <w:r>
        <w:fldChar w:fldCharType="end"/>
      </w:r>
      <w:r>
        <w:fldChar w:fldCharType="end"/>
      </w:r>
    </w:p>
    <w:p w14:paraId="212C3C13">
      <w:pPr>
        <w:pStyle w:val="17"/>
        <w:tabs>
          <w:tab w:val="right" w:leader="dot" w:pos="9368"/>
        </w:tabs>
        <w:spacing w:before="60" w:after="60"/>
        <w:ind w:left="210"/>
      </w:pPr>
      <w:r>
        <w:fldChar w:fldCharType="begin"/>
      </w:r>
      <w:r>
        <w:instrText xml:space="preserve"> HYPERLINK \l "_Toc22216" </w:instrText>
      </w:r>
      <w:r>
        <w:fldChar w:fldCharType="separate"/>
      </w:r>
      <w:r>
        <w:rPr>
          <w:rFonts w:hint="eastAsia" w:ascii="黑体" w:eastAsia="黑体"/>
          <w:kern w:val="0"/>
          <w:szCs w:val="21"/>
        </w:rPr>
        <w:t xml:space="preserve">12.10 </w:t>
      </w:r>
      <w:r>
        <w:rPr>
          <w:rFonts w:ascii="Times New Roman"/>
        </w:rPr>
        <w:t>起重机</w:t>
      </w:r>
      <w:r>
        <w:tab/>
      </w:r>
      <w:r>
        <w:fldChar w:fldCharType="begin"/>
      </w:r>
      <w:r>
        <w:instrText xml:space="preserve"> PAGEREF _Toc22216 \h </w:instrText>
      </w:r>
      <w:r>
        <w:fldChar w:fldCharType="separate"/>
      </w:r>
      <w:r>
        <w:t>29</w:t>
      </w:r>
      <w:r>
        <w:fldChar w:fldCharType="end"/>
      </w:r>
      <w:r>
        <w:fldChar w:fldCharType="end"/>
      </w:r>
    </w:p>
    <w:p w14:paraId="12F21145">
      <w:pPr>
        <w:pStyle w:val="18"/>
        <w:tabs>
          <w:tab w:val="right" w:leader="dot" w:pos="9368"/>
        </w:tabs>
        <w:spacing w:before="60" w:after="60"/>
      </w:pPr>
      <w:r>
        <w:fldChar w:fldCharType="begin"/>
      </w:r>
      <w:r>
        <w:instrText xml:space="preserve"> HYPERLINK \l "_Toc27782" </w:instrText>
      </w:r>
      <w:r>
        <w:fldChar w:fldCharType="separate"/>
      </w:r>
      <w:r>
        <w:rPr>
          <w:rFonts w:hint="eastAsia" w:ascii="黑体" w:eastAsia="黑体"/>
          <w:szCs w:val="21"/>
        </w:rPr>
        <w:t xml:space="preserve">13 </w:t>
      </w:r>
      <w:r>
        <w:rPr>
          <w:rFonts w:ascii="Times New Roman"/>
        </w:rPr>
        <w:t>暖通</w:t>
      </w:r>
      <w:r>
        <w:tab/>
      </w:r>
      <w:r>
        <w:fldChar w:fldCharType="begin"/>
      </w:r>
      <w:r>
        <w:instrText xml:space="preserve"> PAGEREF _Toc27782 \h </w:instrText>
      </w:r>
      <w:r>
        <w:fldChar w:fldCharType="separate"/>
      </w:r>
      <w:r>
        <w:t>31</w:t>
      </w:r>
      <w:r>
        <w:fldChar w:fldCharType="end"/>
      </w:r>
      <w:r>
        <w:fldChar w:fldCharType="end"/>
      </w:r>
    </w:p>
    <w:p w14:paraId="057B71BB">
      <w:pPr>
        <w:pStyle w:val="17"/>
        <w:tabs>
          <w:tab w:val="right" w:leader="dot" w:pos="9368"/>
        </w:tabs>
        <w:spacing w:before="60" w:after="60"/>
        <w:ind w:left="210"/>
      </w:pPr>
      <w:r>
        <w:fldChar w:fldCharType="begin"/>
      </w:r>
      <w:r>
        <w:instrText xml:space="preserve"> HYPERLINK \l "_Toc25032" </w:instrText>
      </w:r>
      <w:r>
        <w:fldChar w:fldCharType="separate"/>
      </w:r>
      <w:r>
        <w:rPr>
          <w:rFonts w:hint="eastAsia" w:ascii="黑体" w:eastAsia="黑体"/>
          <w:kern w:val="0"/>
          <w:szCs w:val="21"/>
        </w:rPr>
        <w:t xml:space="preserve">13.1 </w:t>
      </w:r>
      <w:r>
        <w:rPr>
          <w:rFonts w:ascii="Times New Roman"/>
        </w:rPr>
        <w:t>一般规定</w:t>
      </w:r>
      <w:r>
        <w:tab/>
      </w:r>
      <w:r>
        <w:fldChar w:fldCharType="begin"/>
      </w:r>
      <w:r>
        <w:instrText xml:space="preserve"> PAGEREF _Toc25032 \h </w:instrText>
      </w:r>
      <w:r>
        <w:fldChar w:fldCharType="separate"/>
      </w:r>
      <w:r>
        <w:t>31</w:t>
      </w:r>
      <w:r>
        <w:fldChar w:fldCharType="end"/>
      </w:r>
      <w:r>
        <w:fldChar w:fldCharType="end"/>
      </w:r>
    </w:p>
    <w:p w14:paraId="3E8606F4">
      <w:pPr>
        <w:pStyle w:val="17"/>
        <w:tabs>
          <w:tab w:val="right" w:leader="dot" w:pos="9368"/>
        </w:tabs>
        <w:spacing w:before="60" w:after="60"/>
        <w:ind w:left="210"/>
      </w:pPr>
      <w:r>
        <w:fldChar w:fldCharType="begin"/>
      </w:r>
      <w:r>
        <w:instrText xml:space="preserve"> HYPERLINK \l "_Toc7420" </w:instrText>
      </w:r>
      <w:r>
        <w:fldChar w:fldCharType="separate"/>
      </w:r>
      <w:r>
        <w:rPr>
          <w:rFonts w:hint="eastAsia" w:ascii="黑体" w:eastAsia="黑体"/>
          <w:kern w:val="0"/>
          <w:szCs w:val="21"/>
        </w:rPr>
        <w:t xml:space="preserve">13.2 </w:t>
      </w:r>
      <w:r>
        <w:rPr>
          <w:rFonts w:ascii="Times New Roman"/>
        </w:rPr>
        <w:t>危险区通风要求</w:t>
      </w:r>
      <w:r>
        <w:tab/>
      </w:r>
      <w:r>
        <w:fldChar w:fldCharType="begin"/>
      </w:r>
      <w:r>
        <w:instrText xml:space="preserve"> PAGEREF _Toc7420 \h </w:instrText>
      </w:r>
      <w:r>
        <w:fldChar w:fldCharType="separate"/>
      </w:r>
      <w:r>
        <w:t>32</w:t>
      </w:r>
      <w:r>
        <w:fldChar w:fldCharType="end"/>
      </w:r>
      <w:r>
        <w:fldChar w:fldCharType="end"/>
      </w:r>
    </w:p>
    <w:p w14:paraId="7A5487FB">
      <w:pPr>
        <w:pStyle w:val="18"/>
        <w:tabs>
          <w:tab w:val="right" w:leader="dot" w:pos="9368"/>
        </w:tabs>
        <w:spacing w:before="60" w:after="60"/>
      </w:pPr>
      <w:r>
        <w:fldChar w:fldCharType="begin"/>
      </w:r>
      <w:r>
        <w:instrText xml:space="preserve"> HYPERLINK \l "_Toc7971" </w:instrText>
      </w:r>
      <w:r>
        <w:fldChar w:fldCharType="separate"/>
      </w:r>
      <w:r>
        <w:rPr>
          <w:rFonts w:hint="eastAsia" w:ascii="黑体" w:eastAsia="黑体"/>
          <w:szCs w:val="21"/>
        </w:rPr>
        <w:t xml:space="preserve">14 </w:t>
      </w:r>
      <w:r>
        <w:rPr>
          <w:rFonts w:hint="eastAsia"/>
        </w:rPr>
        <w:t>电气</w:t>
      </w:r>
      <w:r>
        <w:tab/>
      </w:r>
      <w:r>
        <w:fldChar w:fldCharType="begin"/>
      </w:r>
      <w:r>
        <w:instrText xml:space="preserve"> PAGEREF _Toc7971 \h </w:instrText>
      </w:r>
      <w:r>
        <w:fldChar w:fldCharType="separate"/>
      </w:r>
      <w:r>
        <w:t>32</w:t>
      </w:r>
      <w:r>
        <w:fldChar w:fldCharType="end"/>
      </w:r>
      <w:r>
        <w:fldChar w:fldCharType="end"/>
      </w:r>
    </w:p>
    <w:p w14:paraId="73AED3F0">
      <w:pPr>
        <w:pStyle w:val="17"/>
        <w:tabs>
          <w:tab w:val="right" w:leader="dot" w:pos="9368"/>
        </w:tabs>
        <w:spacing w:before="60" w:after="60"/>
        <w:ind w:left="210"/>
      </w:pPr>
      <w:r>
        <w:fldChar w:fldCharType="begin"/>
      </w:r>
      <w:r>
        <w:instrText xml:space="preserve"> HYPERLINK \l "_Toc12115" </w:instrText>
      </w:r>
      <w:r>
        <w:fldChar w:fldCharType="separate"/>
      </w:r>
      <w:r>
        <w:rPr>
          <w:rFonts w:hint="eastAsia" w:ascii="黑体" w:eastAsia="黑体"/>
          <w:kern w:val="0"/>
          <w:szCs w:val="21"/>
        </w:rPr>
        <w:t xml:space="preserve">14.1 </w:t>
      </w:r>
      <w:r>
        <w:rPr>
          <w:rFonts w:hint="eastAsia"/>
        </w:rPr>
        <w:t>一般规定</w:t>
      </w:r>
      <w:r>
        <w:tab/>
      </w:r>
      <w:r>
        <w:fldChar w:fldCharType="begin"/>
      </w:r>
      <w:r>
        <w:instrText xml:space="preserve"> PAGEREF _Toc12115 \h </w:instrText>
      </w:r>
      <w:r>
        <w:fldChar w:fldCharType="separate"/>
      </w:r>
      <w:r>
        <w:t>32</w:t>
      </w:r>
      <w:r>
        <w:fldChar w:fldCharType="end"/>
      </w:r>
      <w:r>
        <w:fldChar w:fldCharType="end"/>
      </w:r>
    </w:p>
    <w:p w14:paraId="57C4E95F">
      <w:pPr>
        <w:pStyle w:val="17"/>
        <w:tabs>
          <w:tab w:val="right" w:leader="dot" w:pos="9368"/>
        </w:tabs>
        <w:spacing w:before="60" w:after="60"/>
        <w:ind w:left="210"/>
      </w:pPr>
      <w:r>
        <w:fldChar w:fldCharType="begin"/>
      </w:r>
      <w:r>
        <w:instrText xml:space="preserve"> HYPERLINK \l "_Toc25861" </w:instrText>
      </w:r>
      <w:r>
        <w:fldChar w:fldCharType="separate"/>
      </w:r>
      <w:r>
        <w:rPr>
          <w:rFonts w:hint="eastAsia" w:ascii="黑体" w:eastAsia="黑体"/>
          <w:kern w:val="0"/>
          <w:szCs w:val="21"/>
        </w:rPr>
        <w:t xml:space="preserve">14.2 </w:t>
      </w:r>
      <w:r>
        <w:rPr>
          <w:rFonts w:hint="eastAsia"/>
        </w:rPr>
        <w:t>主电源系统</w:t>
      </w:r>
      <w:r>
        <w:tab/>
      </w:r>
      <w:r>
        <w:fldChar w:fldCharType="begin"/>
      </w:r>
      <w:r>
        <w:instrText xml:space="preserve"> PAGEREF _Toc25861 \h </w:instrText>
      </w:r>
      <w:r>
        <w:fldChar w:fldCharType="separate"/>
      </w:r>
      <w:r>
        <w:t>33</w:t>
      </w:r>
      <w:r>
        <w:fldChar w:fldCharType="end"/>
      </w:r>
      <w:r>
        <w:fldChar w:fldCharType="end"/>
      </w:r>
    </w:p>
    <w:p w14:paraId="52F07226">
      <w:pPr>
        <w:pStyle w:val="17"/>
        <w:tabs>
          <w:tab w:val="right" w:leader="dot" w:pos="9368"/>
        </w:tabs>
        <w:spacing w:before="60" w:after="60"/>
        <w:ind w:left="210"/>
      </w:pPr>
      <w:r>
        <w:fldChar w:fldCharType="begin"/>
      </w:r>
      <w:r>
        <w:instrText xml:space="preserve"> HYPERLINK \l "_Toc21148" </w:instrText>
      </w:r>
      <w:r>
        <w:fldChar w:fldCharType="separate"/>
      </w:r>
      <w:r>
        <w:rPr>
          <w:rFonts w:hint="eastAsia" w:ascii="黑体" w:eastAsia="黑体"/>
          <w:kern w:val="0"/>
          <w:szCs w:val="21"/>
        </w:rPr>
        <w:t xml:space="preserve">14.3 </w:t>
      </w:r>
      <w:r>
        <w:rPr>
          <w:rFonts w:hint="eastAsia"/>
        </w:rPr>
        <w:t>应急电源系统</w:t>
      </w:r>
      <w:r>
        <w:tab/>
      </w:r>
      <w:r>
        <w:fldChar w:fldCharType="begin"/>
      </w:r>
      <w:r>
        <w:instrText xml:space="preserve"> PAGEREF _Toc21148 \h </w:instrText>
      </w:r>
      <w:r>
        <w:fldChar w:fldCharType="separate"/>
      </w:r>
      <w:r>
        <w:t>34</w:t>
      </w:r>
      <w:r>
        <w:fldChar w:fldCharType="end"/>
      </w:r>
      <w:r>
        <w:fldChar w:fldCharType="end"/>
      </w:r>
    </w:p>
    <w:p w14:paraId="375D6186">
      <w:pPr>
        <w:pStyle w:val="17"/>
        <w:tabs>
          <w:tab w:val="right" w:leader="dot" w:pos="9368"/>
        </w:tabs>
        <w:spacing w:before="60" w:after="60"/>
        <w:ind w:left="210"/>
      </w:pPr>
      <w:r>
        <w:fldChar w:fldCharType="begin"/>
      </w:r>
      <w:r>
        <w:instrText xml:space="preserve"> HYPERLINK \l "_Toc22918" </w:instrText>
      </w:r>
      <w:r>
        <w:fldChar w:fldCharType="separate"/>
      </w:r>
      <w:r>
        <w:rPr>
          <w:rFonts w:hint="eastAsia" w:ascii="黑体" w:eastAsia="黑体"/>
          <w:kern w:val="0"/>
          <w:szCs w:val="21"/>
        </w:rPr>
        <w:t xml:space="preserve">14.4 </w:t>
      </w:r>
      <w:r>
        <w:rPr>
          <w:rFonts w:hint="eastAsia"/>
        </w:rPr>
        <w:t>供配电系统</w:t>
      </w:r>
      <w:r>
        <w:tab/>
      </w:r>
      <w:r>
        <w:fldChar w:fldCharType="begin"/>
      </w:r>
      <w:r>
        <w:instrText xml:space="preserve"> PAGEREF _Toc22918 \h </w:instrText>
      </w:r>
      <w:r>
        <w:fldChar w:fldCharType="separate"/>
      </w:r>
      <w:r>
        <w:t>35</w:t>
      </w:r>
      <w:r>
        <w:fldChar w:fldCharType="end"/>
      </w:r>
      <w:r>
        <w:fldChar w:fldCharType="end"/>
      </w:r>
    </w:p>
    <w:p w14:paraId="1EF4E6F1">
      <w:pPr>
        <w:pStyle w:val="17"/>
        <w:tabs>
          <w:tab w:val="right" w:leader="dot" w:pos="9368"/>
        </w:tabs>
        <w:spacing w:before="60" w:after="60"/>
        <w:ind w:left="210"/>
      </w:pPr>
      <w:r>
        <w:fldChar w:fldCharType="begin"/>
      </w:r>
      <w:r>
        <w:instrText xml:space="preserve"> HYPERLINK \l "_Toc8876" </w:instrText>
      </w:r>
      <w:r>
        <w:fldChar w:fldCharType="separate"/>
      </w:r>
      <w:r>
        <w:rPr>
          <w:rFonts w:hint="eastAsia" w:ascii="黑体" w:eastAsia="黑体"/>
          <w:kern w:val="0"/>
          <w:szCs w:val="21"/>
        </w:rPr>
        <w:t xml:space="preserve">14.5 </w:t>
      </w:r>
      <w:r>
        <w:rPr>
          <w:rFonts w:hint="eastAsia"/>
        </w:rPr>
        <w:t>照明</w:t>
      </w:r>
      <w:r>
        <w:tab/>
      </w:r>
      <w:r>
        <w:fldChar w:fldCharType="begin"/>
      </w:r>
      <w:r>
        <w:instrText xml:space="preserve"> PAGEREF _Toc8876 \h </w:instrText>
      </w:r>
      <w:r>
        <w:fldChar w:fldCharType="separate"/>
      </w:r>
      <w:r>
        <w:t>36</w:t>
      </w:r>
      <w:r>
        <w:fldChar w:fldCharType="end"/>
      </w:r>
      <w:r>
        <w:fldChar w:fldCharType="end"/>
      </w:r>
    </w:p>
    <w:p w14:paraId="139D9EFD">
      <w:pPr>
        <w:pStyle w:val="17"/>
        <w:tabs>
          <w:tab w:val="right" w:leader="dot" w:pos="9368"/>
        </w:tabs>
        <w:spacing w:before="60" w:after="60"/>
        <w:ind w:left="210"/>
      </w:pPr>
      <w:r>
        <w:fldChar w:fldCharType="begin"/>
      </w:r>
      <w:r>
        <w:instrText xml:space="preserve"> HYPERLINK \l "_Toc1724" </w:instrText>
      </w:r>
      <w:r>
        <w:fldChar w:fldCharType="separate"/>
      </w:r>
      <w:r>
        <w:rPr>
          <w:rFonts w:hint="eastAsia" w:ascii="黑体" w:eastAsia="黑体"/>
          <w:kern w:val="0"/>
          <w:szCs w:val="21"/>
        </w:rPr>
        <w:t xml:space="preserve">14.6 </w:t>
      </w:r>
      <w:r>
        <w:rPr>
          <w:rFonts w:hint="eastAsia"/>
        </w:rPr>
        <w:t>电伴热设施和电加热设备</w:t>
      </w:r>
      <w:r>
        <w:tab/>
      </w:r>
      <w:r>
        <w:fldChar w:fldCharType="begin"/>
      </w:r>
      <w:r>
        <w:instrText xml:space="preserve"> PAGEREF _Toc1724 \h </w:instrText>
      </w:r>
      <w:r>
        <w:fldChar w:fldCharType="separate"/>
      </w:r>
      <w:r>
        <w:t>36</w:t>
      </w:r>
      <w:r>
        <w:fldChar w:fldCharType="end"/>
      </w:r>
      <w:r>
        <w:fldChar w:fldCharType="end"/>
      </w:r>
    </w:p>
    <w:p w14:paraId="4E620407">
      <w:pPr>
        <w:pStyle w:val="17"/>
        <w:tabs>
          <w:tab w:val="right" w:leader="dot" w:pos="9368"/>
        </w:tabs>
        <w:spacing w:before="60" w:after="60"/>
        <w:ind w:left="210"/>
      </w:pPr>
      <w:r>
        <w:fldChar w:fldCharType="begin"/>
      </w:r>
      <w:r>
        <w:instrText xml:space="preserve"> HYPERLINK \l "_Toc20595" </w:instrText>
      </w:r>
      <w:r>
        <w:fldChar w:fldCharType="separate"/>
      </w:r>
      <w:r>
        <w:rPr>
          <w:rFonts w:hint="eastAsia" w:ascii="黑体" w:eastAsia="黑体"/>
          <w:kern w:val="0"/>
          <w:szCs w:val="21"/>
        </w:rPr>
        <w:t xml:space="preserve">14.7 </w:t>
      </w:r>
      <w:r>
        <w:rPr>
          <w:rFonts w:hint="eastAsia"/>
        </w:rPr>
        <w:t>电缆</w:t>
      </w:r>
      <w:r>
        <w:tab/>
      </w:r>
      <w:r>
        <w:fldChar w:fldCharType="begin"/>
      </w:r>
      <w:r>
        <w:instrText xml:space="preserve"> PAGEREF _Toc20595 \h </w:instrText>
      </w:r>
      <w:r>
        <w:fldChar w:fldCharType="separate"/>
      </w:r>
      <w:r>
        <w:t>37</w:t>
      </w:r>
      <w:r>
        <w:fldChar w:fldCharType="end"/>
      </w:r>
      <w:r>
        <w:fldChar w:fldCharType="end"/>
      </w:r>
    </w:p>
    <w:p w14:paraId="651B44C8">
      <w:pPr>
        <w:pStyle w:val="17"/>
        <w:tabs>
          <w:tab w:val="right" w:leader="dot" w:pos="9368"/>
        </w:tabs>
        <w:spacing w:before="60" w:after="60"/>
        <w:ind w:left="210"/>
      </w:pPr>
      <w:r>
        <w:fldChar w:fldCharType="begin"/>
      </w:r>
      <w:r>
        <w:instrText xml:space="preserve"> HYPERLINK \l "_Toc13380" </w:instrText>
      </w:r>
      <w:r>
        <w:fldChar w:fldCharType="separate"/>
      </w:r>
      <w:r>
        <w:rPr>
          <w:rFonts w:hint="eastAsia" w:ascii="黑体" w:eastAsia="黑体"/>
          <w:kern w:val="0"/>
          <w:szCs w:val="21"/>
        </w:rPr>
        <w:t xml:space="preserve">14.8 </w:t>
      </w:r>
      <w:r>
        <w:rPr>
          <w:rFonts w:hint="eastAsia"/>
        </w:rPr>
        <w:t>接地、防雷及防干扰措施</w:t>
      </w:r>
      <w:r>
        <w:tab/>
      </w:r>
      <w:r>
        <w:fldChar w:fldCharType="begin"/>
      </w:r>
      <w:r>
        <w:instrText xml:space="preserve"> PAGEREF _Toc13380 \h </w:instrText>
      </w:r>
      <w:r>
        <w:fldChar w:fldCharType="separate"/>
      </w:r>
      <w:r>
        <w:t>37</w:t>
      </w:r>
      <w:r>
        <w:fldChar w:fldCharType="end"/>
      </w:r>
      <w:r>
        <w:fldChar w:fldCharType="end"/>
      </w:r>
    </w:p>
    <w:p w14:paraId="5430C24E">
      <w:pPr>
        <w:pStyle w:val="17"/>
        <w:tabs>
          <w:tab w:val="right" w:leader="dot" w:pos="9368"/>
        </w:tabs>
        <w:spacing w:before="60" w:after="60"/>
        <w:ind w:left="210"/>
      </w:pPr>
      <w:r>
        <w:fldChar w:fldCharType="begin"/>
      </w:r>
      <w:r>
        <w:instrText xml:space="preserve"> HYPERLINK \l "_Toc7650" </w:instrText>
      </w:r>
      <w:r>
        <w:fldChar w:fldCharType="separate"/>
      </w:r>
      <w:r>
        <w:rPr>
          <w:rFonts w:hint="eastAsia" w:ascii="黑体" w:eastAsia="黑体"/>
          <w:kern w:val="0"/>
          <w:szCs w:val="21"/>
        </w:rPr>
        <w:t xml:space="preserve">14.9 </w:t>
      </w:r>
      <w:r>
        <w:rPr>
          <w:rFonts w:hint="eastAsia"/>
        </w:rPr>
        <w:t>危险场所内电气设备</w:t>
      </w:r>
      <w:r>
        <w:tab/>
      </w:r>
      <w:r>
        <w:fldChar w:fldCharType="begin"/>
      </w:r>
      <w:r>
        <w:instrText xml:space="preserve"> PAGEREF _Toc7650 \h </w:instrText>
      </w:r>
      <w:r>
        <w:fldChar w:fldCharType="separate"/>
      </w:r>
      <w:r>
        <w:t>38</w:t>
      </w:r>
      <w:r>
        <w:fldChar w:fldCharType="end"/>
      </w:r>
      <w:r>
        <w:fldChar w:fldCharType="end"/>
      </w:r>
    </w:p>
    <w:p w14:paraId="42613590">
      <w:pPr>
        <w:pStyle w:val="18"/>
        <w:tabs>
          <w:tab w:val="right" w:leader="dot" w:pos="9368"/>
        </w:tabs>
        <w:spacing w:before="60" w:after="60"/>
      </w:pPr>
      <w:r>
        <w:fldChar w:fldCharType="begin"/>
      </w:r>
      <w:r>
        <w:instrText xml:space="preserve"> HYPERLINK \l "_Toc23046" </w:instrText>
      </w:r>
      <w:r>
        <w:fldChar w:fldCharType="separate"/>
      </w:r>
      <w:r>
        <w:rPr>
          <w:rFonts w:hint="eastAsia" w:ascii="黑体" w:eastAsia="黑体"/>
          <w:szCs w:val="21"/>
        </w:rPr>
        <w:t xml:space="preserve">15 </w:t>
      </w:r>
      <w:r>
        <w:rPr>
          <w:rFonts w:ascii="Times New Roman"/>
        </w:rPr>
        <w:t>仪表及控制系统</w:t>
      </w:r>
      <w:r>
        <w:tab/>
      </w:r>
      <w:r>
        <w:fldChar w:fldCharType="begin"/>
      </w:r>
      <w:r>
        <w:instrText xml:space="preserve"> PAGEREF _Toc23046 \h </w:instrText>
      </w:r>
      <w:r>
        <w:fldChar w:fldCharType="separate"/>
      </w:r>
      <w:r>
        <w:t>32</w:t>
      </w:r>
      <w:r>
        <w:fldChar w:fldCharType="end"/>
      </w:r>
      <w:r>
        <w:fldChar w:fldCharType="end"/>
      </w:r>
    </w:p>
    <w:p w14:paraId="269B929E">
      <w:pPr>
        <w:pStyle w:val="17"/>
        <w:tabs>
          <w:tab w:val="right" w:leader="dot" w:pos="9368"/>
        </w:tabs>
        <w:spacing w:before="60" w:after="60"/>
        <w:ind w:left="210"/>
      </w:pPr>
      <w:r>
        <w:fldChar w:fldCharType="begin"/>
      </w:r>
      <w:r>
        <w:instrText xml:space="preserve"> HYPERLINK \l "_Toc21007" </w:instrText>
      </w:r>
      <w:r>
        <w:fldChar w:fldCharType="separate"/>
      </w:r>
      <w:r>
        <w:rPr>
          <w:rFonts w:hint="eastAsia" w:ascii="黑体" w:eastAsia="黑体"/>
          <w:kern w:val="0"/>
          <w:szCs w:val="21"/>
        </w:rPr>
        <w:t xml:space="preserve">15.1 </w:t>
      </w:r>
      <w:r>
        <w:t>一般规定</w:t>
      </w:r>
      <w:r>
        <w:tab/>
      </w:r>
      <w:r>
        <w:fldChar w:fldCharType="begin"/>
      </w:r>
      <w:r>
        <w:instrText xml:space="preserve"> PAGEREF _Toc21007 \h </w:instrText>
      </w:r>
      <w:r>
        <w:fldChar w:fldCharType="separate"/>
      </w:r>
      <w:r>
        <w:t>39</w:t>
      </w:r>
      <w:r>
        <w:fldChar w:fldCharType="end"/>
      </w:r>
      <w:r>
        <w:fldChar w:fldCharType="end"/>
      </w:r>
    </w:p>
    <w:p w14:paraId="77A5D79D">
      <w:pPr>
        <w:pStyle w:val="17"/>
        <w:tabs>
          <w:tab w:val="right" w:leader="dot" w:pos="9368"/>
        </w:tabs>
        <w:spacing w:before="60" w:after="60"/>
        <w:ind w:left="210"/>
      </w:pPr>
      <w:r>
        <w:fldChar w:fldCharType="begin"/>
      </w:r>
      <w:r>
        <w:instrText xml:space="preserve"> HYPERLINK \l "_Toc24140" </w:instrText>
      </w:r>
      <w:r>
        <w:fldChar w:fldCharType="separate"/>
      </w:r>
      <w:r>
        <w:rPr>
          <w:rFonts w:hint="eastAsia" w:ascii="黑体" w:eastAsia="黑体"/>
          <w:kern w:val="0"/>
          <w:szCs w:val="21"/>
        </w:rPr>
        <w:t xml:space="preserve">15.2 </w:t>
      </w:r>
      <w:r>
        <w:rPr>
          <w:rFonts w:hint="eastAsia"/>
        </w:rPr>
        <w:t>报警通用要求</w:t>
      </w:r>
      <w:r>
        <w:tab/>
      </w:r>
      <w:r>
        <w:fldChar w:fldCharType="begin"/>
      </w:r>
      <w:r>
        <w:instrText xml:space="preserve"> PAGEREF _Toc24140 \h </w:instrText>
      </w:r>
      <w:r>
        <w:fldChar w:fldCharType="separate"/>
      </w:r>
      <w:r>
        <w:t>39</w:t>
      </w:r>
      <w:r>
        <w:fldChar w:fldCharType="end"/>
      </w:r>
      <w:r>
        <w:fldChar w:fldCharType="end"/>
      </w:r>
    </w:p>
    <w:p w14:paraId="0B20846E">
      <w:pPr>
        <w:pStyle w:val="17"/>
        <w:tabs>
          <w:tab w:val="right" w:leader="dot" w:pos="9368"/>
        </w:tabs>
        <w:spacing w:before="60" w:after="60"/>
        <w:ind w:left="210"/>
      </w:pPr>
      <w:r>
        <w:fldChar w:fldCharType="begin"/>
      </w:r>
      <w:r>
        <w:instrText xml:space="preserve"> HYPERLINK \l "_Toc12156" </w:instrText>
      </w:r>
      <w:r>
        <w:fldChar w:fldCharType="separate"/>
      </w:r>
      <w:r>
        <w:rPr>
          <w:rFonts w:hint="eastAsia" w:ascii="黑体" w:eastAsia="黑体"/>
          <w:kern w:val="0"/>
          <w:szCs w:val="21"/>
        </w:rPr>
        <w:t xml:space="preserve">15.3 </w:t>
      </w:r>
      <w:r>
        <w:rPr>
          <w:rFonts w:hint="eastAsia"/>
        </w:rPr>
        <w:t>井口安全控制系统</w:t>
      </w:r>
      <w:r>
        <w:tab/>
      </w:r>
      <w:r>
        <w:fldChar w:fldCharType="begin"/>
      </w:r>
      <w:r>
        <w:instrText xml:space="preserve"> PAGEREF _Toc12156 \h </w:instrText>
      </w:r>
      <w:r>
        <w:fldChar w:fldCharType="separate"/>
      </w:r>
      <w:r>
        <w:t>39</w:t>
      </w:r>
      <w:r>
        <w:fldChar w:fldCharType="end"/>
      </w:r>
      <w:r>
        <w:fldChar w:fldCharType="end"/>
      </w:r>
    </w:p>
    <w:p w14:paraId="758BBC8B">
      <w:pPr>
        <w:pStyle w:val="17"/>
        <w:tabs>
          <w:tab w:val="right" w:leader="dot" w:pos="9368"/>
        </w:tabs>
        <w:spacing w:before="60" w:after="60"/>
        <w:ind w:left="210"/>
      </w:pPr>
      <w:r>
        <w:fldChar w:fldCharType="begin"/>
      </w:r>
      <w:r>
        <w:instrText xml:space="preserve"> HYPERLINK \l "_Toc8548" </w:instrText>
      </w:r>
      <w:r>
        <w:fldChar w:fldCharType="separate"/>
      </w:r>
      <w:r>
        <w:rPr>
          <w:rFonts w:hint="eastAsia" w:ascii="黑体" w:eastAsia="黑体"/>
          <w:kern w:val="0"/>
          <w:szCs w:val="21"/>
        </w:rPr>
        <w:t xml:space="preserve">15.4 </w:t>
      </w:r>
      <w:r>
        <w:rPr>
          <w:rFonts w:hint="eastAsia"/>
        </w:rPr>
        <w:t>应急关断系统</w:t>
      </w:r>
      <w:r>
        <w:tab/>
      </w:r>
      <w:r>
        <w:fldChar w:fldCharType="begin"/>
      </w:r>
      <w:r>
        <w:instrText xml:space="preserve"> PAGEREF _Toc8548 \h </w:instrText>
      </w:r>
      <w:r>
        <w:fldChar w:fldCharType="separate"/>
      </w:r>
      <w:r>
        <w:t>40</w:t>
      </w:r>
      <w:r>
        <w:fldChar w:fldCharType="end"/>
      </w:r>
      <w:r>
        <w:fldChar w:fldCharType="end"/>
      </w:r>
    </w:p>
    <w:p w14:paraId="50E0B254">
      <w:pPr>
        <w:pStyle w:val="17"/>
        <w:tabs>
          <w:tab w:val="right" w:leader="dot" w:pos="9368"/>
        </w:tabs>
        <w:spacing w:before="60" w:after="60"/>
        <w:ind w:left="210"/>
      </w:pPr>
      <w:r>
        <w:fldChar w:fldCharType="begin"/>
      </w:r>
      <w:r>
        <w:instrText xml:space="preserve"> HYPERLINK \l "_Toc1460" </w:instrText>
      </w:r>
      <w:r>
        <w:fldChar w:fldCharType="separate"/>
      </w:r>
      <w:r>
        <w:rPr>
          <w:rFonts w:hint="eastAsia" w:ascii="黑体" w:eastAsia="黑体"/>
          <w:kern w:val="0"/>
          <w:szCs w:val="21"/>
        </w:rPr>
        <w:t xml:space="preserve">15.5 </w:t>
      </w:r>
      <w:r>
        <w:rPr>
          <w:rFonts w:hint="eastAsia"/>
        </w:rPr>
        <w:t>火灾与可燃、有毒气体探测报警系统</w:t>
      </w:r>
      <w:r>
        <w:tab/>
      </w:r>
      <w:r>
        <w:fldChar w:fldCharType="begin"/>
      </w:r>
      <w:r>
        <w:instrText xml:space="preserve"> PAGEREF _Toc1460 \h </w:instrText>
      </w:r>
      <w:r>
        <w:fldChar w:fldCharType="separate"/>
      </w:r>
      <w:r>
        <w:t>41</w:t>
      </w:r>
      <w:r>
        <w:fldChar w:fldCharType="end"/>
      </w:r>
      <w:r>
        <w:fldChar w:fldCharType="end"/>
      </w:r>
    </w:p>
    <w:p w14:paraId="62267B45">
      <w:pPr>
        <w:pStyle w:val="17"/>
        <w:tabs>
          <w:tab w:val="right" w:leader="dot" w:pos="9368"/>
        </w:tabs>
        <w:spacing w:before="60" w:after="60"/>
        <w:ind w:left="210"/>
      </w:pPr>
      <w:r>
        <w:fldChar w:fldCharType="begin"/>
      </w:r>
      <w:r>
        <w:instrText xml:space="preserve"> HYPERLINK \l "_Toc11099" </w:instrText>
      </w:r>
      <w:r>
        <w:fldChar w:fldCharType="separate"/>
      </w:r>
      <w:r>
        <w:rPr>
          <w:rFonts w:hint="eastAsia" w:ascii="黑体" w:eastAsia="黑体"/>
          <w:kern w:val="0"/>
          <w:szCs w:val="21"/>
        </w:rPr>
        <w:t xml:space="preserve">15.6 </w:t>
      </w:r>
      <w:r>
        <w:rPr>
          <w:rFonts w:hint="eastAsia"/>
        </w:rPr>
        <w:t>高完整性压力保护系统（HIPPS）</w:t>
      </w:r>
      <w:r>
        <w:tab/>
      </w:r>
      <w:r>
        <w:fldChar w:fldCharType="begin"/>
      </w:r>
      <w:r>
        <w:instrText xml:space="preserve"> PAGEREF _Toc11099 \h </w:instrText>
      </w:r>
      <w:r>
        <w:fldChar w:fldCharType="separate"/>
      </w:r>
      <w:r>
        <w:t>42</w:t>
      </w:r>
      <w:r>
        <w:fldChar w:fldCharType="end"/>
      </w:r>
      <w:r>
        <w:fldChar w:fldCharType="end"/>
      </w:r>
    </w:p>
    <w:p w14:paraId="1E17F895">
      <w:pPr>
        <w:pStyle w:val="17"/>
        <w:tabs>
          <w:tab w:val="right" w:leader="dot" w:pos="9368"/>
        </w:tabs>
        <w:spacing w:before="60" w:after="60"/>
        <w:ind w:left="210"/>
      </w:pPr>
      <w:r>
        <w:fldChar w:fldCharType="begin"/>
      </w:r>
      <w:r>
        <w:instrText xml:space="preserve"> HYPERLINK \l "_Toc145" </w:instrText>
      </w:r>
      <w:r>
        <w:fldChar w:fldCharType="separate"/>
      </w:r>
      <w:r>
        <w:rPr>
          <w:rFonts w:hint="eastAsia" w:ascii="黑体" w:eastAsia="黑体"/>
          <w:kern w:val="0"/>
          <w:szCs w:val="21"/>
        </w:rPr>
        <w:t xml:space="preserve">15.7 </w:t>
      </w:r>
      <w:r>
        <w:rPr>
          <w:rFonts w:hint="eastAsia"/>
        </w:rPr>
        <w:t>控制系统试验要求</w:t>
      </w:r>
      <w:r>
        <w:tab/>
      </w:r>
      <w:r>
        <w:fldChar w:fldCharType="begin"/>
      </w:r>
      <w:r>
        <w:instrText xml:space="preserve"> PAGEREF _Toc145 \h </w:instrText>
      </w:r>
      <w:r>
        <w:fldChar w:fldCharType="separate"/>
      </w:r>
      <w:r>
        <w:t>42</w:t>
      </w:r>
      <w:r>
        <w:fldChar w:fldCharType="end"/>
      </w:r>
      <w:r>
        <w:fldChar w:fldCharType="end"/>
      </w:r>
    </w:p>
    <w:p w14:paraId="0CE34502">
      <w:pPr>
        <w:pStyle w:val="17"/>
        <w:tabs>
          <w:tab w:val="right" w:leader="dot" w:pos="9368"/>
        </w:tabs>
        <w:spacing w:before="60" w:after="60"/>
        <w:ind w:left="210"/>
      </w:pPr>
      <w:r>
        <w:fldChar w:fldCharType="begin"/>
      </w:r>
      <w:r>
        <w:instrText xml:space="preserve"> HYPERLINK \l "_Toc13467" </w:instrText>
      </w:r>
      <w:r>
        <w:fldChar w:fldCharType="separate"/>
      </w:r>
      <w:r>
        <w:rPr>
          <w:rFonts w:hint="eastAsia" w:ascii="黑体" w:eastAsia="黑体"/>
          <w:kern w:val="0"/>
          <w:szCs w:val="21"/>
        </w:rPr>
        <w:t xml:space="preserve">15.8 </w:t>
      </w:r>
      <w:r>
        <w:rPr>
          <w:rFonts w:hint="eastAsia"/>
        </w:rPr>
        <w:t>无人操作</w:t>
      </w:r>
      <w:r>
        <w:tab/>
      </w:r>
      <w:r>
        <w:fldChar w:fldCharType="begin"/>
      </w:r>
      <w:r>
        <w:instrText xml:space="preserve"> PAGEREF _Toc13467 \h </w:instrText>
      </w:r>
      <w:r>
        <w:fldChar w:fldCharType="separate"/>
      </w:r>
      <w:r>
        <w:t>42</w:t>
      </w:r>
      <w:r>
        <w:fldChar w:fldCharType="end"/>
      </w:r>
      <w:r>
        <w:fldChar w:fldCharType="end"/>
      </w:r>
    </w:p>
    <w:p w14:paraId="4E989A98">
      <w:pPr>
        <w:pStyle w:val="17"/>
        <w:tabs>
          <w:tab w:val="right" w:leader="dot" w:pos="9368"/>
        </w:tabs>
        <w:spacing w:before="60" w:after="60"/>
        <w:ind w:left="210"/>
      </w:pPr>
      <w:r>
        <w:fldChar w:fldCharType="begin"/>
      </w:r>
      <w:r>
        <w:instrText xml:space="preserve"> HYPERLINK \l "_Toc10985" </w:instrText>
      </w:r>
      <w:r>
        <w:fldChar w:fldCharType="separate"/>
      </w:r>
      <w:r>
        <w:rPr>
          <w:rFonts w:hint="eastAsia" w:ascii="黑体" w:eastAsia="黑体"/>
          <w:kern w:val="0"/>
          <w:szCs w:val="21"/>
        </w:rPr>
        <w:t xml:space="preserve">15.9 </w:t>
      </w:r>
      <w:r>
        <w:rPr>
          <w:rFonts w:hint="eastAsia"/>
        </w:rPr>
        <w:t>控制电缆</w:t>
      </w:r>
      <w:r>
        <w:tab/>
      </w:r>
      <w:r>
        <w:fldChar w:fldCharType="begin"/>
      </w:r>
      <w:r>
        <w:instrText xml:space="preserve"> PAGEREF _Toc10985 \h </w:instrText>
      </w:r>
      <w:r>
        <w:fldChar w:fldCharType="separate"/>
      </w:r>
      <w:r>
        <w:t>42</w:t>
      </w:r>
      <w:r>
        <w:fldChar w:fldCharType="end"/>
      </w:r>
      <w:r>
        <w:fldChar w:fldCharType="end"/>
      </w:r>
    </w:p>
    <w:p w14:paraId="70BB758C">
      <w:pPr>
        <w:pStyle w:val="17"/>
        <w:tabs>
          <w:tab w:val="right" w:leader="dot" w:pos="9368"/>
        </w:tabs>
        <w:spacing w:before="60" w:after="60"/>
        <w:ind w:left="210"/>
      </w:pPr>
      <w:r>
        <w:fldChar w:fldCharType="begin"/>
      </w:r>
      <w:r>
        <w:instrText xml:space="preserve"> HYPERLINK \l "_Toc18544" </w:instrText>
      </w:r>
      <w:r>
        <w:fldChar w:fldCharType="separate"/>
      </w:r>
      <w:r>
        <w:rPr>
          <w:rFonts w:hint="eastAsia" w:ascii="黑体" w:eastAsia="黑体"/>
          <w:kern w:val="0"/>
          <w:szCs w:val="21"/>
        </w:rPr>
        <w:t xml:space="preserve">15.10 </w:t>
      </w:r>
      <w:r>
        <w:rPr>
          <w:rFonts w:hint="eastAsia"/>
        </w:rPr>
        <w:t>电源</w:t>
      </w:r>
      <w:r>
        <w:tab/>
      </w:r>
      <w:r>
        <w:fldChar w:fldCharType="begin"/>
      </w:r>
      <w:r>
        <w:instrText xml:space="preserve"> PAGEREF _Toc18544 \h </w:instrText>
      </w:r>
      <w:r>
        <w:fldChar w:fldCharType="separate"/>
      </w:r>
      <w:r>
        <w:t>43</w:t>
      </w:r>
      <w:r>
        <w:fldChar w:fldCharType="end"/>
      </w:r>
      <w:r>
        <w:fldChar w:fldCharType="end"/>
      </w:r>
    </w:p>
    <w:p w14:paraId="509E83B2">
      <w:pPr>
        <w:pStyle w:val="17"/>
        <w:tabs>
          <w:tab w:val="right" w:leader="dot" w:pos="9368"/>
        </w:tabs>
        <w:spacing w:before="60" w:after="60"/>
        <w:ind w:left="210"/>
      </w:pPr>
      <w:r>
        <w:fldChar w:fldCharType="begin"/>
      </w:r>
      <w:r>
        <w:instrText xml:space="preserve"> HYPERLINK \l "_Toc1910" </w:instrText>
      </w:r>
      <w:r>
        <w:fldChar w:fldCharType="separate"/>
      </w:r>
      <w:r>
        <w:rPr>
          <w:rFonts w:hint="eastAsia" w:ascii="黑体" w:eastAsia="黑体"/>
          <w:kern w:val="0"/>
          <w:szCs w:val="21"/>
        </w:rPr>
        <w:t xml:space="preserve">15.11 </w:t>
      </w:r>
      <w:r>
        <w:rPr>
          <w:rFonts w:hint="eastAsia"/>
        </w:rPr>
        <w:t>接地</w:t>
      </w:r>
      <w:r>
        <w:tab/>
      </w:r>
      <w:r>
        <w:fldChar w:fldCharType="begin"/>
      </w:r>
      <w:r>
        <w:instrText xml:space="preserve"> PAGEREF _Toc1910 \h </w:instrText>
      </w:r>
      <w:r>
        <w:fldChar w:fldCharType="separate"/>
      </w:r>
      <w:r>
        <w:t>43</w:t>
      </w:r>
      <w:r>
        <w:fldChar w:fldCharType="end"/>
      </w:r>
      <w:r>
        <w:fldChar w:fldCharType="end"/>
      </w:r>
    </w:p>
    <w:p w14:paraId="591E9909">
      <w:pPr>
        <w:pStyle w:val="18"/>
        <w:tabs>
          <w:tab w:val="right" w:leader="dot" w:pos="9368"/>
        </w:tabs>
        <w:spacing w:before="60" w:after="60"/>
      </w:pPr>
      <w:r>
        <w:fldChar w:fldCharType="begin"/>
      </w:r>
      <w:r>
        <w:instrText xml:space="preserve"> HYPERLINK \l "_Toc30914" </w:instrText>
      </w:r>
      <w:r>
        <w:fldChar w:fldCharType="separate"/>
      </w:r>
      <w:r>
        <w:rPr>
          <w:rFonts w:hint="eastAsia" w:ascii="黑体" w:eastAsia="黑体"/>
          <w:szCs w:val="21"/>
        </w:rPr>
        <w:t xml:space="preserve">16 </w:t>
      </w:r>
      <w:r>
        <w:rPr>
          <w:rFonts w:ascii="Times New Roman"/>
        </w:rPr>
        <w:t>生活区</w:t>
      </w:r>
      <w:r>
        <w:tab/>
      </w:r>
      <w:r>
        <w:fldChar w:fldCharType="begin"/>
      </w:r>
      <w:r>
        <w:instrText xml:space="preserve"> PAGEREF _Toc30914 \h </w:instrText>
      </w:r>
      <w:r>
        <w:fldChar w:fldCharType="separate"/>
      </w:r>
      <w:r>
        <w:t>39</w:t>
      </w:r>
      <w:r>
        <w:fldChar w:fldCharType="end"/>
      </w:r>
      <w:r>
        <w:fldChar w:fldCharType="end"/>
      </w:r>
    </w:p>
    <w:p w14:paraId="6BE22A56">
      <w:pPr>
        <w:pStyle w:val="17"/>
        <w:tabs>
          <w:tab w:val="right" w:leader="dot" w:pos="9368"/>
        </w:tabs>
        <w:spacing w:before="60" w:after="60"/>
        <w:ind w:left="210"/>
      </w:pPr>
      <w:r>
        <w:fldChar w:fldCharType="begin"/>
      </w:r>
      <w:r>
        <w:instrText xml:space="preserve"> HYPERLINK \l "_Toc31286" </w:instrText>
      </w:r>
      <w:r>
        <w:fldChar w:fldCharType="separate"/>
      </w:r>
      <w:r>
        <w:rPr>
          <w:rFonts w:hint="eastAsia" w:ascii="黑体" w:eastAsia="黑体"/>
          <w:kern w:val="0"/>
          <w:szCs w:val="21"/>
        </w:rPr>
        <w:t xml:space="preserve">16.1 </w:t>
      </w:r>
      <w:r>
        <w:rPr>
          <w:rFonts w:ascii="Times New Roman"/>
        </w:rPr>
        <w:t>一般规定</w:t>
      </w:r>
      <w:r>
        <w:tab/>
      </w:r>
      <w:r>
        <w:fldChar w:fldCharType="begin"/>
      </w:r>
      <w:r>
        <w:instrText xml:space="preserve"> PAGEREF _Toc31286 \h </w:instrText>
      </w:r>
      <w:r>
        <w:fldChar w:fldCharType="separate"/>
      </w:r>
      <w:r>
        <w:t>43</w:t>
      </w:r>
      <w:r>
        <w:fldChar w:fldCharType="end"/>
      </w:r>
      <w:r>
        <w:fldChar w:fldCharType="end"/>
      </w:r>
    </w:p>
    <w:p w14:paraId="72A1F013">
      <w:pPr>
        <w:pStyle w:val="17"/>
        <w:tabs>
          <w:tab w:val="right" w:leader="dot" w:pos="9368"/>
        </w:tabs>
        <w:spacing w:before="60" w:after="60"/>
        <w:ind w:left="210"/>
      </w:pPr>
      <w:r>
        <w:fldChar w:fldCharType="begin"/>
      </w:r>
      <w:r>
        <w:instrText xml:space="preserve"> HYPERLINK \l "_Toc5249" </w:instrText>
      </w:r>
      <w:r>
        <w:fldChar w:fldCharType="separate"/>
      </w:r>
      <w:r>
        <w:rPr>
          <w:rFonts w:hint="eastAsia" w:ascii="黑体" w:eastAsia="黑体"/>
          <w:kern w:val="0"/>
          <w:szCs w:val="21"/>
        </w:rPr>
        <w:t xml:space="preserve">16.2 </w:t>
      </w:r>
      <w:r>
        <w:rPr>
          <w:rFonts w:ascii="Times New Roman"/>
        </w:rPr>
        <w:t>居住室</w:t>
      </w:r>
      <w:r>
        <w:tab/>
      </w:r>
      <w:r>
        <w:fldChar w:fldCharType="begin"/>
      </w:r>
      <w:r>
        <w:instrText xml:space="preserve"> PAGEREF _Toc5249 \h </w:instrText>
      </w:r>
      <w:r>
        <w:fldChar w:fldCharType="separate"/>
      </w:r>
      <w:r>
        <w:t>43</w:t>
      </w:r>
      <w:r>
        <w:fldChar w:fldCharType="end"/>
      </w:r>
      <w:r>
        <w:fldChar w:fldCharType="end"/>
      </w:r>
    </w:p>
    <w:p w14:paraId="5E06FEC7">
      <w:pPr>
        <w:pStyle w:val="17"/>
        <w:tabs>
          <w:tab w:val="right" w:leader="dot" w:pos="9368"/>
        </w:tabs>
        <w:spacing w:before="60" w:after="60"/>
        <w:ind w:left="210"/>
      </w:pPr>
      <w:r>
        <w:fldChar w:fldCharType="begin"/>
      </w:r>
      <w:r>
        <w:instrText xml:space="preserve"> HYPERLINK \l "_Toc19866" </w:instrText>
      </w:r>
      <w:r>
        <w:fldChar w:fldCharType="separate"/>
      </w:r>
      <w:r>
        <w:rPr>
          <w:rFonts w:hint="eastAsia" w:ascii="黑体" w:eastAsia="黑体"/>
          <w:kern w:val="0"/>
          <w:szCs w:val="21"/>
        </w:rPr>
        <w:t xml:space="preserve">16.3 </w:t>
      </w:r>
      <w:r>
        <w:rPr>
          <w:rFonts w:hint="eastAsia"/>
        </w:rPr>
        <w:t>餐厅</w:t>
      </w:r>
      <w:r>
        <w:tab/>
      </w:r>
      <w:r>
        <w:fldChar w:fldCharType="begin"/>
      </w:r>
      <w:r>
        <w:instrText xml:space="preserve"> PAGEREF _Toc19866 \h </w:instrText>
      </w:r>
      <w:r>
        <w:fldChar w:fldCharType="separate"/>
      </w:r>
      <w:r>
        <w:t>43</w:t>
      </w:r>
      <w:r>
        <w:fldChar w:fldCharType="end"/>
      </w:r>
      <w:r>
        <w:fldChar w:fldCharType="end"/>
      </w:r>
    </w:p>
    <w:p w14:paraId="5FA44007">
      <w:pPr>
        <w:pStyle w:val="17"/>
        <w:tabs>
          <w:tab w:val="right" w:leader="dot" w:pos="9368"/>
        </w:tabs>
        <w:spacing w:before="60" w:after="60"/>
        <w:ind w:left="210"/>
      </w:pPr>
      <w:r>
        <w:fldChar w:fldCharType="begin"/>
      </w:r>
      <w:r>
        <w:instrText xml:space="preserve"> HYPERLINK \l "_Toc7833" </w:instrText>
      </w:r>
      <w:r>
        <w:fldChar w:fldCharType="separate"/>
      </w:r>
      <w:r>
        <w:rPr>
          <w:rFonts w:hint="eastAsia" w:ascii="黑体" w:eastAsia="黑体"/>
          <w:kern w:val="0"/>
          <w:szCs w:val="21"/>
        </w:rPr>
        <w:t xml:space="preserve">16.4 </w:t>
      </w:r>
      <w:r>
        <w:rPr>
          <w:rFonts w:hint="eastAsia"/>
        </w:rPr>
        <w:t>服务处所</w:t>
      </w:r>
      <w:r>
        <w:tab/>
      </w:r>
      <w:r>
        <w:fldChar w:fldCharType="begin"/>
      </w:r>
      <w:r>
        <w:instrText xml:space="preserve"> PAGEREF _Toc7833 \h </w:instrText>
      </w:r>
      <w:r>
        <w:fldChar w:fldCharType="separate"/>
      </w:r>
      <w:r>
        <w:t>43</w:t>
      </w:r>
      <w:r>
        <w:fldChar w:fldCharType="end"/>
      </w:r>
      <w:r>
        <w:fldChar w:fldCharType="end"/>
      </w:r>
    </w:p>
    <w:p w14:paraId="57AB90D0">
      <w:pPr>
        <w:pStyle w:val="17"/>
        <w:tabs>
          <w:tab w:val="right" w:leader="dot" w:pos="9368"/>
        </w:tabs>
        <w:spacing w:before="60" w:after="60"/>
        <w:ind w:left="210"/>
      </w:pPr>
      <w:r>
        <w:fldChar w:fldCharType="begin"/>
      </w:r>
      <w:r>
        <w:instrText xml:space="preserve"> HYPERLINK \l "_Toc14893" </w:instrText>
      </w:r>
      <w:r>
        <w:fldChar w:fldCharType="separate"/>
      </w:r>
      <w:r>
        <w:rPr>
          <w:rFonts w:hint="eastAsia" w:ascii="黑体" w:eastAsia="黑体"/>
          <w:kern w:val="0"/>
          <w:szCs w:val="21"/>
        </w:rPr>
        <w:t xml:space="preserve">16.5 </w:t>
      </w:r>
      <w:r>
        <w:rPr>
          <w:rFonts w:ascii="Times New Roman"/>
        </w:rPr>
        <w:t>医务室</w:t>
      </w:r>
      <w:r>
        <w:tab/>
      </w:r>
      <w:r>
        <w:fldChar w:fldCharType="begin"/>
      </w:r>
      <w:r>
        <w:instrText xml:space="preserve"> PAGEREF _Toc14893 \h </w:instrText>
      </w:r>
      <w:r>
        <w:fldChar w:fldCharType="separate"/>
      </w:r>
      <w:r>
        <w:t>43</w:t>
      </w:r>
      <w:r>
        <w:fldChar w:fldCharType="end"/>
      </w:r>
      <w:r>
        <w:fldChar w:fldCharType="end"/>
      </w:r>
    </w:p>
    <w:p w14:paraId="0DC637F3">
      <w:pPr>
        <w:pStyle w:val="17"/>
        <w:tabs>
          <w:tab w:val="right" w:leader="dot" w:pos="9368"/>
        </w:tabs>
        <w:spacing w:before="60" w:after="60"/>
        <w:ind w:left="210"/>
      </w:pPr>
      <w:r>
        <w:fldChar w:fldCharType="begin"/>
      </w:r>
      <w:r>
        <w:instrText xml:space="preserve"> HYPERLINK \l "_Toc29036" </w:instrText>
      </w:r>
      <w:r>
        <w:fldChar w:fldCharType="separate"/>
      </w:r>
      <w:r>
        <w:rPr>
          <w:rFonts w:hint="eastAsia" w:ascii="黑体" w:eastAsia="黑体"/>
          <w:kern w:val="0"/>
          <w:szCs w:val="21"/>
        </w:rPr>
        <w:t xml:space="preserve">16.6 </w:t>
      </w:r>
      <w:r>
        <w:rPr>
          <w:rFonts w:hint="eastAsia" w:ascii="Times New Roman"/>
        </w:rPr>
        <w:t>娱乐室</w:t>
      </w:r>
      <w:r>
        <w:tab/>
      </w:r>
      <w:r>
        <w:fldChar w:fldCharType="begin"/>
      </w:r>
      <w:r>
        <w:instrText xml:space="preserve"> PAGEREF _Toc29036 \h </w:instrText>
      </w:r>
      <w:r>
        <w:fldChar w:fldCharType="separate"/>
      </w:r>
      <w:r>
        <w:t>44</w:t>
      </w:r>
      <w:r>
        <w:fldChar w:fldCharType="end"/>
      </w:r>
      <w:r>
        <w:fldChar w:fldCharType="end"/>
      </w:r>
    </w:p>
    <w:p w14:paraId="1D3AFDE0">
      <w:pPr>
        <w:pStyle w:val="17"/>
        <w:tabs>
          <w:tab w:val="right" w:leader="dot" w:pos="9368"/>
        </w:tabs>
        <w:spacing w:before="60" w:after="60"/>
        <w:ind w:left="210"/>
      </w:pPr>
      <w:r>
        <w:fldChar w:fldCharType="begin"/>
      </w:r>
      <w:r>
        <w:instrText xml:space="preserve"> HYPERLINK \l "_Toc19629" </w:instrText>
      </w:r>
      <w:r>
        <w:fldChar w:fldCharType="separate"/>
      </w:r>
      <w:r>
        <w:rPr>
          <w:rFonts w:hint="eastAsia" w:ascii="黑体" w:eastAsia="黑体"/>
          <w:kern w:val="0"/>
          <w:szCs w:val="21"/>
        </w:rPr>
        <w:t xml:space="preserve">16.7 </w:t>
      </w:r>
      <w:r>
        <w:rPr>
          <w:rFonts w:ascii="Times New Roman"/>
        </w:rPr>
        <w:t>设备间</w:t>
      </w:r>
      <w:r>
        <w:tab/>
      </w:r>
      <w:r>
        <w:fldChar w:fldCharType="begin"/>
      </w:r>
      <w:r>
        <w:instrText xml:space="preserve"> PAGEREF _Toc19629 \h </w:instrText>
      </w:r>
      <w:r>
        <w:fldChar w:fldCharType="separate"/>
      </w:r>
      <w:r>
        <w:t>44</w:t>
      </w:r>
      <w:r>
        <w:fldChar w:fldCharType="end"/>
      </w:r>
      <w:r>
        <w:fldChar w:fldCharType="end"/>
      </w:r>
    </w:p>
    <w:p w14:paraId="043F3B47">
      <w:pPr>
        <w:pStyle w:val="17"/>
        <w:tabs>
          <w:tab w:val="right" w:leader="dot" w:pos="9368"/>
        </w:tabs>
        <w:spacing w:before="60" w:after="60"/>
        <w:ind w:left="210"/>
      </w:pPr>
      <w:r>
        <w:fldChar w:fldCharType="begin"/>
      </w:r>
      <w:r>
        <w:instrText xml:space="preserve"> HYPERLINK \l "_Toc6940" </w:instrText>
      </w:r>
      <w:r>
        <w:fldChar w:fldCharType="separate"/>
      </w:r>
      <w:r>
        <w:rPr>
          <w:rFonts w:hint="eastAsia" w:ascii="黑体" w:eastAsia="黑体"/>
          <w:kern w:val="0"/>
          <w:szCs w:val="21"/>
        </w:rPr>
        <w:t xml:space="preserve">16.8 </w:t>
      </w:r>
      <w:r>
        <w:rPr>
          <w:rFonts w:hint="eastAsia" w:ascii="Times New Roman"/>
        </w:rPr>
        <w:t>通道及出入口</w:t>
      </w:r>
      <w:r>
        <w:tab/>
      </w:r>
      <w:r>
        <w:fldChar w:fldCharType="begin"/>
      </w:r>
      <w:r>
        <w:instrText xml:space="preserve"> PAGEREF _Toc6940 \h </w:instrText>
      </w:r>
      <w:r>
        <w:fldChar w:fldCharType="separate"/>
      </w:r>
      <w:r>
        <w:t>44</w:t>
      </w:r>
      <w:r>
        <w:fldChar w:fldCharType="end"/>
      </w:r>
      <w:r>
        <w:fldChar w:fldCharType="end"/>
      </w:r>
    </w:p>
    <w:p w14:paraId="620A5618">
      <w:pPr>
        <w:pStyle w:val="18"/>
        <w:tabs>
          <w:tab w:val="right" w:leader="dot" w:pos="9368"/>
        </w:tabs>
        <w:spacing w:before="60" w:after="60"/>
      </w:pPr>
      <w:r>
        <w:fldChar w:fldCharType="begin"/>
      </w:r>
      <w:r>
        <w:instrText xml:space="preserve"> HYPERLINK \l "_Toc9639" </w:instrText>
      </w:r>
      <w:r>
        <w:fldChar w:fldCharType="separate"/>
      </w:r>
      <w:r>
        <w:rPr>
          <w:rFonts w:hint="eastAsia" w:ascii="黑体" w:eastAsia="黑体"/>
          <w:szCs w:val="21"/>
        </w:rPr>
        <w:t xml:space="preserve">17 </w:t>
      </w:r>
      <w:r>
        <w:rPr>
          <w:rFonts w:ascii="Times New Roman"/>
        </w:rPr>
        <w:t>防火结构</w:t>
      </w:r>
      <w:r>
        <w:tab/>
      </w:r>
      <w:r>
        <w:fldChar w:fldCharType="begin"/>
      </w:r>
      <w:r>
        <w:instrText xml:space="preserve"> PAGEREF _Toc9639 \h </w:instrText>
      </w:r>
      <w:r>
        <w:fldChar w:fldCharType="separate"/>
      </w:r>
      <w:r>
        <w:t>39</w:t>
      </w:r>
      <w:r>
        <w:fldChar w:fldCharType="end"/>
      </w:r>
      <w:r>
        <w:fldChar w:fldCharType="end"/>
      </w:r>
    </w:p>
    <w:p w14:paraId="3FA76B13">
      <w:pPr>
        <w:pStyle w:val="17"/>
        <w:tabs>
          <w:tab w:val="right" w:leader="dot" w:pos="9368"/>
        </w:tabs>
        <w:spacing w:before="60" w:after="60"/>
        <w:ind w:left="210"/>
      </w:pPr>
      <w:r>
        <w:fldChar w:fldCharType="begin"/>
      </w:r>
      <w:r>
        <w:instrText xml:space="preserve"> HYPERLINK \l "_Toc8496" </w:instrText>
      </w:r>
      <w:r>
        <w:fldChar w:fldCharType="separate"/>
      </w:r>
      <w:r>
        <w:rPr>
          <w:rFonts w:hint="eastAsia" w:ascii="黑体" w:eastAsia="黑体"/>
          <w:kern w:val="0"/>
          <w:szCs w:val="21"/>
        </w:rPr>
        <w:t xml:space="preserve">17.1 </w:t>
      </w:r>
      <w:r>
        <w:rPr>
          <w:rFonts w:ascii="Times New Roman"/>
        </w:rPr>
        <w:t>防火分隔</w:t>
      </w:r>
      <w:r>
        <w:tab/>
      </w:r>
      <w:r>
        <w:fldChar w:fldCharType="begin"/>
      </w:r>
      <w:r>
        <w:instrText xml:space="preserve"> PAGEREF _Toc8496 \h </w:instrText>
      </w:r>
      <w:r>
        <w:fldChar w:fldCharType="separate"/>
      </w:r>
      <w:r>
        <w:t>44</w:t>
      </w:r>
      <w:r>
        <w:fldChar w:fldCharType="end"/>
      </w:r>
      <w:r>
        <w:fldChar w:fldCharType="end"/>
      </w:r>
    </w:p>
    <w:p w14:paraId="1AEA6E1A">
      <w:pPr>
        <w:pStyle w:val="17"/>
        <w:tabs>
          <w:tab w:val="right" w:leader="dot" w:pos="9368"/>
        </w:tabs>
        <w:spacing w:before="60" w:after="60"/>
        <w:ind w:left="210"/>
      </w:pPr>
      <w:r>
        <w:fldChar w:fldCharType="begin"/>
      </w:r>
      <w:r>
        <w:instrText xml:space="preserve"> HYPERLINK \l "_Toc9992" </w:instrText>
      </w:r>
      <w:r>
        <w:fldChar w:fldCharType="separate"/>
      </w:r>
      <w:r>
        <w:rPr>
          <w:rFonts w:hint="eastAsia" w:ascii="黑体" w:eastAsia="黑体"/>
          <w:kern w:val="0"/>
          <w:szCs w:val="21"/>
        </w:rPr>
        <w:t xml:space="preserve">17.2 </w:t>
      </w:r>
      <w:r>
        <w:rPr>
          <w:rFonts w:hint="eastAsia"/>
        </w:rPr>
        <w:t>耐火完整性</w:t>
      </w:r>
      <w:r>
        <w:tab/>
      </w:r>
      <w:r>
        <w:fldChar w:fldCharType="begin"/>
      </w:r>
      <w:r>
        <w:instrText xml:space="preserve"> PAGEREF _Toc9992 \h </w:instrText>
      </w:r>
      <w:r>
        <w:fldChar w:fldCharType="separate"/>
      </w:r>
      <w:r>
        <w:t>45</w:t>
      </w:r>
      <w:r>
        <w:fldChar w:fldCharType="end"/>
      </w:r>
      <w:r>
        <w:fldChar w:fldCharType="end"/>
      </w:r>
    </w:p>
    <w:p w14:paraId="06AA7809">
      <w:pPr>
        <w:pStyle w:val="17"/>
        <w:tabs>
          <w:tab w:val="right" w:leader="dot" w:pos="9368"/>
        </w:tabs>
        <w:spacing w:before="60" w:after="60"/>
        <w:ind w:left="210"/>
      </w:pPr>
      <w:r>
        <w:fldChar w:fldCharType="begin"/>
      </w:r>
      <w:r>
        <w:instrText xml:space="preserve"> HYPERLINK \l "_Toc3672" </w:instrText>
      </w:r>
      <w:r>
        <w:fldChar w:fldCharType="separate"/>
      </w:r>
      <w:r>
        <w:rPr>
          <w:rFonts w:hint="eastAsia" w:ascii="黑体" w:eastAsia="黑体"/>
          <w:kern w:val="0"/>
          <w:szCs w:val="21"/>
        </w:rPr>
        <w:t xml:space="preserve">17.3 </w:t>
      </w:r>
      <w:r>
        <w:rPr>
          <w:rFonts w:hint="eastAsia"/>
        </w:rPr>
        <w:t>防火消防布置图和防火须知</w:t>
      </w:r>
      <w:r>
        <w:tab/>
      </w:r>
      <w:r>
        <w:fldChar w:fldCharType="begin"/>
      </w:r>
      <w:r>
        <w:instrText xml:space="preserve"> PAGEREF _Toc3672 \h </w:instrText>
      </w:r>
      <w:r>
        <w:fldChar w:fldCharType="separate"/>
      </w:r>
      <w:r>
        <w:t>50</w:t>
      </w:r>
      <w:r>
        <w:fldChar w:fldCharType="end"/>
      </w:r>
      <w:r>
        <w:fldChar w:fldCharType="end"/>
      </w:r>
    </w:p>
    <w:p w14:paraId="118FE55B">
      <w:pPr>
        <w:pStyle w:val="17"/>
        <w:tabs>
          <w:tab w:val="right" w:leader="dot" w:pos="9368"/>
        </w:tabs>
        <w:spacing w:before="60" w:after="60"/>
        <w:ind w:left="210"/>
      </w:pPr>
      <w:r>
        <w:fldChar w:fldCharType="begin"/>
      </w:r>
      <w:r>
        <w:instrText xml:space="preserve"> HYPERLINK \l "_Toc1872" </w:instrText>
      </w:r>
      <w:r>
        <w:fldChar w:fldCharType="separate"/>
      </w:r>
      <w:r>
        <w:rPr>
          <w:rFonts w:hint="eastAsia" w:ascii="黑体" w:eastAsia="黑体"/>
          <w:kern w:val="0"/>
          <w:szCs w:val="21"/>
        </w:rPr>
        <w:t xml:space="preserve">17.4 </w:t>
      </w:r>
      <w:r>
        <w:rPr>
          <w:rFonts w:hint="eastAsia"/>
        </w:rPr>
        <w:t>危险区</w:t>
      </w:r>
      <w:r>
        <w:tab/>
      </w:r>
      <w:r>
        <w:fldChar w:fldCharType="begin"/>
      </w:r>
      <w:r>
        <w:instrText xml:space="preserve"> PAGEREF _Toc1872 \h </w:instrText>
      </w:r>
      <w:r>
        <w:fldChar w:fldCharType="separate"/>
      </w:r>
      <w:r>
        <w:t>50</w:t>
      </w:r>
      <w:r>
        <w:fldChar w:fldCharType="end"/>
      </w:r>
      <w:r>
        <w:fldChar w:fldCharType="end"/>
      </w:r>
    </w:p>
    <w:p w14:paraId="1F6F433C">
      <w:pPr>
        <w:pStyle w:val="17"/>
        <w:tabs>
          <w:tab w:val="right" w:leader="dot" w:pos="9368"/>
        </w:tabs>
        <w:spacing w:before="60" w:after="60"/>
        <w:ind w:left="210"/>
      </w:pPr>
      <w:r>
        <w:fldChar w:fldCharType="begin"/>
      </w:r>
      <w:r>
        <w:instrText xml:space="preserve"> HYPERLINK \l "_Toc861" </w:instrText>
      </w:r>
      <w:r>
        <w:fldChar w:fldCharType="separate"/>
      </w:r>
      <w:r>
        <w:rPr>
          <w:rFonts w:hint="eastAsia" w:ascii="黑体" w:eastAsia="黑体"/>
          <w:kern w:val="0"/>
          <w:szCs w:val="21"/>
        </w:rPr>
        <w:t xml:space="preserve">17.5 </w:t>
      </w:r>
      <w:r>
        <w:rPr>
          <w:rFonts w:hint="eastAsia"/>
        </w:rPr>
        <w:t>被动防火</w:t>
      </w:r>
      <w:r>
        <w:tab/>
      </w:r>
      <w:r>
        <w:fldChar w:fldCharType="begin"/>
      </w:r>
      <w:r>
        <w:instrText xml:space="preserve"> PAGEREF _Toc861 \h </w:instrText>
      </w:r>
      <w:r>
        <w:fldChar w:fldCharType="separate"/>
      </w:r>
      <w:r>
        <w:t>50</w:t>
      </w:r>
      <w:r>
        <w:fldChar w:fldCharType="end"/>
      </w:r>
      <w:r>
        <w:fldChar w:fldCharType="end"/>
      </w:r>
    </w:p>
    <w:p w14:paraId="7E45C0B0">
      <w:pPr>
        <w:pStyle w:val="18"/>
        <w:tabs>
          <w:tab w:val="right" w:leader="dot" w:pos="9368"/>
        </w:tabs>
        <w:spacing w:before="60" w:after="60"/>
      </w:pPr>
      <w:r>
        <w:fldChar w:fldCharType="begin"/>
      </w:r>
      <w:r>
        <w:instrText xml:space="preserve"> HYPERLINK \l "_Toc16201" </w:instrText>
      </w:r>
      <w:r>
        <w:fldChar w:fldCharType="separate"/>
      </w:r>
      <w:r>
        <w:rPr>
          <w:rFonts w:hint="eastAsia" w:ascii="黑体" w:eastAsia="黑体"/>
          <w:szCs w:val="21"/>
        </w:rPr>
        <w:t xml:space="preserve">18 </w:t>
      </w:r>
      <w:r>
        <w:rPr>
          <w:rFonts w:hint="eastAsia"/>
        </w:rPr>
        <w:t>消防系统</w:t>
      </w:r>
      <w:r>
        <w:tab/>
      </w:r>
      <w:r>
        <w:fldChar w:fldCharType="begin"/>
      </w:r>
      <w:r>
        <w:instrText xml:space="preserve"> PAGEREF _Toc16201 \h </w:instrText>
      </w:r>
      <w:r>
        <w:fldChar w:fldCharType="separate"/>
      </w:r>
      <w:r>
        <w:t>50</w:t>
      </w:r>
      <w:r>
        <w:fldChar w:fldCharType="end"/>
      </w:r>
      <w:r>
        <w:fldChar w:fldCharType="end"/>
      </w:r>
    </w:p>
    <w:p w14:paraId="566E04D8">
      <w:pPr>
        <w:pStyle w:val="17"/>
        <w:tabs>
          <w:tab w:val="right" w:leader="dot" w:pos="9368"/>
        </w:tabs>
        <w:spacing w:before="60" w:after="60"/>
        <w:ind w:left="210"/>
      </w:pPr>
      <w:r>
        <w:fldChar w:fldCharType="begin"/>
      </w:r>
      <w:r>
        <w:instrText xml:space="preserve"> HYPERLINK \l "_Toc3198" </w:instrText>
      </w:r>
      <w:r>
        <w:fldChar w:fldCharType="separate"/>
      </w:r>
      <w:r>
        <w:rPr>
          <w:rFonts w:hint="eastAsia" w:ascii="黑体" w:eastAsia="黑体"/>
          <w:kern w:val="0"/>
          <w:szCs w:val="21"/>
        </w:rPr>
        <w:t xml:space="preserve">18.1 </w:t>
      </w:r>
      <w:r>
        <w:rPr>
          <w:rFonts w:hint="eastAsia"/>
        </w:rPr>
        <w:t>一般规定</w:t>
      </w:r>
      <w:r>
        <w:tab/>
      </w:r>
      <w:r>
        <w:fldChar w:fldCharType="begin"/>
      </w:r>
      <w:r>
        <w:instrText xml:space="preserve"> PAGEREF _Toc3198 \h </w:instrText>
      </w:r>
      <w:r>
        <w:fldChar w:fldCharType="separate"/>
      </w:r>
      <w:r>
        <w:t>50</w:t>
      </w:r>
      <w:r>
        <w:fldChar w:fldCharType="end"/>
      </w:r>
      <w:r>
        <w:fldChar w:fldCharType="end"/>
      </w:r>
    </w:p>
    <w:p w14:paraId="378B1A60">
      <w:pPr>
        <w:pStyle w:val="17"/>
        <w:tabs>
          <w:tab w:val="right" w:leader="dot" w:pos="9368"/>
        </w:tabs>
        <w:spacing w:before="60" w:after="60"/>
        <w:ind w:left="210"/>
      </w:pPr>
      <w:r>
        <w:fldChar w:fldCharType="begin"/>
      </w:r>
      <w:r>
        <w:instrText xml:space="preserve"> HYPERLINK \l "_Toc11878" </w:instrText>
      </w:r>
      <w:r>
        <w:fldChar w:fldCharType="separate"/>
      </w:r>
      <w:r>
        <w:rPr>
          <w:rFonts w:hint="eastAsia" w:ascii="黑体" w:eastAsia="黑体"/>
          <w:kern w:val="0"/>
          <w:szCs w:val="21"/>
        </w:rPr>
        <w:t xml:space="preserve">18.2 </w:t>
      </w:r>
      <w:r>
        <w:rPr>
          <w:rFonts w:hint="eastAsia"/>
        </w:rPr>
        <w:t>消防系统配置</w:t>
      </w:r>
      <w:r>
        <w:tab/>
      </w:r>
      <w:r>
        <w:fldChar w:fldCharType="begin"/>
      </w:r>
      <w:r>
        <w:instrText xml:space="preserve"> PAGEREF _Toc11878 \h </w:instrText>
      </w:r>
      <w:r>
        <w:fldChar w:fldCharType="separate"/>
      </w:r>
      <w:r>
        <w:t>50</w:t>
      </w:r>
      <w:r>
        <w:fldChar w:fldCharType="end"/>
      </w:r>
      <w:r>
        <w:fldChar w:fldCharType="end"/>
      </w:r>
    </w:p>
    <w:p w14:paraId="6F9F8D87">
      <w:pPr>
        <w:pStyle w:val="17"/>
        <w:tabs>
          <w:tab w:val="right" w:leader="dot" w:pos="9368"/>
        </w:tabs>
        <w:spacing w:before="60" w:after="60"/>
        <w:ind w:left="210"/>
      </w:pPr>
      <w:r>
        <w:fldChar w:fldCharType="begin"/>
      </w:r>
      <w:r>
        <w:instrText xml:space="preserve"> HYPERLINK \l "_Toc18121" </w:instrText>
      </w:r>
      <w:r>
        <w:fldChar w:fldCharType="separate"/>
      </w:r>
      <w:r>
        <w:rPr>
          <w:rFonts w:hint="eastAsia" w:ascii="黑体" w:eastAsia="黑体"/>
          <w:kern w:val="0"/>
          <w:szCs w:val="21"/>
        </w:rPr>
        <w:t xml:space="preserve">18.3 </w:t>
      </w:r>
      <w:r>
        <w:rPr>
          <w:rFonts w:hint="eastAsia"/>
        </w:rPr>
        <w:t>水消防系统</w:t>
      </w:r>
      <w:r>
        <w:tab/>
      </w:r>
      <w:r>
        <w:fldChar w:fldCharType="begin"/>
      </w:r>
      <w:r>
        <w:instrText xml:space="preserve"> PAGEREF _Toc18121 \h </w:instrText>
      </w:r>
      <w:r>
        <w:fldChar w:fldCharType="separate"/>
      </w:r>
      <w:r>
        <w:t>50</w:t>
      </w:r>
      <w:r>
        <w:fldChar w:fldCharType="end"/>
      </w:r>
      <w:r>
        <w:fldChar w:fldCharType="end"/>
      </w:r>
    </w:p>
    <w:p w14:paraId="3DFCBD5A">
      <w:pPr>
        <w:pStyle w:val="17"/>
        <w:tabs>
          <w:tab w:val="right" w:leader="dot" w:pos="9368"/>
        </w:tabs>
        <w:spacing w:before="60" w:after="60"/>
        <w:ind w:left="210"/>
      </w:pPr>
      <w:r>
        <w:fldChar w:fldCharType="begin"/>
      </w:r>
      <w:r>
        <w:instrText xml:space="preserve"> HYPERLINK \l "_Toc29501" </w:instrText>
      </w:r>
      <w:r>
        <w:fldChar w:fldCharType="separate"/>
      </w:r>
      <w:r>
        <w:rPr>
          <w:rFonts w:hint="eastAsia" w:ascii="黑体" w:eastAsia="黑体"/>
          <w:kern w:val="0"/>
          <w:szCs w:val="21"/>
        </w:rPr>
        <w:t xml:space="preserve">18.4 </w:t>
      </w:r>
      <w:r>
        <w:rPr>
          <w:rFonts w:hint="eastAsia"/>
        </w:rPr>
        <w:t>气体灭火系统</w:t>
      </w:r>
      <w:r>
        <w:tab/>
      </w:r>
      <w:r>
        <w:fldChar w:fldCharType="begin"/>
      </w:r>
      <w:r>
        <w:instrText xml:space="preserve"> PAGEREF _Toc29501 \h </w:instrText>
      </w:r>
      <w:r>
        <w:fldChar w:fldCharType="separate"/>
      </w:r>
      <w:r>
        <w:t>51</w:t>
      </w:r>
      <w:r>
        <w:fldChar w:fldCharType="end"/>
      </w:r>
      <w:r>
        <w:fldChar w:fldCharType="end"/>
      </w:r>
    </w:p>
    <w:p w14:paraId="4DDFAE69">
      <w:pPr>
        <w:pStyle w:val="17"/>
        <w:tabs>
          <w:tab w:val="right" w:leader="dot" w:pos="9368"/>
        </w:tabs>
        <w:spacing w:before="60" w:after="60"/>
        <w:ind w:left="210"/>
      </w:pPr>
      <w:r>
        <w:fldChar w:fldCharType="begin"/>
      </w:r>
      <w:r>
        <w:instrText xml:space="preserve"> HYPERLINK \l "_Toc32054" </w:instrText>
      </w:r>
      <w:r>
        <w:fldChar w:fldCharType="separate"/>
      </w:r>
      <w:r>
        <w:rPr>
          <w:rFonts w:hint="eastAsia" w:ascii="黑体" w:eastAsia="黑体"/>
          <w:kern w:val="0"/>
          <w:szCs w:val="21"/>
        </w:rPr>
        <w:t xml:space="preserve">18.5 </w:t>
      </w:r>
      <w:r>
        <w:rPr>
          <w:rFonts w:hint="eastAsia"/>
        </w:rPr>
        <w:t>泡沫灭火系统</w:t>
      </w:r>
      <w:r>
        <w:tab/>
      </w:r>
      <w:r>
        <w:fldChar w:fldCharType="begin"/>
      </w:r>
      <w:r>
        <w:instrText xml:space="preserve"> PAGEREF _Toc32054 \h </w:instrText>
      </w:r>
      <w:r>
        <w:fldChar w:fldCharType="separate"/>
      </w:r>
      <w:r>
        <w:t>52</w:t>
      </w:r>
      <w:r>
        <w:fldChar w:fldCharType="end"/>
      </w:r>
      <w:r>
        <w:fldChar w:fldCharType="end"/>
      </w:r>
    </w:p>
    <w:p w14:paraId="0BB2BB7C">
      <w:pPr>
        <w:pStyle w:val="17"/>
        <w:tabs>
          <w:tab w:val="right" w:leader="dot" w:pos="9368"/>
        </w:tabs>
        <w:spacing w:before="60" w:after="60"/>
        <w:ind w:left="210"/>
      </w:pPr>
      <w:r>
        <w:fldChar w:fldCharType="begin"/>
      </w:r>
      <w:r>
        <w:instrText xml:space="preserve"> HYPERLINK \l "_Toc8381" </w:instrText>
      </w:r>
      <w:r>
        <w:fldChar w:fldCharType="separate"/>
      </w:r>
      <w:r>
        <w:rPr>
          <w:rFonts w:hint="eastAsia" w:ascii="黑体" w:eastAsia="黑体"/>
          <w:kern w:val="0"/>
          <w:szCs w:val="21"/>
        </w:rPr>
        <w:t xml:space="preserve">18.6 </w:t>
      </w:r>
      <w:r>
        <w:rPr>
          <w:rFonts w:hint="eastAsia"/>
        </w:rPr>
        <w:t>细水雾灭火系统</w:t>
      </w:r>
      <w:r>
        <w:tab/>
      </w:r>
      <w:r>
        <w:fldChar w:fldCharType="begin"/>
      </w:r>
      <w:r>
        <w:instrText xml:space="preserve"> PAGEREF _Toc8381 \h </w:instrText>
      </w:r>
      <w:r>
        <w:fldChar w:fldCharType="separate"/>
      </w:r>
      <w:r>
        <w:t>52</w:t>
      </w:r>
      <w:r>
        <w:fldChar w:fldCharType="end"/>
      </w:r>
      <w:r>
        <w:fldChar w:fldCharType="end"/>
      </w:r>
    </w:p>
    <w:p w14:paraId="2FD8DB16">
      <w:pPr>
        <w:pStyle w:val="17"/>
        <w:tabs>
          <w:tab w:val="right" w:leader="dot" w:pos="9368"/>
        </w:tabs>
        <w:spacing w:before="60" w:after="60"/>
        <w:ind w:left="210"/>
      </w:pPr>
      <w:r>
        <w:fldChar w:fldCharType="begin"/>
      </w:r>
      <w:r>
        <w:instrText xml:space="preserve"> HYPERLINK \l "_Toc25477" </w:instrText>
      </w:r>
      <w:r>
        <w:fldChar w:fldCharType="separate"/>
      </w:r>
      <w:r>
        <w:rPr>
          <w:rFonts w:hint="eastAsia" w:ascii="黑体" w:eastAsia="黑体"/>
          <w:kern w:val="0"/>
          <w:szCs w:val="21"/>
        </w:rPr>
        <w:t xml:space="preserve">18.7 </w:t>
      </w:r>
      <w:r>
        <w:rPr>
          <w:rFonts w:hint="eastAsia"/>
        </w:rPr>
        <w:t>直升机甲板消防系统</w:t>
      </w:r>
      <w:r>
        <w:tab/>
      </w:r>
      <w:r>
        <w:fldChar w:fldCharType="begin"/>
      </w:r>
      <w:r>
        <w:instrText xml:space="preserve"> PAGEREF _Toc25477 \h </w:instrText>
      </w:r>
      <w:r>
        <w:fldChar w:fldCharType="separate"/>
      </w:r>
      <w:r>
        <w:t>52</w:t>
      </w:r>
      <w:r>
        <w:fldChar w:fldCharType="end"/>
      </w:r>
      <w:r>
        <w:fldChar w:fldCharType="end"/>
      </w:r>
    </w:p>
    <w:p w14:paraId="0E89F05F">
      <w:pPr>
        <w:pStyle w:val="17"/>
        <w:tabs>
          <w:tab w:val="right" w:leader="dot" w:pos="9368"/>
        </w:tabs>
        <w:spacing w:before="60" w:after="60"/>
        <w:ind w:left="210"/>
      </w:pPr>
      <w:r>
        <w:fldChar w:fldCharType="begin"/>
      </w:r>
      <w:r>
        <w:instrText xml:space="preserve"> HYPERLINK \l "_Toc32260" </w:instrText>
      </w:r>
      <w:r>
        <w:fldChar w:fldCharType="separate"/>
      </w:r>
      <w:r>
        <w:rPr>
          <w:rFonts w:hint="eastAsia" w:ascii="黑体" w:eastAsia="黑体"/>
          <w:kern w:val="0"/>
          <w:szCs w:val="21"/>
        </w:rPr>
        <w:t xml:space="preserve">18.8 </w:t>
      </w:r>
      <w:r>
        <w:rPr>
          <w:rFonts w:hint="eastAsia"/>
        </w:rPr>
        <w:t>消防用品</w:t>
      </w:r>
      <w:r>
        <w:tab/>
      </w:r>
      <w:r>
        <w:fldChar w:fldCharType="begin"/>
      </w:r>
      <w:r>
        <w:instrText xml:space="preserve"> PAGEREF _Toc32260 \h </w:instrText>
      </w:r>
      <w:r>
        <w:fldChar w:fldCharType="separate"/>
      </w:r>
      <w:r>
        <w:t>52</w:t>
      </w:r>
      <w:r>
        <w:fldChar w:fldCharType="end"/>
      </w:r>
      <w:r>
        <w:fldChar w:fldCharType="end"/>
      </w:r>
    </w:p>
    <w:p w14:paraId="08C4FD79">
      <w:pPr>
        <w:pStyle w:val="18"/>
        <w:tabs>
          <w:tab w:val="right" w:leader="dot" w:pos="9368"/>
        </w:tabs>
        <w:spacing w:before="60" w:after="60"/>
      </w:pPr>
      <w:r>
        <w:fldChar w:fldCharType="begin"/>
      </w:r>
      <w:r>
        <w:instrText xml:space="preserve"> HYPERLINK \l "_Toc1333" </w:instrText>
      </w:r>
      <w:r>
        <w:fldChar w:fldCharType="separate"/>
      </w:r>
      <w:r>
        <w:rPr>
          <w:rFonts w:hint="eastAsia" w:ascii="黑体" w:eastAsia="黑体"/>
          <w:szCs w:val="21"/>
        </w:rPr>
        <w:t xml:space="preserve">19 </w:t>
      </w:r>
      <w:r>
        <w:rPr>
          <w:rFonts w:hint="eastAsia"/>
        </w:rPr>
        <w:t>救生和逃生系统</w:t>
      </w:r>
      <w:r>
        <w:tab/>
      </w:r>
      <w:r>
        <w:fldChar w:fldCharType="begin"/>
      </w:r>
      <w:r>
        <w:instrText xml:space="preserve"> PAGEREF _Toc1333 \h </w:instrText>
      </w:r>
      <w:r>
        <w:fldChar w:fldCharType="separate"/>
      </w:r>
      <w:r>
        <w:t>53</w:t>
      </w:r>
      <w:r>
        <w:fldChar w:fldCharType="end"/>
      </w:r>
      <w:r>
        <w:fldChar w:fldCharType="end"/>
      </w:r>
    </w:p>
    <w:p w14:paraId="3554B5AA">
      <w:pPr>
        <w:pStyle w:val="17"/>
        <w:tabs>
          <w:tab w:val="right" w:leader="dot" w:pos="9368"/>
        </w:tabs>
        <w:spacing w:before="60" w:after="60"/>
        <w:ind w:left="210"/>
      </w:pPr>
      <w:r>
        <w:fldChar w:fldCharType="begin"/>
      </w:r>
      <w:r>
        <w:instrText xml:space="preserve"> HYPERLINK \l "_Toc11783" </w:instrText>
      </w:r>
      <w:r>
        <w:fldChar w:fldCharType="separate"/>
      </w:r>
      <w:r>
        <w:rPr>
          <w:rFonts w:hint="eastAsia" w:ascii="黑体" w:eastAsia="黑体"/>
          <w:kern w:val="0"/>
          <w:szCs w:val="21"/>
        </w:rPr>
        <w:t xml:space="preserve">19.1 </w:t>
      </w:r>
      <w:r>
        <w:rPr>
          <w:rFonts w:hint="eastAsia"/>
        </w:rPr>
        <w:t>一般规定</w:t>
      </w:r>
      <w:r>
        <w:tab/>
      </w:r>
      <w:r>
        <w:fldChar w:fldCharType="begin"/>
      </w:r>
      <w:r>
        <w:instrText xml:space="preserve"> PAGEREF _Toc11783 \h </w:instrText>
      </w:r>
      <w:r>
        <w:fldChar w:fldCharType="separate"/>
      </w:r>
      <w:r>
        <w:t>53</w:t>
      </w:r>
      <w:r>
        <w:fldChar w:fldCharType="end"/>
      </w:r>
      <w:r>
        <w:fldChar w:fldCharType="end"/>
      </w:r>
    </w:p>
    <w:p w14:paraId="10CF2E91">
      <w:pPr>
        <w:pStyle w:val="17"/>
        <w:tabs>
          <w:tab w:val="right" w:leader="dot" w:pos="9368"/>
        </w:tabs>
        <w:spacing w:before="60" w:after="60"/>
        <w:ind w:left="210"/>
      </w:pPr>
      <w:r>
        <w:fldChar w:fldCharType="begin"/>
      </w:r>
      <w:r>
        <w:instrText xml:space="preserve"> HYPERLINK \l "_Toc28943" </w:instrText>
      </w:r>
      <w:r>
        <w:fldChar w:fldCharType="separate"/>
      </w:r>
      <w:r>
        <w:rPr>
          <w:rFonts w:hint="eastAsia" w:ascii="黑体" w:eastAsia="黑体"/>
          <w:kern w:val="0"/>
          <w:szCs w:val="21"/>
        </w:rPr>
        <w:t xml:space="preserve">19.2 </w:t>
      </w:r>
      <w:r>
        <w:rPr>
          <w:rFonts w:hint="eastAsia"/>
        </w:rPr>
        <w:t>救生艇装置</w:t>
      </w:r>
      <w:r>
        <w:tab/>
      </w:r>
      <w:r>
        <w:fldChar w:fldCharType="begin"/>
      </w:r>
      <w:r>
        <w:instrText xml:space="preserve"> PAGEREF _Toc28943 \h </w:instrText>
      </w:r>
      <w:r>
        <w:fldChar w:fldCharType="separate"/>
      </w:r>
      <w:r>
        <w:t>53</w:t>
      </w:r>
      <w:r>
        <w:fldChar w:fldCharType="end"/>
      </w:r>
      <w:r>
        <w:fldChar w:fldCharType="end"/>
      </w:r>
    </w:p>
    <w:p w14:paraId="4F4947BA">
      <w:pPr>
        <w:pStyle w:val="17"/>
        <w:tabs>
          <w:tab w:val="right" w:leader="dot" w:pos="9368"/>
        </w:tabs>
        <w:spacing w:before="60" w:after="60"/>
        <w:ind w:left="210"/>
      </w:pPr>
      <w:r>
        <w:fldChar w:fldCharType="begin"/>
      </w:r>
      <w:r>
        <w:instrText xml:space="preserve"> HYPERLINK \l "_Toc17775" </w:instrText>
      </w:r>
      <w:r>
        <w:fldChar w:fldCharType="separate"/>
      </w:r>
      <w:r>
        <w:rPr>
          <w:rFonts w:hint="eastAsia" w:ascii="黑体" w:eastAsia="黑体"/>
          <w:kern w:val="0"/>
          <w:szCs w:val="21"/>
        </w:rPr>
        <w:t xml:space="preserve">19.3 </w:t>
      </w:r>
      <w:r>
        <w:rPr>
          <w:rFonts w:hint="eastAsia"/>
        </w:rPr>
        <w:t>救助艇</w:t>
      </w:r>
      <w:r>
        <w:tab/>
      </w:r>
      <w:r>
        <w:fldChar w:fldCharType="begin"/>
      </w:r>
      <w:r>
        <w:instrText xml:space="preserve"> PAGEREF _Toc17775 \h </w:instrText>
      </w:r>
      <w:r>
        <w:fldChar w:fldCharType="separate"/>
      </w:r>
      <w:r>
        <w:t>54</w:t>
      </w:r>
      <w:r>
        <w:fldChar w:fldCharType="end"/>
      </w:r>
      <w:r>
        <w:fldChar w:fldCharType="end"/>
      </w:r>
    </w:p>
    <w:p w14:paraId="0AA92BD8">
      <w:pPr>
        <w:pStyle w:val="17"/>
        <w:tabs>
          <w:tab w:val="right" w:leader="dot" w:pos="9368"/>
        </w:tabs>
        <w:spacing w:before="60" w:after="60"/>
        <w:ind w:left="210"/>
      </w:pPr>
      <w:r>
        <w:fldChar w:fldCharType="begin"/>
      </w:r>
      <w:r>
        <w:instrText xml:space="preserve"> HYPERLINK \l "_Toc11794" </w:instrText>
      </w:r>
      <w:r>
        <w:fldChar w:fldCharType="separate"/>
      </w:r>
      <w:r>
        <w:rPr>
          <w:rFonts w:hint="eastAsia" w:ascii="黑体" w:eastAsia="黑体"/>
          <w:kern w:val="0"/>
          <w:szCs w:val="21"/>
        </w:rPr>
        <w:t xml:space="preserve">19.4 </w:t>
      </w:r>
      <w:r>
        <w:rPr>
          <w:rFonts w:hint="eastAsia"/>
        </w:rPr>
        <w:t>气胀式救生筏</w:t>
      </w:r>
      <w:r>
        <w:tab/>
      </w:r>
      <w:r>
        <w:fldChar w:fldCharType="begin"/>
      </w:r>
      <w:r>
        <w:instrText xml:space="preserve"> PAGEREF _Toc11794 \h </w:instrText>
      </w:r>
      <w:r>
        <w:fldChar w:fldCharType="separate"/>
      </w:r>
      <w:r>
        <w:t>55</w:t>
      </w:r>
      <w:r>
        <w:fldChar w:fldCharType="end"/>
      </w:r>
      <w:r>
        <w:fldChar w:fldCharType="end"/>
      </w:r>
    </w:p>
    <w:p w14:paraId="7A4F4464">
      <w:pPr>
        <w:pStyle w:val="17"/>
        <w:tabs>
          <w:tab w:val="right" w:leader="dot" w:pos="9368"/>
        </w:tabs>
        <w:spacing w:before="60" w:after="60"/>
        <w:ind w:left="210"/>
      </w:pPr>
      <w:r>
        <w:fldChar w:fldCharType="begin"/>
      </w:r>
      <w:r>
        <w:instrText xml:space="preserve"> HYPERLINK \l "_Toc18514" </w:instrText>
      </w:r>
      <w:r>
        <w:fldChar w:fldCharType="separate"/>
      </w:r>
      <w:r>
        <w:rPr>
          <w:rFonts w:hint="eastAsia" w:ascii="黑体" w:eastAsia="黑体"/>
          <w:kern w:val="0"/>
          <w:szCs w:val="21"/>
        </w:rPr>
        <w:t xml:space="preserve">19.5 </w:t>
      </w:r>
      <w:r>
        <w:rPr>
          <w:rFonts w:hint="eastAsia"/>
        </w:rPr>
        <w:t>救生圈</w:t>
      </w:r>
      <w:r>
        <w:tab/>
      </w:r>
      <w:r>
        <w:fldChar w:fldCharType="begin"/>
      </w:r>
      <w:r>
        <w:instrText xml:space="preserve"> PAGEREF _Toc18514 \h </w:instrText>
      </w:r>
      <w:r>
        <w:fldChar w:fldCharType="separate"/>
      </w:r>
      <w:r>
        <w:t>55</w:t>
      </w:r>
      <w:r>
        <w:fldChar w:fldCharType="end"/>
      </w:r>
      <w:r>
        <w:fldChar w:fldCharType="end"/>
      </w:r>
    </w:p>
    <w:p w14:paraId="50347A28">
      <w:pPr>
        <w:pStyle w:val="17"/>
        <w:tabs>
          <w:tab w:val="right" w:leader="dot" w:pos="9368"/>
        </w:tabs>
        <w:spacing w:before="60" w:after="60"/>
        <w:ind w:left="210"/>
      </w:pPr>
      <w:r>
        <w:fldChar w:fldCharType="begin"/>
      </w:r>
      <w:r>
        <w:instrText xml:space="preserve"> HYPERLINK \l "_Toc11465" </w:instrText>
      </w:r>
      <w:r>
        <w:fldChar w:fldCharType="separate"/>
      </w:r>
      <w:r>
        <w:rPr>
          <w:rFonts w:hint="eastAsia" w:ascii="黑体" w:eastAsia="黑体"/>
          <w:kern w:val="0"/>
          <w:szCs w:val="21"/>
        </w:rPr>
        <w:t xml:space="preserve">19.6 </w:t>
      </w:r>
      <w:r>
        <w:rPr>
          <w:rFonts w:hint="eastAsia"/>
        </w:rPr>
        <w:t>救生衣</w:t>
      </w:r>
      <w:r>
        <w:tab/>
      </w:r>
      <w:r>
        <w:fldChar w:fldCharType="begin"/>
      </w:r>
      <w:r>
        <w:instrText xml:space="preserve"> PAGEREF _Toc11465 \h </w:instrText>
      </w:r>
      <w:r>
        <w:fldChar w:fldCharType="separate"/>
      </w:r>
      <w:r>
        <w:t>55</w:t>
      </w:r>
      <w:r>
        <w:fldChar w:fldCharType="end"/>
      </w:r>
      <w:r>
        <w:fldChar w:fldCharType="end"/>
      </w:r>
    </w:p>
    <w:p w14:paraId="27B921C4">
      <w:pPr>
        <w:pStyle w:val="17"/>
        <w:tabs>
          <w:tab w:val="right" w:leader="dot" w:pos="9368"/>
        </w:tabs>
        <w:spacing w:before="60" w:after="60"/>
        <w:ind w:left="210"/>
      </w:pPr>
      <w:r>
        <w:fldChar w:fldCharType="begin"/>
      </w:r>
      <w:r>
        <w:instrText xml:space="preserve"> HYPERLINK \l "_Toc5805" </w:instrText>
      </w:r>
      <w:r>
        <w:fldChar w:fldCharType="separate"/>
      </w:r>
      <w:r>
        <w:rPr>
          <w:rFonts w:hint="eastAsia" w:ascii="黑体" w:eastAsia="黑体"/>
          <w:kern w:val="0"/>
          <w:szCs w:val="21"/>
        </w:rPr>
        <w:t xml:space="preserve">19.7 </w:t>
      </w:r>
      <w:r>
        <w:rPr>
          <w:rFonts w:hint="eastAsia"/>
        </w:rPr>
        <w:t>抛绳设备</w:t>
      </w:r>
      <w:r>
        <w:tab/>
      </w:r>
      <w:r>
        <w:fldChar w:fldCharType="begin"/>
      </w:r>
      <w:r>
        <w:instrText xml:space="preserve"> PAGEREF _Toc5805 \h </w:instrText>
      </w:r>
      <w:r>
        <w:fldChar w:fldCharType="separate"/>
      </w:r>
      <w:r>
        <w:t>56</w:t>
      </w:r>
      <w:r>
        <w:fldChar w:fldCharType="end"/>
      </w:r>
      <w:r>
        <w:fldChar w:fldCharType="end"/>
      </w:r>
    </w:p>
    <w:p w14:paraId="2D619B9F">
      <w:pPr>
        <w:pStyle w:val="17"/>
        <w:tabs>
          <w:tab w:val="right" w:leader="dot" w:pos="9368"/>
        </w:tabs>
        <w:spacing w:before="60" w:after="60"/>
        <w:ind w:left="210"/>
      </w:pPr>
      <w:r>
        <w:fldChar w:fldCharType="begin"/>
      </w:r>
      <w:r>
        <w:instrText xml:space="preserve"> HYPERLINK \l "_Toc16469" </w:instrText>
      </w:r>
      <w:r>
        <w:fldChar w:fldCharType="separate"/>
      </w:r>
      <w:r>
        <w:rPr>
          <w:rFonts w:hint="eastAsia" w:ascii="黑体" w:eastAsia="黑体"/>
          <w:kern w:val="0"/>
          <w:szCs w:val="21"/>
        </w:rPr>
        <w:t xml:space="preserve">19.8 </w:t>
      </w:r>
      <w:r>
        <w:rPr>
          <w:rFonts w:hint="eastAsia"/>
        </w:rPr>
        <w:t>遇险信号</w:t>
      </w:r>
      <w:r>
        <w:tab/>
      </w:r>
      <w:r>
        <w:fldChar w:fldCharType="begin"/>
      </w:r>
      <w:r>
        <w:instrText xml:space="preserve"> PAGEREF _Toc16469 \h </w:instrText>
      </w:r>
      <w:r>
        <w:fldChar w:fldCharType="separate"/>
      </w:r>
      <w:r>
        <w:t>56</w:t>
      </w:r>
      <w:r>
        <w:fldChar w:fldCharType="end"/>
      </w:r>
      <w:r>
        <w:fldChar w:fldCharType="end"/>
      </w:r>
    </w:p>
    <w:p w14:paraId="51E7E42B">
      <w:pPr>
        <w:pStyle w:val="17"/>
        <w:tabs>
          <w:tab w:val="right" w:leader="dot" w:pos="9368"/>
        </w:tabs>
        <w:spacing w:before="60" w:after="60"/>
        <w:ind w:left="210"/>
      </w:pPr>
      <w:r>
        <w:fldChar w:fldCharType="begin"/>
      </w:r>
      <w:r>
        <w:instrText xml:space="preserve"> HYPERLINK \l "_Toc17874" </w:instrText>
      </w:r>
      <w:r>
        <w:fldChar w:fldCharType="separate"/>
      </w:r>
      <w:r>
        <w:rPr>
          <w:rFonts w:hint="eastAsia" w:ascii="黑体" w:eastAsia="黑体"/>
          <w:kern w:val="0"/>
          <w:szCs w:val="21"/>
        </w:rPr>
        <w:t xml:space="preserve">19.9 </w:t>
      </w:r>
      <w:r>
        <w:rPr>
          <w:rFonts w:hint="eastAsia"/>
        </w:rPr>
        <w:t>急救设施</w:t>
      </w:r>
      <w:r>
        <w:tab/>
      </w:r>
      <w:r>
        <w:fldChar w:fldCharType="begin"/>
      </w:r>
      <w:r>
        <w:instrText xml:space="preserve"> PAGEREF _Toc17874 \h </w:instrText>
      </w:r>
      <w:r>
        <w:fldChar w:fldCharType="separate"/>
      </w:r>
      <w:r>
        <w:t>57</w:t>
      </w:r>
      <w:r>
        <w:fldChar w:fldCharType="end"/>
      </w:r>
      <w:r>
        <w:fldChar w:fldCharType="end"/>
      </w:r>
    </w:p>
    <w:p w14:paraId="69AD0776">
      <w:pPr>
        <w:pStyle w:val="17"/>
        <w:tabs>
          <w:tab w:val="right" w:leader="dot" w:pos="9368"/>
        </w:tabs>
        <w:spacing w:before="60" w:after="60"/>
        <w:ind w:left="210"/>
      </w:pPr>
      <w:r>
        <w:fldChar w:fldCharType="begin"/>
      </w:r>
      <w:r>
        <w:instrText xml:space="preserve"> HYPERLINK \l "_Toc17578" </w:instrText>
      </w:r>
      <w:r>
        <w:fldChar w:fldCharType="separate"/>
      </w:r>
      <w:r>
        <w:rPr>
          <w:rFonts w:hint="eastAsia" w:ascii="黑体" w:eastAsia="黑体"/>
          <w:kern w:val="0"/>
          <w:szCs w:val="21"/>
        </w:rPr>
        <w:t xml:space="preserve">19.10 </w:t>
      </w:r>
      <w:r>
        <w:rPr>
          <w:rFonts w:hint="eastAsia"/>
        </w:rPr>
        <w:t>逃生用具</w:t>
      </w:r>
      <w:r>
        <w:tab/>
      </w:r>
      <w:r>
        <w:fldChar w:fldCharType="begin"/>
      </w:r>
      <w:r>
        <w:instrText xml:space="preserve"> PAGEREF _Toc17578 \h </w:instrText>
      </w:r>
      <w:r>
        <w:fldChar w:fldCharType="separate"/>
      </w:r>
      <w:r>
        <w:t>57</w:t>
      </w:r>
      <w:r>
        <w:fldChar w:fldCharType="end"/>
      </w:r>
      <w:r>
        <w:fldChar w:fldCharType="end"/>
      </w:r>
    </w:p>
    <w:p w14:paraId="0A2E33C9">
      <w:pPr>
        <w:pStyle w:val="17"/>
        <w:tabs>
          <w:tab w:val="right" w:leader="dot" w:pos="9368"/>
        </w:tabs>
        <w:spacing w:before="60" w:after="60"/>
        <w:ind w:left="210"/>
      </w:pPr>
      <w:r>
        <w:fldChar w:fldCharType="begin"/>
      </w:r>
      <w:r>
        <w:instrText xml:space="preserve"> HYPERLINK \l "_Toc5671" </w:instrText>
      </w:r>
      <w:r>
        <w:fldChar w:fldCharType="separate"/>
      </w:r>
      <w:r>
        <w:rPr>
          <w:rFonts w:hint="eastAsia" w:ascii="黑体" w:eastAsia="黑体"/>
          <w:kern w:val="0"/>
          <w:szCs w:val="21"/>
        </w:rPr>
        <w:t xml:space="preserve">19.11 </w:t>
      </w:r>
      <w:r>
        <w:rPr>
          <w:rFonts w:ascii="Times New Roman"/>
        </w:rPr>
        <w:t>人员防护</w:t>
      </w:r>
      <w:r>
        <w:rPr>
          <w:rFonts w:hint="eastAsia" w:ascii="Times New Roman"/>
        </w:rPr>
        <w:t>装置与装备</w:t>
      </w:r>
      <w:r>
        <w:tab/>
      </w:r>
      <w:r>
        <w:fldChar w:fldCharType="begin"/>
      </w:r>
      <w:r>
        <w:instrText xml:space="preserve"> PAGEREF _Toc5671 \h </w:instrText>
      </w:r>
      <w:r>
        <w:fldChar w:fldCharType="separate"/>
      </w:r>
      <w:r>
        <w:t>57</w:t>
      </w:r>
      <w:r>
        <w:fldChar w:fldCharType="end"/>
      </w:r>
      <w:r>
        <w:fldChar w:fldCharType="end"/>
      </w:r>
    </w:p>
    <w:p w14:paraId="2022C9E3">
      <w:pPr>
        <w:pStyle w:val="17"/>
        <w:tabs>
          <w:tab w:val="right" w:leader="dot" w:pos="9368"/>
        </w:tabs>
        <w:spacing w:before="60" w:after="60"/>
        <w:ind w:left="210"/>
      </w:pPr>
      <w:r>
        <w:fldChar w:fldCharType="begin"/>
      </w:r>
      <w:r>
        <w:instrText xml:space="preserve"> HYPERLINK \l "_Toc978" </w:instrText>
      </w:r>
      <w:r>
        <w:fldChar w:fldCharType="separate"/>
      </w:r>
      <w:r>
        <w:rPr>
          <w:rFonts w:hint="eastAsia" w:ascii="黑体" w:eastAsia="黑体"/>
          <w:kern w:val="0"/>
          <w:szCs w:val="21"/>
        </w:rPr>
        <w:t xml:space="preserve">19.12 </w:t>
      </w:r>
      <w:r>
        <w:rPr>
          <w:rFonts w:hint="eastAsia"/>
        </w:rPr>
        <w:t>逃生通道</w:t>
      </w:r>
      <w:r>
        <w:tab/>
      </w:r>
      <w:r>
        <w:fldChar w:fldCharType="begin"/>
      </w:r>
      <w:r>
        <w:instrText xml:space="preserve"> PAGEREF _Toc978 \h </w:instrText>
      </w:r>
      <w:r>
        <w:fldChar w:fldCharType="separate"/>
      </w:r>
      <w:r>
        <w:t>57</w:t>
      </w:r>
      <w:r>
        <w:fldChar w:fldCharType="end"/>
      </w:r>
      <w:r>
        <w:fldChar w:fldCharType="end"/>
      </w:r>
    </w:p>
    <w:p w14:paraId="7ADA54A0">
      <w:pPr>
        <w:pStyle w:val="17"/>
        <w:tabs>
          <w:tab w:val="right" w:leader="dot" w:pos="9368"/>
        </w:tabs>
        <w:spacing w:before="60" w:after="60"/>
        <w:ind w:left="210"/>
      </w:pPr>
      <w:r>
        <w:fldChar w:fldCharType="begin"/>
      </w:r>
      <w:r>
        <w:instrText xml:space="preserve"> HYPERLINK \l "_Toc28641" </w:instrText>
      </w:r>
      <w:r>
        <w:fldChar w:fldCharType="separate"/>
      </w:r>
      <w:r>
        <w:rPr>
          <w:rFonts w:hint="eastAsia" w:ascii="黑体" w:eastAsia="黑体"/>
          <w:kern w:val="0"/>
          <w:szCs w:val="21"/>
        </w:rPr>
        <w:t xml:space="preserve">19.13 </w:t>
      </w:r>
      <w:r>
        <w:rPr>
          <w:rFonts w:hint="eastAsia"/>
        </w:rPr>
        <w:t>登艇集合区</w:t>
      </w:r>
      <w:r>
        <w:tab/>
      </w:r>
      <w:r>
        <w:fldChar w:fldCharType="begin"/>
      </w:r>
      <w:r>
        <w:instrText xml:space="preserve"> PAGEREF _Toc28641 \h </w:instrText>
      </w:r>
      <w:r>
        <w:fldChar w:fldCharType="separate"/>
      </w:r>
      <w:r>
        <w:t>58</w:t>
      </w:r>
      <w:r>
        <w:fldChar w:fldCharType="end"/>
      </w:r>
      <w:r>
        <w:fldChar w:fldCharType="end"/>
      </w:r>
    </w:p>
    <w:p w14:paraId="79B63C11">
      <w:pPr>
        <w:pStyle w:val="17"/>
        <w:tabs>
          <w:tab w:val="right" w:leader="dot" w:pos="9368"/>
        </w:tabs>
        <w:spacing w:before="60" w:after="60"/>
        <w:ind w:left="210"/>
      </w:pPr>
      <w:r>
        <w:fldChar w:fldCharType="begin"/>
      </w:r>
      <w:r>
        <w:instrText xml:space="preserve"> HYPERLINK \l "_Toc14900" </w:instrText>
      </w:r>
      <w:r>
        <w:fldChar w:fldCharType="separate"/>
      </w:r>
      <w:r>
        <w:rPr>
          <w:rFonts w:hint="eastAsia" w:ascii="黑体" w:eastAsia="黑体"/>
          <w:kern w:val="0"/>
          <w:szCs w:val="21"/>
        </w:rPr>
        <w:t xml:space="preserve">19.14 </w:t>
      </w:r>
      <w:r>
        <w:rPr>
          <w:rFonts w:hint="eastAsia"/>
        </w:rPr>
        <w:t>临时避难所</w:t>
      </w:r>
      <w:r>
        <w:tab/>
      </w:r>
      <w:r>
        <w:fldChar w:fldCharType="begin"/>
      </w:r>
      <w:r>
        <w:instrText xml:space="preserve"> PAGEREF _Toc14900 \h </w:instrText>
      </w:r>
      <w:r>
        <w:fldChar w:fldCharType="separate"/>
      </w:r>
      <w:r>
        <w:t>58</w:t>
      </w:r>
      <w:r>
        <w:fldChar w:fldCharType="end"/>
      </w:r>
      <w:r>
        <w:fldChar w:fldCharType="end"/>
      </w:r>
    </w:p>
    <w:p w14:paraId="12DC8CC0">
      <w:pPr>
        <w:pStyle w:val="18"/>
        <w:tabs>
          <w:tab w:val="right" w:leader="dot" w:pos="9368"/>
        </w:tabs>
        <w:spacing w:before="60" w:after="60"/>
      </w:pPr>
      <w:r>
        <w:fldChar w:fldCharType="begin"/>
      </w:r>
      <w:r>
        <w:instrText xml:space="preserve"> HYPERLINK \l "_Toc26280" </w:instrText>
      </w:r>
      <w:r>
        <w:fldChar w:fldCharType="separate"/>
      </w:r>
      <w:r>
        <w:rPr>
          <w:rFonts w:hint="eastAsia" w:ascii="黑体" w:eastAsia="黑体"/>
          <w:szCs w:val="21"/>
        </w:rPr>
        <w:t xml:space="preserve">20 </w:t>
      </w:r>
      <w:r>
        <w:rPr>
          <w:rFonts w:ascii="Times New Roman"/>
        </w:rPr>
        <w:t>助航标志与信号</w:t>
      </w:r>
      <w:r>
        <w:tab/>
      </w:r>
      <w:r>
        <w:fldChar w:fldCharType="begin"/>
      </w:r>
      <w:r>
        <w:instrText xml:space="preserve"> PAGEREF _Toc26280 \h </w:instrText>
      </w:r>
      <w:r>
        <w:fldChar w:fldCharType="separate"/>
      </w:r>
      <w:r>
        <w:t>58</w:t>
      </w:r>
      <w:r>
        <w:fldChar w:fldCharType="end"/>
      </w:r>
      <w:r>
        <w:fldChar w:fldCharType="end"/>
      </w:r>
    </w:p>
    <w:p w14:paraId="27429EE0">
      <w:pPr>
        <w:pStyle w:val="17"/>
        <w:tabs>
          <w:tab w:val="right" w:leader="dot" w:pos="9368"/>
        </w:tabs>
        <w:spacing w:before="60" w:after="60"/>
        <w:ind w:left="210"/>
      </w:pPr>
      <w:r>
        <w:fldChar w:fldCharType="begin"/>
      </w:r>
      <w:r>
        <w:instrText xml:space="preserve"> HYPERLINK \l "_Toc23093" </w:instrText>
      </w:r>
      <w:r>
        <w:fldChar w:fldCharType="separate"/>
      </w:r>
      <w:r>
        <w:rPr>
          <w:rFonts w:hint="eastAsia" w:ascii="黑体" w:eastAsia="黑体"/>
          <w:kern w:val="0"/>
          <w:szCs w:val="21"/>
        </w:rPr>
        <w:t xml:space="preserve">20.1 </w:t>
      </w:r>
      <w:r>
        <w:t>一般规定</w:t>
      </w:r>
      <w:r>
        <w:tab/>
      </w:r>
      <w:r>
        <w:fldChar w:fldCharType="begin"/>
      </w:r>
      <w:r>
        <w:instrText xml:space="preserve"> PAGEREF _Toc23093 \h </w:instrText>
      </w:r>
      <w:r>
        <w:fldChar w:fldCharType="separate"/>
      </w:r>
      <w:r>
        <w:t>58</w:t>
      </w:r>
      <w:r>
        <w:fldChar w:fldCharType="end"/>
      </w:r>
      <w:r>
        <w:fldChar w:fldCharType="end"/>
      </w:r>
    </w:p>
    <w:p w14:paraId="7E901E2D">
      <w:pPr>
        <w:pStyle w:val="17"/>
        <w:tabs>
          <w:tab w:val="right" w:leader="dot" w:pos="9368"/>
        </w:tabs>
        <w:spacing w:before="60" w:after="60"/>
        <w:ind w:left="210"/>
      </w:pPr>
      <w:r>
        <w:fldChar w:fldCharType="begin"/>
      </w:r>
      <w:r>
        <w:instrText xml:space="preserve"> HYPERLINK \l "_Toc836" </w:instrText>
      </w:r>
      <w:r>
        <w:fldChar w:fldCharType="separate"/>
      </w:r>
      <w:r>
        <w:rPr>
          <w:rFonts w:hint="eastAsia" w:ascii="黑体" w:eastAsia="黑体"/>
          <w:kern w:val="0"/>
          <w:szCs w:val="21"/>
        </w:rPr>
        <w:t xml:space="preserve">20.2 </w:t>
      </w:r>
      <w:r>
        <w:t>技术要求</w:t>
      </w:r>
      <w:r>
        <w:tab/>
      </w:r>
      <w:r>
        <w:fldChar w:fldCharType="begin"/>
      </w:r>
      <w:r>
        <w:instrText xml:space="preserve"> PAGEREF _Toc836 \h </w:instrText>
      </w:r>
      <w:r>
        <w:fldChar w:fldCharType="separate"/>
      </w:r>
      <w:r>
        <w:t>58</w:t>
      </w:r>
      <w:r>
        <w:fldChar w:fldCharType="end"/>
      </w:r>
      <w:r>
        <w:fldChar w:fldCharType="end"/>
      </w:r>
    </w:p>
    <w:p w14:paraId="3E856404">
      <w:pPr>
        <w:pStyle w:val="17"/>
        <w:tabs>
          <w:tab w:val="right" w:leader="dot" w:pos="9368"/>
        </w:tabs>
        <w:spacing w:before="60" w:after="60"/>
        <w:ind w:left="210"/>
      </w:pPr>
      <w:r>
        <w:fldChar w:fldCharType="begin"/>
      </w:r>
      <w:r>
        <w:instrText xml:space="preserve"> HYPERLINK \l "_Toc29094" </w:instrText>
      </w:r>
      <w:r>
        <w:fldChar w:fldCharType="separate"/>
      </w:r>
      <w:r>
        <w:rPr>
          <w:rFonts w:hint="eastAsia" w:ascii="黑体" w:eastAsia="黑体"/>
          <w:kern w:val="0"/>
          <w:szCs w:val="21"/>
        </w:rPr>
        <w:t xml:space="preserve">20.3 </w:t>
      </w:r>
      <w:r>
        <w:rPr>
          <w:rFonts w:hint="eastAsia"/>
        </w:rPr>
        <w:t>防爆</w:t>
      </w:r>
      <w:r>
        <w:tab/>
      </w:r>
      <w:r>
        <w:fldChar w:fldCharType="begin"/>
      </w:r>
      <w:r>
        <w:instrText xml:space="preserve"> PAGEREF _Toc29094 \h </w:instrText>
      </w:r>
      <w:r>
        <w:fldChar w:fldCharType="separate"/>
      </w:r>
      <w:r>
        <w:t>60</w:t>
      </w:r>
      <w:r>
        <w:fldChar w:fldCharType="end"/>
      </w:r>
      <w:r>
        <w:fldChar w:fldCharType="end"/>
      </w:r>
    </w:p>
    <w:p w14:paraId="00CF3699">
      <w:pPr>
        <w:pStyle w:val="18"/>
        <w:tabs>
          <w:tab w:val="right" w:leader="dot" w:pos="9368"/>
        </w:tabs>
        <w:spacing w:before="60" w:after="60"/>
      </w:pPr>
      <w:r>
        <w:fldChar w:fldCharType="begin"/>
      </w:r>
      <w:r>
        <w:instrText xml:space="preserve"> HYPERLINK \l "_Toc19393" </w:instrText>
      </w:r>
      <w:r>
        <w:fldChar w:fldCharType="separate"/>
      </w:r>
      <w:r>
        <w:rPr>
          <w:rFonts w:hint="eastAsia" w:ascii="黑体" w:eastAsia="黑体"/>
          <w:szCs w:val="21"/>
        </w:rPr>
        <w:t xml:space="preserve">21 </w:t>
      </w:r>
      <w:r>
        <w:rPr>
          <w:rFonts w:ascii="Times New Roman"/>
        </w:rPr>
        <w:t>通信</w:t>
      </w:r>
      <w:r>
        <w:tab/>
      </w:r>
      <w:r>
        <w:fldChar w:fldCharType="begin"/>
      </w:r>
      <w:r>
        <w:instrText xml:space="preserve"> PAGEREF _Toc19393 \h </w:instrText>
      </w:r>
      <w:r>
        <w:fldChar w:fldCharType="separate"/>
      </w:r>
      <w:r>
        <w:t>60</w:t>
      </w:r>
      <w:r>
        <w:fldChar w:fldCharType="end"/>
      </w:r>
      <w:r>
        <w:fldChar w:fldCharType="end"/>
      </w:r>
    </w:p>
    <w:p w14:paraId="66B480B5">
      <w:pPr>
        <w:pStyle w:val="17"/>
        <w:tabs>
          <w:tab w:val="right" w:leader="dot" w:pos="9368"/>
        </w:tabs>
        <w:spacing w:before="60" w:after="60"/>
        <w:ind w:left="210"/>
      </w:pPr>
      <w:r>
        <w:fldChar w:fldCharType="begin"/>
      </w:r>
      <w:r>
        <w:instrText xml:space="preserve"> HYPERLINK \l "_Toc26589" </w:instrText>
      </w:r>
      <w:r>
        <w:fldChar w:fldCharType="separate"/>
      </w:r>
      <w:r>
        <w:rPr>
          <w:rFonts w:hint="eastAsia" w:ascii="黑体" w:eastAsia="黑体"/>
          <w:kern w:val="0"/>
          <w:szCs w:val="21"/>
        </w:rPr>
        <w:t xml:space="preserve">21.1 </w:t>
      </w:r>
      <w:r>
        <w:rPr>
          <w:rFonts w:ascii="Times New Roman"/>
        </w:rPr>
        <w:t>一般规定</w:t>
      </w:r>
      <w:r>
        <w:tab/>
      </w:r>
      <w:r>
        <w:fldChar w:fldCharType="begin"/>
      </w:r>
      <w:r>
        <w:instrText xml:space="preserve"> PAGEREF _Toc26589 \h </w:instrText>
      </w:r>
      <w:r>
        <w:fldChar w:fldCharType="separate"/>
      </w:r>
      <w:r>
        <w:t>60</w:t>
      </w:r>
      <w:r>
        <w:fldChar w:fldCharType="end"/>
      </w:r>
      <w:r>
        <w:fldChar w:fldCharType="end"/>
      </w:r>
    </w:p>
    <w:p w14:paraId="51409868">
      <w:pPr>
        <w:pStyle w:val="17"/>
        <w:tabs>
          <w:tab w:val="right" w:leader="dot" w:pos="9368"/>
        </w:tabs>
        <w:spacing w:before="60" w:after="60"/>
        <w:ind w:left="210"/>
      </w:pPr>
      <w:r>
        <w:fldChar w:fldCharType="begin"/>
      </w:r>
      <w:r>
        <w:instrText xml:space="preserve"> HYPERLINK \l "_Toc1456" </w:instrText>
      </w:r>
      <w:r>
        <w:fldChar w:fldCharType="separate"/>
      </w:r>
      <w:r>
        <w:rPr>
          <w:rFonts w:hint="eastAsia" w:ascii="黑体" w:eastAsia="黑体"/>
          <w:kern w:val="0"/>
          <w:szCs w:val="21"/>
        </w:rPr>
        <w:t xml:space="preserve">21.2 </w:t>
      </w:r>
      <w:r>
        <w:rPr>
          <w:rFonts w:ascii="Times New Roman"/>
        </w:rPr>
        <w:t>配置</w:t>
      </w:r>
      <w:r>
        <w:tab/>
      </w:r>
      <w:r>
        <w:fldChar w:fldCharType="begin"/>
      </w:r>
      <w:r>
        <w:instrText xml:space="preserve"> PAGEREF _Toc1456 \h </w:instrText>
      </w:r>
      <w:r>
        <w:fldChar w:fldCharType="separate"/>
      </w:r>
      <w:r>
        <w:t>60</w:t>
      </w:r>
      <w:r>
        <w:fldChar w:fldCharType="end"/>
      </w:r>
      <w:r>
        <w:fldChar w:fldCharType="end"/>
      </w:r>
    </w:p>
    <w:p w14:paraId="2D470C44">
      <w:pPr>
        <w:pStyle w:val="17"/>
        <w:tabs>
          <w:tab w:val="right" w:leader="dot" w:pos="9368"/>
        </w:tabs>
        <w:spacing w:before="60" w:after="60"/>
        <w:ind w:left="210"/>
      </w:pPr>
      <w:r>
        <w:fldChar w:fldCharType="begin"/>
      </w:r>
      <w:r>
        <w:instrText xml:space="preserve"> HYPERLINK \l "_Toc16754" </w:instrText>
      </w:r>
      <w:r>
        <w:fldChar w:fldCharType="separate"/>
      </w:r>
      <w:r>
        <w:rPr>
          <w:rFonts w:hint="eastAsia" w:ascii="黑体" w:eastAsia="黑体"/>
          <w:kern w:val="0"/>
          <w:szCs w:val="21"/>
        </w:rPr>
        <w:t xml:space="preserve">21.3 </w:t>
      </w:r>
      <w:r>
        <w:rPr>
          <w:rFonts w:ascii="Times New Roman"/>
        </w:rPr>
        <w:t>安全技术要求</w:t>
      </w:r>
      <w:r>
        <w:tab/>
      </w:r>
      <w:r>
        <w:fldChar w:fldCharType="begin"/>
      </w:r>
      <w:r>
        <w:instrText xml:space="preserve"> PAGEREF _Toc16754 \h </w:instrText>
      </w:r>
      <w:r>
        <w:fldChar w:fldCharType="separate"/>
      </w:r>
      <w:r>
        <w:t>61</w:t>
      </w:r>
      <w:r>
        <w:fldChar w:fldCharType="end"/>
      </w:r>
      <w:r>
        <w:fldChar w:fldCharType="end"/>
      </w:r>
    </w:p>
    <w:p w14:paraId="02946AAD">
      <w:pPr>
        <w:pStyle w:val="17"/>
        <w:tabs>
          <w:tab w:val="right" w:leader="dot" w:pos="9368"/>
        </w:tabs>
        <w:spacing w:before="60" w:after="60"/>
        <w:ind w:left="210"/>
      </w:pPr>
      <w:r>
        <w:fldChar w:fldCharType="begin"/>
      </w:r>
      <w:r>
        <w:instrText xml:space="preserve"> HYPERLINK \l "_Toc19308" </w:instrText>
      </w:r>
      <w:r>
        <w:fldChar w:fldCharType="separate"/>
      </w:r>
      <w:r>
        <w:rPr>
          <w:rFonts w:hint="eastAsia" w:ascii="黑体" w:eastAsia="黑体"/>
          <w:kern w:val="0"/>
          <w:szCs w:val="21"/>
        </w:rPr>
        <w:t xml:space="preserve">21.4 </w:t>
      </w:r>
      <w:r>
        <w:rPr>
          <w:rFonts w:ascii="Times New Roman"/>
        </w:rPr>
        <w:t>电源</w:t>
      </w:r>
      <w:r>
        <w:tab/>
      </w:r>
      <w:r>
        <w:fldChar w:fldCharType="begin"/>
      </w:r>
      <w:r>
        <w:instrText xml:space="preserve"> PAGEREF _Toc19308 \h </w:instrText>
      </w:r>
      <w:r>
        <w:fldChar w:fldCharType="separate"/>
      </w:r>
      <w:r>
        <w:t>62</w:t>
      </w:r>
      <w:r>
        <w:fldChar w:fldCharType="end"/>
      </w:r>
      <w:r>
        <w:fldChar w:fldCharType="end"/>
      </w:r>
    </w:p>
    <w:p w14:paraId="4E8D2FC1">
      <w:pPr>
        <w:pStyle w:val="17"/>
        <w:tabs>
          <w:tab w:val="right" w:leader="dot" w:pos="9368"/>
        </w:tabs>
        <w:spacing w:before="60" w:after="60"/>
        <w:ind w:left="210"/>
      </w:pPr>
      <w:r>
        <w:fldChar w:fldCharType="begin"/>
      </w:r>
      <w:r>
        <w:instrText xml:space="preserve"> HYPERLINK \l "_Toc16110" </w:instrText>
      </w:r>
      <w:r>
        <w:fldChar w:fldCharType="separate"/>
      </w:r>
      <w:r>
        <w:rPr>
          <w:rFonts w:hint="eastAsia" w:ascii="黑体" w:eastAsia="黑体"/>
          <w:kern w:val="0"/>
          <w:szCs w:val="21"/>
        </w:rPr>
        <w:t xml:space="preserve">21.5 </w:t>
      </w:r>
      <w:r>
        <w:rPr>
          <w:rFonts w:ascii="Times New Roman"/>
        </w:rPr>
        <w:t>天线</w:t>
      </w:r>
      <w:r>
        <w:tab/>
      </w:r>
      <w:r>
        <w:fldChar w:fldCharType="begin"/>
      </w:r>
      <w:r>
        <w:instrText xml:space="preserve"> PAGEREF _Toc16110 \h </w:instrText>
      </w:r>
      <w:r>
        <w:fldChar w:fldCharType="separate"/>
      </w:r>
      <w:r>
        <w:t>62</w:t>
      </w:r>
      <w:r>
        <w:fldChar w:fldCharType="end"/>
      </w:r>
      <w:r>
        <w:fldChar w:fldCharType="end"/>
      </w:r>
    </w:p>
    <w:p w14:paraId="3877DC47">
      <w:pPr>
        <w:pStyle w:val="17"/>
        <w:tabs>
          <w:tab w:val="right" w:leader="dot" w:pos="9368"/>
        </w:tabs>
        <w:spacing w:before="60" w:after="60"/>
        <w:ind w:left="210"/>
      </w:pPr>
      <w:r>
        <w:fldChar w:fldCharType="begin"/>
      </w:r>
      <w:r>
        <w:instrText xml:space="preserve"> HYPERLINK \l "_Toc5260" </w:instrText>
      </w:r>
      <w:r>
        <w:fldChar w:fldCharType="separate"/>
      </w:r>
      <w:r>
        <w:rPr>
          <w:rFonts w:hint="eastAsia" w:ascii="黑体" w:eastAsia="黑体"/>
          <w:kern w:val="0"/>
          <w:szCs w:val="21"/>
        </w:rPr>
        <w:t xml:space="preserve">21.6 </w:t>
      </w:r>
      <w:r>
        <w:rPr>
          <w:rFonts w:ascii="Times New Roman"/>
        </w:rPr>
        <w:t>电缆及接地</w:t>
      </w:r>
      <w:r>
        <w:tab/>
      </w:r>
      <w:r>
        <w:fldChar w:fldCharType="begin"/>
      </w:r>
      <w:r>
        <w:instrText xml:space="preserve"> PAGEREF _Toc5260 \h </w:instrText>
      </w:r>
      <w:r>
        <w:fldChar w:fldCharType="separate"/>
      </w:r>
      <w:r>
        <w:t>63</w:t>
      </w:r>
      <w:r>
        <w:fldChar w:fldCharType="end"/>
      </w:r>
      <w:r>
        <w:fldChar w:fldCharType="end"/>
      </w:r>
    </w:p>
    <w:p w14:paraId="6794C9F6">
      <w:pPr>
        <w:pStyle w:val="17"/>
        <w:tabs>
          <w:tab w:val="right" w:leader="dot" w:pos="9368"/>
        </w:tabs>
        <w:spacing w:before="60" w:after="60"/>
        <w:ind w:left="210"/>
      </w:pPr>
      <w:r>
        <w:fldChar w:fldCharType="begin"/>
      </w:r>
      <w:r>
        <w:instrText xml:space="preserve"> HYPERLINK \l "_Toc5617" </w:instrText>
      </w:r>
      <w:r>
        <w:fldChar w:fldCharType="separate"/>
      </w:r>
      <w:r>
        <w:rPr>
          <w:rFonts w:hint="eastAsia" w:ascii="黑体" w:eastAsia="黑体"/>
          <w:kern w:val="0"/>
          <w:szCs w:val="21"/>
        </w:rPr>
        <w:t xml:space="preserve">21.7 </w:t>
      </w:r>
      <w:r>
        <w:rPr>
          <w:rFonts w:ascii="Times New Roman"/>
        </w:rPr>
        <w:t>危险区内的通信设备</w:t>
      </w:r>
      <w:r>
        <w:tab/>
      </w:r>
      <w:r>
        <w:fldChar w:fldCharType="begin"/>
      </w:r>
      <w:r>
        <w:instrText xml:space="preserve"> PAGEREF _Toc5617 \h </w:instrText>
      </w:r>
      <w:r>
        <w:fldChar w:fldCharType="separate"/>
      </w:r>
      <w:r>
        <w:t>63</w:t>
      </w:r>
      <w:r>
        <w:fldChar w:fldCharType="end"/>
      </w:r>
      <w:r>
        <w:fldChar w:fldCharType="end"/>
      </w:r>
    </w:p>
    <w:p w14:paraId="51A1D6A0">
      <w:pPr>
        <w:pStyle w:val="19"/>
        <w:tabs>
          <w:tab w:val="right" w:leader="dot" w:pos="9368"/>
        </w:tabs>
        <w:spacing w:before="60" w:after="60"/>
      </w:pPr>
      <w:r>
        <w:fldChar w:fldCharType="begin"/>
      </w:r>
      <w:r>
        <w:instrText xml:space="preserve"> HYPERLINK \l "_Toc4345" </w:instrText>
      </w:r>
      <w:r>
        <w:fldChar w:fldCharType="separate"/>
      </w:r>
      <w:r>
        <w:rPr>
          <w:rFonts w:hint="eastAsia"/>
        </w:rPr>
        <w:t>参  考  文  献</w:t>
      </w:r>
      <w:r>
        <w:tab/>
      </w:r>
      <w:r>
        <w:fldChar w:fldCharType="begin"/>
      </w:r>
      <w:r>
        <w:instrText xml:space="preserve"> PAGEREF _Toc4345 \h </w:instrText>
      </w:r>
      <w:r>
        <w:fldChar w:fldCharType="separate"/>
      </w:r>
      <w:r>
        <w:t>64</w:t>
      </w:r>
      <w:r>
        <w:fldChar w:fldCharType="end"/>
      </w:r>
      <w:r>
        <w:fldChar w:fldCharType="end"/>
      </w:r>
    </w:p>
    <w:p w14:paraId="6E1E2949">
      <w:pPr>
        <w:pStyle w:val="258"/>
        <w:ind w:firstLine="420"/>
        <w:rPr>
          <w:rFonts w:ascii="Times New Roman"/>
        </w:rPr>
      </w:pPr>
      <w:r>
        <w:rPr>
          <w:rFonts w:ascii="Times New Roman"/>
        </w:rPr>
        <w:fldChar w:fldCharType="end"/>
      </w:r>
    </w:p>
    <w:bookmarkEnd w:id="3"/>
    <w:p w14:paraId="4A956101">
      <w:pPr>
        <w:pStyle w:val="258"/>
        <w:ind w:firstLine="420"/>
        <w:rPr>
          <w:rFonts w:ascii="Times New Roman"/>
        </w:rPr>
        <w:sectPr>
          <w:headerReference r:id="rId7" w:type="default"/>
          <w:footerReference r:id="rId9" w:type="default"/>
          <w:headerReference r:id="rId8" w:type="even"/>
          <w:footerReference r:id="rId10" w:type="even"/>
          <w:pgSz w:w="11920" w:h="16840"/>
          <w:pgMar w:top="1418" w:right="1134" w:bottom="1134" w:left="1418" w:header="1418" w:footer="1134" w:gutter="0"/>
          <w:pgNumType w:fmt="upperRoman" w:start="1"/>
          <w:cols w:space="720" w:num="1"/>
          <w:docGrid w:type="lines" w:linePitch="0" w:charSpace="0"/>
        </w:sectPr>
      </w:pPr>
    </w:p>
    <w:p w14:paraId="33A40620">
      <w:pPr>
        <w:pStyle w:val="256"/>
        <w:rPr>
          <w:rFonts w:ascii="Times New Roman"/>
        </w:rPr>
      </w:pPr>
      <w:bookmarkStart w:id="4" w:name="标准前言"/>
      <w:bookmarkEnd w:id="4"/>
      <w:bookmarkStart w:id="5" w:name="_Toc19550"/>
      <w:r>
        <w:rPr>
          <w:rFonts w:ascii="Times New Roman"/>
        </w:rPr>
        <w:t>前    言</w:t>
      </w:r>
      <w:bookmarkEnd w:id="5"/>
    </w:p>
    <w:p w14:paraId="21D14A94">
      <w:pPr>
        <w:pStyle w:val="258"/>
        <w:ind w:firstLine="420"/>
        <w:rPr>
          <w:rFonts w:hint="eastAsia" w:hAnsi="宋体" w:cs="宋体"/>
        </w:rPr>
      </w:pPr>
      <w:r>
        <w:rPr>
          <w:rFonts w:ascii="Times New Roman"/>
        </w:rPr>
        <w:t>本文件按照</w:t>
      </w:r>
      <w:r>
        <w:rPr>
          <w:rFonts w:hint="eastAsia" w:hAnsi="宋体" w:cs="宋体"/>
        </w:rPr>
        <w:t>GB/T 1.1—2020《标准化工作导则  第1部分：标准化文件的结构和起草规则》的规定起草。</w:t>
      </w:r>
    </w:p>
    <w:p w14:paraId="54712E8A">
      <w:pPr>
        <w:ind w:left="425"/>
        <w:rPr>
          <w:rFonts w:hint="eastAsia" w:ascii="宋体" w:hAnsi="宋体" w:cs="宋体"/>
          <w:kern w:val="0"/>
          <w:szCs w:val="20"/>
        </w:rPr>
      </w:pPr>
      <w:r>
        <w:rPr>
          <w:rFonts w:hint="eastAsia" w:ascii="宋体" w:hAnsi="宋体" w:cs="宋体"/>
          <w:kern w:val="0"/>
          <w:szCs w:val="20"/>
        </w:rPr>
        <w:t>请注意本文件的某些内容可能涉及专利。本文件的发布机构不承担识别专利的责任。</w:t>
      </w:r>
    </w:p>
    <w:p w14:paraId="430767A5">
      <w:pPr>
        <w:ind w:left="425"/>
        <w:rPr>
          <w:rFonts w:hint="eastAsia" w:ascii="宋体" w:hAnsi="宋体" w:cs="宋体"/>
          <w:kern w:val="0"/>
          <w:szCs w:val="20"/>
        </w:rPr>
      </w:pPr>
      <w:r>
        <w:rPr>
          <w:rFonts w:hint="eastAsia" w:ascii="宋体" w:hAnsi="宋体" w:cs="宋体"/>
          <w:kern w:val="0"/>
          <w:szCs w:val="20"/>
        </w:rPr>
        <w:t>本文件由中华人民共和国应急管理部提出。</w:t>
      </w:r>
    </w:p>
    <w:p w14:paraId="4B02001F">
      <w:pPr>
        <w:ind w:firstLine="420" w:firstLineChars="200"/>
        <w:rPr>
          <w:rFonts w:hint="eastAsia" w:ascii="宋体" w:hAnsi="宋体"/>
          <w:kern w:val="0"/>
          <w:szCs w:val="20"/>
        </w:rPr>
      </w:pPr>
      <w:r>
        <w:rPr>
          <w:rFonts w:hint="eastAsia" w:ascii="宋体" w:hAnsi="宋体" w:cs="宋体"/>
          <w:kern w:val="0"/>
          <w:szCs w:val="20"/>
        </w:rPr>
        <w:t>本文件由全国安全生产标准化技术委员会石油天然气开发安全分技术委员会（TC288/SC10）</w:t>
      </w:r>
      <w:r>
        <w:rPr>
          <w:rFonts w:hint="eastAsia" w:ascii="宋体" w:hAnsi="宋体"/>
          <w:kern w:val="0"/>
          <w:szCs w:val="20"/>
        </w:rPr>
        <w:t>归口。</w:t>
      </w:r>
    </w:p>
    <w:p w14:paraId="31A9C049">
      <w:pPr>
        <w:widowControl/>
        <w:tabs>
          <w:tab w:val="center" w:pos="4201"/>
          <w:tab w:val="right" w:leader="dot" w:pos="9298"/>
        </w:tabs>
        <w:autoSpaceDE w:val="0"/>
        <w:autoSpaceDN w:val="0"/>
        <w:ind w:firstLine="420" w:firstLineChars="200"/>
        <w:rPr>
          <w:rFonts w:ascii="宋体"/>
          <w:kern w:val="0"/>
          <w:szCs w:val="20"/>
        </w:rPr>
      </w:pPr>
      <w:r>
        <w:rPr>
          <w:rFonts w:hint="eastAsia" w:ascii="宋体"/>
          <w:kern w:val="0"/>
          <w:szCs w:val="20"/>
        </w:rPr>
        <w:t>本文件起草单位：</w:t>
      </w:r>
    </w:p>
    <w:p w14:paraId="569A9FF8">
      <w:pPr>
        <w:widowControl/>
        <w:tabs>
          <w:tab w:val="center" w:pos="4201"/>
          <w:tab w:val="right" w:leader="dot" w:pos="9298"/>
        </w:tabs>
        <w:autoSpaceDE w:val="0"/>
        <w:autoSpaceDN w:val="0"/>
        <w:ind w:firstLine="420" w:firstLineChars="200"/>
        <w:rPr>
          <w:rFonts w:ascii="宋体"/>
          <w:kern w:val="0"/>
          <w:szCs w:val="20"/>
        </w:rPr>
      </w:pPr>
      <w:r>
        <w:rPr>
          <w:rFonts w:hint="eastAsia" w:ascii="宋体"/>
          <w:kern w:val="0"/>
          <w:szCs w:val="20"/>
        </w:rPr>
        <w:t>本文件主要起草人：</w:t>
      </w:r>
    </w:p>
    <w:p w14:paraId="303F4CEF">
      <w:pPr>
        <w:pStyle w:val="258"/>
        <w:ind w:firstLine="420"/>
        <w:rPr>
          <w:rFonts w:ascii="Times New Roman"/>
        </w:rPr>
      </w:pPr>
    </w:p>
    <w:p w14:paraId="75E1F212">
      <w:pPr>
        <w:pStyle w:val="258"/>
        <w:ind w:firstLine="420"/>
        <w:rPr>
          <w:rFonts w:ascii="Times New Roman"/>
        </w:rPr>
        <w:sectPr>
          <w:footerReference r:id="rId11" w:type="default"/>
          <w:pgSz w:w="11920" w:h="16840"/>
          <w:pgMar w:top="1418" w:right="1134" w:bottom="1134" w:left="1418" w:header="1418" w:footer="1134" w:gutter="0"/>
          <w:pgNumType w:fmt="upperRoman"/>
          <w:cols w:space="720" w:num="1"/>
          <w:docGrid w:type="lines" w:linePitch="0" w:charSpace="0"/>
        </w:sectPr>
      </w:pPr>
    </w:p>
    <w:p w14:paraId="388034F1">
      <w:pPr>
        <w:pStyle w:val="315"/>
        <w:outlineLvl w:val="0"/>
        <w:rPr>
          <w:rFonts w:ascii="Times New Roman"/>
        </w:rPr>
      </w:pPr>
      <w:bookmarkStart w:id="6" w:name="标准内容"/>
      <w:bookmarkEnd w:id="6"/>
      <w:r>
        <w:rPr>
          <w:rFonts w:ascii="Times New Roman"/>
        </w:rPr>
        <w:t>海洋石油固定平台安全规范</w:t>
      </w:r>
    </w:p>
    <w:p w14:paraId="22A0479A">
      <w:pPr>
        <w:pStyle w:val="259"/>
        <w:outlineLvl w:val="0"/>
        <w:rPr>
          <w:rFonts w:ascii="Times New Roman"/>
        </w:rPr>
      </w:pPr>
      <w:bookmarkStart w:id="7" w:name="_Toc16549"/>
      <w:r>
        <w:rPr>
          <w:rFonts w:ascii="Times New Roman"/>
        </w:rPr>
        <w:t>范围</w:t>
      </w:r>
      <w:bookmarkEnd w:id="7"/>
    </w:p>
    <w:p w14:paraId="4EA0D9EE">
      <w:pPr>
        <w:pStyle w:val="258"/>
        <w:tabs>
          <w:tab w:val="center" w:pos="4201"/>
          <w:tab w:val="right" w:leader="dot" w:pos="9298"/>
        </w:tabs>
        <w:ind w:firstLine="420"/>
        <w:rPr>
          <w:rFonts w:ascii="Times New Roman"/>
        </w:rPr>
      </w:pPr>
      <w:r>
        <w:rPr>
          <w:rFonts w:hint="eastAsia" w:ascii="Times New Roman"/>
        </w:rPr>
        <w:t>本文件确立了海洋石油固定平台在设计、建造、安装、试运行及生产阶段有关设计的安全技术要求。</w:t>
      </w:r>
    </w:p>
    <w:p w14:paraId="4D1B5F31">
      <w:pPr>
        <w:pStyle w:val="258"/>
        <w:tabs>
          <w:tab w:val="center" w:pos="4201"/>
          <w:tab w:val="right" w:leader="dot" w:pos="9298"/>
        </w:tabs>
        <w:ind w:firstLine="420"/>
        <w:rPr>
          <w:rFonts w:hint="eastAsia" w:hAnsi="宋体" w:cs="宋体"/>
          <w:szCs w:val="21"/>
        </w:rPr>
      </w:pPr>
      <w:r>
        <w:rPr>
          <w:rFonts w:hint="eastAsia" w:ascii="Times New Roman"/>
        </w:rPr>
        <w:t>本文件适用于</w:t>
      </w:r>
      <w:r>
        <w:rPr>
          <w:rFonts w:ascii="Times New Roman"/>
        </w:rPr>
        <w:t>中华人民共和国管辖海域内</w:t>
      </w:r>
      <w:r>
        <w:rPr>
          <w:rFonts w:hint="eastAsia" w:ascii="Times New Roman"/>
        </w:rPr>
        <w:t>的</w:t>
      </w:r>
      <w:r>
        <w:rPr>
          <w:rFonts w:hint="eastAsia"/>
        </w:rPr>
        <w:t>新建、改建、扩建的</w:t>
      </w:r>
      <w:r>
        <w:rPr>
          <w:rFonts w:hint="eastAsia" w:ascii="Times New Roman"/>
        </w:rPr>
        <w:t>钢质导管架海洋石油固定平台</w:t>
      </w:r>
      <w:r>
        <w:rPr>
          <w:rFonts w:hint="eastAsia"/>
        </w:rPr>
        <w:t>。</w:t>
      </w:r>
    </w:p>
    <w:p w14:paraId="4BF8460F">
      <w:pPr>
        <w:pStyle w:val="259"/>
        <w:outlineLvl w:val="0"/>
        <w:rPr>
          <w:rFonts w:ascii="Times New Roman"/>
        </w:rPr>
      </w:pPr>
      <w:bookmarkStart w:id="8" w:name="_Toc6105"/>
      <w:r>
        <w:rPr>
          <w:rFonts w:ascii="Times New Roman"/>
        </w:rPr>
        <w:t>规范性引用文件</w:t>
      </w:r>
      <w:bookmarkEnd w:id="8"/>
    </w:p>
    <w:p w14:paraId="4B55179F">
      <w:pPr>
        <w:pStyle w:val="258"/>
        <w:ind w:firstLine="420"/>
        <w:rPr>
          <w:rFonts w:ascii="Times New Roman"/>
        </w:rPr>
      </w:pPr>
      <w:sdt>
        <w:sdtPr>
          <w:rPr>
            <w:rFonts w:ascii="Times New Roman"/>
          </w:rPr>
          <w:alias w:val="规范性引用文件文字描述选择"/>
          <w:tag w:val="规范性引用文件文字描述选择"/>
          <w:id w:val="715848253"/>
          <w:placeholder>
            <w:docPart w:val="89BE852335354B25A9A1502BD6B4F87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ascii="Times New Roman"/>
          </w:rPr>
        </w:sdtEndPr>
        <w:sdtContent>
          <w:r>
            <w:rPr>
              <w:rFonts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05EBEF00">
      <w:pPr>
        <w:ind w:firstLine="420" w:firstLineChars="200"/>
        <w:rPr>
          <w:rFonts w:hint="eastAsia" w:ascii="宋体" w:hAnsi="宋体" w:cs="宋体"/>
        </w:rPr>
      </w:pPr>
      <w:r>
        <w:rPr>
          <w:rFonts w:hint="eastAsia" w:ascii="宋体" w:hAnsi="宋体" w:cs="宋体"/>
        </w:rPr>
        <w:t>GB/T 156 标准电压</w:t>
      </w:r>
    </w:p>
    <w:p w14:paraId="2D36B099">
      <w:pPr>
        <w:ind w:firstLine="420" w:firstLineChars="200"/>
        <w:rPr>
          <w:rFonts w:hint="eastAsia" w:ascii="宋体" w:hAnsi="宋体" w:cs="宋体"/>
        </w:rPr>
      </w:pPr>
      <w:r>
        <w:rPr>
          <w:rFonts w:hint="eastAsia" w:ascii="宋体" w:hAnsi="宋体" w:cs="宋体"/>
        </w:rPr>
        <w:t>GB/T 3836.15 爆炸性环境 第15部分：电气装置的设计、选型和安装</w:t>
      </w:r>
    </w:p>
    <w:p w14:paraId="2591E2F7">
      <w:pPr>
        <w:ind w:firstLine="420" w:firstLineChars="200"/>
        <w:rPr>
          <w:rFonts w:hint="eastAsia" w:ascii="宋体" w:hAnsi="宋体" w:cs="宋体"/>
        </w:rPr>
      </w:pPr>
      <w:r>
        <w:rPr>
          <w:rFonts w:hint="eastAsia" w:ascii="宋体" w:hAnsi="宋体" w:cs="宋体"/>
        </w:rPr>
        <w:t>GB 12158 防止静电事故通用导则</w:t>
      </w:r>
    </w:p>
    <w:p w14:paraId="0EA0A9C0">
      <w:pPr>
        <w:ind w:firstLine="420" w:firstLineChars="200"/>
        <w:rPr>
          <w:rFonts w:hint="eastAsia" w:ascii="宋体" w:hAnsi="宋体" w:cs="宋体"/>
        </w:rPr>
      </w:pPr>
      <w:r>
        <w:rPr>
          <w:rFonts w:hint="eastAsia" w:ascii="宋体" w:hAnsi="宋体" w:cs="宋体"/>
        </w:rPr>
        <w:t>GB/T 14549 电能质量 公用电网谐波</w:t>
      </w:r>
    </w:p>
    <w:p w14:paraId="109A78C1">
      <w:pPr>
        <w:ind w:firstLine="420" w:firstLineChars="200"/>
        <w:rPr>
          <w:rFonts w:hint="eastAsia" w:ascii="宋体" w:hAnsi="宋体" w:cs="宋体"/>
        </w:rPr>
      </w:pPr>
      <w:r>
        <w:rPr>
          <w:rFonts w:hint="eastAsia" w:ascii="宋体" w:hAnsi="宋体" w:cs="宋体"/>
        </w:rPr>
        <w:t>GB/T 25444.2 移动式和固定式近海设施 电气装置 第2部分：系统设计</w:t>
      </w:r>
    </w:p>
    <w:p w14:paraId="161DEA61">
      <w:pPr>
        <w:ind w:firstLine="420" w:firstLineChars="200"/>
        <w:rPr>
          <w:rFonts w:hint="eastAsia" w:ascii="宋体" w:hAnsi="宋体" w:cs="宋体"/>
        </w:rPr>
      </w:pPr>
      <w:r>
        <w:rPr>
          <w:rFonts w:hint="eastAsia" w:ascii="宋体" w:hAnsi="宋体" w:cs="宋体"/>
        </w:rPr>
        <w:t>GB 50169 电气装置安装工程 接地装置施工及验收规范</w:t>
      </w:r>
    </w:p>
    <w:p w14:paraId="7B473B50">
      <w:pPr>
        <w:ind w:firstLine="420" w:firstLineChars="200"/>
        <w:rPr>
          <w:rFonts w:hint="eastAsia" w:ascii="宋体" w:hAnsi="宋体" w:cs="宋体"/>
        </w:rPr>
      </w:pPr>
      <w:r>
        <w:rPr>
          <w:rFonts w:hint="eastAsia" w:ascii="宋体" w:hAnsi="宋体" w:cs="宋体"/>
        </w:rPr>
        <w:t>GB/T 20972石油天然气工业 油气开采中用于含硫化氢环境的材料</w:t>
      </w:r>
    </w:p>
    <w:p w14:paraId="349B40E1">
      <w:pPr>
        <w:pStyle w:val="259"/>
        <w:outlineLvl w:val="0"/>
        <w:rPr>
          <w:rFonts w:ascii="Times New Roman"/>
        </w:rPr>
      </w:pPr>
      <w:bookmarkStart w:id="9" w:name="_Toc12371"/>
      <w:r>
        <w:rPr>
          <w:rFonts w:ascii="Times New Roman"/>
        </w:rPr>
        <w:t>术语和定义</w:t>
      </w:r>
      <w:bookmarkEnd w:id="9"/>
    </w:p>
    <w:sdt>
      <w:sdtPr>
        <w:rPr>
          <w:rFonts w:hint="eastAsia" w:hAnsi="宋体" w:cs="宋体"/>
        </w:rPr>
        <w:alias w:val="术语和定义文字描述选择"/>
        <w:tag w:val="术语和定义文字描述选择"/>
        <w:id w:val="-1"/>
        <w:placeholder>
          <w:docPart w:val="F15AA0937B0E4072B2014D8F39C268A5"/>
        </w:placeholder>
        <w:comboBox>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default" w:ascii="Times New Roman" w:hAnsi="Times New Roman" w:cs="Times New Roman"/>
        </w:rPr>
      </w:sdtEndPr>
      <w:sdtContent>
        <w:p w14:paraId="0E9F0134">
          <w:pPr>
            <w:pStyle w:val="258"/>
            <w:ind w:firstLine="420"/>
            <w:rPr>
              <w:rFonts w:ascii="Times New Roman"/>
            </w:rPr>
          </w:pPr>
          <w:r>
            <w:rPr>
              <w:rFonts w:hint="eastAsia" w:hAnsi="宋体" w:cs="宋体"/>
            </w:rPr>
            <w:t>GB 40554.1</w:t>
          </w:r>
          <w:r>
            <w:rPr>
              <w:rFonts w:hint="eastAsia" w:ascii="Times New Roman"/>
            </w:rPr>
            <w:t>界定的以及</w:t>
          </w:r>
          <w:r>
            <w:rPr>
              <w:rFonts w:ascii="Times New Roman"/>
            </w:rPr>
            <w:t>下列术语和定义适用于本文件。</w:t>
          </w:r>
        </w:p>
      </w:sdtContent>
    </w:sdt>
    <w:p w14:paraId="1A1E30F4">
      <w:pPr>
        <w:ind w:firstLine="420" w:firstLineChars="200"/>
      </w:pPr>
      <w:r>
        <w:t xml:space="preserve"> </w:t>
      </w:r>
    </w:p>
    <w:p w14:paraId="75A8D123">
      <w:pPr>
        <w:pStyle w:val="323"/>
        <w:outlineLvl w:val="1"/>
        <w:rPr>
          <w:rFonts w:ascii="Times New Roman"/>
        </w:rPr>
      </w:pPr>
      <w:r>
        <w:rPr>
          <w:rFonts w:ascii="Times New Roman"/>
        </w:rPr>
        <w:br w:type="textWrapping"/>
      </w:r>
      <w:r>
        <w:rPr>
          <w:rFonts w:ascii="Times New Roman"/>
        </w:rPr>
        <w:t xml:space="preserve">    隔离</w:t>
      </w:r>
      <w:r>
        <w:rPr>
          <w:rFonts w:ascii="宋体" w:hAnsi="宋体" w:cs="宋体"/>
        </w:rPr>
        <w:t xml:space="preserve">  </w:t>
      </w:r>
      <w:r>
        <w:rPr>
          <w:rFonts w:ascii="Times New Roman"/>
          <w:b/>
        </w:rPr>
        <w:t>isolation</w:t>
      </w:r>
      <w:r>
        <w:rPr>
          <w:rFonts w:ascii="Times New Roman"/>
        </w:rPr>
        <w:t xml:space="preserve"> </w:t>
      </w:r>
    </w:p>
    <w:p w14:paraId="390FE378">
      <w:pPr>
        <w:ind w:firstLine="420" w:firstLineChars="200"/>
      </w:pPr>
      <w:r>
        <w:t xml:space="preserve">海上油气田生产过程中，采用物理障碍物对一些封闭空间、单元系列、工艺设备、阀门、仪表等进行隔离，以便在调试、维修、放空、排放、吹扫等工况下确保操作人员的安全，维持工艺系统的正常生产。 </w:t>
      </w:r>
    </w:p>
    <w:p w14:paraId="5A5EDE97">
      <w:pPr>
        <w:pStyle w:val="323"/>
        <w:outlineLvl w:val="1"/>
        <w:rPr>
          <w:rFonts w:ascii="Times New Roman"/>
        </w:rPr>
      </w:pPr>
      <w:r>
        <w:rPr>
          <w:rFonts w:ascii="Times New Roman"/>
        </w:rPr>
        <w:br w:type="textWrapping"/>
      </w:r>
      <w:r>
        <w:rPr>
          <w:rFonts w:ascii="Times New Roman"/>
        </w:rPr>
        <w:t xml:space="preserve">    危险性介质</w:t>
      </w:r>
      <w:r>
        <w:rPr>
          <w:rFonts w:ascii="宋体" w:hAnsi="宋体" w:cs="宋体"/>
        </w:rPr>
        <w:t xml:space="preserve">  </w:t>
      </w:r>
      <w:r>
        <w:rPr>
          <w:rFonts w:ascii="Times New Roman"/>
          <w:b/>
        </w:rPr>
        <w:t xml:space="preserve">hazardous  medium </w:t>
      </w:r>
    </w:p>
    <w:p w14:paraId="5757BC71">
      <w:pPr>
        <w:ind w:firstLine="420" w:firstLineChars="200"/>
      </w:pPr>
      <w:r>
        <w:t>主要包括但不限于：可燃性烃类流体；毒性气体或液体；闪点</w:t>
      </w:r>
      <w:r>
        <w:rPr>
          <w:rFonts w:hint="eastAsia"/>
        </w:rPr>
        <w:t>小于</w:t>
      </w:r>
      <w:r>
        <w:rPr>
          <w:rFonts w:hint="eastAsia" w:ascii="宋体" w:hAnsi="宋体" w:eastAsia="宋体" w:cs="宋体"/>
        </w:rPr>
        <w:t>60</w:t>
      </w:r>
      <w:r>
        <w:rPr>
          <w:rFonts w:hint="eastAsia" w:ascii="宋体" w:hAnsi="宋体" w:cs="宋体"/>
          <w:sz w:val="10"/>
          <w:szCs w:val="10"/>
        </w:rPr>
        <w:t xml:space="preserve"> </w:t>
      </w:r>
      <w:r>
        <w:t xml:space="preserve">℃的液体等。 </w:t>
      </w:r>
    </w:p>
    <w:p w14:paraId="1D8CBC89">
      <w:pPr>
        <w:pStyle w:val="323"/>
        <w:outlineLvl w:val="1"/>
        <w:rPr>
          <w:rFonts w:ascii="Times New Roman"/>
        </w:rPr>
      </w:pPr>
      <w:r>
        <w:rPr>
          <w:rFonts w:ascii="Times New Roman"/>
        </w:rPr>
        <w:br w:type="textWrapping"/>
      </w:r>
      <w:r>
        <w:rPr>
          <w:rFonts w:ascii="Times New Roman"/>
        </w:rPr>
        <w:t xml:space="preserve">    锁开/锁关</w:t>
      </w:r>
      <w:r>
        <w:rPr>
          <w:rFonts w:ascii="宋体" w:hAnsi="宋体" w:cs="宋体"/>
        </w:rPr>
        <w:t xml:space="preserve">  </w:t>
      </w:r>
      <w:r>
        <w:rPr>
          <w:rFonts w:ascii="Times New Roman" w:eastAsia="宋体"/>
          <w:b/>
        </w:rPr>
        <w:t>locked  open/locked  closed</w:t>
      </w:r>
      <w:r>
        <w:rPr>
          <w:rFonts w:ascii="Times New Roman"/>
          <w:b/>
        </w:rPr>
        <w:t xml:space="preserve"> </w:t>
      </w:r>
    </w:p>
    <w:p w14:paraId="460A1F12">
      <w:pPr>
        <w:ind w:firstLine="420" w:firstLineChars="200"/>
      </w:pPr>
      <w:r>
        <w:t>正常操作时由锁定装置或锁紧器将阀门控制在全开或全关位置，在管道仪表流程</w:t>
      </w:r>
      <w:r>
        <w:rPr>
          <w:rFonts w:hint="eastAsia" w:ascii="宋体" w:hAnsi="宋体" w:cs="宋体"/>
        </w:rPr>
        <w:t>图(P&amp;ID)中通常</w:t>
      </w:r>
      <w:r>
        <w:t>被</w:t>
      </w:r>
      <w:r>
        <w:rPr>
          <w:rFonts w:ascii="宋体" w:hAnsi="宋体" w:cs="宋体"/>
          <w:kern w:val="0"/>
          <w:szCs w:val="21"/>
        </w:rPr>
        <w:t>标为“LO”或“LC”</w:t>
      </w:r>
      <w:r>
        <w:t>。</w:t>
      </w:r>
    </w:p>
    <w:p w14:paraId="6A0D1B72">
      <w:pPr>
        <w:pStyle w:val="323"/>
        <w:outlineLvl w:val="1"/>
        <w:rPr>
          <w:rFonts w:ascii="Times New Roman"/>
        </w:rPr>
      </w:pPr>
      <w:r>
        <w:rPr>
          <w:rFonts w:ascii="Times New Roman"/>
        </w:rPr>
        <w:br w:type="textWrapping"/>
      </w:r>
      <w:r>
        <w:rPr>
          <w:rFonts w:ascii="Times New Roman"/>
        </w:rPr>
        <w:t xml:space="preserve">    海洋石油固定平台</w:t>
      </w:r>
      <w:r>
        <w:rPr>
          <w:rFonts w:ascii="宋体" w:hAnsi="宋体" w:cs="宋体"/>
        </w:rPr>
        <w:t xml:space="preserve">  </w:t>
      </w:r>
      <w:r>
        <w:rPr>
          <w:rFonts w:ascii="Times New Roman"/>
          <w:b/>
        </w:rPr>
        <w:t xml:space="preserve">offshore </w:t>
      </w:r>
      <w:r>
        <w:rPr>
          <w:rFonts w:hint="eastAsia" w:ascii="Times New Roman"/>
          <w:b/>
          <w:lang w:val="en-US" w:eastAsia="zh-CN"/>
        </w:rPr>
        <w:t xml:space="preserve"> </w:t>
      </w:r>
      <w:r>
        <w:rPr>
          <w:rFonts w:ascii="Times New Roman"/>
          <w:b/>
        </w:rPr>
        <w:t xml:space="preserve">fixed </w:t>
      </w:r>
      <w:r>
        <w:rPr>
          <w:rFonts w:hint="eastAsia" w:ascii="Times New Roman"/>
          <w:b/>
          <w:lang w:val="en-US" w:eastAsia="zh-CN"/>
        </w:rPr>
        <w:t xml:space="preserve"> </w:t>
      </w:r>
      <w:r>
        <w:rPr>
          <w:rFonts w:ascii="Times New Roman"/>
          <w:b/>
        </w:rPr>
        <w:t>platform</w:t>
      </w:r>
    </w:p>
    <w:p w14:paraId="70078DDC">
      <w:pPr>
        <w:pStyle w:val="521"/>
        <w:ind w:firstLine="420"/>
        <w:rPr>
          <w:rFonts w:hint="eastAsia" w:hAnsi="宋体"/>
        </w:rPr>
      </w:pPr>
      <w:r>
        <w:rPr>
          <w:rFonts w:hint="eastAsia" w:ascii="Times New Roman"/>
        </w:rPr>
        <w:t>主要指海上钢制导管架平台，上部结构与设施以导管架和桩作为支撑结构的平台</w:t>
      </w:r>
      <w:r>
        <w:rPr>
          <w:rFonts w:hint="eastAsia" w:hAnsi="宋体"/>
        </w:rPr>
        <w:t>[来源：GB/T 14090-2020</w:t>
      </w:r>
      <w:r>
        <w:rPr>
          <w:rFonts w:hint="eastAsia" w:hAnsi="宋体"/>
          <w:lang w:eastAsia="zh-CN"/>
        </w:rPr>
        <w:t>，</w:t>
      </w:r>
      <w:r>
        <w:rPr>
          <w:rFonts w:hint="eastAsia" w:hAnsi="宋体"/>
        </w:rPr>
        <w:t xml:space="preserve"> 2.2.20]</w:t>
      </w:r>
    </w:p>
    <w:p w14:paraId="0C550355">
      <w:pPr>
        <w:pStyle w:val="323"/>
        <w:outlineLvl w:val="1"/>
        <w:rPr>
          <w:rFonts w:ascii="Times New Roman"/>
        </w:rPr>
      </w:pPr>
      <w:r>
        <w:rPr>
          <w:rFonts w:ascii="Times New Roman"/>
        </w:rPr>
        <w:br w:type="textWrapping"/>
      </w:r>
      <w:r>
        <w:rPr>
          <w:rFonts w:ascii="Times New Roman"/>
        </w:rPr>
        <w:t xml:space="preserve">    平台群</w:t>
      </w:r>
      <w:r>
        <w:rPr>
          <w:rFonts w:ascii="宋体" w:hAnsi="宋体" w:cs="宋体"/>
        </w:rPr>
        <w:t xml:space="preserve">  </w:t>
      </w:r>
      <w:r>
        <w:rPr>
          <w:rFonts w:ascii="Times New Roman"/>
          <w:b/>
          <w:bCs/>
        </w:rPr>
        <w:t>platform</w:t>
      </w:r>
      <w:r>
        <w:rPr>
          <w:rFonts w:hint="eastAsia" w:ascii="Times New Roman"/>
          <w:b/>
          <w:bCs/>
        </w:rPr>
        <w:t xml:space="preserve">  </w:t>
      </w:r>
      <w:r>
        <w:rPr>
          <w:rFonts w:ascii="Times New Roman"/>
          <w:b/>
          <w:bCs/>
        </w:rPr>
        <w:t>group</w:t>
      </w:r>
    </w:p>
    <w:p w14:paraId="2E0C6403">
      <w:pPr>
        <w:pStyle w:val="521"/>
        <w:ind w:firstLine="420"/>
        <w:rPr>
          <w:rFonts w:ascii="Times New Roman"/>
        </w:rPr>
      </w:pPr>
      <w:r>
        <w:rPr>
          <w:rFonts w:ascii="Times New Roman"/>
        </w:rPr>
        <w:t>通过栈桥连接的两座或两座以上的海洋石油固定平台组合。</w:t>
      </w:r>
    </w:p>
    <w:p w14:paraId="161FD519">
      <w:pPr>
        <w:pStyle w:val="521"/>
        <w:ind w:firstLine="420"/>
        <w:rPr>
          <w:rFonts w:ascii="Times New Roman"/>
        </w:rPr>
      </w:pPr>
    </w:p>
    <w:p w14:paraId="502FC669">
      <w:pPr>
        <w:pStyle w:val="323"/>
        <w:outlineLvl w:val="1"/>
        <w:rPr>
          <w:rFonts w:ascii="Times New Roman"/>
        </w:rPr>
      </w:pPr>
      <w:r>
        <w:rPr>
          <w:rFonts w:ascii="Times New Roman"/>
        </w:rPr>
        <w:br w:type="textWrapping"/>
      </w:r>
      <w:r>
        <w:rPr>
          <w:rFonts w:ascii="Times New Roman"/>
        </w:rPr>
        <w:t xml:space="preserve">    油气田群</w:t>
      </w:r>
      <w:r>
        <w:rPr>
          <w:rFonts w:ascii="宋体" w:hAnsi="宋体" w:cs="宋体"/>
        </w:rPr>
        <w:t xml:space="preserve">  </w:t>
      </w:r>
      <w:r>
        <w:rPr>
          <w:rFonts w:ascii="Times New Roman"/>
          <w:b/>
          <w:bCs/>
        </w:rPr>
        <w:t>oil&amp;gas field group</w:t>
      </w:r>
      <w:r>
        <w:rPr>
          <w:rFonts w:ascii="Times New Roman"/>
        </w:rPr>
        <w:t xml:space="preserve"> </w:t>
      </w:r>
    </w:p>
    <w:p w14:paraId="5D4E517B">
      <w:pPr>
        <w:pStyle w:val="521"/>
        <w:ind w:firstLine="420"/>
        <w:rPr>
          <w:rFonts w:ascii="Times New Roman"/>
        </w:rPr>
      </w:pPr>
      <w:r>
        <w:rPr>
          <w:rFonts w:ascii="Times New Roman"/>
        </w:rPr>
        <w:t>一定区域内若</w:t>
      </w:r>
      <w:r>
        <w:rPr>
          <w:rFonts w:hint="eastAsia" w:ascii="Times New Roman"/>
        </w:rPr>
        <w:t>干</w:t>
      </w:r>
      <w:r>
        <w:rPr>
          <w:rFonts w:ascii="Times New Roman"/>
        </w:rPr>
        <w:t>个海上固定平台的组合群。</w:t>
      </w:r>
    </w:p>
    <w:p w14:paraId="73CEFBC2">
      <w:pPr>
        <w:pStyle w:val="323"/>
        <w:outlineLvl w:val="1"/>
        <w:rPr>
          <w:rFonts w:ascii="Times New Roman"/>
        </w:rPr>
      </w:pPr>
    </w:p>
    <w:p w14:paraId="38959790">
      <w:pPr>
        <w:pStyle w:val="323"/>
        <w:numPr>
          <w:ilvl w:val="1"/>
          <w:numId w:val="0"/>
        </w:numPr>
        <w:outlineLvl w:val="1"/>
        <w:rPr>
          <w:rFonts w:ascii="Times New Roman"/>
        </w:rPr>
      </w:pPr>
      <w:r>
        <w:rPr>
          <w:rFonts w:hint="eastAsia"/>
        </w:rPr>
        <w:t xml:space="preserve">    </w:t>
      </w:r>
      <w:r>
        <w:rPr>
          <w:rFonts w:ascii="Times New Roman"/>
        </w:rPr>
        <w:t xml:space="preserve">平台总人数  </w:t>
      </w:r>
      <w:r>
        <w:rPr>
          <w:rFonts w:ascii="Times New Roman"/>
          <w:b/>
          <w:bCs/>
        </w:rPr>
        <w:t>number of personnel on platform</w:t>
      </w:r>
    </w:p>
    <w:p w14:paraId="4C4C950D">
      <w:pPr>
        <w:pStyle w:val="323"/>
        <w:numPr>
          <w:ilvl w:val="1"/>
          <w:numId w:val="0"/>
        </w:numPr>
        <w:ind w:firstLine="420" w:firstLineChars="200"/>
        <w:outlineLvl w:val="1"/>
      </w:pPr>
      <w:r>
        <w:rPr>
          <w:rFonts w:hint="eastAsia" w:ascii="宋体" w:hAnsi="宋体" w:eastAsia="宋体" w:cs="宋体"/>
        </w:rPr>
        <w:t>指同时登上平台的人数总和。</w:t>
      </w:r>
    </w:p>
    <w:p w14:paraId="051EC1B8">
      <w:pPr>
        <w:pStyle w:val="323"/>
        <w:outlineLvl w:val="1"/>
        <w:rPr>
          <w:rFonts w:ascii="Times New Roman"/>
        </w:rPr>
      </w:pPr>
    </w:p>
    <w:p w14:paraId="5C2EDAA7">
      <w:pPr>
        <w:pStyle w:val="323"/>
        <w:widowControl w:val="0"/>
        <w:numPr>
          <w:ilvl w:val="1"/>
          <w:numId w:val="0"/>
        </w:numPr>
        <w:outlineLvl w:val="1"/>
        <w:rPr>
          <w:rFonts w:ascii="Times New Roman"/>
        </w:rPr>
      </w:pPr>
      <w:r>
        <w:rPr>
          <w:rFonts w:hint="eastAsia"/>
        </w:rPr>
        <w:t xml:space="preserve">    </w:t>
      </w:r>
      <w:r>
        <w:rPr>
          <w:rFonts w:ascii="Times New Roman"/>
        </w:rPr>
        <w:t>生活区固定床位数 </w:t>
      </w:r>
      <w:r>
        <w:rPr>
          <w:rFonts w:hint="eastAsia" w:ascii="Times New Roman"/>
        </w:rPr>
        <w:t xml:space="preserve"> </w:t>
      </w:r>
      <w:r>
        <w:rPr>
          <w:rFonts w:hint="eastAsia" w:ascii="Times New Roman"/>
          <w:b/>
          <w:bCs/>
        </w:rPr>
        <w:t>f</w:t>
      </w:r>
      <w:r>
        <w:rPr>
          <w:rFonts w:ascii="Times New Roman"/>
          <w:b/>
          <w:bCs/>
        </w:rPr>
        <w:t>ixed number of accommodation in living area</w:t>
      </w:r>
    </w:p>
    <w:p w14:paraId="62E3D0D4">
      <w:pPr>
        <w:pStyle w:val="521"/>
        <w:ind w:firstLine="420"/>
        <w:rPr>
          <w:rFonts w:ascii="Times New Roman"/>
        </w:rPr>
      </w:pPr>
      <w:r>
        <w:rPr>
          <w:rFonts w:ascii="Times New Roman"/>
        </w:rPr>
        <w:t>指生活</w:t>
      </w:r>
      <w:r>
        <w:rPr>
          <w:rFonts w:hint="eastAsia" w:ascii="Times New Roman"/>
        </w:rPr>
        <w:t>区</w:t>
      </w:r>
      <w:r>
        <w:rPr>
          <w:rFonts w:ascii="Times New Roman"/>
        </w:rPr>
        <w:t>设置的</w:t>
      </w:r>
      <w:r>
        <w:rPr>
          <w:rFonts w:hint="eastAsia" w:ascii="Times New Roman"/>
        </w:rPr>
        <w:t>供长期固定住宿人员居住的</w:t>
      </w:r>
      <w:r>
        <w:rPr>
          <w:rFonts w:ascii="Times New Roman"/>
        </w:rPr>
        <w:t>床位数量</w:t>
      </w:r>
      <w:r>
        <w:rPr>
          <w:rFonts w:hint="eastAsia" w:ascii="Times New Roman"/>
        </w:rPr>
        <w:t>。</w:t>
      </w:r>
    </w:p>
    <w:p w14:paraId="1933CAD5">
      <w:pPr>
        <w:pStyle w:val="323"/>
      </w:pPr>
      <w:r>
        <w:rPr>
          <w:rFonts w:hint="eastAsia"/>
        </w:rPr>
        <w:br w:type="textWrapping"/>
      </w:r>
      <w:r>
        <w:rPr>
          <w:rFonts w:hint="eastAsia"/>
        </w:rPr>
        <w:t xml:space="preserve">    职业接触限值</w:t>
      </w:r>
      <w:r>
        <w:rPr>
          <w:rFonts w:ascii="宋体" w:hAnsi="宋体" w:cs="宋体"/>
        </w:rPr>
        <w:t xml:space="preserve">  </w:t>
      </w:r>
      <w:r>
        <w:rPr>
          <w:rFonts w:ascii="Times New Roman"/>
          <w:b/>
          <w:bCs/>
        </w:rPr>
        <w:t>occupational exposure limit（</w:t>
      </w:r>
      <w:r>
        <w:rPr>
          <w:rFonts w:ascii="Times New Roman"/>
        </w:rPr>
        <w:t>OEL</w:t>
      </w:r>
      <w:r>
        <w:rPr>
          <w:rFonts w:ascii="Times New Roman"/>
          <w:b/>
          <w:bCs/>
        </w:rPr>
        <w:t>）</w:t>
      </w:r>
      <w:r>
        <w:rPr>
          <w:rFonts w:hint="eastAsia"/>
        </w:rPr>
        <w:t xml:space="preserve"> </w:t>
      </w:r>
    </w:p>
    <w:p w14:paraId="3BDA26E8">
      <w:pPr>
        <w:pStyle w:val="521"/>
        <w:ind w:firstLine="420"/>
        <w:rPr>
          <w:rFonts w:ascii="Times New Roman"/>
        </w:rPr>
      </w:pPr>
      <w:r>
        <w:rPr>
          <w:rFonts w:hint="eastAsia" w:ascii="Times New Roman"/>
        </w:rPr>
        <w:t>劳动者在职业活动中长期反复接触，不会对绝大多数接触者的健康引起有害作用的容许接触水平。化学因素的职业接触限值分为最高容许浓度、短时间接触容许浓度和时间加权平均容许浓度三种。</w:t>
      </w:r>
    </w:p>
    <w:p w14:paraId="2D868A7D">
      <w:pPr>
        <w:pStyle w:val="323"/>
      </w:pPr>
      <w:r>
        <w:rPr>
          <w:rFonts w:hint="eastAsia"/>
        </w:rPr>
        <w:br w:type="textWrapping"/>
      </w:r>
      <w:r>
        <w:rPr>
          <w:rFonts w:hint="eastAsia"/>
        </w:rPr>
        <w:t xml:space="preserve">    0区</w:t>
      </w:r>
      <w:r>
        <w:rPr>
          <w:rFonts w:ascii="宋体" w:hAnsi="宋体" w:cs="宋体"/>
        </w:rPr>
        <w:t xml:space="preserve">  </w:t>
      </w:r>
      <w:r>
        <w:rPr>
          <w:rFonts w:hint="eastAsia" w:ascii="Times New Roman"/>
        </w:rPr>
        <w:t>0 zone</w:t>
      </w:r>
    </w:p>
    <w:p w14:paraId="1E750001">
      <w:pPr>
        <w:pStyle w:val="521"/>
        <w:ind w:firstLine="420"/>
        <w:rPr>
          <w:rFonts w:hint="eastAsia" w:hAnsi="宋体" w:cs="宋体"/>
          <w:szCs w:val="21"/>
        </w:rPr>
      </w:pPr>
      <w:r>
        <w:rPr>
          <w:rFonts w:hint="eastAsia" w:ascii="Times New Roman"/>
        </w:rPr>
        <w:t>正常操作</w:t>
      </w:r>
      <w:r>
        <w:t>条件</w:t>
      </w:r>
      <w:r>
        <w:rPr>
          <w:rFonts w:hint="eastAsia" w:ascii="Times New Roman"/>
        </w:rPr>
        <w:t>下，</w:t>
      </w:r>
      <w:r>
        <w:rPr>
          <w:rFonts w:hint="eastAsia" w:hAnsi="宋体" w:cs="宋体"/>
          <w:szCs w:val="21"/>
        </w:rPr>
        <w:t>易燃、可燃气体或蒸气持续存在或长时间连续出现的区域。</w:t>
      </w:r>
    </w:p>
    <w:p w14:paraId="43DB9526">
      <w:pPr>
        <w:pStyle w:val="323"/>
      </w:pPr>
      <w:r>
        <w:rPr>
          <w:rFonts w:hint="eastAsia"/>
        </w:rPr>
        <w:br w:type="textWrapping"/>
      </w:r>
      <w:r>
        <w:rPr>
          <w:rFonts w:hint="eastAsia"/>
        </w:rPr>
        <w:t xml:space="preserve">    1区</w:t>
      </w:r>
      <w:r>
        <w:rPr>
          <w:rFonts w:ascii="宋体" w:hAnsi="宋体" w:cs="宋体"/>
        </w:rPr>
        <w:t xml:space="preserve">  </w:t>
      </w:r>
      <w:r>
        <w:rPr>
          <w:rFonts w:hint="eastAsia" w:ascii="Times New Roman"/>
        </w:rPr>
        <w:t>1 zone</w:t>
      </w:r>
    </w:p>
    <w:p w14:paraId="60C59707">
      <w:pPr>
        <w:pStyle w:val="258"/>
        <w:ind w:firstLine="420"/>
      </w:pPr>
      <w:r>
        <w:t>正常操作条件下</w:t>
      </w:r>
      <w:r>
        <w:rPr>
          <w:rFonts w:hint="eastAsia"/>
        </w:rPr>
        <w:t>，</w:t>
      </w:r>
      <w:r>
        <w:t>易燃</w:t>
      </w:r>
      <w:r>
        <w:rPr>
          <w:rFonts w:hint="eastAsia"/>
        </w:rPr>
        <w:t>、</w:t>
      </w:r>
      <w:r>
        <w:t>可燃气体或蒸</w:t>
      </w:r>
      <w:r>
        <w:rPr>
          <w:rFonts w:hint="eastAsia"/>
        </w:rPr>
        <w:t>气</w:t>
      </w:r>
      <w:r>
        <w:t>可能出现的区域</w:t>
      </w:r>
      <w:r>
        <w:rPr>
          <w:rFonts w:hint="eastAsia"/>
        </w:rPr>
        <w:t>；非正常操作条件下，导致</w:t>
      </w:r>
      <w:r>
        <w:t>易燃</w:t>
      </w:r>
      <w:r>
        <w:rPr>
          <w:rFonts w:hint="eastAsia"/>
        </w:rPr>
        <w:t>、</w:t>
      </w:r>
      <w:r>
        <w:t>可燃气体或蒸</w:t>
      </w:r>
      <w:r>
        <w:rPr>
          <w:rFonts w:hint="eastAsia"/>
        </w:rPr>
        <w:t>气间歇出现或泄露的区域；</w:t>
      </w:r>
      <w:r>
        <w:t>靠近0区，没有有效正压通风措施阻挡0区易燃或可燃气体扩散过来的区域</w:t>
      </w:r>
      <w:r>
        <w:rPr>
          <w:rFonts w:hint="eastAsia"/>
        </w:rPr>
        <w:t>。</w:t>
      </w:r>
    </w:p>
    <w:p w14:paraId="509B9483">
      <w:pPr>
        <w:pStyle w:val="323"/>
      </w:pPr>
      <w:r>
        <w:rPr>
          <w:rFonts w:hint="eastAsia"/>
        </w:rPr>
        <w:br w:type="textWrapping"/>
      </w:r>
      <w:r>
        <w:rPr>
          <w:rFonts w:hint="eastAsia"/>
        </w:rPr>
        <w:t xml:space="preserve">    2区</w:t>
      </w:r>
      <w:r>
        <w:rPr>
          <w:rFonts w:ascii="宋体" w:hAnsi="宋体" w:cs="宋体"/>
        </w:rPr>
        <w:t xml:space="preserve">  </w:t>
      </w:r>
      <w:r>
        <w:rPr>
          <w:rFonts w:hint="eastAsia" w:ascii="Times New Roman"/>
        </w:rPr>
        <w:t>2 zone</w:t>
      </w:r>
    </w:p>
    <w:p w14:paraId="0D409BAB">
      <w:pPr>
        <w:pStyle w:val="305"/>
        <w:numPr>
          <w:ilvl w:val="0"/>
          <w:numId w:val="0"/>
        </w:numPr>
        <w:ind w:firstLine="420" w:firstLineChars="200"/>
      </w:pPr>
      <w:r>
        <w:t>在正常操作条件下</w:t>
      </w:r>
      <w:r>
        <w:rPr>
          <w:rFonts w:hint="eastAsia"/>
        </w:rPr>
        <w:t>，</w:t>
      </w:r>
      <w:r>
        <w:t>不会出现易燃或可燃气体或蒸</w:t>
      </w:r>
      <w:r>
        <w:rPr>
          <w:rFonts w:hint="eastAsia"/>
        </w:rPr>
        <w:t>气</w:t>
      </w:r>
      <w:r>
        <w:t>的区域</w:t>
      </w:r>
      <w:r>
        <w:rPr>
          <w:rFonts w:hint="eastAsia"/>
        </w:rPr>
        <w:t>；</w:t>
      </w:r>
      <w:r>
        <w:t>密闭容器故障</w:t>
      </w:r>
      <w:r>
        <w:rPr>
          <w:rFonts w:hint="eastAsia"/>
        </w:rPr>
        <w:t>泄漏、</w:t>
      </w:r>
      <w:r>
        <w:t>正压通风失效</w:t>
      </w:r>
      <w:r>
        <w:rPr>
          <w:rFonts w:hint="eastAsia"/>
        </w:rPr>
        <w:t>或其</w:t>
      </w:r>
      <w:r>
        <w:t>非正常操作</w:t>
      </w:r>
      <w:r>
        <w:rPr>
          <w:rFonts w:hint="eastAsia"/>
        </w:rPr>
        <w:t>条件下，出现</w:t>
      </w:r>
      <w:r>
        <w:t>易燃</w:t>
      </w:r>
      <w:r>
        <w:rPr>
          <w:rFonts w:hint="eastAsia"/>
        </w:rPr>
        <w:t>、</w:t>
      </w:r>
      <w:r>
        <w:t>可燃气体或蒸</w:t>
      </w:r>
      <w:r>
        <w:rPr>
          <w:rFonts w:hint="eastAsia"/>
        </w:rPr>
        <w:t>气泄露或聚集的区域；</w:t>
      </w:r>
      <w:r>
        <w:t>靠近1区，没有有效的正压通风措施阻挡1区易燃或可燃气体扩散过来的区域</w:t>
      </w:r>
      <w:r>
        <w:rPr>
          <w:rFonts w:hint="eastAsia"/>
        </w:rPr>
        <w:t>。</w:t>
      </w:r>
    </w:p>
    <w:p w14:paraId="7C21BE66">
      <w:pPr>
        <w:pStyle w:val="323"/>
      </w:pPr>
      <w:r>
        <w:rPr>
          <w:rFonts w:hint="eastAsia"/>
        </w:rPr>
        <w:br w:type="textWrapping"/>
      </w:r>
      <w:r>
        <w:rPr>
          <w:rFonts w:hint="eastAsia"/>
        </w:rPr>
        <w:t xml:space="preserve">    非危险区</w:t>
      </w:r>
      <w:r>
        <w:rPr>
          <w:rFonts w:ascii="宋体" w:hAnsi="宋体" w:cs="宋体"/>
        </w:rPr>
        <w:t xml:space="preserve">  </w:t>
      </w:r>
      <w:r>
        <w:rPr>
          <w:rFonts w:hint="eastAsia" w:ascii="Times New Roman"/>
        </w:rPr>
        <w:t>non-hazardous zone</w:t>
      </w:r>
    </w:p>
    <w:p w14:paraId="5936C22E">
      <w:pPr>
        <w:pStyle w:val="258"/>
        <w:ind w:firstLine="420"/>
      </w:pPr>
      <w:r>
        <w:rPr>
          <w:rFonts w:hint="eastAsia"/>
        </w:rPr>
        <w:t>未被划分为0区、1区或2区的区域。</w:t>
      </w:r>
    </w:p>
    <w:p w14:paraId="3A862DA6">
      <w:pPr>
        <w:pStyle w:val="323"/>
      </w:pPr>
      <w:r>
        <w:rPr>
          <w:rFonts w:hint="eastAsia"/>
        </w:rPr>
        <w:br w:type="textWrapping"/>
      </w:r>
      <w:r>
        <w:rPr>
          <w:rFonts w:hint="eastAsia"/>
        </w:rPr>
        <w:t xml:space="preserve">    雨淋系统 deluge sprinkler system</w:t>
      </w:r>
    </w:p>
    <w:p w14:paraId="60028712">
      <w:pPr>
        <w:pStyle w:val="258"/>
        <w:ind w:firstLine="420"/>
      </w:pPr>
      <w:r>
        <w:rPr>
          <w:rFonts w:hint="eastAsia"/>
        </w:rPr>
        <w:t>由开式洒水喷头、雨淋报警阀组等组成，发生火灾时由火灾自动报警系统或执行机构控制，自动开启雨淋报警阀组和启动消防水泵，向开式喷头供水的自动喷水灭火系统。</w:t>
      </w:r>
    </w:p>
    <w:p w14:paraId="316A8F92">
      <w:pPr>
        <w:pStyle w:val="323"/>
      </w:pPr>
      <w:r>
        <w:rPr>
          <w:rFonts w:hint="eastAsia"/>
        </w:rPr>
        <w:br w:type="textWrapping"/>
      </w:r>
      <w:r>
        <w:rPr>
          <w:rFonts w:hint="eastAsia"/>
        </w:rPr>
        <w:t xml:space="preserve">    供给强度 </w:t>
      </w:r>
      <w:r>
        <w:rPr>
          <w:rFonts w:hint="eastAsia" w:hAnsi="黑体" w:cs="黑体"/>
        </w:rPr>
        <w:t>application intensity</w:t>
      </w:r>
    </w:p>
    <w:p w14:paraId="2DF19548">
      <w:pPr>
        <w:pStyle w:val="258"/>
        <w:ind w:firstLine="420"/>
        <w:rPr>
          <w:rFonts w:hint="eastAsia" w:hAnsi="宋体" w:cs="宋体"/>
        </w:rPr>
      </w:pPr>
      <w:r>
        <w:rPr>
          <w:rFonts w:hAnsi="宋体" w:cs="宋体"/>
        </w:rPr>
        <w:t>单位时间单位</w:t>
      </w:r>
      <w:r>
        <w:rPr>
          <w:rFonts w:hint="eastAsia" w:hAnsi="宋体" w:cs="宋体"/>
        </w:rPr>
        <w:t>保护</w:t>
      </w:r>
      <w:r>
        <w:rPr>
          <w:rFonts w:hAnsi="宋体" w:cs="宋体"/>
        </w:rPr>
        <w:t>面积上泡沫混合液或水的供给量，用“L/(min·m</w:t>
      </w:r>
      <w:r>
        <w:rPr>
          <w:rFonts w:hAnsi="宋体" w:cs="宋体"/>
          <w:vertAlign w:val="superscript"/>
        </w:rPr>
        <w:t>2</w:t>
      </w:r>
      <w:r>
        <w:rPr>
          <w:rFonts w:hAnsi="宋体" w:cs="宋体"/>
        </w:rPr>
        <w:t>)”表示。</w:t>
      </w:r>
    </w:p>
    <w:p w14:paraId="20019B78">
      <w:pPr>
        <w:pStyle w:val="260"/>
      </w:pPr>
      <w:bookmarkStart w:id="10" w:name="_Toc18068"/>
      <w:bookmarkStart w:id="11" w:name="_Toc3097"/>
      <w:bookmarkStart w:id="12" w:name="_Toc13400"/>
      <w:bookmarkStart w:id="13" w:name="_Toc17169"/>
      <w:r>
        <w:rPr>
          <w:rFonts w:hint="eastAsia"/>
        </w:rPr>
        <w:br w:type="textWrapping"/>
      </w:r>
      <w:r>
        <w:rPr>
          <w:rFonts w:hint="eastAsia"/>
        </w:rPr>
        <w:t xml:space="preserve">    大气区 atmospheric zone</w:t>
      </w:r>
      <w:bookmarkEnd w:id="10"/>
      <w:bookmarkEnd w:id="11"/>
      <w:bookmarkEnd w:id="12"/>
      <w:bookmarkEnd w:id="13"/>
    </w:p>
    <w:p w14:paraId="4972A87D">
      <w:pPr>
        <w:spacing w:before="156" w:beforeLines="50" w:after="156" w:afterLines="50"/>
        <w:ind w:firstLine="420" w:firstLineChars="200"/>
        <w:rPr>
          <w:rFonts w:hint="eastAsia" w:ascii="华文中宋" w:hAnsi="华文中宋" w:eastAsia="华文中宋"/>
        </w:rPr>
      </w:pPr>
      <w:r>
        <w:rPr>
          <w:rFonts w:hint="eastAsia" w:ascii="华文中宋" w:hAnsi="华文中宋" w:eastAsia="华文中宋"/>
        </w:rPr>
        <w:t>从构筑物飞溅区向上延伸的部分，这个区域暴露在阳光、风、水雾和雨水中。</w:t>
      </w:r>
    </w:p>
    <w:p w14:paraId="15DB9B3C">
      <w:pPr>
        <w:pStyle w:val="260"/>
      </w:pPr>
      <w:bookmarkStart w:id="14" w:name="_Toc27343"/>
      <w:bookmarkStart w:id="15" w:name="_Toc23168"/>
      <w:bookmarkStart w:id="16" w:name="_Toc32509"/>
      <w:bookmarkStart w:id="17" w:name="_Toc31896"/>
      <w:r>
        <w:rPr>
          <w:rFonts w:hint="eastAsia"/>
        </w:rPr>
        <w:br w:type="textWrapping"/>
      </w:r>
      <w:r>
        <w:rPr>
          <w:rFonts w:hint="eastAsia"/>
        </w:rPr>
        <w:t xml:space="preserve">    全浸区 submerged zone</w:t>
      </w:r>
      <w:bookmarkEnd w:id="14"/>
      <w:bookmarkEnd w:id="15"/>
      <w:bookmarkEnd w:id="16"/>
      <w:bookmarkEnd w:id="17"/>
    </w:p>
    <w:p w14:paraId="159CBD46">
      <w:pPr>
        <w:spacing w:before="156" w:beforeLines="50" w:after="156" w:afterLines="50"/>
        <w:ind w:firstLine="420" w:firstLineChars="200"/>
        <w:rPr>
          <w:rFonts w:hint="eastAsia" w:ascii="华文中宋" w:hAnsi="华文中宋" w:eastAsia="华文中宋"/>
        </w:rPr>
      </w:pPr>
      <w:r>
        <w:rPr>
          <w:rFonts w:hint="eastAsia" w:ascii="华文中宋" w:hAnsi="华文中宋" w:eastAsia="华文中宋"/>
        </w:rPr>
        <w:t>飞溅区以下的区域，包括泥线以下的构筑物部分。</w:t>
      </w:r>
    </w:p>
    <w:p w14:paraId="7673713A">
      <w:pPr>
        <w:pStyle w:val="260"/>
      </w:pPr>
      <w:bookmarkStart w:id="18" w:name="_Toc24611"/>
      <w:bookmarkStart w:id="19" w:name="_Toc9032"/>
      <w:bookmarkStart w:id="20" w:name="_Toc31219"/>
      <w:bookmarkStart w:id="21" w:name="_Toc23939"/>
      <w:r>
        <w:rPr>
          <w:rFonts w:hint="eastAsia"/>
        </w:rPr>
        <w:br w:type="textWrapping"/>
      </w:r>
      <w:r>
        <w:rPr>
          <w:rFonts w:hint="eastAsia"/>
        </w:rPr>
        <w:t xml:space="preserve">    飞溅区 splash zone</w:t>
      </w:r>
      <w:bookmarkEnd w:id="18"/>
      <w:bookmarkEnd w:id="19"/>
      <w:bookmarkEnd w:id="20"/>
      <w:bookmarkEnd w:id="21"/>
    </w:p>
    <w:p w14:paraId="4C78931A">
      <w:pPr>
        <w:spacing w:before="156" w:beforeLines="50" w:after="156" w:afterLines="50"/>
        <w:ind w:firstLine="420" w:firstLineChars="200"/>
        <w:rPr>
          <w:rFonts w:hint="eastAsia" w:ascii="华文中宋" w:hAnsi="华文中宋" w:eastAsia="华文中宋"/>
        </w:rPr>
      </w:pPr>
      <w:r>
        <w:rPr>
          <w:rFonts w:hint="eastAsia" w:ascii="华文中宋" w:hAnsi="华文中宋" w:eastAsia="华文中宋"/>
        </w:rPr>
        <w:t>构筑物由于潮汐、风和海浪影响交替暴露于大气中和处于海水中的区域，仅在台风、大型风暴中被飞溅海水打湿的表面不在该区域内。</w:t>
      </w:r>
    </w:p>
    <w:p w14:paraId="23378881">
      <w:pPr>
        <w:pStyle w:val="259"/>
        <w:outlineLvl w:val="0"/>
        <w:rPr>
          <w:rFonts w:ascii="Times New Roman"/>
        </w:rPr>
      </w:pPr>
      <w:bookmarkStart w:id="22" w:name="_Toc7701"/>
      <w:r>
        <w:rPr>
          <w:rFonts w:ascii="Times New Roman"/>
        </w:rPr>
        <w:t>缩略语</w:t>
      </w:r>
      <w:bookmarkEnd w:id="22"/>
    </w:p>
    <w:p w14:paraId="28F6122C">
      <w:pPr>
        <w:ind w:firstLine="420" w:firstLineChars="200"/>
        <w:rPr>
          <w:kern w:val="0"/>
          <w:szCs w:val="20"/>
        </w:rPr>
      </w:pPr>
      <w:r>
        <w:rPr>
          <w:kern w:val="0"/>
          <w:szCs w:val="20"/>
        </w:rPr>
        <w:t>下列缩略语适用于本文件。</w:t>
      </w:r>
    </w:p>
    <w:p w14:paraId="324F1C9E">
      <w:pPr>
        <w:widowControl/>
        <w:ind w:firstLine="420" w:firstLineChars="200"/>
        <w:jc w:val="left"/>
        <w:rPr>
          <w:rFonts w:hint="eastAsia" w:ascii="宋体" w:hAnsi="宋体" w:cs="宋体"/>
          <w:kern w:val="0"/>
          <w:szCs w:val="21"/>
        </w:rPr>
      </w:pPr>
      <w:bookmarkStart w:id="23" w:name="_Toc15090"/>
      <w:r>
        <w:rPr>
          <w:rFonts w:ascii="宋体" w:hAnsi="宋体" w:cs="宋体"/>
          <w:kern w:val="0"/>
          <w:szCs w:val="21"/>
        </w:rPr>
        <w:t>BDV：泄放阀（Blowdown Valve）</w:t>
      </w:r>
    </w:p>
    <w:p w14:paraId="36794F9F">
      <w:pPr>
        <w:widowControl/>
        <w:ind w:firstLine="420" w:firstLineChars="200"/>
        <w:jc w:val="left"/>
        <w:rPr>
          <w:rFonts w:hint="eastAsia" w:ascii="宋体" w:hAnsi="宋体" w:cs="宋体"/>
          <w:kern w:val="0"/>
          <w:szCs w:val="21"/>
        </w:rPr>
      </w:pPr>
      <w:r>
        <w:rPr>
          <w:rFonts w:ascii="宋体" w:hAnsi="宋体" w:cs="宋体"/>
          <w:kern w:val="0"/>
          <w:szCs w:val="21"/>
        </w:rPr>
        <w:t xml:space="preserve">BSL：燃烧器火焰探测器 （ Burner Safety </w:t>
      </w:r>
      <w:r>
        <w:rPr>
          <w:rFonts w:hint="eastAsia" w:ascii="宋体" w:hAnsi="宋体" w:cs="宋体"/>
          <w:kern w:val="0"/>
          <w:szCs w:val="21"/>
        </w:rPr>
        <w:t>Low</w:t>
      </w:r>
      <w:r>
        <w:rPr>
          <w:rFonts w:ascii="宋体" w:hAnsi="宋体" w:cs="宋体"/>
          <w:kern w:val="0"/>
          <w:szCs w:val="21"/>
        </w:rPr>
        <w:t>）</w:t>
      </w:r>
    </w:p>
    <w:p w14:paraId="5CFC0D06">
      <w:pPr>
        <w:widowControl/>
        <w:ind w:firstLine="420" w:firstLineChars="200"/>
        <w:jc w:val="left"/>
        <w:rPr>
          <w:rFonts w:hint="eastAsia" w:ascii="宋体" w:hAnsi="宋体" w:cs="宋体"/>
          <w:kern w:val="0"/>
          <w:szCs w:val="21"/>
        </w:rPr>
      </w:pPr>
      <w:r>
        <w:rPr>
          <w:rFonts w:ascii="宋体" w:hAnsi="宋体" w:cs="宋体"/>
          <w:kern w:val="0"/>
          <w:szCs w:val="21"/>
        </w:rPr>
        <w:t>ESD：紧急关断系统（Emergency Shutdown System）</w:t>
      </w:r>
    </w:p>
    <w:p w14:paraId="3DFDD86F">
      <w:pPr>
        <w:widowControl/>
        <w:ind w:firstLine="420" w:firstLineChars="200"/>
        <w:jc w:val="left"/>
        <w:rPr>
          <w:rFonts w:hint="eastAsia" w:ascii="宋体" w:hAnsi="宋体" w:cs="宋体"/>
          <w:kern w:val="0"/>
          <w:szCs w:val="21"/>
        </w:rPr>
      </w:pPr>
      <w:r>
        <w:rPr>
          <w:rFonts w:ascii="宋体" w:hAnsi="宋体" w:cs="宋体"/>
          <w:kern w:val="0"/>
          <w:szCs w:val="21"/>
        </w:rPr>
        <w:t>FGS：火气系统（Fire Gas System）</w:t>
      </w:r>
    </w:p>
    <w:p w14:paraId="771D580E">
      <w:pPr>
        <w:widowControl/>
        <w:ind w:firstLine="420" w:firstLineChars="200"/>
        <w:jc w:val="left"/>
        <w:rPr>
          <w:rFonts w:hint="eastAsia" w:ascii="宋体" w:hAnsi="宋体" w:cs="宋体"/>
          <w:kern w:val="0"/>
          <w:szCs w:val="21"/>
        </w:rPr>
      </w:pPr>
      <w:r>
        <w:rPr>
          <w:rFonts w:ascii="宋体" w:hAnsi="宋体" w:cs="宋体"/>
          <w:kern w:val="0"/>
          <w:szCs w:val="21"/>
        </w:rPr>
        <w:t xml:space="preserve">FSL：低流量传感器（Low-flow </w:t>
      </w:r>
      <w:r>
        <w:rPr>
          <w:rFonts w:hint="eastAsia" w:ascii="宋体" w:hAnsi="宋体" w:cs="宋体"/>
          <w:kern w:val="0"/>
          <w:szCs w:val="21"/>
        </w:rPr>
        <w:t>S</w:t>
      </w:r>
      <w:r>
        <w:rPr>
          <w:rFonts w:ascii="宋体" w:hAnsi="宋体" w:cs="宋体"/>
          <w:kern w:val="0"/>
          <w:szCs w:val="21"/>
        </w:rPr>
        <w:t>ensor）</w:t>
      </w:r>
    </w:p>
    <w:p w14:paraId="48B831A6">
      <w:pPr>
        <w:widowControl/>
        <w:ind w:firstLine="420" w:firstLineChars="200"/>
        <w:jc w:val="left"/>
        <w:rPr>
          <w:rFonts w:hint="eastAsia" w:ascii="宋体" w:hAnsi="宋体" w:cs="宋体"/>
          <w:kern w:val="0"/>
          <w:szCs w:val="21"/>
        </w:rPr>
      </w:pPr>
      <w:r>
        <w:rPr>
          <w:rFonts w:ascii="宋体" w:hAnsi="宋体" w:cs="宋体"/>
          <w:kern w:val="0"/>
          <w:szCs w:val="21"/>
        </w:rPr>
        <w:t>FSV：流动安全阀（Flow Safety Valve）</w:t>
      </w:r>
    </w:p>
    <w:p w14:paraId="49943437">
      <w:pPr>
        <w:widowControl/>
        <w:ind w:firstLine="420" w:firstLineChars="200"/>
        <w:jc w:val="left"/>
        <w:rPr>
          <w:rFonts w:hint="eastAsia" w:ascii="宋体" w:hAnsi="宋体" w:cs="宋体"/>
          <w:kern w:val="0"/>
          <w:szCs w:val="21"/>
        </w:rPr>
      </w:pPr>
      <w:r>
        <w:rPr>
          <w:rFonts w:ascii="宋体" w:hAnsi="宋体" w:cs="宋体"/>
          <w:kern w:val="0"/>
          <w:szCs w:val="21"/>
        </w:rPr>
        <w:t>HIPPS：高完整性压力保护系统（High Integrity Pressure Protection System）</w:t>
      </w:r>
    </w:p>
    <w:p w14:paraId="1F4D4F83">
      <w:pPr>
        <w:widowControl/>
        <w:ind w:firstLine="420" w:firstLineChars="200"/>
        <w:jc w:val="left"/>
        <w:rPr>
          <w:rFonts w:hint="eastAsia" w:ascii="宋体" w:hAnsi="宋体" w:cs="宋体"/>
          <w:kern w:val="0"/>
          <w:szCs w:val="21"/>
        </w:rPr>
      </w:pPr>
      <w:r>
        <w:rPr>
          <w:rFonts w:ascii="宋体" w:hAnsi="宋体" w:cs="宋体"/>
          <w:kern w:val="0"/>
          <w:szCs w:val="21"/>
        </w:rPr>
        <w:t>J—T：焦耳汤姆逊效应 （Joule</w:t>
      </w:r>
      <w:r>
        <w:rPr>
          <w:rFonts w:hint="eastAsia" w:ascii="宋体" w:hAnsi="宋体" w:cs="宋体"/>
          <w:kern w:val="0"/>
          <w:szCs w:val="21"/>
        </w:rPr>
        <w:t>-</w:t>
      </w:r>
      <w:r>
        <w:rPr>
          <w:rFonts w:ascii="宋体" w:hAnsi="宋体" w:cs="宋体"/>
          <w:kern w:val="0"/>
          <w:szCs w:val="21"/>
        </w:rPr>
        <w:t>Thomson Effect）</w:t>
      </w:r>
    </w:p>
    <w:p w14:paraId="6641E197">
      <w:pPr>
        <w:widowControl/>
        <w:ind w:firstLine="420" w:firstLineChars="200"/>
        <w:jc w:val="left"/>
        <w:rPr>
          <w:rFonts w:hint="eastAsia" w:ascii="宋体" w:hAnsi="宋体" w:cs="宋体"/>
          <w:kern w:val="0"/>
          <w:szCs w:val="21"/>
        </w:rPr>
      </w:pPr>
      <w:r>
        <w:rPr>
          <w:rFonts w:ascii="宋体" w:hAnsi="宋体" w:cs="宋体"/>
          <w:kern w:val="0"/>
          <w:szCs w:val="21"/>
        </w:rPr>
        <w:t>LSA  国际救生设备（International Life—Saving Appliance）</w:t>
      </w:r>
    </w:p>
    <w:p w14:paraId="5779B376">
      <w:pPr>
        <w:widowControl/>
        <w:ind w:firstLine="420" w:firstLineChars="200"/>
        <w:jc w:val="left"/>
        <w:rPr>
          <w:rFonts w:hint="eastAsia" w:ascii="宋体" w:hAnsi="宋体" w:cs="宋体"/>
          <w:kern w:val="0"/>
          <w:szCs w:val="21"/>
        </w:rPr>
      </w:pPr>
      <w:r>
        <w:rPr>
          <w:rFonts w:ascii="宋体" w:hAnsi="宋体" w:cs="宋体"/>
          <w:kern w:val="0"/>
          <w:szCs w:val="21"/>
        </w:rPr>
        <w:t>LSH：高液位传感器（High-level sensor）</w:t>
      </w:r>
    </w:p>
    <w:p w14:paraId="5D1C2EE5">
      <w:pPr>
        <w:widowControl/>
        <w:ind w:firstLine="420" w:firstLineChars="200"/>
        <w:jc w:val="left"/>
        <w:rPr>
          <w:rFonts w:hint="eastAsia" w:ascii="宋体" w:hAnsi="宋体" w:cs="宋体"/>
          <w:kern w:val="0"/>
          <w:szCs w:val="21"/>
        </w:rPr>
      </w:pPr>
      <w:r>
        <w:rPr>
          <w:rFonts w:ascii="宋体" w:hAnsi="宋体" w:cs="宋体"/>
          <w:kern w:val="0"/>
          <w:szCs w:val="21"/>
        </w:rPr>
        <w:t>LSL：低液位传感器（Low-level sensor）</w:t>
      </w:r>
    </w:p>
    <w:p w14:paraId="393DA8A8">
      <w:pPr>
        <w:widowControl/>
        <w:ind w:firstLine="420" w:firstLineChars="200"/>
        <w:jc w:val="left"/>
        <w:rPr>
          <w:rFonts w:hint="eastAsia" w:ascii="宋体" w:hAnsi="宋体" w:cs="宋体"/>
          <w:kern w:val="0"/>
          <w:szCs w:val="21"/>
        </w:rPr>
      </w:pPr>
      <w:r>
        <w:rPr>
          <w:rFonts w:ascii="宋体" w:hAnsi="宋体" w:cs="宋体"/>
          <w:kern w:val="0"/>
          <w:szCs w:val="21"/>
        </w:rPr>
        <w:t>MAWP：最大允许工作压力（Maximum Allowable Working Pressure）</w:t>
      </w:r>
    </w:p>
    <w:p w14:paraId="09C773D0">
      <w:pPr>
        <w:widowControl/>
        <w:ind w:firstLine="420" w:firstLineChars="200"/>
        <w:jc w:val="left"/>
        <w:rPr>
          <w:rFonts w:hint="eastAsia" w:ascii="宋体" w:hAnsi="宋体" w:cs="宋体"/>
          <w:kern w:val="0"/>
          <w:szCs w:val="21"/>
        </w:rPr>
      </w:pPr>
      <w:r>
        <w:rPr>
          <w:rFonts w:ascii="宋体" w:hAnsi="宋体" w:cs="宋体"/>
          <w:kern w:val="0"/>
          <w:szCs w:val="21"/>
        </w:rPr>
        <w:t>MSITP：最大关井压力（Maximum Shut</w:t>
      </w:r>
      <w:r>
        <w:rPr>
          <w:rFonts w:hint="eastAsia" w:ascii="宋体" w:hAnsi="宋体" w:cs="宋体"/>
          <w:kern w:val="0"/>
          <w:szCs w:val="21"/>
        </w:rPr>
        <w:t>-</w:t>
      </w:r>
      <w:r>
        <w:rPr>
          <w:rFonts w:ascii="宋体" w:hAnsi="宋体" w:cs="宋体"/>
          <w:kern w:val="0"/>
          <w:szCs w:val="21"/>
        </w:rPr>
        <w:t>in Tubing Pressure）</w:t>
      </w:r>
    </w:p>
    <w:p w14:paraId="0D9EA873">
      <w:pPr>
        <w:widowControl/>
        <w:ind w:firstLine="420" w:firstLineChars="200"/>
        <w:jc w:val="left"/>
        <w:rPr>
          <w:rFonts w:hint="eastAsia" w:ascii="宋体" w:hAnsi="宋体" w:cs="宋体"/>
          <w:kern w:val="0"/>
          <w:szCs w:val="21"/>
        </w:rPr>
      </w:pPr>
      <w:r>
        <w:rPr>
          <w:rFonts w:ascii="宋体" w:hAnsi="宋体" w:cs="宋体"/>
          <w:kern w:val="0"/>
          <w:szCs w:val="21"/>
        </w:rPr>
        <w:t>PRD：压力泄放装置（Pressure</w:t>
      </w:r>
      <w:r>
        <w:rPr>
          <w:rFonts w:hint="eastAsia" w:ascii="宋体" w:hAnsi="宋体" w:cs="宋体"/>
          <w:kern w:val="0"/>
          <w:szCs w:val="21"/>
        </w:rPr>
        <w:t>-</w:t>
      </w:r>
      <w:r>
        <w:rPr>
          <w:rFonts w:ascii="宋体" w:hAnsi="宋体" w:cs="宋体"/>
          <w:kern w:val="0"/>
          <w:szCs w:val="21"/>
        </w:rPr>
        <w:t>relief Device）</w:t>
      </w:r>
    </w:p>
    <w:p w14:paraId="38291006">
      <w:pPr>
        <w:widowControl/>
        <w:ind w:firstLine="420" w:firstLineChars="200"/>
        <w:jc w:val="left"/>
        <w:rPr>
          <w:rFonts w:hint="eastAsia" w:ascii="宋体" w:hAnsi="宋体" w:cs="宋体"/>
          <w:kern w:val="0"/>
          <w:szCs w:val="21"/>
        </w:rPr>
      </w:pPr>
      <w:r>
        <w:rPr>
          <w:rFonts w:ascii="宋体" w:hAnsi="宋体" w:cs="宋体"/>
          <w:kern w:val="0"/>
          <w:szCs w:val="21"/>
        </w:rPr>
        <w:t>PSE：压力安全元件（Pressure Safety Element）</w:t>
      </w:r>
    </w:p>
    <w:p w14:paraId="56BB2434">
      <w:pPr>
        <w:widowControl/>
        <w:ind w:firstLine="420" w:firstLineChars="200"/>
        <w:jc w:val="left"/>
        <w:rPr>
          <w:rFonts w:hint="eastAsia" w:ascii="宋体" w:hAnsi="宋体" w:cs="宋体"/>
          <w:kern w:val="0"/>
          <w:szCs w:val="21"/>
        </w:rPr>
      </w:pPr>
      <w:r>
        <w:rPr>
          <w:rFonts w:ascii="宋体" w:hAnsi="宋体" w:cs="宋体"/>
          <w:kern w:val="0"/>
          <w:szCs w:val="21"/>
        </w:rPr>
        <w:t>PSH：高压传感器（High-pressure sensor）</w:t>
      </w:r>
    </w:p>
    <w:p w14:paraId="12998AE4">
      <w:pPr>
        <w:widowControl/>
        <w:ind w:firstLine="420" w:firstLineChars="200"/>
        <w:jc w:val="left"/>
        <w:rPr>
          <w:rFonts w:hint="eastAsia" w:ascii="宋体" w:hAnsi="宋体" w:cs="宋体"/>
          <w:kern w:val="0"/>
          <w:szCs w:val="21"/>
        </w:rPr>
      </w:pPr>
      <w:r>
        <w:rPr>
          <w:rFonts w:ascii="宋体" w:hAnsi="宋体" w:cs="宋体"/>
          <w:kern w:val="0"/>
          <w:szCs w:val="21"/>
        </w:rPr>
        <w:t>PSL：低压传感器（Low-pressure sensor）</w:t>
      </w:r>
    </w:p>
    <w:p w14:paraId="1F006742">
      <w:pPr>
        <w:widowControl/>
        <w:ind w:firstLine="420" w:firstLineChars="200"/>
        <w:jc w:val="left"/>
        <w:rPr>
          <w:rFonts w:hint="eastAsia" w:ascii="宋体" w:hAnsi="宋体" w:cs="宋体"/>
          <w:kern w:val="0"/>
          <w:szCs w:val="21"/>
        </w:rPr>
      </w:pPr>
      <w:r>
        <w:rPr>
          <w:rFonts w:ascii="宋体" w:hAnsi="宋体" w:cs="宋体"/>
          <w:kern w:val="0"/>
          <w:szCs w:val="21"/>
        </w:rPr>
        <w:t>PSV：压力安全阀（Pressure Safety Valve）</w:t>
      </w:r>
    </w:p>
    <w:p w14:paraId="0C86F3DD">
      <w:pPr>
        <w:widowControl/>
        <w:ind w:firstLine="420" w:firstLineChars="200"/>
        <w:jc w:val="left"/>
        <w:rPr>
          <w:rFonts w:hint="eastAsia" w:ascii="宋体" w:hAnsi="宋体" w:cs="宋体"/>
          <w:kern w:val="0"/>
          <w:szCs w:val="21"/>
        </w:rPr>
      </w:pPr>
      <w:r>
        <w:rPr>
          <w:rFonts w:ascii="宋体" w:hAnsi="宋体" w:cs="宋体"/>
          <w:kern w:val="0"/>
          <w:szCs w:val="21"/>
        </w:rPr>
        <w:t>PVRV：压力真空泄放阀（Pressure</w:t>
      </w:r>
      <w:r>
        <w:rPr>
          <w:rFonts w:hint="eastAsia" w:ascii="宋体" w:hAnsi="宋体" w:cs="宋体"/>
          <w:kern w:val="0"/>
          <w:szCs w:val="21"/>
        </w:rPr>
        <w:t>-</w:t>
      </w:r>
      <w:r>
        <w:rPr>
          <w:rFonts w:ascii="宋体" w:hAnsi="宋体" w:cs="宋体"/>
          <w:kern w:val="0"/>
          <w:szCs w:val="21"/>
        </w:rPr>
        <w:t>vacuum Relief Valve）</w:t>
      </w:r>
    </w:p>
    <w:p w14:paraId="21935CB4">
      <w:pPr>
        <w:widowControl/>
        <w:ind w:firstLine="420" w:firstLineChars="200"/>
        <w:jc w:val="left"/>
        <w:rPr>
          <w:rFonts w:hint="eastAsia" w:ascii="宋体" w:hAnsi="宋体" w:cs="宋体"/>
          <w:kern w:val="0"/>
          <w:szCs w:val="21"/>
        </w:rPr>
      </w:pPr>
      <w:r>
        <w:rPr>
          <w:rFonts w:ascii="宋体" w:hAnsi="宋体" w:cs="宋体"/>
          <w:kern w:val="0"/>
          <w:szCs w:val="21"/>
        </w:rPr>
        <w:t>SDV：关断阀（Shutdown Valve）</w:t>
      </w:r>
    </w:p>
    <w:p w14:paraId="63B0478B">
      <w:pPr>
        <w:widowControl/>
        <w:ind w:firstLine="420" w:firstLineChars="200"/>
        <w:jc w:val="left"/>
        <w:rPr>
          <w:rFonts w:hint="eastAsia" w:ascii="宋体" w:hAnsi="宋体" w:cs="宋体"/>
          <w:kern w:val="0"/>
          <w:szCs w:val="21"/>
        </w:rPr>
      </w:pPr>
      <w:r>
        <w:rPr>
          <w:rFonts w:ascii="宋体" w:hAnsi="宋体" w:cs="宋体"/>
          <w:kern w:val="0"/>
          <w:szCs w:val="21"/>
        </w:rPr>
        <w:t>SSV：井上安全阀（Surface Safety Valve）</w:t>
      </w:r>
    </w:p>
    <w:p w14:paraId="06788FD6">
      <w:pPr>
        <w:widowControl/>
        <w:ind w:firstLine="420" w:firstLineChars="200"/>
        <w:jc w:val="left"/>
        <w:rPr>
          <w:rFonts w:hint="eastAsia" w:ascii="宋体" w:hAnsi="宋体" w:cs="宋体"/>
          <w:kern w:val="0"/>
          <w:szCs w:val="21"/>
        </w:rPr>
      </w:pPr>
      <w:r>
        <w:rPr>
          <w:rFonts w:ascii="宋体" w:hAnsi="宋体" w:cs="宋体"/>
          <w:kern w:val="0"/>
          <w:szCs w:val="21"/>
        </w:rPr>
        <w:t>TSH：高温传感器（High-temperature sensor ）</w:t>
      </w:r>
    </w:p>
    <w:p w14:paraId="3C803BDE">
      <w:pPr>
        <w:widowControl/>
        <w:ind w:firstLine="420" w:firstLineChars="200"/>
        <w:jc w:val="left"/>
        <w:rPr>
          <w:rFonts w:hint="eastAsia" w:ascii="宋体" w:hAnsi="宋体" w:cs="宋体"/>
          <w:kern w:val="0"/>
          <w:szCs w:val="21"/>
        </w:rPr>
      </w:pPr>
      <w:r>
        <w:rPr>
          <w:rFonts w:ascii="宋体" w:hAnsi="宋体" w:cs="宋体"/>
          <w:kern w:val="0"/>
          <w:szCs w:val="21"/>
        </w:rPr>
        <w:t>TSL：低温传感器（Low-temperature sensor）</w:t>
      </w:r>
    </w:p>
    <w:p w14:paraId="2A23D518">
      <w:pPr>
        <w:widowControl/>
        <w:ind w:firstLine="420" w:firstLineChars="200"/>
        <w:jc w:val="left"/>
        <w:rPr>
          <w:rFonts w:hint="eastAsia" w:ascii="宋体" w:hAnsi="宋体" w:cs="宋体"/>
          <w:b/>
          <w:kern w:val="0"/>
          <w:szCs w:val="21"/>
        </w:rPr>
      </w:pPr>
      <w:r>
        <w:rPr>
          <w:rFonts w:ascii="宋体" w:hAnsi="宋体" w:cs="宋体"/>
          <w:kern w:val="0"/>
          <w:szCs w:val="21"/>
        </w:rPr>
        <w:t>VSH：振动安全传感器（Vibration Safety high）</w:t>
      </w:r>
    </w:p>
    <w:p w14:paraId="105F8A29">
      <w:pPr>
        <w:pStyle w:val="259"/>
        <w:outlineLvl w:val="0"/>
        <w:rPr>
          <w:rFonts w:ascii="Times New Roman"/>
        </w:rPr>
      </w:pPr>
      <w:r>
        <w:rPr>
          <w:rFonts w:ascii="Times New Roman"/>
        </w:rPr>
        <w:t>总体要求</w:t>
      </w:r>
      <w:bookmarkEnd w:id="23"/>
    </w:p>
    <w:p w14:paraId="789EACB1">
      <w:pPr>
        <w:pStyle w:val="330"/>
        <w:rPr>
          <w:rFonts w:ascii="Times New Roman"/>
        </w:rPr>
      </w:pPr>
      <w:bookmarkStart w:id="24" w:name="_Toc13758"/>
      <w:bookmarkStart w:id="25" w:name="_Toc3191"/>
      <w:r>
        <w:rPr>
          <w:rFonts w:ascii="Times New Roman"/>
        </w:rPr>
        <w:t>海洋石油固定平台方位、尺度等确定，生产区、公用设施区、生活区等布置，应保证生产作业和人员安全。</w:t>
      </w:r>
      <w:bookmarkEnd w:id="24"/>
      <w:bookmarkEnd w:id="25"/>
    </w:p>
    <w:p w14:paraId="665FC754">
      <w:pPr>
        <w:pStyle w:val="330"/>
        <w:rPr>
          <w:rFonts w:ascii="Times New Roman"/>
        </w:rPr>
      </w:pPr>
      <w:bookmarkStart w:id="26" w:name="_Toc3583"/>
      <w:bookmarkStart w:id="27" w:name="_Toc6496"/>
      <w:r>
        <w:rPr>
          <w:rFonts w:ascii="Times New Roman"/>
        </w:rPr>
        <w:t>结构设计应以可靠的计算分析为基础，考虑所在海域环境条件。</w:t>
      </w:r>
      <w:bookmarkEnd w:id="26"/>
      <w:bookmarkEnd w:id="27"/>
    </w:p>
    <w:p w14:paraId="3CA708A9">
      <w:pPr>
        <w:pStyle w:val="330"/>
        <w:rPr>
          <w:rFonts w:ascii="Times New Roman"/>
        </w:rPr>
      </w:pPr>
      <w:bookmarkStart w:id="28" w:name="_Toc9130"/>
      <w:bookmarkStart w:id="29" w:name="_Toc12163"/>
      <w:r>
        <w:rPr>
          <w:rFonts w:ascii="Times New Roman"/>
        </w:rPr>
        <w:t>应根据不同海洋环境区域特点</w:t>
      </w:r>
      <w:r>
        <w:rPr>
          <w:rFonts w:hint="eastAsia" w:ascii="Times New Roman"/>
        </w:rPr>
        <w:t>，</w:t>
      </w:r>
      <w:r>
        <w:rPr>
          <w:rFonts w:ascii="Times New Roman"/>
        </w:rPr>
        <w:t>对海洋石油固定平台设备设施采取相应防腐蚀措施。</w:t>
      </w:r>
      <w:bookmarkEnd w:id="28"/>
      <w:bookmarkEnd w:id="29"/>
    </w:p>
    <w:p w14:paraId="0480C79C">
      <w:pPr>
        <w:pStyle w:val="330"/>
        <w:rPr>
          <w:rFonts w:ascii="Times New Roman"/>
        </w:rPr>
      </w:pPr>
      <w:bookmarkStart w:id="30" w:name="_Toc5585"/>
      <w:bookmarkStart w:id="31" w:name="_Toc26540"/>
      <w:r>
        <w:rPr>
          <w:rFonts w:ascii="Times New Roman"/>
        </w:rPr>
        <w:t>油气工艺生产系统应满足安全生产要求前提下，根据油气田开发特点、平台功能、原油及天然气基础物性、注采方式、海底管道输送工况、产品处理指标等设置。</w:t>
      </w:r>
      <w:bookmarkEnd w:id="30"/>
      <w:bookmarkEnd w:id="31"/>
    </w:p>
    <w:p w14:paraId="18EED0D8">
      <w:pPr>
        <w:pStyle w:val="330"/>
        <w:rPr>
          <w:rFonts w:ascii="Times New Roman"/>
        </w:rPr>
      </w:pPr>
      <w:bookmarkStart w:id="32" w:name="_Toc25923"/>
      <w:bookmarkStart w:id="33" w:name="_Toc20787"/>
      <w:bookmarkStart w:id="34" w:name="_Toc506"/>
      <w:bookmarkStart w:id="35" w:name="_Toc27606"/>
      <w:r>
        <w:rPr>
          <w:rFonts w:hint="eastAsia" w:ascii="Times New Roman"/>
        </w:rPr>
        <w:t>设备</w:t>
      </w:r>
      <w:r>
        <w:rPr>
          <w:rFonts w:ascii="Times New Roman"/>
        </w:rPr>
        <w:t>、锅炉、压力容器及其管道和附件设计、安装和防护应充分考虑到使运动部件、热表面和其他危险对平台上人员伤害可能性减至最小程度。</w:t>
      </w:r>
      <w:bookmarkEnd w:id="32"/>
      <w:bookmarkEnd w:id="33"/>
    </w:p>
    <w:p w14:paraId="24BC26C8">
      <w:pPr>
        <w:pStyle w:val="330"/>
        <w:rPr>
          <w:rFonts w:ascii="Times New Roman"/>
        </w:rPr>
      </w:pPr>
      <w:r>
        <w:rPr>
          <w:rFonts w:hint="eastAsia" w:ascii="Times New Roman"/>
        </w:rPr>
        <w:t>消防设施应能有效减少火灾危险带来的人身和财产损失。用于控火、灭火的消防设施应能有效控制或扑灭平台火灾，用于防护冷却或防火分隔的消防设施，应能在规定时间内有效阻止火灾蔓延。</w:t>
      </w:r>
    </w:p>
    <w:p w14:paraId="17B9F990">
      <w:pPr>
        <w:pStyle w:val="330"/>
        <w:rPr>
          <w:rFonts w:ascii="Times New Roman"/>
        </w:rPr>
      </w:pPr>
      <w:r>
        <w:rPr>
          <w:rFonts w:ascii="Times New Roman"/>
        </w:rPr>
        <w:t>海洋石油固定平台应配备满足平台总人数要求的救生和逃生系统，平台应根据场所危险类型配置消防系统。</w:t>
      </w:r>
      <w:bookmarkEnd w:id="34"/>
      <w:bookmarkEnd w:id="35"/>
    </w:p>
    <w:p w14:paraId="6F02DA70">
      <w:pPr>
        <w:pStyle w:val="330"/>
        <w:rPr>
          <w:rFonts w:ascii="Times New Roman"/>
        </w:rPr>
      </w:pPr>
      <w:r>
        <w:rPr>
          <w:rFonts w:ascii="Times New Roman"/>
        </w:rPr>
        <w:t>海洋石油固定平台的设计、建造、安装以及生产的全过程应实施发证检验制度。发证检验应由发证检验机构按照适用的法律、法规、规范和标准开展，主要包括设计审查、建造检验、生产期检验以及产品检验。</w:t>
      </w:r>
    </w:p>
    <w:p w14:paraId="720D30CA">
      <w:pPr>
        <w:pStyle w:val="330"/>
        <w:rPr>
          <w:rFonts w:ascii="Times New Roman"/>
        </w:rPr>
      </w:pPr>
      <w:r>
        <w:rPr>
          <w:rFonts w:hint="eastAsia" w:ascii="Times New Roman"/>
        </w:rPr>
        <w:t>海洋石油固定平台在设计阶段应开展危险与可操作分</w:t>
      </w:r>
      <w:r>
        <w:rPr>
          <w:rFonts w:hint="eastAsia" w:ascii="宋体" w:hAnsi="宋体" w:eastAsia="宋体" w:cs="宋体"/>
        </w:rPr>
        <w:t>析（HAZOP）和安全完整性等级分析（SIL）。</w:t>
      </w:r>
    </w:p>
    <w:p w14:paraId="32D2BC77">
      <w:pPr>
        <w:pStyle w:val="330"/>
        <w:rPr>
          <w:rFonts w:ascii="Times New Roman"/>
        </w:rPr>
      </w:pPr>
      <w:r>
        <w:rPr>
          <w:rFonts w:hint="eastAsia" w:ascii="Times New Roman"/>
        </w:rPr>
        <w:t>海洋石油固定平台的废弃处置</w:t>
      </w:r>
      <w:r>
        <w:rPr>
          <w:rFonts w:ascii="Times New Roman"/>
        </w:rPr>
        <w:t>可分为原地弃置、异地弃置和将平台改做</w:t>
      </w:r>
      <w:r>
        <w:rPr>
          <w:rFonts w:hint="eastAsia" w:ascii="Times New Roman"/>
        </w:rPr>
        <w:t>它</w:t>
      </w:r>
      <w:r>
        <w:rPr>
          <w:rFonts w:ascii="Times New Roman"/>
        </w:rPr>
        <w:t>用三种方式</w:t>
      </w:r>
      <w:r>
        <w:rPr>
          <w:rFonts w:hint="eastAsia" w:ascii="Times New Roman"/>
        </w:rPr>
        <w:t>，应按照适用的法律、法规、规范和标准开展平台的废弃处置工作。</w:t>
      </w:r>
    </w:p>
    <w:p w14:paraId="78B831FF">
      <w:pPr>
        <w:pStyle w:val="259"/>
        <w:outlineLvl w:val="0"/>
        <w:rPr>
          <w:rFonts w:ascii="Times New Roman"/>
        </w:rPr>
      </w:pPr>
      <w:bookmarkStart w:id="36" w:name="_Toc20195"/>
      <w:r>
        <w:rPr>
          <w:rFonts w:ascii="Times New Roman"/>
        </w:rPr>
        <w:t>平台布置</w:t>
      </w:r>
      <w:bookmarkEnd w:id="36"/>
    </w:p>
    <w:p w14:paraId="1B86F48A">
      <w:pPr>
        <w:pStyle w:val="260"/>
        <w:outlineLvl w:val="1"/>
        <w:rPr>
          <w:rFonts w:ascii="Times New Roman"/>
        </w:rPr>
      </w:pPr>
      <w:bookmarkStart w:id="37" w:name="_Toc15525"/>
      <w:r>
        <w:rPr>
          <w:rFonts w:ascii="Times New Roman"/>
        </w:rPr>
        <w:fldChar w:fldCharType="begin"/>
      </w:r>
      <w:r>
        <w:rPr>
          <w:rFonts w:ascii="Times New Roman"/>
        </w:rPr>
        <w:instrText xml:space="preserve"> HYPERLINK "imap://haojm@cnooc.com.cn@cmail.cnooc.com.cn:993/fetch&gt;UID&gt;/INBOX&gt;730149662" \l "_Toc2705 " </w:instrText>
      </w:r>
      <w:r>
        <w:rPr>
          <w:rFonts w:ascii="Times New Roman"/>
        </w:rPr>
        <w:fldChar w:fldCharType="separate"/>
      </w:r>
      <w:r>
        <w:rPr>
          <w:rFonts w:ascii="Times New Roman"/>
        </w:rPr>
        <w:t>一般规定</w:t>
      </w:r>
      <w:r>
        <w:rPr>
          <w:rFonts w:ascii="Times New Roman"/>
        </w:rPr>
        <w:fldChar w:fldCharType="end"/>
      </w:r>
      <w:bookmarkEnd w:id="37"/>
    </w:p>
    <w:p w14:paraId="067B1C7B">
      <w:pPr>
        <w:pStyle w:val="326"/>
      </w:pPr>
      <w:r>
        <w:t>平台应在油(气)田开发工程设计条件、钻修井工艺设计和油（气）田生产总工艺流程设计及油（气）田开发工程设施总体布置的基础上进行设计</w:t>
      </w:r>
      <w:r>
        <w:rPr>
          <w:rFonts w:hint="eastAsia"/>
        </w:rPr>
        <w:t>，</w:t>
      </w:r>
      <w:r>
        <w:t>确定平台方位、尺度</w:t>
      </w:r>
      <w:r>
        <w:rPr>
          <w:rFonts w:hint="eastAsia"/>
        </w:rPr>
        <w:t>，</w:t>
      </w:r>
      <w:r>
        <w:t>对井口区、设备区、房间区、生活区进行合理布置</w:t>
      </w:r>
      <w:r>
        <w:rPr>
          <w:rFonts w:hint="eastAsia"/>
          <w:lang w:eastAsia="zh-CN"/>
        </w:rPr>
        <w:t>，</w:t>
      </w:r>
      <w:r>
        <w:t>保证生产作业、人员生命及财产的安全。</w:t>
      </w:r>
    </w:p>
    <w:p w14:paraId="4A5D9616">
      <w:pPr>
        <w:pStyle w:val="326"/>
        <w:rPr>
          <w:rFonts w:ascii="Times New Roman"/>
        </w:rPr>
      </w:pPr>
      <w:r>
        <w:rPr>
          <w:rFonts w:hint="eastAsia" w:ascii="Times New Roman"/>
        </w:rPr>
        <w:t>综合考虑风、浪、流等环境条件确定平台方位，包括：</w:t>
      </w:r>
    </w:p>
    <w:p w14:paraId="121B015B">
      <w:pPr>
        <w:pStyle w:val="305"/>
        <w:numPr>
          <w:ilvl w:val="0"/>
          <w:numId w:val="29"/>
        </w:numPr>
        <w:rPr>
          <w:rFonts w:ascii="Times New Roman"/>
        </w:rPr>
      </w:pPr>
      <w:bookmarkStart w:id="38" w:name="_Toc73980425"/>
      <w:bookmarkStart w:id="39" w:name="_Toc73863410"/>
      <w:r>
        <w:rPr>
          <w:rFonts w:hint="eastAsia" w:ascii="Times New Roman"/>
        </w:rPr>
        <w:t>危险区溢出的可燃或有毒气体扩散至生活区或公用设备区的可能性较低；</w:t>
      </w:r>
    </w:p>
    <w:p w14:paraId="18344F3B">
      <w:pPr>
        <w:pStyle w:val="305"/>
        <w:numPr>
          <w:ilvl w:val="0"/>
          <w:numId w:val="29"/>
        </w:numPr>
        <w:rPr>
          <w:rFonts w:ascii="Times New Roman"/>
        </w:rPr>
      </w:pPr>
      <w:r>
        <w:rPr>
          <w:rFonts w:hint="eastAsia" w:ascii="Times New Roman"/>
        </w:rPr>
        <w:t>火灾或爆炸产生的烟气扩散至生活区或公用设备区的可能性较低；</w:t>
      </w:r>
    </w:p>
    <w:p w14:paraId="117E5A49">
      <w:pPr>
        <w:pStyle w:val="305"/>
        <w:numPr>
          <w:ilvl w:val="0"/>
          <w:numId w:val="29"/>
        </w:numPr>
        <w:rPr>
          <w:rFonts w:ascii="Times New Roman"/>
        </w:rPr>
      </w:pPr>
      <w:r>
        <w:rPr>
          <w:rFonts w:hint="eastAsia" w:ascii="Times New Roman"/>
        </w:rPr>
        <w:t>供应船靠泊要求；</w:t>
      </w:r>
    </w:p>
    <w:p w14:paraId="67A553C4">
      <w:pPr>
        <w:pStyle w:val="305"/>
        <w:numPr>
          <w:ilvl w:val="0"/>
          <w:numId w:val="29"/>
        </w:numPr>
        <w:rPr>
          <w:rFonts w:ascii="Times New Roman"/>
        </w:rPr>
      </w:pPr>
      <w:r>
        <w:rPr>
          <w:rFonts w:hint="eastAsia" w:ascii="Times New Roman"/>
        </w:rPr>
        <w:t>直升机起降要求；</w:t>
      </w:r>
    </w:p>
    <w:p w14:paraId="44B5D7A3">
      <w:pPr>
        <w:pStyle w:val="305"/>
        <w:numPr>
          <w:ilvl w:val="0"/>
          <w:numId w:val="29"/>
        </w:numPr>
        <w:rPr>
          <w:rFonts w:ascii="Times New Roman"/>
        </w:rPr>
      </w:pPr>
      <w:r>
        <w:rPr>
          <w:rFonts w:hint="eastAsia" w:ascii="Times New Roman"/>
        </w:rPr>
        <w:t>钻修井设施就位要求。</w:t>
      </w:r>
    </w:p>
    <w:p w14:paraId="7B40598E">
      <w:pPr>
        <w:pStyle w:val="326"/>
        <w:rPr>
          <w:rFonts w:ascii="Times New Roman"/>
        </w:rPr>
      </w:pPr>
      <w:r>
        <w:rPr>
          <w:rFonts w:hint="eastAsia" w:ascii="Times New Roman"/>
        </w:rPr>
        <w:t>新建平台邻近已建设施布置时，综合考虑新老设施供应船停靠、直升机起降、钻修井设施就位、施工船舶作业、火炬</w:t>
      </w:r>
      <w:r>
        <w:rPr>
          <w:rFonts w:ascii="Times New Roman"/>
        </w:rPr>
        <w:t>/</w:t>
      </w:r>
      <w:r>
        <w:rPr>
          <w:rFonts w:hint="eastAsia" w:ascii="Times New Roman"/>
        </w:rPr>
        <w:t>放空设施以及海管海缆路由等因素影响。</w:t>
      </w:r>
      <w:r>
        <w:rPr>
          <w:rFonts w:ascii="Times New Roman"/>
        </w:rPr>
        <w:fldChar w:fldCharType="begin"/>
      </w:r>
      <w:r>
        <w:rPr>
          <w:rFonts w:ascii="Times New Roman"/>
        </w:rPr>
        <w:instrText xml:space="preserve"> HYPERLINK \l "_Toc73980425" </w:instrText>
      </w:r>
      <w:r>
        <w:rPr>
          <w:rFonts w:ascii="Times New Roman"/>
        </w:rPr>
        <w:fldChar w:fldCharType="separate"/>
      </w:r>
    </w:p>
    <w:p w14:paraId="53BDAA54">
      <w:pPr>
        <w:pStyle w:val="260"/>
        <w:outlineLvl w:val="1"/>
        <w:rPr>
          <w:rFonts w:ascii="Times New Roman"/>
        </w:rPr>
      </w:pPr>
      <w:bookmarkStart w:id="40" w:name="_Toc31499"/>
      <w:r>
        <w:rPr>
          <w:rFonts w:ascii="Times New Roman"/>
        </w:rPr>
        <w:t>布置原则</w:t>
      </w:r>
      <w:r>
        <w:rPr>
          <w:rFonts w:ascii="Times New Roman"/>
        </w:rPr>
        <w:fldChar w:fldCharType="end"/>
      </w:r>
      <w:bookmarkEnd w:id="40"/>
    </w:p>
    <w:p w14:paraId="5BB6708B">
      <w:pPr>
        <w:pStyle w:val="326"/>
        <w:rPr>
          <w:rFonts w:ascii="Times New Roman" w:eastAsia="宋体"/>
          <w:lang w:bidi="ar"/>
        </w:rPr>
      </w:pPr>
      <w:r>
        <w:rPr>
          <w:rFonts w:ascii="Times New Roman" w:eastAsia="宋体"/>
          <w:lang w:bidi="ar"/>
        </w:rPr>
        <w:t>平台布置应满足以下原则：</w:t>
      </w:r>
    </w:p>
    <w:p w14:paraId="1CE0257A">
      <w:pPr>
        <w:pStyle w:val="305"/>
        <w:numPr>
          <w:ilvl w:val="0"/>
          <w:numId w:val="30"/>
        </w:numPr>
        <w:rPr>
          <w:rFonts w:ascii="Times New Roman"/>
        </w:rPr>
      </w:pPr>
      <w:r>
        <w:rPr>
          <w:rFonts w:ascii="Times New Roman"/>
        </w:rPr>
        <w:t xml:space="preserve">满足安全、消防、人员救逃生需要； </w:t>
      </w:r>
    </w:p>
    <w:p w14:paraId="30EE8F79">
      <w:pPr>
        <w:pStyle w:val="305"/>
        <w:numPr>
          <w:ilvl w:val="0"/>
          <w:numId w:val="30"/>
        </w:numPr>
        <w:rPr>
          <w:rFonts w:ascii="Times New Roman"/>
        </w:rPr>
      </w:pPr>
      <w:r>
        <w:rPr>
          <w:rFonts w:ascii="Times New Roman"/>
        </w:rPr>
        <w:t>满足生产作业的需要；</w:t>
      </w:r>
    </w:p>
    <w:p w14:paraId="1E573E78">
      <w:pPr>
        <w:pStyle w:val="305"/>
        <w:numPr>
          <w:ilvl w:val="0"/>
          <w:numId w:val="30"/>
        </w:numPr>
        <w:rPr>
          <w:rFonts w:ascii="Times New Roman"/>
        </w:rPr>
      </w:pPr>
      <w:r>
        <w:rPr>
          <w:rFonts w:ascii="Times New Roman"/>
        </w:rPr>
        <w:t>考虑设备操作维护、检修及事故处理的空间、转运通道和吊卸货</w:t>
      </w:r>
      <w:r>
        <w:rPr>
          <w:rFonts w:hint="eastAsia" w:ascii="Times New Roman"/>
        </w:rPr>
        <w:t>区域</w:t>
      </w:r>
      <w:r>
        <w:rPr>
          <w:rFonts w:ascii="Times New Roman"/>
        </w:rPr>
        <w:t xml:space="preserve">； </w:t>
      </w:r>
    </w:p>
    <w:p w14:paraId="7F766F25">
      <w:pPr>
        <w:pStyle w:val="305"/>
        <w:numPr>
          <w:ilvl w:val="0"/>
          <w:numId w:val="30"/>
        </w:numPr>
        <w:rPr>
          <w:rFonts w:ascii="Times New Roman"/>
        </w:rPr>
      </w:pPr>
      <w:r>
        <w:rPr>
          <w:rFonts w:ascii="Times New Roman"/>
        </w:rPr>
        <w:t>结合建造施工方案，满足建造安装</w:t>
      </w:r>
      <w:r>
        <w:rPr>
          <w:rFonts w:hint="eastAsia" w:ascii="Times New Roman"/>
        </w:rPr>
        <w:t>的安全</w:t>
      </w:r>
      <w:r>
        <w:rPr>
          <w:rFonts w:ascii="Times New Roman"/>
        </w:rPr>
        <w:t xml:space="preserve">需求； </w:t>
      </w:r>
    </w:p>
    <w:p w14:paraId="139D7AD7">
      <w:pPr>
        <w:pStyle w:val="305"/>
        <w:numPr>
          <w:ilvl w:val="0"/>
          <w:numId w:val="30"/>
        </w:numPr>
        <w:rPr>
          <w:rFonts w:ascii="Times New Roman"/>
        </w:rPr>
      </w:pPr>
      <w:r>
        <w:rPr>
          <w:rFonts w:ascii="Times New Roman"/>
        </w:rPr>
        <w:t>考虑结构设计的合理性。</w:t>
      </w:r>
    </w:p>
    <w:p w14:paraId="4D35A73E">
      <w:pPr>
        <w:pStyle w:val="305"/>
        <w:numPr>
          <w:ilvl w:val="0"/>
          <w:numId w:val="30"/>
        </w:numPr>
      </w:pPr>
      <w:r>
        <w:t>满足钻井、修井作业空间需求。</w:t>
      </w:r>
    </w:p>
    <w:p w14:paraId="08EE8667">
      <w:pPr>
        <w:pStyle w:val="326"/>
        <w:rPr>
          <w:rFonts w:ascii="Times New Roman"/>
        </w:rPr>
      </w:pPr>
      <w:r>
        <w:rPr>
          <w:rFonts w:ascii="Times New Roman"/>
        </w:rPr>
        <w:t>结合设备和房间高度确定甲板层高，同时满足通风、管系及电仪托架布置、维修所需空间。</w:t>
      </w:r>
    </w:p>
    <w:p w14:paraId="7EA29747">
      <w:pPr>
        <w:pStyle w:val="326"/>
        <w:rPr>
          <w:rFonts w:ascii="Times New Roman"/>
        </w:rPr>
      </w:pPr>
      <w:r>
        <w:rPr>
          <w:rFonts w:hint="eastAsia" w:ascii="Times New Roman"/>
        </w:rPr>
        <w:t>平台最下层甲板底的高程</w:t>
      </w:r>
      <w:r>
        <w:rPr>
          <w:rFonts w:ascii="Times New Roman"/>
        </w:rPr>
        <w:t>应处于设计环境条件潮汐与波浪最不利组合情况下的最大波峰高程以上，并留有至</w:t>
      </w:r>
      <w:r>
        <w:rPr>
          <w:rFonts w:hint="eastAsia" w:ascii="宋体" w:hAnsi="宋体" w:eastAsia="宋体" w:cs="宋体"/>
        </w:rPr>
        <w:t>少1.5</w:t>
      </w:r>
      <w:r>
        <w:rPr>
          <w:rFonts w:hint="eastAsia" w:ascii="宋体" w:hAnsi="宋体" w:eastAsia="宋体" w:cs="宋体"/>
          <w:sz w:val="10"/>
          <w:szCs w:val="10"/>
        </w:rPr>
        <w:t xml:space="preserve"> </w:t>
      </w:r>
      <w:r>
        <w:rPr>
          <w:rFonts w:hint="eastAsia" w:ascii="宋体" w:hAnsi="宋体" w:eastAsia="宋体" w:cs="宋体"/>
        </w:rPr>
        <w:t>m的间隙。</w:t>
      </w:r>
    </w:p>
    <w:p w14:paraId="5230B72B">
      <w:pPr>
        <w:pStyle w:val="260"/>
        <w:outlineLvl w:val="1"/>
        <w:rPr>
          <w:rFonts w:ascii="Times New Roman"/>
        </w:rPr>
      </w:pPr>
      <w:bookmarkStart w:id="41" w:name="_Toc23427"/>
      <w:r>
        <w:rPr>
          <w:rFonts w:ascii="Times New Roman"/>
        </w:rPr>
        <w:fldChar w:fldCharType="begin"/>
      </w:r>
      <w:r>
        <w:rPr>
          <w:rFonts w:ascii="Times New Roman"/>
        </w:rPr>
        <w:instrText xml:space="preserve"> HYPERLINK "imap://haojm@cnooc.com.cn@cmail.cnooc.com.cn:993/fetch&gt;UID&gt;/INBOX&gt;730149662" \l "_Toc28163 " </w:instrText>
      </w:r>
      <w:r>
        <w:rPr>
          <w:rFonts w:ascii="Times New Roman"/>
        </w:rPr>
        <w:fldChar w:fldCharType="separate"/>
      </w:r>
      <w:r>
        <w:rPr>
          <w:rFonts w:ascii="Times New Roman"/>
        </w:rPr>
        <w:t>井口区</w:t>
      </w:r>
      <w:r>
        <w:rPr>
          <w:rFonts w:ascii="Times New Roman"/>
        </w:rPr>
        <w:fldChar w:fldCharType="end"/>
      </w:r>
      <w:bookmarkEnd w:id="41"/>
    </w:p>
    <w:p w14:paraId="59969548">
      <w:pPr>
        <w:pStyle w:val="326"/>
        <w:rPr>
          <w:rFonts w:ascii="Times New Roman"/>
        </w:rPr>
      </w:pPr>
      <w:r>
        <w:rPr>
          <w:rFonts w:ascii="Times New Roman"/>
        </w:rPr>
        <w:t>井口区应布置在有良好通风的区域。</w:t>
      </w:r>
    </w:p>
    <w:p w14:paraId="59AC83D6">
      <w:pPr>
        <w:pStyle w:val="326"/>
        <w:rPr>
          <w:rFonts w:ascii="Times New Roman"/>
        </w:rPr>
      </w:pPr>
      <w:r>
        <w:rPr>
          <w:rFonts w:ascii="Times New Roman"/>
        </w:rPr>
        <w:t>井口区布置应满足钻完井及修井的作业需求。</w:t>
      </w:r>
    </w:p>
    <w:p w14:paraId="68815AC7">
      <w:pPr>
        <w:pStyle w:val="260"/>
        <w:outlineLvl w:val="1"/>
        <w:rPr>
          <w:rFonts w:ascii="Times New Roman"/>
        </w:rPr>
      </w:pPr>
      <w:bookmarkStart w:id="42" w:name="_Toc3857"/>
      <w:r>
        <w:rPr>
          <w:rFonts w:ascii="Times New Roman"/>
        </w:rPr>
        <w:fldChar w:fldCharType="begin"/>
      </w:r>
      <w:r>
        <w:rPr>
          <w:rFonts w:ascii="Times New Roman"/>
        </w:rPr>
        <w:instrText xml:space="preserve"> HYPERLINK "imap://haojm@cnooc.com.cn@cmail.cnooc.com.cn:993/fetch&gt;UID&gt;/INBOX&gt;730149662" \l "_Toc25585 " </w:instrText>
      </w:r>
      <w:r>
        <w:rPr>
          <w:rFonts w:ascii="Times New Roman"/>
        </w:rPr>
        <w:fldChar w:fldCharType="separate"/>
      </w:r>
      <w:r>
        <w:rPr>
          <w:rFonts w:ascii="Times New Roman"/>
        </w:rPr>
        <w:t>设备区</w:t>
      </w:r>
      <w:r>
        <w:rPr>
          <w:rFonts w:ascii="Times New Roman"/>
        </w:rPr>
        <w:fldChar w:fldCharType="end"/>
      </w:r>
      <w:bookmarkEnd w:id="42"/>
    </w:p>
    <w:p w14:paraId="4A9745E7">
      <w:pPr>
        <w:pStyle w:val="326"/>
        <w:rPr>
          <w:rFonts w:ascii="Times New Roman"/>
        </w:rPr>
      </w:pPr>
      <w:r>
        <w:rPr>
          <w:rFonts w:ascii="Times New Roman"/>
        </w:rPr>
        <w:t>油气水处理设施应布置在通风良好的甲板上。</w:t>
      </w:r>
    </w:p>
    <w:p w14:paraId="0B750295">
      <w:pPr>
        <w:pStyle w:val="326"/>
        <w:rPr>
          <w:rFonts w:ascii="Times New Roman"/>
        </w:rPr>
      </w:pPr>
      <w:r>
        <w:rPr>
          <w:rFonts w:ascii="Times New Roman"/>
        </w:rPr>
        <w:t xml:space="preserve">收发球装置布置应考虑清管器操作失效时，避免对周边设施和人员造成危害。 </w:t>
      </w:r>
    </w:p>
    <w:p w14:paraId="477231FC">
      <w:pPr>
        <w:pStyle w:val="326"/>
        <w:rPr>
          <w:rFonts w:hint="eastAsia" w:ascii="宋体" w:hAnsi="宋体" w:eastAsia="宋体" w:cs="宋体"/>
        </w:rPr>
      </w:pPr>
      <w:bookmarkStart w:id="43" w:name="_Toc15800"/>
      <w:r>
        <w:rPr>
          <w:rFonts w:hint="eastAsia" w:ascii="宋体" w:hAnsi="宋体" w:eastAsia="宋体" w:cs="宋体"/>
        </w:rPr>
        <w:t>消防泵、动力源和泵吸入口的布置应在非危险区；消防泵的主用泵(组)与备用泵（组）应相互远离布置，</w:t>
      </w:r>
      <w:r>
        <w:rPr>
          <w:rFonts w:ascii="Times New Roman"/>
        </w:rPr>
        <w:t>应保证在平台上任何一个处所失火时，不</w:t>
      </w:r>
      <w:r>
        <w:rPr>
          <w:rFonts w:hint="eastAsia" w:ascii="Times New Roman"/>
        </w:rPr>
        <w:t>会导致</w:t>
      </w:r>
      <w:r>
        <w:rPr>
          <w:rFonts w:ascii="Times New Roman"/>
        </w:rPr>
        <w:t>消防泵</w:t>
      </w:r>
      <w:r>
        <w:rPr>
          <w:rFonts w:hint="eastAsia" w:ascii="Times New Roman"/>
        </w:rPr>
        <w:t>的主用泵（组）、备用泵（组）</w:t>
      </w:r>
      <w:r>
        <w:rPr>
          <w:rFonts w:ascii="Times New Roman"/>
        </w:rPr>
        <w:t>同时失</w:t>
      </w:r>
      <w:r>
        <w:rPr>
          <w:rFonts w:ascii="宋体" w:hAnsi="宋体" w:eastAsia="宋体" w:cs="宋体"/>
        </w:rPr>
        <w:t>去作用。</w:t>
      </w:r>
    </w:p>
    <w:p w14:paraId="7BD05EC7">
      <w:pPr>
        <w:pStyle w:val="326"/>
        <w:rPr>
          <w:rFonts w:hint="eastAsia" w:ascii="宋体" w:hAnsi="宋体" w:eastAsia="宋体" w:cs="宋体"/>
        </w:rPr>
      </w:pPr>
      <w:r>
        <w:rPr>
          <w:rFonts w:hint="eastAsia" w:ascii="宋体" w:hAnsi="宋体" w:eastAsia="宋体" w:cs="宋体"/>
        </w:rPr>
        <w:t>消防泵上方应留出安装和检修空间。泵的护管应布置在导管架工作点内侧便于固定的位置，若安装在平台导管架工作点的外侧，应对其进行保护。</w:t>
      </w:r>
    </w:p>
    <w:p w14:paraId="607F067F">
      <w:pPr>
        <w:pStyle w:val="326"/>
        <w:rPr>
          <w:rFonts w:ascii="Times New Roman"/>
        </w:rPr>
      </w:pPr>
      <w:r>
        <w:t>消防泵现场控制盘</w:t>
      </w:r>
      <w:r>
        <w:rPr>
          <w:rFonts w:hint="eastAsia"/>
        </w:rPr>
        <w:t>应布置在消防泵旁。</w:t>
      </w:r>
    </w:p>
    <w:p w14:paraId="5E099F51">
      <w:pPr>
        <w:pStyle w:val="260"/>
        <w:outlineLvl w:val="1"/>
        <w:rPr>
          <w:rFonts w:ascii="Times New Roman"/>
        </w:rPr>
      </w:pPr>
      <w:r>
        <w:fldChar w:fldCharType="begin"/>
      </w:r>
      <w:r>
        <w:instrText xml:space="preserve"> HYPERLINK "imap://haojm@cnooc.com.cn@cmail.cnooc.com.cn:993/fetch%3eUID%3e/INBOX%3e730149662" \l "_Toc10729 " </w:instrText>
      </w:r>
      <w:r>
        <w:fldChar w:fldCharType="separate"/>
      </w:r>
      <w:r>
        <w:rPr>
          <w:rFonts w:ascii="Times New Roman"/>
        </w:rPr>
        <w:t>房间区</w:t>
      </w:r>
      <w:r>
        <w:rPr>
          <w:rFonts w:ascii="Times New Roman"/>
        </w:rPr>
        <w:fldChar w:fldCharType="end"/>
      </w:r>
      <w:bookmarkEnd w:id="43"/>
    </w:p>
    <w:p w14:paraId="114EBC78">
      <w:pPr>
        <w:pStyle w:val="326"/>
        <w:rPr>
          <w:rFonts w:ascii="Times New Roman"/>
        </w:rPr>
      </w:pPr>
      <w:r>
        <w:rPr>
          <w:rFonts w:ascii="Times New Roman"/>
        </w:rPr>
        <w:t>应急电源和应急开关柜的处所应易于直接从开敞甲板到达。应急发电机与应急开关柜应布置在同一处所。</w:t>
      </w:r>
    </w:p>
    <w:p w14:paraId="3C232D94">
      <w:pPr>
        <w:pStyle w:val="326"/>
        <w:rPr>
          <w:rFonts w:ascii="Times New Roman"/>
        </w:rPr>
      </w:pPr>
      <w:r>
        <w:rPr>
          <w:rFonts w:ascii="Times New Roman"/>
        </w:rPr>
        <w:t>油漆间应保持通风良好。</w:t>
      </w:r>
    </w:p>
    <w:p w14:paraId="711F59D2">
      <w:pPr>
        <w:pStyle w:val="260"/>
        <w:outlineLvl w:val="1"/>
        <w:rPr>
          <w:rFonts w:ascii="Times New Roman"/>
        </w:rPr>
      </w:pPr>
      <w:bookmarkStart w:id="44" w:name="_Toc15673"/>
      <w:r>
        <w:rPr>
          <w:rFonts w:ascii="Times New Roman"/>
        </w:rPr>
        <w:fldChar w:fldCharType="begin"/>
      </w:r>
      <w:r>
        <w:rPr>
          <w:rFonts w:ascii="Times New Roman"/>
        </w:rPr>
        <w:instrText xml:space="preserve"> HYPERLINK "imap://haojm@cnooc.com.cn@cmail.cnooc.com.cn:993/fetch&gt;UID&gt;/INBOX&gt;730149662" \l "_Toc29637 " </w:instrText>
      </w:r>
      <w:r>
        <w:rPr>
          <w:rFonts w:ascii="Times New Roman"/>
        </w:rPr>
        <w:fldChar w:fldCharType="separate"/>
      </w:r>
      <w:r>
        <w:rPr>
          <w:rFonts w:ascii="Times New Roman"/>
        </w:rPr>
        <w:t>生活区</w:t>
      </w:r>
      <w:r>
        <w:rPr>
          <w:rFonts w:ascii="Times New Roman"/>
        </w:rPr>
        <w:fldChar w:fldCharType="end"/>
      </w:r>
      <w:bookmarkEnd w:id="44"/>
    </w:p>
    <w:p w14:paraId="5E5A325C">
      <w:pPr>
        <w:pStyle w:val="326"/>
        <w:rPr>
          <w:rFonts w:ascii="Times New Roman"/>
        </w:rPr>
      </w:pPr>
      <w:r>
        <w:rPr>
          <w:rFonts w:ascii="Times New Roman"/>
        </w:rPr>
        <w:t>生活区应处于平台主导风向的</w:t>
      </w:r>
      <w:r>
        <w:rPr>
          <w:rFonts w:hint="eastAsia" w:ascii="Times New Roman"/>
        </w:rPr>
        <w:t>上</w:t>
      </w:r>
      <w:r>
        <w:rPr>
          <w:rFonts w:ascii="Times New Roman"/>
        </w:rPr>
        <w:t>风向</w:t>
      </w:r>
      <w:r>
        <w:rPr>
          <w:rFonts w:hint="eastAsia" w:ascii="Times New Roman"/>
        </w:rPr>
        <w:t>，兼顾最小风频的下风向</w:t>
      </w:r>
      <w:r>
        <w:rPr>
          <w:rFonts w:ascii="Times New Roman"/>
        </w:rPr>
        <w:t>。</w:t>
      </w:r>
    </w:p>
    <w:p w14:paraId="3A89B1A6">
      <w:pPr>
        <w:pStyle w:val="326"/>
        <w:rPr>
          <w:rFonts w:ascii="Times New Roman"/>
        </w:rPr>
      </w:pPr>
      <w:r>
        <w:rPr>
          <w:rFonts w:ascii="Times New Roman"/>
        </w:rPr>
        <w:t>生活区正上、下方不应布置油气设施。</w:t>
      </w:r>
    </w:p>
    <w:p w14:paraId="625C0285">
      <w:pPr>
        <w:pStyle w:val="260"/>
        <w:outlineLvl w:val="1"/>
        <w:rPr>
          <w:rFonts w:ascii="Times New Roman"/>
        </w:rPr>
      </w:pPr>
      <w:bookmarkStart w:id="45" w:name="_Toc9730"/>
      <w:r>
        <w:rPr>
          <w:rFonts w:ascii="Times New Roman"/>
        </w:rPr>
        <w:fldChar w:fldCharType="begin"/>
      </w:r>
      <w:r>
        <w:rPr>
          <w:rFonts w:ascii="Times New Roman"/>
        </w:rPr>
        <w:instrText xml:space="preserve"> HYPERLINK "imap://haojm@cnooc.com.cn@cmail.cnooc.com.cn:993/fetch&gt;UID&gt;/INBOX&gt;730149662" \l "_Toc7627 " </w:instrText>
      </w:r>
      <w:r>
        <w:rPr>
          <w:rFonts w:ascii="Times New Roman"/>
        </w:rPr>
        <w:fldChar w:fldCharType="separate"/>
      </w:r>
      <w:r>
        <w:rPr>
          <w:rFonts w:ascii="Times New Roman"/>
        </w:rPr>
        <w:t>其他</w:t>
      </w:r>
      <w:r>
        <w:rPr>
          <w:rFonts w:ascii="Times New Roman"/>
        </w:rPr>
        <w:fldChar w:fldCharType="end"/>
      </w:r>
      <w:bookmarkEnd w:id="45"/>
    </w:p>
    <w:p w14:paraId="5B3B72FB">
      <w:pPr>
        <w:pStyle w:val="261"/>
        <w:spacing w:before="156" w:after="156"/>
        <w:outlineLvl w:val="2"/>
      </w:pPr>
      <w:r>
        <w:fldChar w:fldCharType="begin"/>
      </w:r>
      <w:r>
        <w:instrText xml:space="preserve"> HYPERLINK \l "_Toc73980434" </w:instrText>
      </w:r>
      <w:r>
        <w:fldChar w:fldCharType="separate"/>
      </w:r>
      <w:r>
        <w:t>起重机及卸货区</w:t>
      </w:r>
      <w:r>
        <w:fldChar w:fldCharType="end"/>
      </w:r>
    </w:p>
    <w:p w14:paraId="2E2196A8">
      <w:pPr>
        <w:pStyle w:val="327"/>
        <w:rPr>
          <w:rFonts w:ascii="Times New Roman"/>
        </w:rPr>
      </w:pPr>
      <w:r>
        <w:rPr>
          <w:rFonts w:ascii="Times New Roman"/>
        </w:rPr>
        <w:t>起重机布置应综合考虑作业范围、起重机的能力，满足人员登离平台、货物的装卸和转运需求，应能满足覆盖面的要求</w:t>
      </w:r>
      <w:r>
        <w:rPr>
          <w:rFonts w:hint="eastAsia" w:ascii="Times New Roman"/>
        </w:rPr>
        <w:t>，</w:t>
      </w:r>
      <w:r>
        <w:rPr>
          <w:rFonts w:ascii="Times New Roman"/>
        </w:rPr>
        <w:t>并尽可能避免死角。</w:t>
      </w:r>
    </w:p>
    <w:p w14:paraId="1A3CA852">
      <w:pPr>
        <w:pStyle w:val="327"/>
        <w:rPr>
          <w:rFonts w:ascii="Times New Roman"/>
        </w:rPr>
      </w:pPr>
      <w:r>
        <w:rPr>
          <w:rFonts w:ascii="Times New Roman"/>
        </w:rPr>
        <w:t>起重机的布置应避免操作过程中与设备、钻修机设施的干涉。</w:t>
      </w:r>
    </w:p>
    <w:p w14:paraId="0B03598C">
      <w:pPr>
        <w:pStyle w:val="327"/>
        <w:rPr>
          <w:rFonts w:ascii="Times New Roman"/>
        </w:rPr>
      </w:pPr>
      <w:r>
        <w:rPr>
          <w:rFonts w:ascii="Times New Roman"/>
        </w:rPr>
        <w:t>卸货区布置应考虑甲板货物转运、起重机驾驶员视野需求。</w:t>
      </w:r>
    </w:p>
    <w:p w14:paraId="54D8389C">
      <w:pPr>
        <w:pStyle w:val="261"/>
        <w:spacing w:before="156" w:after="156"/>
        <w:outlineLvl w:val="2"/>
      </w:pPr>
      <w:r>
        <w:fldChar w:fldCharType="begin"/>
      </w:r>
      <w:r>
        <w:instrText xml:space="preserve"> HYPERLINK \l "_Toc73980436" </w:instrText>
      </w:r>
      <w:r>
        <w:fldChar w:fldCharType="separate"/>
      </w:r>
      <w:r>
        <w:t>火炬臂和冷放空臂</w:t>
      </w:r>
      <w:r>
        <w:fldChar w:fldCharType="end"/>
      </w:r>
    </w:p>
    <w:p w14:paraId="48FC82FA">
      <w:pPr>
        <w:pStyle w:val="327"/>
        <w:rPr>
          <w:rFonts w:ascii="Times New Roman"/>
        </w:rPr>
      </w:pPr>
      <w:r>
        <w:rPr>
          <w:rFonts w:ascii="Times New Roman"/>
        </w:rPr>
        <w:t>火炬臂或冷放空臂应布置在平台主导风向的下风向</w:t>
      </w:r>
      <w:r>
        <w:rPr>
          <w:rFonts w:hint="eastAsia" w:ascii="Times New Roman"/>
        </w:rPr>
        <w:t>，兼顾最小风频上风向</w:t>
      </w:r>
      <w:r>
        <w:rPr>
          <w:rFonts w:ascii="Times New Roman"/>
        </w:rPr>
        <w:t>，应考虑钻</w:t>
      </w:r>
      <w:r>
        <w:rPr>
          <w:rFonts w:hint="eastAsia" w:ascii="Times New Roman"/>
        </w:rPr>
        <w:t>修</w:t>
      </w:r>
      <w:r>
        <w:rPr>
          <w:rFonts w:ascii="Times New Roman"/>
        </w:rPr>
        <w:t>井设施的干涉、满足辐射热和气体扩散的要求。</w:t>
      </w:r>
    </w:p>
    <w:p w14:paraId="4633CA51">
      <w:pPr>
        <w:pStyle w:val="327"/>
      </w:pPr>
      <w:r>
        <w:rPr>
          <w:rFonts w:hint="eastAsia"/>
        </w:rPr>
        <w:t>火炬臂或冷放空臂布置应远离生活区和直升机甲板。</w:t>
      </w:r>
    </w:p>
    <w:p w14:paraId="14AE72E6">
      <w:pPr>
        <w:pStyle w:val="261"/>
        <w:spacing w:before="156" w:after="156"/>
        <w:outlineLvl w:val="2"/>
        <w:rPr>
          <w:rFonts w:ascii="Times New Roman"/>
        </w:rPr>
      </w:pPr>
      <w:r>
        <w:rPr>
          <w:rFonts w:hint="eastAsia" w:ascii="Times New Roman"/>
        </w:rPr>
        <w:t>直升机甲板</w:t>
      </w:r>
    </w:p>
    <w:p w14:paraId="7420B930">
      <w:pPr>
        <w:pStyle w:val="327"/>
        <w:rPr>
          <w:rFonts w:ascii="Times New Roman"/>
        </w:rPr>
      </w:pPr>
      <w:r>
        <w:rPr>
          <w:rFonts w:ascii="Times New Roman"/>
        </w:rPr>
        <w:t>油气立管若安装在平台导管架桩腿的外侧，应对其进行保护。</w:t>
      </w:r>
    </w:p>
    <w:p w14:paraId="030CEABD">
      <w:pPr>
        <w:pStyle w:val="327"/>
        <w:rPr>
          <w:rFonts w:ascii="Times New Roman"/>
        </w:rPr>
      </w:pPr>
      <w:r>
        <w:rPr>
          <w:rFonts w:ascii="Times New Roman"/>
        </w:rPr>
        <w:t>与立管相连的海底管</w:t>
      </w:r>
      <w:r>
        <w:rPr>
          <w:rFonts w:hint="eastAsia" w:ascii="Times New Roman"/>
        </w:rPr>
        <w:t>道</w:t>
      </w:r>
      <w:r>
        <w:rPr>
          <w:rFonts w:ascii="Times New Roman"/>
        </w:rPr>
        <w:t>布置，应避开自升式钻井船靠近平台进行钻修井的桩腿区。</w:t>
      </w:r>
      <w:bookmarkEnd w:id="38"/>
      <w:bookmarkEnd w:id="39"/>
      <w:bookmarkStart w:id="46" w:name="_Toc22708"/>
      <w:bookmarkStart w:id="47" w:name="_Toc4802"/>
      <w:bookmarkStart w:id="48" w:name="_Toc19545"/>
      <w:r>
        <w:rPr>
          <w:rFonts w:ascii="Times New Roman"/>
        </w:rPr>
        <w:fldChar w:fldCharType="begin"/>
      </w:r>
      <w:r>
        <w:rPr>
          <w:rFonts w:ascii="Times New Roman"/>
        </w:rPr>
        <w:instrText xml:space="preserve"> HYPERLINK \l "_Toc73980437" </w:instrText>
      </w:r>
      <w:r>
        <w:rPr>
          <w:rFonts w:ascii="Times New Roman"/>
        </w:rPr>
        <w:fldChar w:fldCharType="separate"/>
      </w:r>
    </w:p>
    <w:p w14:paraId="2F94F889">
      <w:pPr>
        <w:pStyle w:val="261"/>
        <w:spacing w:before="156" w:after="156"/>
        <w:outlineLvl w:val="2"/>
        <w:rPr>
          <w:rFonts w:ascii="Times New Roman"/>
        </w:rPr>
      </w:pPr>
      <w:r>
        <w:rPr>
          <w:rFonts w:ascii="Times New Roman"/>
        </w:rPr>
        <w:t>立管</w:t>
      </w:r>
      <w:r>
        <w:rPr>
          <w:rFonts w:ascii="Times New Roman"/>
        </w:rPr>
        <w:fldChar w:fldCharType="end"/>
      </w:r>
    </w:p>
    <w:p w14:paraId="41B3F88B">
      <w:pPr>
        <w:pStyle w:val="327"/>
        <w:rPr>
          <w:rFonts w:ascii="Times New Roman"/>
        </w:rPr>
      </w:pPr>
      <w:r>
        <w:rPr>
          <w:rFonts w:ascii="Times New Roman"/>
        </w:rPr>
        <w:t>油气立管若安装在平台导管架桩腿的外侧，应对其进行保护。</w:t>
      </w:r>
    </w:p>
    <w:p w14:paraId="5230A2FB">
      <w:pPr>
        <w:pStyle w:val="327"/>
        <w:rPr>
          <w:rFonts w:ascii="Times New Roman"/>
        </w:rPr>
      </w:pPr>
      <w:r>
        <w:rPr>
          <w:rFonts w:ascii="Times New Roman"/>
        </w:rPr>
        <w:t>与立管相连的海底管</w:t>
      </w:r>
      <w:r>
        <w:rPr>
          <w:rFonts w:hint="eastAsia" w:ascii="Times New Roman"/>
        </w:rPr>
        <w:t>道平管段</w:t>
      </w:r>
      <w:r>
        <w:rPr>
          <w:rFonts w:ascii="Times New Roman"/>
        </w:rPr>
        <w:t>布置，应避开自升式钻井船靠近平台进行钻修井的桩腿区。</w:t>
      </w:r>
    </w:p>
    <w:p w14:paraId="1012EC19">
      <w:pPr>
        <w:pStyle w:val="261"/>
        <w:spacing w:before="156" w:after="156"/>
        <w:outlineLvl w:val="2"/>
        <w:rPr>
          <w:rFonts w:ascii="Times New Roman"/>
        </w:rPr>
      </w:pPr>
      <w:r>
        <w:rPr>
          <w:rFonts w:hint="eastAsia" w:ascii="Times New Roman"/>
        </w:rPr>
        <w:t>危险物品存放</w:t>
      </w:r>
    </w:p>
    <w:p w14:paraId="58296CEC">
      <w:pPr>
        <w:pStyle w:val="258"/>
        <w:ind w:firstLine="420"/>
      </w:pPr>
      <w:r>
        <w:rPr>
          <w:rFonts w:hint="eastAsia" w:ascii="Times New Roman"/>
        </w:rPr>
        <w:t>危险物品存放场所应远离生活区、人员密集区及危险区，并标有明显的“危险品”标识。</w:t>
      </w:r>
    </w:p>
    <w:p w14:paraId="52E8773E">
      <w:pPr>
        <w:pStyle w:val="261"/>
        <w:spacing w:before="156" w:after="156"/>
        <w:outlineLvl w:val="2"/>
        <w:rPr>
          <w:rFonts w:ascii="Times New Roman"/>
        </w:rPr>
      </w:pPr>
      <w:r>
        <w:rPr>
          <w:rFonts w:ascii="Times New Roman"/>
        </w:rPr>
        <w:t>无人驻守平台</w:t>
      </w:r>
    </w:p>
    <w:p w14:paraId="58751A49">
      <w:pPr>
        <w:pStyle w:val="327"/>
        <w:rPr>
          <w:rFonts w:ascii="Times New Roman"/>
        </w:rPr>
      </w:pPr>
      <w:r>
        <w:rPr>
          <w:rFonts w:ascii="Times New Roman"/>
        </w:rPr>
        <w:t>在平台上应设有可靠的安全应急关断设施。</w:t>
      </w:r>
    </w:p>
    <w:p w14:paraId="3BC942B9">
      <w:pPr>
        <w:pStyle w:val="327"/>
        <w:rPr>
          <w:rFonts w:ascii="Times New Roman"/>
        </w:rPr>
      </w:pPr>
      <w:r>
        <w:rPr>
          <w:rFonts w:ascii="Times New Roman"/>
        </w:rPr>
        <w:t>设置安全可靠的登平台设施</w:t>
      </w:r>
      <w:r>
        <w:rPr>
          <w:rFonts w:hint="eastAsia" w:ascii="Times New Roman"/>
        </w:rPr>
        <w:t>，</w:t>
      </w:r>
      <w:r>
        <w:rPr>
          <w:rFonts w:ascii="Times New Roman"/>
        </w:rPr>
        <w:t>确保作业人员上下平台的安全。</w:t>
      </w:r>
    </w:p>
    <w:p w14:paraId="3A0C5D60">
      <w:pPr>
        <w:pStyle w:val="327"/>
        <w:rPr>
          <w:rFonts w:ascii="Times New Roman" w:eastAsia="宋体"/>
        </w:rPr>
      </w:pPr>
      <w:r>
        <w:rPr>
          <w:rFonts w:ascii="Times New Roman"/>
        </w:rPr>
        <w:t>设置防止外部人员登上平台的装置</w:t>
      </w:r>
      <w:r>
        <w:rPr>
          <w:rFonts w:hint="eastAsia" w:ascii="Times New Roman"/>
        </w:rPr>
        <w:t>，</w:t>
      </w:r>
      <w:r>
        <w:rPr>
          <w:rFonts w:ascii="Times New Roman"/>
        </w:rPr>
        <w:t>保护平台的生产不因外部人员的登入而意外中断。</w:t>
      </w:r>
    </w:p>
    <w:p w14:paraId="03431B2E">
      <w:pPr>
        <w:pStyle w:val="259"/>
        <w:outlineLvl w:val="0"/>
        <w:rPr>
          <w:rFonts w:ascii="Times New Roman"/>
        </w:rPr>
      </w:pPr>
      <w:r>
        <w:rPr>
          <w:rFonts w:ascii="Times New Roman"/>
        </w:rPr>
        <w:t>平台结构</w:t>
      </w:r>
      <w:bookmarkEnd w:id="46"/>
    </w:p>
    <w:p w14:paraId="39C8093F">
      <w:pPr>
        <w:pStyle w:val="260"/>
        <w:outlineLvl w:val="1"/>
        <w:rPr>
          <w:rFonts w:ascii="Times New Roman"/>
        </w:rPr>
      </w:pPr>
      <w:bookmarkStart w:id="49" w:name="_Toc20651"/>
      <w:r>
        <w:rPr>
          <w:rFonts w:ascii="Times New Roman"/>
        </w:rPr>
        <w:t>一般规定</w:t>
      </w:r>
      <w:bookmarkEnd w:id="49"/>
    </w:p>
    <w:p w14:paraId="2078E75A">
      <w:pPr>
        <w:pStyle w:val="326"/>
      </w:pPr>
      <w:r>
        <w:t>平台结构包含下部结构（由桩基和导管架组成）、上部结构（又称甲板）和相应的附属构件。</w:t>
      </w:r>
    </w:p>
    <w:p w14:paraId="77115ABF">
      <w:pPr>
        <w:pStyle w:val="326"/>
      </w:pPr>
      <w:r>
        <w:t>结构设计应以可靠的计算分析为基础。使用的计算软件应是已为工程实际应用证明是可靠和适当的，或是由发证检验机构认可的。所有计算分析和设计使用的方法应满足所用规范、标准的要求。</w:t>
      </w:r>
    </w:p>
    <w:p w14:paraId="21ECC5B5">
      <w:pPr>
        <w:pStyle w:val="326"/>
      </w:pPr>
      <w:r>
        <w:t>结构的建造应根据加工设计进行。建造工艺、尺寸控制、重量控制、建造阶段的计算、所有用于建造设备的能力及建造人员的资格应满足所用规范、标准的要求。</w:t>
      </w:r>
    </w:p>
    <w:p w14:paraId="6E506C5D">
      <w:pPr>
        <w:pStyle w:val="260"/>
        <w:outlineLvl w:val="1"/>
        <w:rPr>
          <w:rFonts w:ascii="Times New Roman" w:eastAsia="宋体"/>
          <w:szCs w:val="27"/>
        </w:rPr>
      </w:pPr>
      <w:bookmarkStart w:id="50" w:name="_Toc29457"/>
      <w:r>
        <w:rPr>
          <w:rFonts w:ascii="Times New Roman"/>
        </w:rPr>
        <w:t>设计基础</w:t>
      </w:r>
      <w:bookmarkEnd w:id="50"/>
    </w:p>
    <w:p w14:paraId="3F88D10D">
      <w:pPr>
        <w:pStyle w:val="261"/>
        <w:spacing w:before="156" w:after="156"/>
        <w:outlineLvl w:val="2"/>
      </w:pPr>
      <w:r>
        <w:t>环境条件</w:t>
      </w:r>
    </w:p>
    <w:p w14:paraId="0D263B02">
      <w:pPr>
        <w:pStyle w:val="327"/>
        <w:rPr>
          <w:rFonts w:ascii="Times New Roman" w:eastAsia="宋体"/>
          <w:szCs w:val="27"/>
        </w:rPr>
      </w:pPr>
      <w:r>
        <w:rPr>
          <w:rFonts w:hint="eastAsia" w:ascii="Times New Roman" w:eastAsia="宋体"/>
        </w:rPr>
        <w:t>设计</w:t>
      </w:r>
      <w:r>
        <w:rPr>
          <w:rFonts w:ascii="Times New Roman" w:eastAsia="宋体"/>
        </w:rPr>
        <w:t>环境条件的重现期应由作业者根据</w:t>
      </w:r>
      <w:r>
        <w:rPr>
          <w:rFonts w:hint="eastAsia" w:ascii="Times New Roman" w:eastAsia="宋体"/>
        </w:rPr>
        <w:t>生产设施设计年限</w:t>
      </w:r>
      <w:r>
        <w:rPr>
          <w:rFonts w:ascii="Times New Roman" w:eastAsia="宋体"/>
        </w:rPr>
        <w:t>、平台的重要性和环境条件资料的可靠性等因素确定。</w:t>
      </w:r>
    </w:p>
    <w:p w14:paraId="26A6EC50">
      <w:pPr>
        <w:pStyle w:val="327"/>
        <w:rPr>
          <w:rFonts w:ascii="Times New Roman" w:eastAsia="宋体"/>
        </w:rPr>
      </w:pPr>
      <w:r>
        <w:rPr>
          <w:rFonts w:ascii="Times New Roman" w:eastAsia="宋体"/>
        </w:rPr>
        <w:t>对平台有显著影响的环境条件应包括：水文</w:t>
      </w:r>
      <w:r>
        <w:rPr>
          <w:rFonts w:hint="eastAsia" w:ascii="Times New Roman" w:eastAsia="宋体"/>
        </w:rPr>
        <w:t>（南海包括内孤立波）</w:t>
      </w:r>
      <w:r>
        <w:rPr>
          <w:rFonts w:ascii="Times New Roman" w:eastAsia="宋体"/>
        </w:rPr>
        <w:t>、气象、地震、附着</w:t>
      </w:r>
      <w:r>
        <w:rPr>
          <w:rFonts w:hint="eastAsia" w:ascii="Times New Roman" w:eastAsia="宋体"/>
        </w:rPr>
        <w:t>海</w:t>
      </w:r>
      <w:r>
        <w:rPr>
          <w:rFonts w:ascii="Times New Roman" w:eastAsia="宋体"/>
        </w:rPr>
        <w:t>生物、海底冲刷、腐蚀、冰磨蚀等。</w:t>
      </w:r>
    </w:p>
    <w:p w14:paraId="4A9CCE60">
      <w:pPr>
        <w:pStyle w:val="327"/>
        <w:rPr>
          <w:rFonts w:ascii="Times New Roman" w:eastAsia="宋体"/>
        </w:rPr>
      </w:pPr>
      <w:r>
        <w:rPr>
          <w:rFonts w:ascii="Times New Roman" w:eastAsia="宋体"/>
        </w:rPr>
        <w:t>用以确定设计环境条件的原始资料应可靠、连续和有代表性，推算设计环境条件的方法应是公认的。</w:t>
      </w:r>
    </w:p>
    <w:p w14:paraId="6BB107DD">
      <w:pPr>
        <w:pStyle w:val="261"/>
        <w:spacing w:before="156" w:after="156"/>
        <w:outlineLvl w:val="2"/>
      </w:pPr>
      <w:bookmarkStart w:id="51" w:name="_Toc22079"/>
      <w:r>
        <w:rPr>
          <w:rFonts w:hint="eastAsia"/>
        </w:rPr>
        <w:t>场址</w:t>
      </w:r>
      <w:r>
        <w:t>调查</w:t>
      </w:r>
      <w:bookmarkEnd w:id="51"/>
    </w:p>
    <w:p w14:paraId="6F55B8DF">
      <w:pPr>
        <w:pStyle w:val="327"/>
        <w:rPr>
          <w:rFonts w:ascii="Times New Roman" w:eastAsia="宋体"/>
        </w:rPr>
      </w:pPr>
      <w:bookmarkStart w:id="52" w:name="_Toc21458"/>
      <w:bookmarkStart w:id="53" w:name="_Toc21765"/>
      <w:r>
        <w:rPr>
          <w:rFonts w:ascii="Times New Roman" w:eastAsia="宋体"/>
        </w:rPr>
        <w:t>在结构设计前</w:t>
      </w:r>
      <w:r>
        <w:rPr>
          <w:rFonts w:hint="eastAsia" w:ascii="Times New Roman" w:eastAsia="宋体"/>
        </w:rPr>
        <w:t>，</w:t>
      </w:r>
      <w:r>
        <w:rPr>
          <w:rFonts w:ascii="Times New Roman" w:eastAsia="宋体"/>
        </w:rPr>
        <w:t>应对平台位置进行</w:t>
      </w:r>
      <w:r>
        <w:rPr>
          <w:rFonts w:hint="eastAsia" w:ascii="Times New Roman" w:eastAsia="宋体"/>
        </w:rPr>
        <w:t>场址</w:t>
      </w:r>
      <w:r>
        <w:rPr>
          <w:rFonts w:ascii="Times New Roman" w:eastAsia="宋体"/>
        </w:rPr>
        <w:t>调查</w:t>
      </w:r>
      <w:r>
        <w:rPr>
          <w:rFonts w:hint="eastAsia" w:ascii="Times New Roman" w:eastAsia="宋体"/>
        </w:rPr>
        <w:t>，包括工程物探调查和地质勘察调查</w:t>
      </w:r>
      <w:r>
        <w:rPr>
          <w:rFonts w:ascii="Times New Roman" w:eastAsia="宋体"/>
        </w:rPr>
        <w:t>。</w:t>
      </w:r>
    </w:p>
    <w:p w14:paraId="0C8E4F86">
      <w:pPr>
        <w:pStyle w:val="327"/>
        <w:rPr>
          <w:rFonts w:ascii="Times New Roman" w:eastAsia="宋体"/>
        </w:rPr>
      </w:pPr>
      <w:r>
        <w:rPr>
          <w:rFonts w:hint="eastAsia" w:ascii="Times New Roman" w:eastAsia="宋体"/>
        </w:rPr>
        <w:t>场址</w:t>
      </w:r>
      <w:r>
        <w:rPr>
          <w:rFonts w:ascii="Times New Roman" w:eastAsia="宋体"/>
        </w:rPr>
        <w:t>调查的范围、深度以及调查内容和精确度取决于平台结构的尺度、平台的用途和重要性、海床状况和场地土的均质性以及以往在该地区的工程经验等。</w:t>
      </w:r>
      <w:bookmarkEnd w:id="52"/>
    </w:p>
    <w:p w14:paraId="633AA7D2">
      <w:pPr>
        <w:pStyle w:val="327"/>
        <w:rPr>
          <w:rFonts w:ascii="Times New Roman" w:eastAsia="宋体"/>
        </w:rPr>
      </w:pPr>
      <w:r>
        <w:rPr>
          <w:rFonts w:hint="eastAsia" w:ascii="Times New Roman" w:eastAsia="宋体"/>
        </w:rPr>
        <w:t>场址</w:t>
      </w:r>
      <w:r>
        <w:rPr>
          <w:rFonts w:ascii="Times New Roman" w:eastAsia="宋体"/>
        </w:rPr>
        <w:t>调查报告应包括</w:t>
      </w:r>
      <w:r>
        <w:rPr>
          <w:rFonts w:hint="eastAsia" w:ascii="Times New Roman" w:eastAsia="宋体"/>
        </w:rPr>
        <w:t>以下内容</w:t>
      </w:r>
      <w:r>
        <w:rPr>
          <w:rFonts w:ascii="Times New Roman" w:eastAsia="宋体"/>
        </w:rPr>
        <w:t>：</w:t>
      </w:r>
    </w:p>
    <w:p w14:paraId="003823CA">
      <w:pPr>
        <w:pStyle w:val="305"/>
        <w:numPr>
          <w:ilvl w:val="0"/>
          <w:numId w:val="31"/>
        </w:numPr>
        <w:rPr>
          <w:rFonts w:ascii="Times New Roman"/>
        </w:rPr>
      </w:pPr>
      <w:r>
        <w:rPr>
          <w:rFonts w:ascii="Times New Roman"/>
        </w:rPr>
        <w:t>调查时间和调查者；</w:t>
      </w:r>
    </w:p>
    <w:p w14:paraId="5791AD95">
      <w:pPr>
        <w:pStyle w:val="305"/>
        <w:numPr>
          <w:ilvl w:val="0"/>
          <w:numId w:val="31"/>
        </w:numPr>
        <w:rPr>
          <w:rFonts w:ascii="Times New Roman"/>
        </w:rPr>
      </w:pPr>
      <w:r>
        <w:rPr>
          <w:rFonts w:ascii="Times New Roman"/>
        </w:rPr>
        <w:t>调查范围和钻孔</w:t>
      </w:r>
      <w:r>
        <w:rPr>
          <w:rFonts w:hint="eastAsia" w:ascii="Times New Roman"/>
        </w:rPr>
        <w:t>坐标</w:t>
      </w:r>
      <w:r>
        <w:rPr>
          <w:rFonts w:ascii="Times New Roman"/>
        </w:rPr>
        <w:t>；</w:t>
      </w:r>
    </w:p>
    <w:p w14:paraId="1E158CCC">
      <w:pPr>
        <w:pStyle w:val="305"/>
        <w:numPr>
          <w:ilvl w:val="0"/>
          <w:numId w:val="31"/>
        </w:numPr>
        <w:rPr>
          <w:rFonts w:ascii="Times New Roman"/>
        </w:rPr>
      </w:pPr>
      <w:r>
        <w:rPr>
          <w:rFonts w:ascii="Times New Roman"/>
        </w:rPr>
        <w:t>调查内容；</w:t>
      </w:r>
    </w:p>
    <w:p w14:paraId="4E60F3A4">
      <w:pPr>
        <w:pStyle w:val="305"/>
        <w:numPr>
          <w:ilvl w:val="0"/>
          <w:numId w:val="31"/>
        </w:numPr>
        <w:rPr>
          <w:rFonts w:ascii="Times New Roman"/>
        </w:rPr>
      </w:pPr>
      <w:r>
        <w:rPr>
          <w:rFonts w:ascii="Times New Roman"/>
        </w:rPr>
        <w:t>使用的方法和设备的描述；</w:t>
      </w:r>
    </w:p>
    <w:p w14:paraId="5B171E78">
      <w:pPr>
        <w:pStyle w:val="305"/>
        <w:numPr>
          <w:ilvl w:val="0"/>
          <w:numId w:val="31"/>
        </w:numPr>
        <w:rPr>
          <w:rFonts w:ascii="Times New Roman"/>
        </w:rPr>
      </w:pPr>
      <w:r>
        <w:rPr>
          <w:rFonts w:ascii="Times New Roman"/>
        </w:rPr>
        <w:t>调查成果及分析；</w:t>
      </w:r>
    </w:p>
    <w:p w14:paraId="358155BF">
      <w:pPr>
        <w:pStyle w:val="305"/>
        <w:numPr>
          <w:ilvl w:val="0"/>
          <w:numId w:val="31"/>
        </w:numPr>
        <w:rPr>
          <w:rFonts w:ascii="Times New Roman"/>
        </w:rPr>
      </w:pPr>
      <w:r>
        <w:rPr>
          <w:rFonts w:ascii="Times New Roman"/>
        </w:rPr>
        <w:t>成果应用说明和可能的误差分析。</w:t>
      </w:r>
    </w:p>
    <w:p w14:paraId="1C7D9CDD">
      <w:pPr>
        <w:pStyle w:val="260"/>
        <w:outlineLvl w:val="1"/>
        <w:rPr>
          <w:rFonts w:ascii="Times New Roman"/>
        </w:rPr>
      </w:pPr>
      <w:bookmarkStart w:id="54" w:name="_Toc32170"/>
      <w:r>
        <w:rPr>
          <w:rFonts w:ascii="Times New Roman"/>
        </w:rPr>
        <w:t>荷载及荷载组合</w:t>
      </w:r>
      <w:bookmarkEnd w:id="53"/>
      <w:bookmarkEnd w:id="54"/>
    </w:p>
    <w:p w14:paraId="137A8260">
      <w:pPr>
        <w:pStyle w:val="326"/>
        <w:rPr>
          <w:rFonts w:ascii="Times New Roman"/>
        </w:rPr>
      </w:pPr>
      <w:r>
        <w:rPr>
          <w:rFonts w:ascii="Times New Roman"/>
        </w:rPr>
        <w:t>结构设计荷载应包括结构在建造、安装(以下统称施工阶段)和使用阶段可能遇到的所有荷载。</w:t>
      </w:r>
      <w:r>
        <w:rPr>
          <w:rFonts w:hint="eastAsia" w:ascii="Times New Roman"/>
        </w:rPr>
        <w:t>包括：</w:t>
      </w:r>
      <w:r>
        <w:rPr>
          <w:rFonts w:ascii="Times New Roman"/>
        </w:rPr>
        <w:t>固定荷载、活荷载、环境荷载、施工荷载和</w:t>
      </w:r>
      <w:r>
        <w:rPr>
          <w:rFonts w:hint="eastAsia" w:ascii="Times New Roman"/>
        </w:rPr>
        <w:t>偶然</w:t>
      </w:r>
      <w:r>
        <w:rPr>
          <w:rFonts w:ascii="Times New Roman"/>
        </w:rPr>
        <w:t>荷载。</w:t>
      </w:r>
    </w:p>
    <w:p w14:paraId="005A3495">
      <w:pPr>
        <w:pStyle w:val="326"/>
        <w:rPr>
          <w:rFonts w:ascii="Times New Roman"/>
        </w:rPr>
      </w:pPr>
      <w:r>
        <w:rPr>
          <w:rFonts w:ascii="Times New Roman"/>
        </w:rPr>
        <w:t>设计中应使用</w:t>
      </w:r>
      <w:r>
        <w:rPr>
          <w:rFonts w:hint="eastAsia" w:ascii="Times New Roman"/>
        </w:rPr>
        <w:t>相应</w:t>
      </w:r>
      <w:r>
        <w:rPr>
          <w:rFonts w:ascii="Times New Roman"/>
        </w:rPr>
        <w:t>的荷载系数。</w:t>
      </w:r>
    </w:p>
    <w:p w14:paraId="4315E0A9">
      <w:pPr>
        <w:pStyle w:val="326"/>
        <w:rPr>
          <w:rFonts w:ascii="Times New Roman"/>
        </w:rPr>
      </w:pPr>
      <w:r>
        <w:rPr>
          <w:rFonts w:ascii="Times New Roman"/>
        </w:rPr>
        <w:t>荷载组合的基本原则应以结构在相应阶段中可能出现的最不利的荷载条件进行组合。</w:t>
      </w:r>
    </w:p>
    <w:p w14:paraId="2437A40B">
      <w:pPr>
        <w:pStyle w:val="260"/>
        <w:outlineLvl w:val="1"/>
        <w:rPr>
          <w:rFonts w:ascii="Times New Roman"/>
        </w:rPr>
      </w:pPr>
      <w:bookmarkStart w:id="55" w:name="_Toc5744"/>
      <w:bookmarkStart w:id="56" w:name="_Toc31070"/>
      <w:r>
        <w:rPr>
          <w:rFonts w:ascii="Times New Roman"/>
        </w:rPr>
        <w:t>结构分析</w:t>
      </w:r>
      <w:bookmarkEnd w:id="55"/>
      <w:bookmarkEnd w:id="56"/>
    </w:p>
    <w:p w14:paraId="29319FFA">
      <w:pPr>
        <w:pStyle w:val="261"/>
        <w:spacing w:before="156" w:after="156"/>
        <w:outlineLvl w:val="2"/>
      </w:pPr>
      <w:r>
        <w:t>一般规定</w:t>
      </w:r>
    </w:p>
    <w:p w14:paraId="64084CD8">
      <w:pPr>
        <w:pStyle w:val="327"/>
      </w:pPr>
      <w:r>
        <w:t>结构分析应包括结构在使用阶段和施工阶段所需要的整体、局部和附属构件分析。</w:t>
      </w:r>
    </w:p>
    <w:p w14:paraId="6274552B">
      <w:pPr>
        <w:pStyle w:val="327"/>
      </w:pPr>
      <w:r>
        <w:t>结构分析的模型应能够准确地模拟实际结构。</w:t>
      </w:r>
    </w:p>
    <w:p w14:paraId="5BD68675">
      <w:pPr>
        <w:pStyle w:val="261"/>
        <w:spacing w:before="156" w:after="156"/>
        <w:outlineLvl w:val="2"/>
      </w:pPr>
      <w:r>
        <w:t>整体分析</w:t>
      </w:r>
    </w:p>
    <w:p w14:paraId="7872CF10">
      <w:pPr>
        <w:pStyle w:val="290"/>
        <w:spacing w:before="156" w:after="156"/>
        <w:outlineLvl w:val="3"/>
      </w:pPr>
      <w:r>
        <w:rPr>
          <w:rFonts w:hint="eastAsia"/>
        </w:rPr>
        <w:t>在位</w:t>
      </w:r>
    </w:p>
    <w:p w14:paraId="7876F543">
      <w:pPr>
        <w:pStyle w:val="328"/>
        <w:rPr>
          <w:rFonts w:ascii="Times New Roman"/>
        </w:rPr>
      </w:pPr>
      <w:r>
        <w:rPr>
          <w:rFonts w:ascii="Times New Roman"/>
        </w:rPr>
        <w:t>在位分析应根据不同的荷载组合进行操作条件和极端条件分析。</w:t>
      </w:r>
    </w:p>
    <w:p w14:paraId="77D6461A">
      <w:pPr>
        <w:pStyle w:val="328"/>
        <w:rPr>
          <w:rFonts w:hint="eastAsia" w:ascii="黑体" w:hAnsi="黑体" w:eastAsia="黑体" w:cs="黑体"/>
        </w:rPr>
      </w:pPr>
      <w:r>
        <w:rPr>
          <w:rFonts w:ascii="Times New Roman"/>
        </w:rPr>
        <w:t>在位分析应以静力分析为基础，还包括地震分析和疲劳分析。当荷载作用的动力影响不可忽视时</w:t>
      </w:r>
      <w:r>
        <w:rPr>
          <w:rFonts w:hint="eastAsia" w:ascii="Times New Roman"/>
        </w:rPr>
        <w:t>，</w:t>
      </w:r>
      <w:r>
        <w:rPr>
          <w:rFonts w:ascii="Times New Roman"/>
        </w:rPr>
        <w:t>应进行结构动力分析。</w:t>
      </w:r>
    </w:p>
    <w:p w14:paraId="00AAE8AC">
      <w:pPr>
        <w:pStyle w:val="290"/>
        <w:spacing w:before="156" w:after="156"/>
        <w:outlineLvl w:val="3"/>
      </w:pPr>
      <w:r>
        <w:t>施工</w:t>
      </w:r>
    </w:p>
    <w:p w14:paraId="573A8C56">
      <w:pPr>
        <w:pStyle w:val="328"/>
        <w:numPr>
          <w:ilvl w:val="4"/>
          <w:numId w:val="0"/>
        </w:numPr>
        <w:rPr>
          <w:rFonts w:ascii="Times New Roman"/>
        </w:rPr>
      </w:pPr>
      <w:r>
        <w:rPr>
          <w:rFonts w:hint="eastAsia" w:ascii="黑体" w:hAnsi="黑体" w:eastAsia="黑体" w:cs="黑体"/>
        </w:rPr>
        <w:t xml:space="preserve">7.4.2.2.1 </w:t>
      </w:r>
      <w:r>
        <w:rPr>
          <w:rFonts w:hint="eastAsia" w:ascii="Times New Roman"/>
        </w:rPr>
        <w:t>施工分析</w:t>
      </w:r>
      <w:r>
        <w:rPr>
          <w:rFonts w:ascii="Times New Roman"/>
        </w:rPr>
        <w:t>应根据具体施工方案进行相应的分析。</w:t>
      </w:r>
    </w:p>
    <w:p w14:paraId="38C84476">
      <w:pPr>
        <w:pStyle w:val="328"/>
        <w:numPr>
          <w:ilvl w:val="4"/>
          <w:numId w:val="0"/>
        </w:numPr>
        <w:rPr>
          <w:rFonts w:ascii="Times New Roman"/>
        </w:rPr>
      </w:pPr>
      <w:r>
        <w:rPr>
          <w:rFonts w:hint="eastAsia" w:ascii="黑体" w:hAnsi="黑体" w:eastAsia="黑体" w:cs="黑体"/>
        </w:rPr>
        <w:t xml:space="preserve">7.4.2.2.2 </w:t>
      </w:r>
      <w:r>
        <w:rPr>
          <w:rFonts w:ascii="Times New Roman"/>
        </w:rPr>
        <w:t>施工过程的全部工况</w:t>
      </w:r>
      <w:r>
        <w:rPr>
          <w:rFonts w:hint="eastAsia" w:ascii="Times New Roman"/>
        </w:rPr>
        <w:t>均应开展施工分析</w:t>
      </w:r>
      <w:r>
        <w:rPr>
          <w:rFonts w:ascii="Times New Roman"/>
        </w:rPr>
        <w:t>，包括装船分析、拖航分析、吊装分析、下水分析、扶正分析、座底稳性分析以及浮托分析等并满足规范要求。</w:t>
      </w:r>
    </w:p>
    <w:p w14:paraId="3E35F299">
      <w:pPr>
        <w:pStyle w:val="261"/>
        <w:spacing w:before="156" w:after="156"/>
        <w:outlineLvl w:val="2"/>
      </w:pPr>
      <w:r>
        <w:t>局部</w:t>
      </w:r>
      <w:r>
        <w:rPr>
          <w:rFonts w:hint="eastAsia"/>
        </w:rPr>
        <w:t>分析</w:t>
      </w:r>
    </w:p>
    <w:p w14:paraId="48FF6D57">
      <w:pPr>
        <w:pStyle w:val="327"/>
        <w:rPr>
          <w:rFonts w:ascii="Times New Roman"/>
        </w:rPr>
      </w:pPr>
      <w:r>
        <w:rPr>
          <w:rFonts w:ascii="Times New Roman"/>
        </w:rPr>
        <w:t>局部分析</w:t>
      </w:r>
      <w:r>
        <w:rPr>
          <w:rFonts w:hint="eastAsia" w:ascii="Times New Roman"/>
        </w:rPr>
        <w:t>主要</w:t>
      </w:r>
      <w:r>
        <w:rPr>
          <w:rFonts w:ascii="Times New Roman"/>
        </w:rPr>
        <w:t>包括节点、支撑结构分析等</w:t>
      </w:r>
      <w:r>
        <w:rPr>
          <w:rFonts w:hint="eastAsia" w:ascii="Times New Roman"/>
        </w:rPr>
        <w:t>局部静力分析。平台上布置有大型振动设备应进行局部动力</w:t>
      </w:r>
      <w:r>
        <w:rPr>
          <w:rFonts w:ascii="Times New Roman"/>
        </w:rPr>
        <w:t>分析。</w:t>
      </w:r>
    </w:p>
    <w:p w14:paraId="2736AD73">
      <w:pPr>
        <w:pStyle w:val="327"/>
        <w:rPr>
          <w:rFonts w:ascii="Times New Roman"/>
        </w:rPr>
      </w:pPr>
      <w:r>
        <w:rPr>
          <w:rFonts w:ascii="Times New Roman"/>
        </w:rPr>
        <w:t>应正确模拟</w:t>
      </w:r>
      <w:r>
        <w:rPr>
          <w:rFonts w:hint="eastAsia" w:ascii="Times New Roman"/>
        </w:rPr>
        <w:t>局部分析</w:t>
      </w:r>
      <w:r>
        <w:rPr>
          <w:rFonts w:ascii="Times New Roman"/>
        </w:rPr>
        <w:t>边界条件。</w:t>
      </w:r>
    </w:p>
    <w:p w14:paraId="008AA6F8">
      <w:pPr>
        <w:pStyle w:val="327"/>
        <w:rPr>
          <w:rFonts w:ascii="Times New Roman"/>
        </w:rPr>
      </w:pPr>
      <w:r>
        <w:rPr>
          <w:rFonts w:ascii="Times New Roman"/>
        </w:rPr>
        <w:t>局部分析使用的荷载条件应满足规范的要求。</w:t>
      </w:r>
    </w:p>
    <w:p w14:paraId="117057CE">
      <w:pPr>
        <w:pStyle w:val="261"/>
        <w:spacing w:before="156" w:after="156"/>
        <w:outlineLvl w:val="2"/>
      </w:pPr>
      <w:r>
        <w:rPr>
          <w:rFonts w:hint="eastAsia"/>
        </w:rPr>
        <w:t>附属构件分析</w:t>
      </w:r>
    </w:p>
    <w:p w14:paraId="29B7651E">
      <w:pPr>
        <w:pStyle w:val="327"/>
        <w:rPr>
          <w:rFonts w:ascii="Times New Roman"/>
        </w:rPr>
      </w:pPr>
      <w:r>
        <w:rPr>
          <w:rFonts w:hint="eastAsia" w:ascii="Times New Roman"/>
        </w:rPr>
        <w:t>附属构件</w:t>
      </w:r>
      <w:r>
        <w:rPr>
          <w:rFonts w:ascii="Times New Roman"/>
        </w:rPr>
        <w:t>分析包括</w:t>
      </w:r>
      <w:r>
        <w:rPr>
          <w:rFonts w:hint="eastAsia" w:ascii="Times New Roman"/>
        </w:rPr>
        <w:t>直升机甲板、火炬臂、栈桥、裙桩套筒、靠船件、吊耳、皇冠板等分析</w:t>
      </w:r>
      <w:r>
        <w:rPr>
          <w:rFonts w:ascii="Times New Roman"/>
        </w:rPr>
        <w:t>。</w:t>
      </w:r>
    </w:p>
    <w:p w14:paraId="0D66C48F">
      <w:pPr>
        <w:pStyle w:val="327"/>
        <w:rPr>
          <w:rFonts w:ascii="Times New Roman"/>
        </w:rPr>
      </w:pPr>
      <w:r>
        <w:rPr>
          <w:rFonts w:ascii="Times New Roman"/>
        </w:rPr>
        <w:t>应正确模拟</w:t>
      </w:r>
      <w:r>
        <w:rPr>
          <w:rFonts w:hint="eastAsia" w:ascii="Times New Roman"/>
        </w:rPr>
        <w:t>附属构件分析</w:t>
      </w:r>
      <w:r>
        <w:rPr>
          <w:rFonts w:ascii="Times New Roman"/>
        </w:rPr>
        <w:t>边界条件。</w:t>
      </w:r>
    </w:p>
    <w:p w14:paraId="16944A37">
      <w:pPr>
        <w:pStyle w:val="327"/>
        <w:rPr>
          <w:rFonts w:ascii="Times New Roman"/>
        </w:rPr>
      </w:pPr>
      <w:r>
        <w:rPr>
          <w:rFonts w:hint="eastAsia" w:ascii="Times New Roman"/>
        </w:rPr>
        <w:t>附属构件</w:t>
      </w:r>
      <w:r>
        <w:rPr>
          <w:rFonts w:ascii="Times New Roman"/>
        </w:rPr>
        <w:t>分析使用的荷载条件应满足规范的要求。</w:t>
      </w:r>
    </w:p>
    <w:p w14:paraId="2C26E479">
      <w:pPr>
        <w:pStyle w:val="261"/>
        <w:spacing w:before="156" w:after="156"/>
        <w:outlineLvl w:val="2"/>
      </w:pPr>
      <w:r>
        <w:rPr>
          <w:rFonts w:hint="eastAsia"/>
        </w:rPr>
        <w:t>平台结构</w:t>
      </w:r>
      <w:r>
        <w:t>延寿评估</w:t>
      </w:r>
    </w:p>
    <w:p w14:paraId="03A54FE8">
      <w:pPr>
        <w:pStyle w:val="327"/>
        <w:rPr>
          <w:rFonts w:ascii="Times New Roman"/>
        </w:rPr>
      </w:pPr>
      <w:r>
        <w:rPr>
          <w:rFonts w:ascii="Times New Roman"/>
        </w:rPr>
        <w:t>平台超过设计年限延期使用应根据人员安全、失效后果、检测结果等因素，按照相应的标准对平台结构安全性、可靠性和完整性进行综合分析和评价。</w:t>
      </w:r>
    </w:p>
    <w:p w14:paraId="0AE0DEE6">
      <w:pPr>
        <w:pStyle w:val="327"/>
        <w:rPr>
          <w:rFonts w:ascii="Times New Roman"/>
        </w:rPr>
      </w:pPr>
      <w:r>
        <w:rPr>
          <w:rFonts w:ascii="Times New Roman"/>
        </w:rPr>
        <w:t>评估分析方法包括设计水平分析</w:t>
      </w:r>
      <w:r>
        <w:rPr>
          <w:rFonts w:hint="eastAsia" w:ascii="Times New Roman"/>
        </w:rPr>
        <w:t>和</w:t>
      </w:r>
      <w:r>
        <w:rPr>
          <w:rFonts w:ascii="Times New Roman"/>
        </w:rPr>
        <w:t>极限强度分析。</w:t>
      </w:r>
    </w:p>
    <w:p w14:paraId="470CD05B">
      <w:pPr>
        <w:pStyle w:val="327"/>
        <w:rPr>
          <w:rFonts w:ascii="Times New Roman"/>
        </w:rPr>
      </w:pPr>
      <w:r>
        <w:rPr>
          <w:rFonts w:hint="eastAsia" w:ascii="Times New Roman"/>
        </w:rPr>
        <w:t>对于</w:t>
      </w:r>
      <w:r>
        <w:rPr>
          <w:rFonts w:ascii="Times New Roman"/>
        </w:rPr>
        <w:t>不满足</w:t>
      </w:r>
      <w:r>
        <w:rPr>
          <w:rFonts w:hint="eastAsia" w:ascii="Times New Roman"/>
        </w:rPr>
        <w:t>评估</w:t>
      </w:r>
      <w:r>
        <w:rPr>
          <w:rFonts w:ascii="Times New Roman"/>
        </w:rPr>
        <w:t>要求</w:t>
      </w:r>
      <w:r>
        <w:rPr>
          <w:rFonts w:hint="eastAsia" w:ascii="Times New Roman"/>
        </w:rPr>
        <w:t>的情况</w:t>
      </w:r>
      <w:r>
        <w:rPr>
          <w:rFonts w:ascii="Times New Roman"/>
        </w:rPr>
        <w:t>，在采取缓解措施</w:t>
      </w:r>
      <w:r>
        <w:rPr>
          <w:rFonts w:hint="eastAsia" w:ascii="Times New Roman"/>
        </w:rPr>
        <w:t>之后</w:t>
      </w:r>
      <w:r>
        <w:rPr>
          <w:rFonts w:ascii="Times New Roman"/>
        </w:rPr>
        <w:t>，应结合缓解方案重新进行评估。</w:t>
      </w:r>
    </w:p>
    <w:p w14:paraId="2E224885">
      <w:pPr>
        <w:pStyle w:val="260"/>
        <w:outlineLvl w:val="1"/>
        <w:rPr>
          <w:rFonts w:ascii="Times New Roman"/>
        </w:rPr>
      </w:pPr>
      <w:bookmarkStart w:id="57" w:name="_Toc26660"/>
      <w:bookmarkStart w:id="58" w:name="_Toc14493"/>
      <w:r>
        <w:rPr>
          <w:rFonts w:ascii="Times New Roman"/>
        </w:rPr>
        <w:t>结构设计</w:t>
      </w:r>
      <w:bookmarkEnd w:id="57"/>
      <w:bookmarkEnd w:id="58"/>
    </w:p>
    <w:p w14:paraId="426395CE">
      <w:pPr>
        <w:pStyle w:val="261"/>
        <w:spacing w:before="156" w:after="156"/>
        <w:outlineLvl w:val="2"/>
        <w:rPr>
          <w:rFonts w:ascii="Times New Roman"/>
        </w:rPr>
      </w:pPr>
      <w:r>
        <w:rPr>
          <w:rFonts w:hint="eastAsia" w:ascii="Times New Roman"/>
        </w:rPr>
        <w:t>钢结构设计</w:t>
      </w:r>
    </w:p>
    <w:p w14:paraId="2BDC0AF6">
      <w:pPr>
        <w:pStyle w:val="327"/>
        <w:rPr>
          <w:rFonts w:ascii="Times New Roman"/>
        </w:rPr>
      </w:pPr>
      <w:r>
        <w:rPr>
          <w:rFonts w:ascii="Times New Roman"/>
        </w:rPr>
        <w:t>钢结构设计应采用所用规范、标准中推荐的方法。当采用特殊方法时</w:t>
      </w:r>
      <w:r>
        <w:rPr>
          <w:rFonts w:hint="eastAsia" w:ascii="Times New Roman"/>
        </w:rPr>
        <w:t>，</w:t>
      </w:r>
      <w:r>
        <w:rPr>
          <w:rFonts w:ascii="Times New Roman"/>
        </w:rPr>
        <w:t>应得到</w:t>
      </w:r>
      <w:r>
        <w:rPr>
          <w:rFonts w:hint="eastAsia" w:ascii="Times New Roman"/>
        </w:rPr>
        <w:t>作业者</w:t>
      </w:r>
      <w:r>
        <w:rPr>
          <w:rFonts w:ascii="Times New Roman"/>
        </w:rPr>
        <w:t>的批准。</w:t>
      </w:r>
    </w:p>
    <w:p w14:paraId="6360E825">
      <w:pPr>
        <w:pStyle w:val="327"/>
        <w:rPr>
          <w:rFonts w:ascii="Times New Roman"/>
        </w:rPr>
      </w:pPr>
      <w:r>
        <w:rPr>
          <w:rFonts w:ascii="Times New Roman"/>
        </w:rPr>
        <w:t>钢结构设计应包括构件（含过渡锥体）、管节点和其他连接的设计。</w:t>
      </w:r>
    </w:p>
    <w:p w14:paraId="00B768A5">
      <w:pPr>
        <w:pStyle w:val="327"/>
        <w:rPr>
          <w:rFonts w:ascii="Times New Roman"/>
        </w:rPr>
      </w:pPr>
      <w:r>
        <w:rPr>
          <w:rFonts w:ascii="Times New Roman"/>
        </w:rPr>
        <w:t>对于管节点和其他连接</w:t>
      </w:r>
      <w:r>
        <w:rPr>
          <w:rFonts w:hint="eastAsia" w:ascii="Times New Roman"/>
        </w:rPr>
        <w:t>，</w:t>
      </w:r>
      <w:r>
        <w:rPr>
          <w:rFonts w:ascii="Times New Roman"/>
        </w:rPr>
        <w:t>应进行疲劳分析。疲劳设计寿命应满足相关规范的要求。</w:t>
      </w:r>
    </w:p>
    <w:p w14:paraId="3C652F3C">
      <w:pPr>
        <w:pStyle w:val="261"/>
        <w:spacing w:before="156" w:after="156"/>
        <w:outlineLvl w:val="2"/>
        <w:rPr>
          <w:rFonts w:ascii="Times New Roman"/>
        </w:rPr>
      </w:pPr>
      <w:bookmarkStart w:id="59" w:name="_Toc27094"/>
      <w:r>
        <w:rPr>
          <w:rFonts w:ascii="Times New Roman"/>
        </w:rPr>
        <w:t>桩基础设计</w:t>
      </w:r>
      <w:bookmarkEnd w:id="59"/>
    </w:p>
    <w:p w14:paraId="7742C42D">
      <w:pPr>
        <w:pStyle w:val="327"/>
        <w:rPr>
          <w:rFonts w:ascii="Times New Roman"/>
        </w:rPr>
      </w:pPr>
      <w:r>
        <w:rPr>
          <w:rFonts w:ascii="Times New Roman"/>
        </w:rPr>
        <w:t>桩基础设计</w:t>
      </w:r>
      <w:r>
        <w:rPr>
          <w:rFonts w:hint="eastAsia" w:ascii="Times New Roman"/>
        </w:rPr>
        <w:t>应</w:t>
      </w:r>
      <w:r>
        <w:rPr>
          <w:rFonts w:ascii="Times New Roman"/>
        </w:rPr>
        <w:t>包括</w:t>
      </w:r>
      <w:r>
        <w:rPr>
          <w:rFonts w:hint="eastAsia" w:ascii="Times New Roman"/>
        </w:rPr>
        <w:t>在位强度分析、可打入性分析，自由站立分析、吊装分析和桩腿连接分析等。</w:t>
      </w:r>
    </w:p>
    <w:p w14:paraId="43D32ADD">
      <w:pPr>
        <w:pStyle w:val="327"/>
        <w:rPr>
          <w:rFonts w:ascii="Times New Roman"/>
        </w:rPr>
      </w:pPr>
      <w:r>
        <w:rPr>
          <w:rFonts w:hint="eastAsia" w:ascii="Times New Roman"/>
        </w:rPr>
        <w:t>静力分析时应对桩进行桩土相互作用校核</w:t>
      </w:r>
      <w:r>
        <w:rPr>
          <w:rFonts w:ascii="Times New Roman"/>
        </w:rPr>
        <w:t>。</w:t>
      </w:r>
    </w:p>
    <w:p w14:paraId="52015C35">
      <w:pPr>
        <w:pStyle w:val="327"/>
        <w:rPr>
          <w:rFonts w:ascii="Times New Roman"/>
        </w:rPr>
      </w:pPr>
      <w:r>
        <w:rPr>
          <w:rFonts w:hint="eastAsia" w:ascii="Times New Roman"/>
        </w:rPr>
        <w:t>桩基础的侧向承载能力应由考虑非线性基础的结构总体分析或者在进行等效线性基础的结构分析后由考虑非线性的单桩分析得到。</w:t>
      </w:r>
    </w:p>
    <w:p w14:paraId="45085E78">
      <w:pPr>
        <w:pStyle w:val="327"/>
        <w:rPr>
          <w:rFonts w:hint="eastAsia" w:ascii="宋体" w:hAnsi="宋体" w:eastAsia="宋体" w:cs="宋体"/>
        </w:rPr>
      </w:pPr>
      <w:r>
        <w:rPr>
          <w:rFonts w:hint="eastAsia" w:ascii="宋体" w:hAnsi="宋体" w:eastAsia="宋体" w:cs="宋体"/>
        </w:rPr>
        <w:t>在进行桩基础模拟时</w:t>
      </w:r>
      <w:r>
        <w:rPr>
          <w:rFonts w:hint="eastAsia" w:ascii="宋体" w:hAnsi="宋体" w:eastAsia="宋体" w:cs="宋体"/>
          <w:lang w:eastAsia="zh-CN"/>
        </w:rPr>
        <w:t>，</w:t>
      </w:r>
      <w:r>
        <w:rPr>
          <w:rFonts w:hint="eastAsia" w:ascii="宋体" w:hAnsi="宋体" w:eastAsia="宋体" w:cs="宋体"/>
        </w:rPr>
        <w:t xml:space="preserve"> 应模拟桩—土系统的侧向荷载—变位特性（P—Y曲线）和轴向荷载—变位特性（T—Z和Q—Z曲线）。</w:t>
      </w:r>
    </w:p>
    <w:p w14:paraId="04788502">
      <w:pPr>
        <w:pStyle w:val="327"/>
        <w:rPr>
          <w:rFonts w:ascii="Times New Roman"/>
        </w:rPr>
      </w:pPr>
      <w:r>
        <w:rPr>
          <w:rFonts w:hint="eastAsia" w:ascii="Times New Roman"/>
        </w:rPr>
        <w:t>采用裙桩时</w:t>
      </w:r>
      <w:r>
        <w:rPr>
          <w:rFonts w:ascii="Times New Roman"/>
        </w:rPr>
        <w:t>应</w:t>
      </w:r>
      <w:r>
        <w:rPr>
          <w:rFonts w:hint="eastAsia" w:ascii="Times New Roman"/>
        </w:rPr>
        <w:t>开展</w:t>
      </w:r>
      <w:r>
        <w:rPr>
          <w:rFonts w:ascii="Times New Roman"/>
        </w:rPr>
        <w:t>群桩效应</w:t>
      </w:r>
      <w:r>
        <w:rPr>
          <w:rFonts w:hint="eastAsia" w:ascii="Times New Roman"/>
        </w:rPr>
        <w:t>分析</w:t>
      </w:r>
      <w:r>
        <w:rPr>
          <w:rFonts w:ascii="Times New Roman"/>
        </w:rPr>
        <w:t>。群桩效应的计算应按照公认的方法进行。</w:t>
      </w:r>
    </w:p>
    <w:p w14:paraId="2A21B739">
      <w:pPr>
        <w:pStyle w:val="327"/>
        <w:rPr>
          <w:rFonts w:ascii="Times New Roman"/>
        </w:rPr>
      </w:pPr>
      <w:r>
        <w:rPr>
          <w:rFonts w:ascii="Times New Roman"/>
        </w:rPr>
        <w:t>桩可打入性分析应包</w:t>
      </w:r>
      <w:r>
        <w:rPr>
          <w:rFonts w:hint="eastAsia" w:ascii="Times New Roman"/>
        </w:rPr>
        <w:t>括有土塞和无土塞两种工况，桩的分段设计不应在易形成土塞的土层接桩。</w:t>
      </w:r>
    </w:p>
    <w:p w14:paraId="2BAFF69F">
      <w:pPr>
        <w:pStyle w:val="260"/>
        <w:outlineLvl w:val="1"/>
        <w:rPr>
          <w:rFonts w:ascii="Times New Roman"/>
        </w:rPr>
      </w:pPr>
      <w:bookmarkStart w:id="60" w:name="_Toc2565"/>
      <w:r>
        <w:rPr>
          <w:rFonts w:ascii="Times New Roman"/>
        </w:rPr>
        <w:t>材料</w:t>
      </w:r>
      <w:bookmarkEnd w:id="60"/>
    </w:p>
    <w:p w14:paraId="16999962">
      <w:pPr>
        <w:pStyle w:val="326"/>
        <w:rPr>
          <w:rFonts w:ascii="Times New Roman"/>
        </w:rPr>
      </w:pPr>
      <w:r>
        <w:rPr>
          <w:rFonts w:ascii="Times New Roman"/>
        </w:rPr>
        <w:t>用于建造平台的各种材料应满足设计要求。材料的选择除应满足强度要求外</w:t>
      </w:r>
      <w:r>
        <w:rPr>
          <w:rFonts w:hint="eastAsia" w:ascii="Times New Roman"/>
        </w:rPr>
        <w:t>，</w:t>
      </w:r>
      <w:r>
        <w:rPr>
          <w:rFonts w:ascii="Times New Roman"/>
        </w:rPr>
        <w:t>还应满足结构工作场所的环境条件、在结构中的部位和可能使用的加工方法等。</w:t>
      </w:r>
    </w:p>
    <w:p w14:paraId="7A80FA45">
      <w:pPr>
        <w:pStyle w:val="326"/>
        <w:rPr>
          <w:rFonts w:ascii="Times New Roman"/>
        </w:rPr>
      </w:pPr>
      <w:r>
        <w:rPr>
          <w:rFonts w:ascii="Times New Roman"/>
        </w:rPr>
        <w:t>用于建造平台的钢材应具有</w:t>
      </w:r>
      <w:r>
        <w:rPr>
          <w:rFonts w:hint="eastAsia" w:ascii="Times New Roman"/>
        </w:rPr>
        <w:t>符合</w:t>
      </w:r>
      <w:r>
        <w:rPr>
          <w:rFonts w:ascii="Times New Roman"/>
        </w:rPr>
        <w:t>要求的</w:t>
      </w:r>
      <w:r>
        <w:rPr>
          <w:rFonts w:hint="eastAsia" w:ascii="Times New Roman"/>
        </w:rPr>
        <w:t>质量证明书</w:t>
      </w:r>
      <w:r>
        <w:rPr>
          <w:rFonts w:ascii="Times New Roman"/>
        </w:rPr>
        <w:t>（包括钢材的炉号、批号、化学成分、机械性能等）。不符合要求的钢材不</w:t>
      </w:r>
      <w:r>
        <w:rPr>
          <w:rFonts w:hint="eastAsia" w:ascii="Times New Roman"/>
        </w:rPr>
        <w:t>应</w:t>
      </w:r>
      <w:r>
        <w:rPr>
          <w:rFonts w:ascii="Times New Roman"/>
        </w:rPr>
        <w:t>使用。</w:t>
      </w:r>
    </w:p>
    <w:p w14:paraId="688C372E">
      <w:pPr>
        <w:pStyle w:val="326"/>
        <w:rPr>
          <w:rFonts w:ascii="Times New Roman"/>
        </w:rPr>
      </w:pPr>
      <w:r>
        <w:rPr>
          <w:rFonts w:ascii="Times New Roman"/>
        </w:rPr>
        <w:t>应事先编制材料检验程序进行尺寸、外观、标记等材料检验。</w:t>
      </w:r>
    </w:p>
    <w:p w14:paraId="22F4201A">
      <w:pPr>
        <w:pStyle w:val="326"/>
        <w:rPr>
          <w:rFonts w:ascii="Times New Roman"/>
        </w:rPr>
      </w:pPr>
      <w:r>
        <w:rPr>
          <w:rFonts w:ascii="Times New Roman"/>
        </w:rPr>
        <w:t>所有材料均应有持久的、明显的标记。没有标记的材料</w:t>
      </w:r>
      <w:r>
        <w:rPr>
          <w:rFonts w:hint="eastAsia" w:ascii="Times New Roman"/>
        </w:rPr>
        <w:t>，</w:t>
      </w:r>
      <w:r>
        <w:rPr>
          <w:rFonts w:ascii="Times New Roman"/>
        </w:rPr>
        <w:t>应做化学成份分析和机械性能试验；符合要求后报经作业者认可</w:t>
      </w:r>
      <w:r>
        <w:rPr>
          <w:rFonts w:hint="eastAsia" w:ascii="Times New Roman"/>
        </w:rPr>
        <w:t>，</w:t>
      </w:r>
      <w:r>
        <w:rPr>
          <w:rFonts w:ascii="Times New Roman"/>
        </w:rPr>
        <w:t>打上标记</w:t>
      </w:r>
      <w:r>
        <w:rPr>
          <w:rFonts w:hint="eastAsia" w:ascii="Times New Roman"/>
        </w:rPr>
        <w:t>，</w:t>
      </w:r>
      <w:r>
        <w:rPr>
          <w:rFonts w:ascii="Times New Roman"/>
        </w:rPr>
        <w:t>方可使用。应编制材料跟踪程序</w:t>
      </w:r>
      <w:r>
        <w:rPr>
          <w:rFonts w:hint="eastAsia" w:ascii="Times New Roman"/>
        </w:rPr>
        <w:t>，</w:t>
      </w:r>
      <w:r>
        <w:rPr>
          <w:rFonts w:ascii="Times New Roman"/>
        </w:rPr>
        <w:t>并进行材料跟踪。</w:t>
      </w:r>
    </w:p>
    <w:p w14:paraId="306A6362">
      <w:pPr>
        <w:pStyle w:val="326"/>
        <w:rPr>
          <w:rFonts w:ascii="Times New Roman"/>
        </w:rPr>
      </w:pPr>
      <w:r>
        <w:rPr>
          <w:rFonts w:hint="eastAsia" w:ascii="Times New Roman"/>
        </w:rPr>
        <w:t>如果进行材料替换，应</w:t>
      </w:r>
      <w:r>
        <w:rPr>
          <w:rFonts w:ascii="Times New Roman"/>
        </w:rPr>
        <w:t>经作业者的同意和发证检验机构的认可</w:t>
      </w:r>
      <w:r>
        <w:rPr>
          <w:rFonts w:hint="eastAsia" w:ascii="Times New Roman"/>
        </w:rPr>
        <w:t>，替换材料的</w:t>
      </w:r>
      <w:r>
        <w:rPr>
          <w:rFonts w:ascii="Times New Roman"/>
        </w:rPr>
        <w:t>化学成分和机械性能</w:t>
      </w:r>
      <w:r>
        <w:rPr>
          <w:rFonts w:hint="eastAsia" w:ascii="Times New Roman"/>
        </w:rPr>
        <w:t>应与</w:t>
      </w:r>
      <w:r>
        <w:rPr>
          <w:rFonts w:ascii="Times New Roman"/>
        </w:rPr>
        <w:t>设计要求</w:t>
      </w:r>
      <w:r>
        <w:rPr>
          <w:rFonts w:hint="eastAsia" w:ascii="Times New Roman"/>
        </w:rPr>
        <w:t>相当</w:t>
      </w:r>
      <w:r>
        <w:rPr>
          <w:rFonts w:ascii="Times New Roman"/>
        </w:rPr>
        <w:t>。</w:t>
      </w:r>
    </w:p>
    <w:p w14:paraId="048DCDF7">
      <w:pPr>
        <w:pStyle w:val="260"/>
        <w:outlineLvl w:val="1"/>
        <w:rPr>
          <w:rFonts w:ascii="Times New Roman"/>
        </w:rPr>
      </w:pPr>
      <w:bookmarkStart w:id="61" w:name="_Toc13748"/>
      <w:r>
        <w:rPr>
          <w:rFonts w:ascii="Times New Roman"/>
        </w:rPr>
        <w:t>建造</w:t>
      </w:r>
      <w:bookmarkEnd w:id="61"/>
    </w:p>
    <w:p w14:paraId="77C0C2C7">
      <w:pPr>
        <w:pStyle w:val="326"/>
        <w:rPr>
          <w:rFonts w:ascii="Times New Roman"/>
        </w:rPr>
      </w:pPr>
      <w:bookmarkStart w:id="62" w:name="_Toc18646"/>
      <w:r>
        <w:rPr>
          <w:rFonts w:ascii="Times New Roman"/>
        </w:rPr>
        <w:t>平台结构的建造单位应根据所用规范、标准以及设计的要求进行加工图设计</w:t>
      </w:r>
      <w:r>
        <w:rPr>
          <w:rFonts w:hint="eastAsia" w:ascii="Times New Roman"/>
        </w:rPr>
        <w:t>和</w:t>
      </w:r>
      <w:r>
        <w:rPr>
          <w:rFonts w:ascii="Times New Roman"/>
        </w:rPr>
        <w:t>编制建造程序。 建造工作应按照加工图和建造程序进行。对于影响结构强度的建造</w:t>
      </w:r>
      <w:r>
        <w:rPr>
          <w:rFonts w:hint="eastAsia" w:ascii="Times New Roman"/>
        </w:rPr>
        <w:t>工艺，</w:t>
      </w:r>
      <w:r>
        <w:rPr>
          <w:rFonts w:ascii="Times New Roman"/>
        </w:rPr>
        <w:t>应进行强度复核分析和计算。</w:t>
      </w:r>
    </w:p>
    <w:p w14:paraId="6B0B1B2B">
      <w:pPr>
        <w:pStyle w:val="326"/>
        <w:rPr>
          <w:rFonts w:ascii="Times New Roman"/>
        </w:rPr>
      </w:pPr>
      <w:r>
        <w:rPr>
          <w:rFonts w:ascii="Times New Roman"/>
        </w:rPr>
        <w:t>在切割下料前</w:t>
      </w:r>
      <w:r>
        <w:rPr>
          <w:rFonts w:hint="eastAsia" w:ascii="Times New Roman"/>
        </w:rPr>
        <w:t>，</w:t>
      </w:r>
      <w:r>
        <w:rPr>
          <w:rFonts w:ascii="Times New Roman"/>
        </w:rPr>
        <w:t>钢材应进行预处理以符合下料要求。所有准备好的钢材均应妥善保管和运输。</w:t>
      </w:r>
    </w:p>
    <w:p w14:paraId="4E47A770">
      <w:pPr>
        <w:pStyle w:val="326"/>
        <w:rPr>
          <w:rFonts w:ascii="Times New Roman"/>
        </w:rPr>
      </w:pPr>
      <w:r>
        <w:rPr>
          <w:rFonts w:ascii="Times New Roman"/>
        </w:rPr>
        <w:t>应使用适用的工艺和方法进行钢材切割和机械加工。切割</w:t>
      </w:r>
      <w:r>
        <w:rPr>
          <w:rFonts w:hint="eastAsia" w:ascii="Times New Roman"/>
        </w:rPr>
        <w:t>后的外观应满足规范要求。</w:t>
      </w:r>
      <w:r>
        <w:rPr>
          <w:rFonts w:ascii="Times New Roman"/>
        </w:rPr>
        <w:t>所有机械加工后的钢材均应保持原有的机械性能。不允许采用任何可能损伤钢构件局部表面的加工方法。</w:t>
      </w:r>
    </w:p>
    <w:p w14:paraId="04C5AA5C">
      <w:pPr>
        <w:pStyle w:val="326"/>
        <w:rPr>
          <w:rFonts w:ascii="Times New Roman"/>
        </w:rPr>
      </w:pPr>
      <w:r>
        <w:rPr>
          <w:rFonts w:ascii="Times New Roman"/>
        </w:rPr>
        <w:t>在构件组对之前</w:t>
      </w:r>
      <w:r>
        <w:rPr>
          <w:rFonts w:hint="eastAsia" w:ascii="Times New Roman"/>
          <w:lang w:eastAsia="zh-CN"/>
        </w:rPr>
        <w:t>，</w:t>
      </w:r>
      <w:r>
        <w:rPr>
          <w:rFonts w:ascii="Times New Roman"/>
        </w:rPr>
        <w:t xml:space="preserve"> 应</w:t>
      </w:r>
      <w:r>
        <w:rPr>
          <w:rFonts w:hint="eastAsia" w:ascii="Times New Roman"/>
        </w:rPr>
        <w:t>确保</w:t>
      </w:r>
      <w:r>
        <w:rPr>
          <w:rFonts w:ascii="Times New Roman"/>
        </w:rPr>
        <w:t>每个</w:t>
      </w:r>
      <w:r>
        <w:rPr>
          <w:rFonts w:hint="eastAsia" w:ascii="Times New Roman"/>
        </w:rPr>
        <w:t>构</w:t>
      </w:r>
      <w:r>
        <w:rPr>
          <w:rFonts w:ascii="Times New Roman"/>
        </w:rPr>
        <w:t>件符合设计图纸和组对工艺的要求。未达到要求的</w:t>
      </w:r>
      <w:r>
        <w:rPr>
          <w:rFonts w:hint="eastAsia" w:ascii="Times New Roman"/>
        </w:rPr>
        <w:t>构</w:t>
      </w:r>
      <w:r>
        <w:rPr>
          <w:rFonts w:ascii="Times New Roman"/>
        </w:rPr>
        <w:t>件</w:t>
      </w:r>
      <w:r>
        <w:rPr>
          <w:rFonts w:hint="eastAsia" w:ascii="Times New Roman"/>
        </w:rPr>
        <w:t>，</w:t>
      </w:r>
      <w:r>
        <w:rPr>
          <w:rFonts w:ascii="Times New Roman"/>
        </w:rPr>
        <w:t>不得使用。组对过程中被损伤的构件应予以修复</w:t>
      </w:r>
      <w:r>
        <w:rPr>
          <w:rFonts w:hint="eastAsia" w:ascii="Times New Roman"/>
        </w:rPr>
        <w:t>，</w:t>
      </w:r>
      <w:r>
        <w:rPr>
          <w:rFonts w:ascii="Times New Roman"/>
        </w:rPr>
        <w:t>损伤严重者应予以替换。</w:t>
      </w:r>
    </w:p>
    <w:p w14:paraId="1C6E83F5">
      <w:pPr>
        <w:pStyle w:val="326"/>
        <w:rPr>
          <w:rFonts w:ascii="Times New Roman"/>
        </w:rPr>
      </w:pPr>
      <w:r>
        <w:rPr>
          <w:rFonts w:ascii="Times New Roman"/>
        </w:rPr>
        <w:t>在结构总装前</w:t>
      </w:r>
      <w:r>
        <w:rPr>
          <w:rFonts w:hint="eastAsia" w:ascii="Times New Roman"/>
          <w:lang w:eastAsia="zh-CN"/>
        </w:rPr>
        <w:t>，</w:t>
      </w:r>
      <w:r>
        <w:rPr>
          <w:rFonts w:ascii="Times New Roman"/>
        </w:rPr>
        <w:t xml:space="preserve"> 应检查已组对的构件片（组）是否符合设计及总装工艺的要求。在总装过程中应满足设计对结构强度及总装精度的要求。总装场地</w:t>
      </w:r>
      <w:r>
        <w:rPr>
          <w:rFonts w:hint="eastAsia" w:ascii="Times New Roman"/>
        </w:rPr>
        <w:t>应</w:t>
      </w:r>
      <w:r>
        <w:rPr>
          <w:rFonts w:ascii="Times New Roman"/>
        </w:rPr>
        <w:t>具有足够的</w:t>
      </w:r>
      <w:r>
        <w:rPr>
          <w:rFonts w:hint="eastAsia" w:ascii="Times New Roman"/>
        </w:rPr>
        <w:t>承载</w:t>
      </w:r>
      <w:r>
        <w:rPr>
          <w:rFonts w:ascii="Times New Roman"/>
        </w:rPr>
        <w:t>能力</w:t>
      </w:r>
      <w:r>
        <w:rPr>
          <w:rFonts w:hint="eastAsia" w:ascii="Times New Roman"/>
        </w:rPr>
        <w:t>，</w:t>
      </w:r>
      <w:r>
        <w:rPr>
          <w:rFonts w:ascii="Times New Roman"/>
        </w:rPr>
        <w:t>其变形不得影响结构强度和建造精度。</w:t>
      </w:r>
    </w:p>
    <w:p w14:paraId="59903D65">
      <w:pPr>
        <w:pStyle w:val="260"/>
        <w:outlineLvl w:val="1"/>
        <w:rPr>
          <w:rFonts w:ascii="Times New Roman"/>
        </w:rPr>
      </w:pPr>
      <w:bookmarkStart w:id="63" w:name="_Toc15334"/>
      <w:r>
        <w:rPr>
          <w:rFonts w:ascii="Times New Roman"/>
        </w:rPr>
        <w:t>焊接及其他连接</w:t>
      </w:r>
      <w:bookmarkEnd w:id="62"/>
      <w:bookmarkEnd w:id="63"/>
    </w:p>
    <w:p w14:paraId="1B6F6797">
      <w:pPr>
        <w:pStyle w:val="261"/>
        <w:spacing w:before="156" w:after="156"/>
        <w:outlineLvl w:val="2"/>
        <w:rPr>
          <w:rFonts w:ascii="Times New Roman"/>
        </w:rPr>
      </w:pPr>
      <w:r>
        <w:rPr>
          <w:rFonts w:hint="eastAsia" w:ascii="Times New Roman"/>
        </w:rPr>
        <w:t>焊接</w:t>
      </w:r>
    </w:p>
    <w:p w14:paraId="1F47146B">
      <w:pPr>
        <w:spacing w:before="156" w:beforeLines="50" w:after="156" w:afterLines="50"/>
        <w:outlineLvl w:val="3"/>
        <w:rPr>
          <w:rFonts w:hint="eastAsia" w:ascii="黑体" w:hAnsi="黑体" w:eastAsia="黑体" w:cs="黑体"/>
        </w:rPr>
      </w:pPr>
      <w:r>
        <w:rPr>
          <w:rFonts w:hint="eastAsia" w:ascii="黑体" w:hAnsi="黑体" w:eastAsia="黑体" w:cs="黑体"/>
        </w:rPr>
        <w:t>7.8.1.1 焊接质量保证</w:t>
      </w:r>
    </w:p>
    <w:p w14:paraId="1CC96768">
      <w:pPr>
        <w:pStyle w:val="328"/>
      </w:pPr>
      <w:r>
        <w:t>焊接施工应按设计要求和所用规范、标准进行。</w:t>
      </w:r>
    </w:p>
    <w:p w14:paraId="2AD39E32">
      <w:pPr>
        <w:pStyle w:val="328"/>
      </w:pPr>
      <w:r>
        <w:t>焊接施工前应编制焊接程序和检验程序，并提交作业者和发证检验机构批准。</w:t>
      </w:r>
    </w:p>
    <w:p w14:paraId="4AEF2231">
      <w:pPr>
        <w:spacing w:before="156" w:beforeLines="50" w:after="156" w:afterLines="50"/>
        <w:outlineLvl w:val="3"/>
        <w:rPr>
          <w:rFonts w:hint="eastAsia" w:ascii="黑体" w:hAnsi="黑体" w:eastAsia="黑体" w:cs="黑体"/>
        </w:rPr>
      </w:pPr>
      <w:r>
        <w:rPr>
          <w:rFonts w:hint="eastAsia" w:ascii="黑体" w:hAnsi="黑体" w:eastAsia="黑体" w:cs="黑体"/>
        </w:rPr>
        <w:t xml:space="preserve">7.8.1.2 </w:t>
      </w:r>
      <w:r>
        <w:rPr>
          <w:rFonts w:ascii="黑体" w:hAnsi="黑体" w:eastAsia="黑体" w:cs="黑体"/>
        </w:rPr>
        <w:t>焊接材料</w:t>
      </w:r>
    </w:p>
    <w:p w14:paraId="2A022DA1">
      <w:pPr>
        <w:pStyle w:val="328"/>
      </w:pPr>
      <w:r>
        <w:t>焊接材料应符合设计标准的规定。焊接材料应由发证检验机构认可的厂家生产</w:t>
      </w:r>
      <w:r>
        <w:rPr>
          <w:rFonts w:hint="eastAsia"/>
        </w:rPr>
        <w:t>，</w:t>
      </w:r>
      <w:r>
        <w:t>并应有产品合格证书和产品说明书。</w:t>
      </w:r>
    </w:p>
    <w:p w14:paraId="6A519329">
      <w:pPr>
        <w:pStyle w:val="328"/>
      </w:pPr>
      <w:r>
        <w:t>焊接材料应按产品说明书的规定条件贮存、保管和使用。不符合要求的焊接材料</w:t>
      </w:r>
      <w:r>
        <w:rPr>
          <w:rFonts w:hint="eastAsia"/>
        </w:rPr>
        <w:t>不应</w:t>
      </w:r>
      <w:r>
        <w:t>使用。</w:t>
      </w:r>
    </w:p>
    <w:p w14:paraId="44C3E87E">
      <w:pPr>
        <w:spacing w:before="156" w:beforeLines="50" w:after="156" w:afterLines="50"/>
        <w:outlineLvl w:val="3"/>
        <w:rPr>
          <w:rFonts w:hint="eastAsia" w:ascii="黑体" w:hAnsi="黑体" w:eastAsia="黑体" w:cs="黑体"/>
        </w:rPr>
      </w:pPr>
      <w:r>
        <w:rPr>
          <w:rFonts w:hint="eastAsia" w:ascii="黑体" w:hAnsi="黑体" w:eastAsia="黑体" w:cs="黑体"/>
        </w:rPr>
        <w:t xml:space="preserve">7.8.1.3 </w:t>
      </w:r>
      <w:r>
        <w:rPr>
          <w:rFonts w:ascii="黑体" w:hAnsi="黑体" w:eastAsia="黑体" w:cs="黑体"/>
        </w:rPr>
        <w:t>焊接</w:t>
      </w:r>
      <w:r>
        <w:rPr>
          <w:rFonts w:hint="eastAsia" w:ascii="黑体" w:hAnsi="黑体" w:eastAsia="黑体" w:cs="黑体"/>
        </w:rPr>
        <w:t>作业</w:t>
      </w:r>
    </w:p>
    <w:p w14:paraId="24E92EAD">
      <w:pPr>
        <w:pStyle w:val="328"/>
      </w:pPr>
      <w:r>
        <w:t>焊接前</w:t>
      </w:r>
      <w:r>
        <w:rPr>
          <w:rFonts w:hint="eastAsia"/>
          <w:lang w:eastAsia="zh-CN"/>
        </w:rPr>
        <w:t>，</w:t>
      </w:r>
      <w:r>
        <w:t xml:space="preserve"> 应按照设计要求检查焊件的加工质量和尺寸公差。</w:t>
      </w:r>
    </w:p>
    <w:p w14:paraId="3A6144B9">
      <w:pPr>
        <w:pStyle w:val="328"/>
      </w:pPr>
      <w:r>
        <w:t>焊接作业应在规定的环境条件下按焊接程序进行。</w:t>
      </w:r>
    </w:p>
    <w:p w14:paraId="0CDF9C3C">
      <w:pPr>
        <w:pStyle w:val="328"/>
      </w:pPr>
      <w:r>
        <w:t>有预热要求的焊件</w:t>
      </w:r>
      <w:r>
        <w:rPr>
          <w:rFonts w:hint="eastAsia"/>
          <w:lang w:eastAsia="zh-CN"/>
        </w:rPr>
        <w:t>，</w:t>
      </w:r>
      <w:r>
        <w:t xml:space="preserve"> 应按预热程序进行预热。</w:t>
      </w:r>
    </w:p>
    <w:p w14:paraId="3ADF4EBA">
      <w:pPr>
        <w:pStyle w:val="328"/>
      </w:pPr>
      <w:r>
        <w:t>对要求进行焊后热处理的焊缝应按热处理程序进行焊后热处理。任何热处理均不</w:t>
      </w:r>
      <w:r>
        <w:rPr>
          <w:rFonts w:hint="eastAsia"/>
        </w:rPr>
        <w:t>应</w:t>
      </w:r>
      <w:r>
        <w:t>改变母材的性质和焊件形状。</w:t>
      </w:r>
    </w:p>
    <w:p w14:paraId="2E3068C3">
      <w:pPr>
        <w:spacing w:before="156" w:beforeLines="50" w:after="156" w:afterLines="50"/>
        <w:outlineLvl w:val="3"/>
        <w:rPr>
          <w:rFonts w:hint="eastAsia" w:ascii="黑体" w:hAnsi="黑体" w:eastAsia="黑体" w:cs="黑体"/>
        </w:rPr>
      </w:pPr>
      <w:r>
        <w:rPr>
          <w:rFonts w:hint="eastAsia" w:ascii="黑体" w:hAnsi="黑体" w:eastAsia="黑体" w:cs="黑体"/>
        </w:rPr>
        <w:t xml:space="preserve">7.8.1.4 </w:t>
      </w:r>
      <w:r>
        <w:rPr>
          <w:rFonts w:ascii="黑体" w:hAnsi="黑体" w:eastAsia="黑体" w:cs="黑体"/>
        </w:rPr>
        <w:t>检验</w:t>
      </w:r>
    </w:p>
    <w:p w14:paraId="460E823E">
      <w:pPr>
        <w:pStyle w:val="328"/>
      </w:pPr>
      <w:r>
        <w:t>在开工前</w:t>
      </w:r>
      <w:r>
        <w:rPr>
          <w:rFonts w:hint="eastAsia"/>
        </w:rPr>
        <w:t>应</w:t>
      </w:r>
      <w:r>
        <w:t>按设计要求对将要采用的检验方法编制检验程序和检验图。</w:t>
      </w:r>
    </w:p>
    <w:p w14:paraId="13277F42">
      <w:pPr>
        <w:pStyle w:val="328"/>
      </w:pPr>
      <w:r>
        <w:t>检验应先外观检验</w:t>
      </w:r>
      <w:r>
        <w:rPr>
          <w:rFonts w:hint="eastAsia"/>
          <w:lang w:eastAsia="zh-CN"/>
        </w:rPr>
        <w:t>，</w:t>
      </w:r>
      <w:r>
        <w:t xml:space="preserve"> 后无损检验。外观检验合格后方可进行无损检验。</w:t>
      </w:r>
    </w:p>
    <w:p w14:paraId="65F2F76B">
      <w:pPr>
        <w:spacing w:before="156" w:beforeLines="50" w:after="156" w:afterLines="50"/>
        <w:outlineLvl w:val="3"/>
        <w:rPr>
          <w:rFonts w:hint="eastAsia" w:ascii="黑体" w:hAnsi="黑体" w:eastAsia="黑体" w:cs="黑体"/>
        </w:rPr>
      </w:pPr>
      <w:r>
        <w:rPr>
          <w:rFonts w:hint="eastAsia" w:ascii="黑体" w:hAnsi="黑体" w:eastAsia="黑体" w:cs="黑体"/>
        </w:rPr>
        <w:t xml:space="preserve">7.8.1.5 </w:t>
      </w:r>
      <w:r>
        <w:rPr>
          <w:rFonts w:ascii="黑体" w:hAnsi="黑体" w:eastAsia="黑体" w:cs="黑体"/>
        </w:rPr>
        <w:t>修补</w:t>
      </w:r>
    </w:p>
    <w:p w14:paraId="6B015203">
      <w:pPr>
        <w:pStyle w:val="328"/>
      </w:pPr>
      <w:r>
        <w:t xml:space="preserve">修补包括对焊缝和母材的修补。任何修补工作均不应改变焊缝和母材的性质。 </w:t>
      </w:r>
    </w:p>
    <w:p w14:paraId="4C492051">
      <w:pPr>
        <w:pStyle w:val="328"/>
      </w:pPr>
      <w:r>
        <w:t>焊接修补应按修补程序进行。</w:t>
      </w:r>
    </w:p>
    <w:p w14:paraId="16DCF58A">
      <w:pPr>
        <w:pStyle w:val="328"/>
      </w:pPr>
      <w:r>
        <w:t>大面积的修补或在同一部位超过两次以上的修补应经作业者和发证检验机构批准方可进行。</w:t>
      </w:r>
    </w:p>
    <w:p w14:paraId="2AA719D4">
      <w:pPr>
        <w:pStyle w:val="261"/>
        <w:spacing w:before="156" w:after="156"/>
        <w:outlineLvl w:val="2"/>
        <w:rPr>
          <w:rFonts w:ascii="Times New Roman"/>
        </w:rPr>
      </w:pPr>
      <w:r>
        <w:rPr>
          <w:rFonts w:ascii="Times New Roman"/>
        </w:rPr>
        <w:t>其他连接</w:t>
      </w:r>
    </w:p>
    <w:p w14:paraId="6841E54E">
      <w:pPr>
        <w:spacing w:before="156" w:beforeLines="50" w:after="156" w:afterLines="50"/>
        <w:outlineLvl w:val="3"/>
        <w:rPr>
          <w:rFonts w:hint="eastAsia" w:ascii="黑体" w:hAnsi="黑体" w:eastAsia="黑体" w:cs="黑体"/>
        </w:rPr>
      </w:pPr>
      <w:r>
        <w:rPr>
          <w:rFonts w:hint="eastAsia" w:ascii="黑体" w:hAnsi="黑体" w:eastAsia="黑体" w:cs="黑体"/>
        </w:rPr>
        <w:t xml:space="preserve">7.8.2.1 </w:t>
      </w:r>
      <w:r>
        <w:rPr>
          <w:rFonts w:ascii="黑体" w:hAnsi="黑体" w:eastAsia="黑体" w:cs="黑体"/>
        </w:rPr>
        <w:t>安装</w:t>
      </w:r>
    </w:p>
    <w:p w14:paraId="6B29D633">
      <w:pPr>
        <w:ind w:firstLine="420" w:firstLineChars="200"/>
      </w:pPr>
      <w:r>
        <w:t>安装作业前应编制相应的连接安装程序。应按照设计要求和安装程序进行连接</w:t>
      </w:r>
      <w:r>
        <w:rPr>
          <w:rFonts w:hint="eastAsia"/>
        </w:rPr>
        <w:t>件</w:t>
      </w:r>
      <w:r>
        <w:t>的正确安装。</w:t>
      </w:r>
    </w:p>
    <w:p w14:paraId="1FCB7FE7">
      <w:pPr>
        <w:spacing w:before="156" w:beforeLines="50" w:after="156" w:afterLines="50"/>
        <w:outlineLvl w:val="3"/>
        <w:rPr>
          <w:rFonts w:hint="eastAsia" w:ascii="黑体" w:hAnsi="黑体" w:eastAsia="黑体" w:cs="黑体"/>
        </w:rPr>
      </w:pPr>
      <w:r>
        <w:rPr>
          <w:rFonts w:hint="eastAsia" w:ascii="黑体" w:hAnsi="黑体" w:eastAsia="黑体" w:cs="黑体"/>
        </w:rPr>
        <w:t xml:space="preserve">7.8.2.2 </w:t>
      </w:r>
      <w:r>
        <w:rPr>
          <w:rFonts w:ascii="黑体" w:hAnsi="黑体" w:eastAsia="黑体" w:cs="黑体"/>
        </w:rPr>
        <w:t>检验</w:t>
      </w:r>
    </w:p>
    <w:p w14:paraId="4AD6F359">
      <w:pPr>
        <w:ind w:firstLine="420" w:firstLineChars="200"/>
        <w:rPr>
          <w:rFonts w:hint="eastAsia" w:ascii="宋体" w:hAnsi="宋体" w:cs="宋体"/>
        </w:rPr>
      </w:pPr>
      <w:r>
        <w:rPr>
          <w:rFonts w:hint="eastAsia" w:ascii="宋体" w:hAnsi="宋体" w:cs="宋体"/>
        </w:rPr>
        <w:t>应制定相应的连接检验程序，对于螺栓等形式的连接应采用规定的方法进行验证。</w:t>
      </w:r>
    </w:p>
    <w:p w14:paraId="4DA03463">
      <w:pPr>
        <w:pStyle w:val="259"/>
        <w:outlineLvl w:val="0"/>
        <w:rPr>
          <w:rFonts w:ascii="Times New Roman"/>
        </w:rPr>
      </w:pPr>
      <w:r>
        <w:rPr>
          <w:rFonts w:hint="eastAsia" w:ascii="Times New Roman"/>
        </w:rPr>
        <w:t>防腐</w:t>
      </w:r>
      <w:bookmarkEnd w:id="47"/>
      <w:bookmarkEnd w:id="48"/>
    </w:p>
    <w:p w14:paraId="0150A6A8">
      <w:pPr>
        <w:pStyle w:val="260"/>
        <w:outlineLvl w:val="1"/>
        <w:rPr>
          <w:rFonts w:ascii="Times New Roman"/>
        </w:rPr>
      </w:pPr>
      <w:bookmarkStart w:id="64" w:name="_Toc584"/>
      <w:bookmarkStart w:id="65" w:name="_Toc2832"/>
      <w:r>
        <w:rPr>
          <w:rFonts w:hint="eastAsia" w:ascii="Times New Roman"/>
        </w:rPr>
        <w:t>一般规定</w:t>
      </w:r>
      <w:bookmarkEnd w:id="64"/>
      <w:bookmarkEnd w:id="65"/>
    </w:p>
    <w:p w14:paraId="7F56A2BD">
      <w:pPr>
        <w:pStyle w:val="326"/>
      </w:pPr>
      <w:r>
        <w:rPr>
          <w:rFonts w:hint="eastAsia"/>
        </w:rPr>
        <w:t>平台防腐蚀设计范围应包括所规定的构件、设施和部位，如导管架、桩、隔水套管以及平台上部设施、立管等。</w:t>
      </w:r>
    </w:p>
    <w:p w14:paraId="31B05F8C">
      <w:pPr>
        <w:pStyle w:val="326"/>
      </w:pPr>
      <w:r>
        <w:rPr>
          <w:rFonts w:hint="eastAsia"/>
        </w:rPr>
        <w:t>防腐蚀设计年限应与被保护单元的设计年限相适应。</w:t>
      </w:r>
    </w:p>
    <w:p w14:paraId="17DDE842">
      <w:pPr>
        <w:pStyle w:val="326"/>
      </w:pPr>
      <w:r>
        <w:rPr>
          <w:rFonts w:hint="eastAsia"/>
        </w:rPr>
        <w:t>平台钢结构应根据不同海洋环境区域的特点</w:t>
      </w:r>
      <w:r>
        <w:rPr>
          <w:rFonts w:hint="eastAsia"/>
          <w:lang w:eastAsia="zh-CN"/>
        </w:rPr>
        <w:t>，</w:t>
      </w:r>
      <w:r>
        <w:rPr>
          <w:rFonts w:hint="eastAsia"/>
        </w:rPr>
        <w:t xml:space="preserve"> 对钢结构采取相应的防腐蚀措施。</w:t>
      </w:r>
    </w:p>
    <w:p w14:paraId="59CC82AA">
      <w:pPr>
        <w:pStyle w:val="326"/>
      </w:pPr>
      <w:r>
        <w:t>对于不同金属相连接结构，应评估电偶腐蚀发生的可能性，并采取相应的防止异种金属腐蚀的措施。</w:t>
      </w:r>
    </w:p>
    <w:p w14:paraId="554098B6">
      <w:pPr>
        <w:pStyle w:val="260"/>
        <w:outlineLvl w:val="1"/>
      </w:pPr>
      <w:bookmarkStart w:id="66" w:name="_Toc1554"/>
      <w:bookmarkStart w:id="67" w:name="_Toc18134"/>
      <w:r>
        <w:rPr>
          <w:rFonts w:hint="eastAsia"/>
        </w:rPr>
        <w:t>涂层</w:t>
      </w:r>
      <w:bookmarkEnd w:id="66"/>
      <w:bookmarkEnd w:id="67"/>
    </w:p>
    <w:p w14:paraId="772054FB">
      <w:pPr>
        <w:pStyle w:val="326"/>
      </w:pPr>
      <w:r>
        <w:rPr>
          <w:rFonts w:hint="eastAsia"/>
        </w:rPr>
        <w:t>大气区涂层系统应与被涂装表面基材类型、所处环境、操作条件和平台设计年限相适应。各层涂层及稀释剂应相互配套。</w:t>
      </w:r>
    </w:p>
    <w:p w14:paraId="0D8ED05E">
      <w:pPr>
        <w:pStyle w:val="326"/>
      </w:pPr>
      <w:r>
        <w:rPr>
          <w:rFonts w:hint="eastAsia"/>
        </w:rPr>
        <w:t>飞溅区钢结构应采用高性能防腐涂层，还应设计外腐蚀裕量。</w:t>
      </w:r>
    </w:p>
    <w:p w14:paraId="2690E20D">
      <w:pPr>
        <w:pStyle w:val="326"/>
      </w:pPr>
      <w:r>
        <w:rPr>
          <w:rFonts w:hint="eastAsia"/>
        </w:rPr>
        <w:t>不同结构、管线系统和设备应规定明确的颜色。</w:t>
      </w:r>
    </w:p>
    <w:p w14:paraId="5841CCAC">
      <w:pPr>
        <w:pStyle w:val="326"/>
      </w:pPr>
      <w:r>
        <w:rPr>
          <w:rFonts w:hint="eastAsia"/>
        </w:rPr>
        <w:t>涂装前应对被涂钢结构进行表面处理。表面处理的方法和等级应满足所选涂料的要求。</w:t>
      </w:r>
    </w:p>
    <w:p w14:paraId="02713E7C">
      <w:pPr>
        <w:pStyle w:val="326"/>
      </w:pPr>
      <w:r>
        <w:rPr>
          <w:rFonts w:hint="eastAsia"/>
        </w:rPr>
        <w:t>涂装应按涂装工艺进行涂装施工，并对涂层质量进行检验。</w:t>
      </w:r>
    </w:p>
    <w:p w14:paraId="6A71A12C">
      <w:pPr>
        <w:pStyle w:val="326"/>
      </w:pPr>
      <w:r>
        <w:rPr>
          <w:rFonts w:hint="eastAsia"/>
        </w:rPr>
        <w:t>经检验不合格的涂层应进行修补或重新涂装。修补用的涂料应与原有涂层材料相配套。飞溅区海上现场修补用的涂料</w:t>
      </w:r>
      <w:r>
        <w:rPr>
          <w:rFonts w:hint="eastAsia"/>
          <w:lang w:eastAsia="zh-CN"/>
        </w:rPr>
        <w:t>，</w:t>
      </w:r>
      <w:r>
        <w:rPr>
          <w:rFonts w:hint="eastAsia"/>
        </w:rPr>
        <w:t xml:space="preserve"> 应具有湿固化特性。</w:t>
      </w:r>
    </w:p>
    <w:p w14:paraId="06A6D432">
      <w:pPr>
        <w:pStyle w:val="260"/>
        <w:outlineLvl w:val="1"/>
      </w:pPr>
      <w:bookmarkStart w:id="68" w:name="_Toc28848"/>
      <w:bookmarkStart w:id="69" w:name="_Toc14223"/>
      <w:r>
        <w:rPr>
          <w:rFonts w:hint="eastAsia"/>
        </w:rPr>
        <w:t>阴极保护</w:t>
      </w:r>
      <w:bookmarkEnd w:id="68"/>
      <w:bookmarkEnd w:id="69"/>
    </w:p>
    <w:p w14:paraId="4DB47286">
      <w:pPr>
        <w:pStyle w:val="326"/>
      </w:pPr>
      <w:r>
        <w:rPr>
          <w:rFonts w:hint="eastAsia"/>
        </w:rPr>
        <w:t>阴极保护的范围应包括高潮位以下的被保护结构及与被保护结构电连接且自身无阴极保护的外部结构，包括以上结构的飞溅区潮间带部分</w:t>
      </w:r>
      <w:r>
        <w:t>、</w:t>
      </w:r>
      <w:r>
        <w:rPr>
          <w:rFonts w:hint="eastAsia"/>
        </w:rPr>
        <w:t>全浸区</w:t>
      </w:r>
      <w:r>
        <w:t>部分</w:t>
      </w:r>
      <w:r>
        <w:rPr>
          <w:rFonts w:hint="eastAsia"/>
        </w:rPr>
        <w:t>和海泥区部分。</w:t>
      </w:r>
    </w:p>
    <w:p w14:paraId="1B0DACBD">
      <w:pPr>
        <w:pStyle w:val="326"/>
      </w:pPr>
      <w:r>
        <w:rPr>
          <w:rFonts w:hint="eastAsia"/>
        </w:rPr>
        <w:t>全浸区及海泥区应采用阴极保护，或采取阴极保护与涂层联合的防腐的措施。</w:t>
      </w:r>
    </w:p>
    <w:p w14:paraId="27A5D5A3">
      <w:pPr>
        <w:pStyle w:val="326"/>
      </w:pPr>
      <w:r>
        <w:rPr>
          <w:rFonts w:hint="eastAsia"/>
        </w:rPr>
        <w:t>阴极保护应采用牺牲阳极或外加电流形式，或采用二者联合的形式。</w:t>
      </w:r>
    </w:p>
    <w:p w14:paraId="7F26D448">
      <w:pPr>
        <w:pStyle w:val="326"/>
      </w:pPr>
      <w:r>
        <w:rPr>
          <w:rFonts w:hint="eastAsia"/>
        </w:rPr>
        <w:t>平台阴极保护电位应符合有关规范、标准的要求和平台现场海洋环境的实际情况。</w:t>
      </w:r>
    </w:p>
    <w:p w14:paraId="28986602">
      <w:pPr>
        <w:pStyle w:val="326"/>
      </w:pPr>
      <w:r>
        <w:rPr>
          <w:rFonts w:hint="eastAsia"/>
        </w:rPr>
        <w:t>应根据钢结构所处海洋环境、所用钢材及结构表面状况来确定合理的阴极保护电流密度。</w:t>
      </w:r>
    </w:p>
    <w:p w14:paraId="7B796091">
      <w:pPr>
        <w:pStyle w:val="260"/>
        <w:outlineLvl w:val="1"/>
      </w:pPr>
      <w:bookmarkStart w:id="70" w:name="_Toc4278"/>
      <w:bookmarkStart w:id="71" w:name="_Toc19665"/>
      <w:r>
        <w:rPr>
          <w:rFonts w:hint="eastAsia"/>
        </w:rPr>
        <w:t>内腐蚀防护</w:t>
      </w:r>
      <w:bookmarkEnd w:id="70"/>
      <w:bookmarkEnd w:id="71"/>
    </w:p>
    <w:p w14:paraId="179AC95D">
      <w:pPr>
        <w:pStyle w:val="326"/>
      </w:pPr>
      <w:r>
        <w:rPr>
          <w:rFonts w:hint="eastAsia"/>
        </w:rPr>
        <w:t>与腐蚀性介质接触的设备和管线的内表面</w:t>
      </w:r>
      <w:r>
        <w:t>应采取防腐蚀措施，如</w:t>
      </w:r>
      <w:r>
        <w:rPr>
          <w:rFonts w:hint="eastAsia"/>
        </w:rPr>
        <w:t>采用耐腐蚀材料、</w:t>
      </w:r>
      <w:r>
        <w:t>添加</w:t>
      </w:r>
      <w:r>
        <w:rPr>
          <w:rFonts w:hint="eastAsia"/>
        </w:rPr>
        <w:t>缓蚀剂、</w:t>
      </w:r>
      <w:r>
        <w:t>添加杀菌剂、设计腐蚀裕量</w:t>
      </w:r>
      <w:r>
        <w:rPr>
          <w:rFonts w:hint="eastAsia"/>
        </w:rPr>
        <w:t>、内涂层</w:t>
      </w:r>
      <w:r>
        <w:t>/</w:t>
      </w:r>
      <w:r>
        <w:rPr>
          <w:rFonts w:hint="eastAsia"/>
        </w:rPr>
        <w:t>镀层及阴极保护等。</w:t>
      </w:r>
    </w:p>
    <w:p w14:paraId="013DE5F2">
      <w:pPr>
        <w:pStyle w:val="326"/>
      </w:pPr>
      <w:r>
        <w:rPr>
          <w:rFonts w:hint="eastAsia"/>
        </w:rPr>
        <w:t>CCUS应考虑抗CO</w:t>
      </w:r>
      <w:r>
        <w:rPr>
          <w:rFonts w:hint="eastAsia"/>
          <w:vertAlign w:val="subscript"/>
        </w:rPr>
        <w:t>2</w:t>
      </w:r>
      <w:r>
        <w:rPr>
          <w:rFonts w:hint="eastAsia"/>
        </w:rPr>
        <w:t>腐蚀材质。</w:t>
      </w:r>
    </w:p>
    <w:p w14:paraId="1AB59EF0">
      <w:pPr>
        <w:pStyle w:val="326"/>
      </w:pPr>
      <w:r>
        <w:rPr>
          <w:rFonts w:hint="eastAsia"/>
        </w:rPr>
        <w:t>所有可能接触含硫化氢流体的管线设备的材料选择应按照GB/T20972的要求执行。</w:t>
      </w:r>
    </w:p>
    <w:p w14:paraId="6E12DF8E">
      <w:pPr>
        <w:pStyle w:val="326"/>
      </w:pPr>
      <w:r>
        <w:t>应在投产前</w:t>
      </w:r>
      <w:r>
        <w:rPr>
          <w:rFonts w:hint="eastAsia"/>
        </w:rPr>
        <w:t>开展缓蚀剂评估，</w:t>
      </w:r>
      <w:r>
        <w:t>并在生产过程中定期评估</w:t>
      </w:r>
      <w:r>
        <w:rPr>
          <w:rFonts w:hint="eastAsia"/>
        </w:rPr>
        <w:t>缓蚀剂</w:t>
      </w:r>
      <w:r>
        <w:t>有效性及与其他药剂的配伍性</w:t>
      </w:r>
      <w:r>
        <w:rPr>
          <w:rFonts w:hint="eastAsia"/>
        </w:rPr>
        <w:t>。</w:t>
      </w:r>
    </w:p>
    <w:p w14:paraId="6DDDEB8B">
      <w:pPr>
        <w:pStyle w:val="326"/>
      </w:pPr>
      <w:r>
        <w:rPr>
          <w:rFonts w:hint="eastAsia"/>
        </w:rPr>
        <w:t>投产后进入立管的海水应进行除氧，应注入缓蚀剂及杀菌剂，并评估所采用药剂有效性。</w:t>
      </w:r>
    </w:p>
    <w:p w14:paraId="2E1C98BD">
      <w:pPr>
        <w:pStyle w:val="260"/>
        <w:outlineLvl w:val="1"/>
      </w:pPr>
      <w:bookmarkStart w:id="72" w:name="_Toc4056"/>
      <w:bookmarkStart w:id="73" w:name="_Toc32194"/>
      <w:bookmarkStart w:id="74" w:name="_Toc6094"/>
      <w:r>
        <w:rPr>
          <w:rFonts w:hint="eastAsia"/>
        </w:rPr>
        <w:t>腐蚀监测与检测</w:t>
      </w:r>
      <w:bookmarkEnd w:id="72"/>
      <w:bookmarkEnd w:id="73"/>
    </w:p>
    <w:p w14:paraId="3DB03C98">
      <w:pPr>
        <w:pStyle w:val="326"/>
      </w:pPr>
      <w:r>
        <w:rPr>
          <w:rFonts w:hint="eastAsia"/>
        </w:rPr>
        <w:t>平台上部设施选用碳钢时，应在典型位置设置内腐蚀监测或检测装置。</w:t>
      </w:r>
    </w:p>
    <w:p w14:paraId="636FA6EC">
      <w:pPr>
        <w:pStyle w:val="326"/>
      </w:pPr>
      <w:r>
        <w:rPr>
          <w:rFonts w:hint="eastAsia"/>
        </w:rPr>
        <w:t>采用外加电流阴极保护的水下结构应设置阴极保护监测系统。</w:t>
      </w:r>
    </w:p>
    <w:p w14:paraId="056D26E5">
      <w:pPr>
        <w:pStyle w:val="326"/>
      </w:pPr>
      <w:r>
        <w:rPr>
          <w:rFonts w:hint="eastAsia"/>
        </w:rPr>
        <w:t>水下结构阴极保护系统投入运行后，应适时检测水下结构电位，以确认水下结构的保护状态。</w:t>
      </w:r>
    </w:p>
    <w:p w14:paraId="0B110834">
      <w:pPr>
        <w:pStyle w:val="326"/>
      </w:pPr>
      <w:r>
        <w:rPr>
          <w:rFonts w:hint="eastAsia"/>
        </w:rPr>
        <w:t>平台设计年限内应至少每五年进行一次水下结构电位检测或监测，超过平台设计年限时应每年进行一次水下结构电位检测或监测。</w:t>
      </w:r>
    </w:p>
    <w:bookmarkEnd w:id="74"/>
    <w:p w14:paraId="43063BC8">
      <w:pPr>
        <w:pStyle w:val="259"/>
        <w:outlineLvl w:val="0"/>
      </w:pPr>
      <w:bookmarkStart w:id="75" w:name="_Toc14432"/>
      <w:bookmarkStart w:id="76" w:name="_Toc21246"/>
      <w:bookmarkStart w:id="77" w:name="_Toc30474"/>
      <w:bookmarkStart w:id="78" w:name="_Toc24714"/>
      <w:r>
        <w:rPr>
          <w:rFonts w:hint="eastAsia"/>
        </w:rPr>
        <w:t>钻修井系统</w:t>
      </w:r>
      <w:bookmarkEnd w:id="75"/>
      <w:bookmarkEnd w:id="76"/>
      <w:bookmarkEnd w:id="77"/>
    </w:p>
    <w:p w14:paraId="0DD9E320">
      <w:pPr>
        <w:pStyle w:val="260"/>
        <w:outlineLvl w:val="1"/>
      </w:pPr>
      <w:bookmarkStart w:id="79" w:name="_Toc16001"/>
      <w:bookmarkStart w:id="80" w:name="_Toc15339"/>
      <w:bookmarkStart w:id="81" w:name="_Toc1763"/>
      <w:r>
        <w:rPr>
          <w:rFonts w:hint="eastAsia"/>
        </w:rPr>
        <w:t>一般规定</w:t>
      </w:r>
      <w:bookmarkEnd w:id="79"/>
      <w:bookmarkEnd w:id="80"/>
      <w:bookmarkEnd w:id="81"/>
    </w:p>
    <w:p w14:paraId="316D6EA1">
      <w:pPr>
        <w:pStyle w:val="326"/>
      </w:pPr>
      <w:r>
        <w:rPr>
          <w:rFonts w:hint="eastAsia"/>
        </w:rPr>
        <w:t>钻修井系统是指安装于海洋石油固定平台上的模块钻机或修井机。</w:t>
      </w:r>
    </w:p>
    <w:p w14:paraId="19DFA331">
      <w:pPr>
        <w:pStyle w:val="326"/>
      </w:pPr>
      <w:r>
        <w:rPr>
          <w:rFonts w:hint="eastAsia"/>
        </w:rPr>
        <w:t>所用设备须具有出厂合格证、试验证明，或发证检验机构核发的证书。平台作业者应根据所用规范、标准和设备的重要性确定需要取得发证检验机构证书的设备。</w:t>
      </w:r>
    </w:p>
    <w:p w14:paraId="5386858F">
      <w:pPr>
        <w:pStyle w:val="326"/>
      </w:pPr>
      <w:r>
        <w:rPr>
          <w:rFonts w:hint="eastAsia"/>
        </w:rPr>
        <w:t>应划分危险区，并设置逃生路线，且至少有两个逃生出口。</w:t>
      </w:r>
    </w:p>
    <w:p w14:paraId="56738C19">
      <w:pPr>
        <w:pStyle w:val="326"/>
      </w:pPr>
      <w:r>
        <w:rPr>
          <w:rFonts w:hint="eastAsia"/>
        </w:rPr>
        <w:t>所有的电气设备须具有符合要求的出厂合格证；安装于危险区的电气设备必须具有由有资格的单位颁发的、符合危险区要求的防爆等级证书。</w:t>
      </w:r>
    </w:p>
    <w:p w14:paraId="7FD89CA6">
      <w:pPr>
        <w:pStyle w:val="326"/>
      </w:pPr>
      <w:r>
        <w:rPr>
          <w:rFonts w:hint="eastAsia"/>
        </w:rPr>
        <w:t>所有外露旋转类设备及零部件，例如连接盘、万向轴、离合器、联轴器、皮带轮、刹车盘(毂)等，应设置防护罩等防护设施。</w:t>
      </w:r>
    </w:p>
    <w:p w14:paraId="4BF74100">
      <w:pPr>
        <w:pStyle w:val="326"/>
      </w:pPr>
      <w:r>
        <w:rPr>
          <w:rFonts w:hint="eastAsia"/>
        </w:rPr>
        <w:t>高压软管活接头两端应有安全链或安全绳。</w:t>
      </w:r>
    </w:p>
    <w:p w14:paraId="6B9FEF74">
      <w:pPr>
        <w:pStyle w:val="260"/>
        <w:outlineLvl w:val="1"/>
      </w:pPr>
      <w:bookmarkStart w:id="82" w:name="_Toc15410"/>
      <w:bookmarkStart w:id="83" w:name="_Toc11537"/>
      <w:bookmarkStart w:id="84" w:name="_Toc12658"/>
      <w:r>
        <w:rPr>
          <w:rFonts w:hint="eastAsia"/>
        </w:rPr>
        <w:t>提升设备与钻台面</w:t>
      </w:r>
      <w:bookmarkEnd w:id="82"/>
      <w:bookmarkEnd w:id="83"/>
      <w:bookmarkEnd w:id="84"/>
    </w:p>
    <w:p w14:paraId="0DB5FD8F">
      <w:pPr>
        <w:pStyle w:val="326"/>
      </w:pPr>
      <w:r>
        <w:rPr>
          <w:rFonts w:hint="eastAsia"/>
        </w:rPr>
        <w:t>绞车应至少有两套刹车系统。</w:t>
      </w:r>
    </w:p>
    <w:p w14:paraId="3CBE883F">
      <w:pPr>
        <w:pStyle w:val="326"/>
      </w:pPr>
      <w:r>
        <w:rPr>
          <w:rFonts w:hint="eastAsia"/>
        </w:rPr>
        <w:t>提升系统应至少有两套相互独立的防碰天车系统。</w:t>
      </w:r>
    </w:p>
    <w:p w14:paraId="2382853F">
      <w:pPr>
        <w:pStyle w:val="326"/>
      </w:pPr>
      <w:r>
        <w:rPr>
          <w:rFonts w:hint="eastAsia"/>
        </w:rPr>
        <w:t>提升系统钢丝绳滑轮应设置防跳槽装置。</w:t>
      </w:r>
    </w:p>
    <w:p w14:paraId="45E81A8B">
      <w:pPr>
        <w:pStyle w:val="326"/>
      </w:pPr>
      <w:r>
        <w:rPr>
          <w:rFonts w:hint="eastAsia"/>
        </w:rPr>
        <w:t>钻台应设置两条可供逃生的路线.</w:t>
      </w:r>
    </w:p>
    <w:p w14:paraId="58D66E72">
      <w:pPr>
        <w:pStyle w:val="326"/>
      </w:pPr>
      <w:r>
        <w:rPr>
          <w:rFonts w:hint="eastAsia"/>
        </w:rPr>
        <w:t>钻修机猫道斜坡道大门两侧防护立柱之间应配置安全防护门或安全防护链。如采用自动猫道，应根据猫道具体设计型式配置安全防护门或安全防护链，以防止人员坠落。</w:t>
      </w:r>
    </w:p>
    <w:p w14:paraId="6A8E26BB">
      <w:pPr>
        <w:pStyle w:val="260"/>
        <w:outlineLvl w:val="1"/>
      </w:pPr>
      <w:bookmarkStart w:id="85" w:name="_Toc25294"/>
      <w:bookmarkStart w:id="86" w:name="_Toc28287"/>
      <w:bookmarkStart w:id="87" w:name="_Toc19644"/>
      <w:r>
        <w:rPr>
          <w:rFonts w:hint="eastAsia"/>
        </w:rPr>
        <w:t>井控系统</w:t>
      </w:r>
      <w:bookmarkEnd w:id="85"/>
      <w:bookmarkEnd w:id="86"/>
      <w:bookmarkEnd w:id="87"/>
    </w:p>
    <w:p w14:paraId="5F702A2E">
      <w:pPr>
        <w:pStyle w:val="261"/>
        <w:spacing w:before="156" w:after="156"/>
        <w:outlineLvl w:val="2"/>
      </w:pPr>
      <w:r>
        <w:rPr>
          <w:rFonts w:hint="eastAsia"/>
        </w:rPr>
        <w:t>系统构成</w:t>
      </w:r>
    </w:p>
    <w:p w14:paraId="7CDE8D77">
      <w:pPr>
        <w:ind w:firstLine="420" w:firstLineChars="200"/>
        <w:rPr>
          <w:szCs w:val="27"/>
        </w:rPr>
      </w:pPr>
      <w:r>
        <w:rPr>
          <w:szCs w:val="27"/>
        </w:rPr>
        <w:t>井控</w:t>
      </w:r>
      <w:r>
        <w:rPr>
          <w:rFonts w:hint="eastAsia"/>
          <w:szCs w:val="27"/>
        </w:rPr>
        <w:t>系统应满足设计的压力、温度及井流物的腐蚀性要求，通常由以下全部或部分设备构成：</w:t>
      </w:r>
    </w:p>
    <w:p w14:paraId="5A51DBF2">
      <w:pPr>
        <w:pStyle w:val="305"/>
        <w:numPr>
          <w:ilvl w:val="0"/>
          <w:numId w:val="32"/>
        </w:numPr>
      </w:pPr>
      <w:r>
        <w:rPr>
          <w:rFonts w:hint="eastAsia"/>
        </w:rPr>
        <w:t>防喷器组及其控制系统；</w:t>
      </w:r>
    </w:p>
    <w:p w14:paraId="451E9E73">
      <w:pPr>
        <w:pStyle w:val="305"/>
        <w:numPr>
          <w:ilvl w:val="0"/>
          <w:numId w:val="32"/>
        </w:numPr>
      </w:pPr>
      <w:r>
        <w:rPr>
          <w:rFonts w:hint="eastAsia"/>
        </w:rPr>
        <w:t>分流器及其控制系统；</w:t>
      </w:r>
    </w:p>
    <w:p w14:paraId="172E92B4">
      <w:pPr>
        <w:pStyle w:val="305"/>
        <w:numPr>
          <w:ilvl w:val="0"/>
          <w:numId w:val="32"/>
        </w:numPr>
      </w:pPr>
      <w:r>
        <w:rPr>
          <w:rFonts w:hint="eastAsia"/>
        </w:rPr>
        <w:t>顶驱内防喷器（或方钻杆旋塞）；</w:t>
      </w:r>
    </w:p>
    <w:p w14:paraId="3E6AE2D6">
      <w:pPr>
        <w:pStyle w:val="305"/>
        <w:numPr>
          <w:ilvl w:val="0"/>
          <w:numId w:val="32"/>
        </w:numPr>
      </w:pPr>
      <w:r>
        <w:rPr>
          <w:rFonts w:hint="eastAsia"/>
        </w:rPr>
        <w:t>钻杆安全阀（钻杆内防喷器）；</w:t>
      </w:r>
    </w:p>
    <w:p w14:paraId="4A89A020">
      <w:pPr>
        <w:pStyle w:val="305"/>
        <w:numPr>
          <w:ilvl w:val="0"/>
          <w:numId w:val="32"/>
        </w:numPr>
      </w:pPr>
      <w:r>
        <w:rPr>
          <w:rFonts w:hint="eastAsia"/>
        </w:rPr>
        <w:t>压井和节流管线及管汇；</w:t>
      </w:r>
    </w:p>
    <w:p w14:paraId="4520F981">
      <w:pPr>
        <w:pStyle w:val="305"/>
        <w:numPr>
          <w:ilvl w:val="0"/>
          <w:numId w:val="32"/>
        </w:numPr>
      </w:pPr>
      <w:r>
        <w:rPr>
          <w:rFonts w:hint="eastAsia"/>
        </w:rPr>
        <w:t>液气分离器及放喷管线；</w:t>
      </w:r>
    </w:p>
    <w:p w14:paraId="665A17F3">
      <w:pPr>
        <w:pStyle w:val="305"/>
        <w:numPr>
          <w:ilvl w:val="0"/>
          <w:numId w:val="32"/>
        </w:numPr>
      </w:pPr>
      <w:r>
        <w:rPr>
          <w:rFonts w:hint="eastAsia"/>
        </w:rPr>
        <w:t>除气器；</w:t>
      </w:r>
    </w:p>
    <w:p w14:paraId="20032F6E">
      <w:pPr>
        <w:pStyle w:val="305"/>
        <w:numPr>
          <w:ilvl w:val="0"/>
          <w:numId w:val="32"/>
        </w:numPr>
      </w:pPr>
      <w:r>
        <w:rPr>
          <w:rFonts w:hint="eastAsia"/>
        </w:rPr>
        <w:t>计量罐；</w:t>
      </w:r>
    </w:p>
    <w:p w14:paraId="69DAE221">
      <w:pPr>
        <w:pStyle w:val="305"/>
        <w:numPr>
          <w:ilvl w:val="0"/>
          <w:numId w:val="32"/>
        </w:numPr>
      </w:pPr>
      <w:r>
        <w:rPr>
          <w:rFonts w:hint="eastAsia"/>
        </w:rPr>
        <w:t>相关的阀门及其控制盘。</w:t>
      </w:r>
    </w:p>
    <w:p w14:paraId="64D12A83">
      <w:pPr>
        <w:pStyle w:val="261"/>
        <w:spacing w:before="156" w:after="156"/>
        <w:outlineLvl w:val="2"/>
      </w:pPr>
      <w:r>
        <w:rPr>
          <w:rFonts w:hint="eastAsia"/>
        </w:rPr>
        <w:t>防喷器组</w:t>
      </w:r>
    </w:p>
    <w:p w14:paraId="0E8CE31B">
      <w:pPr>
        <w:pStyle w:val="327"/>
      </w:pPr>
      <w:r>
        <w:rPr>
          <w:rFonts w:hint="eastAsia" w:ascii="Times New Roman"/>
        </w:rPr>
        <w:t>额定</w:t>
      </w:r>
      <w:r>
        <w:rPr>
          <w:rFonts w:ascii="Times New Roman"/>
        </w:rPr>
        <w:t>工作压力不应低于钻井设计要求，用于探井的不低于</w:t>
      </w:r>
      <w:r>
        <w:rPr>
          <w:rFonts w:hint="eastAsia" w:ascii="宋体" w:hAnsi="宋体" w:eastAsia="宋体" w:cs="宋体"/>
        </w:rPr>
        <w:t>70MPa</w:t>
      </w:r>
      <w:r>
        <w:rPr>
          <w:rFonts w:ascii="Times New Roman"/>
        </w:rPr>
        <w:t>。</w:t>
      </w:r>
    </w:p>
    <w:p w14:paraId="32DF4472">
      <w:pPr>
        <w:pStyle w:val="327"/>
      </w:pPr>
      <w:r>
        <w:rPr>
          <w:rFonts w:hint="eastAsia"/>
        </w:rPr>
        <w:t>钻井四通通径及额定工作压力不应小于与其连接的防喷器通径及额定工作压力。</w:t>
      </w:r>
    </w:p>
    <w:p w14:paraId="6ADB6CB8">
      <w:pPr>
        <w:pStyle w:val="261"/>
        <w:spacing w:before="156" w:after="156"/>
        <w:outlineLvl w:val="2"/>
      </w:pPr>
      <w:r>
        <w:rPr>
          <w:rFonts w:hint="eastAsia"/>
        </w:rPr>
        <w:t>防喷器控制系统</w:t>
      </w:r>
    </w:p>
    <w:p w14:paraId="7BF7739C">
      <w:pPr>
        <w:pStyle w:val="327"/>
        <w:rPr>
          <w:rFonts w:hint="eastAsia" w:hAnsi="宋体" w:eastAsia="宋体"/>
        </w:rPr>
      </w:pPr>
      <w:r>
        <w:rPr>
          <w:rFonts w:hint="eastAsia" w:hAnsi="宋体" w:eastAsia="宋体"/>
        </w:rPr>
        <w:t>应配置主控盘、司钻控制盘和辅助遥控盘。</w:t>
      </w:r>
    </w:p>
    <w:p w14:paraId="186B1D62">
      <w:pPr>
        <w:pStyle w:val="327"/>
        <w:rPr>
          <w:rFonts w:ascii="Times New Roman" w:eastAsia="宋体"/>
        </w:rPr>
      </w:pPr>
      <w:r>
        <w:rPr>
          <w:rFonts w:hint="eastAsia" w:ascii="Times New Roman"/>
        </w:rPr>
        <w:t>主控盘至防喷器组的液压控制软管应采用耐火铠装软管，并标识功能。</w:t>
      </w:r>
    </w:p>
    <w:p w14:paraId="7FC31613">
      <w:pPr>
        <w:pStyle w:val="261"/>
        <w:spacing w:before="156" w:after="156"/>
        <w:outlineLvl w:val="2"/>
      </w:pPr>
      <w:r>
        <w:rPr>
          <w:rFonts w:hint="eastAsia"/>
        </w:rPr>
        <w:t>钻井系统分流系统</w:t>
      </w:r>
    </w:p>
    <w:p w14:paraId="26C83644">
      <w:pPr>
        <w:pStyle w:val="327"/>
        <w:rPr>
          <w:rFonts w:hint="eastAsia" w:ascii="宋体" w:hAnsi="宋体" w:eastAsia="宋体" w:cs="宋体"/>
        </w:rPr>
      </w:pPr>
      <w:r>
        <w:rPr>
          <w:rFonts w:hAnsi="宋体" w:eastAsia="宋体"/>
        </w:rPr>
        <w:t>分流器额定工作压力不应低</w:t>
      </w:r>
      <w:r>
        <w:rPr>
          <w:rFonts w:ascii="Times New Roman" w:eastAsia="宋体"/>
        </w:rPr>
        <w:t>于</w:t>
      </w:r>
      <w:r>
        <w:rPr>
          <w:rFonts w:hint="eastAsia" w:ascii="宋体" w:hAnsi="宋体" w:eastAsia="宋体" w:cs="宋体"/>
        </w:rPr>
        <w:t>3.45</w:t>
      </w:r>
      <w:r>
        <w:rPr>
          <w:rFonts w:hint="eastAsia" w:ascii="宋体" w:hAnsi="宋体" w:eastAsia="宋体" w:cs="宋体"/>
          <w:sz w:val="10"/>
          <w:szCs w:val="10"/>
        </w:rPr>
        <w:t xml:space="preserve"> </w:t>
      </w:r>
      <w:r>
        <w:rPr>
          <w:rFonts w:hint="eastAsia" w:ascii="宋体" w:hAnsi="宋体" w:eastAsia="宋体" w:cs="宋体"/>
        </w:rPr>
        <w:t>MPa（500</w:t>
      </w:r>
      <w:r>
        <w:rPr>
          <w:rFonts w:hint="eastAsia" w:ascii="宋体" w:hAnsi="宋体" w:eastAsia="宋体" w:cs="宋体"/>
          <w:sz w:val="10"/>
          <w:szCs w:val="10"/>
        </w:rPr>
        <w:t xml:space="preserve"> </w:t>
      </w:r>
      <w:r>
        <w:rPr>
          <w:rFonts w:hint="eastAsia" w:ascii="宋体" w:hAnsi="宋体" w:eastAsia="宋体" w:cs="宋体"/>
        </w:rPr>
        <w:t>psi）。</w:t>
      </w:r>
    </w:p>
    <w:p w14:paraId="1BEE209F">
      <w:pPr>
        <w:pStyle w:val="327"/>
        <w:rPr>
          <w:rFonts w:hint="eastAsia" w:ascii="宋体" w:hAnsi="宋体" w:eastAsia="宋体" w:cs="宋体"/>
          <w:sz w:val="18"/>
        </w:rPr>
      </w:pPr>
      <w:r>
        <w:rPr>
          <w:rFonts w:hint="eastAsia" w:ascii="宋体" w:hAnsi="宋体" w:eastAsia="宋体" w:cs="宋体"/>
        </w:rPr>
        <w:t>分流器的导流出口及管线公称直径不应小于254</w:t>
      </w:r>
      <w:r>
        <w:rPr>
          <w:rFonts w:hint="eastAsia" w:ascii="宋体" w:hAnsi="宋体" w:eastAsia="宋体" w:cs="宋体"/>
          <w:sz w:val="10"/>
          <w:szCs w:val="10"/>
        </w:rPr>
        <w:t xml:space="preserve"> </w:t>
      </w:r>
      <w:r>
        <w:rPr>
          <w:rFonts w:hint="eastAsia" w:ascii="宋体" w:hAnsi="宋体" w:eastAsia="宋体" w:cs="宋体"/>
        </w:rPr>
        <w:t>mm（10</w:t>
      </w:r>
      <w:r>
        <w:rPr>
          <w:rFonts w:hint="eastAsia" w:ascii="宋体" w:hAnsi="宋体" w:eastAsia="宋体" w:cs="宋体"/>
          <w:sz w:val="10"/>
          <w:szCs w:val="10"/>
        </w:rPr>
        <w:t xml:space="preserve"> </w:t>
      </w:r>
      <w:r>
        <w:rPr>
          <w:rFonts w:hint="eastAsia" w:ascii="宋体" w:hAnsi="宋体" w:eastAsia="宋体" w:cs="宋体"/>
        </w:rPr>
        <w:t>in）。</w:t>
      </w:r>
    </w:p>
    <w:p w14:paraId="051D3A54">
      <w:pPr>
        <w:pStyle w:val="327"/>
        <w:rPr>
          <w:rFonts w:hint="eastAsia" w:ascii="宋体" w:hAnsi="宋体" w:eastAsia="宋体" w:cs="宋体"/>
        </w:rPr>
      </w:pPr>
      <w:r>
        <w:rPr>
          <w:rFonts w:hint="eastAsia" w:ascii="宋体" w:hAnsi="宋体" w:eastAsia="宋体" w:cs="宋体"/>
        </w:rPr>
        <w:t>导流管线上的阀门应具有本地阀位显示装置。</w:t>
      </w:r>
    </w:p>
    <w:p w14:paraId="31F4E537">
      <w:pPr>
        <w:pStyle w:val="327"/>
        <w:rPr>
          <w:rFonts w:ascii="Times New Roman"/>
        </w:rPr>
      </w:pPr>
      <w:r>
        <w:rPr>
          <w:rFonts w:hint="eastAsia" w:ascii="宋体" w:hAnsi="宋体" w:eastAsia="宋体" w:cs="宋体"/>
        </w:rPr>
        <w:t>分流器应能通过下一井段所用钻头并能至少封闭127</w:t>
      </w:r>
      <w:r>
        <w:rPr>
          <w:rFonts w:hint="eastAsia" w:ascii="宋体" w:hAnsi="宋体" w:eastAsia="宋体" w:cs="宋体"/>
          <w:sz w:val="10"/>
          <w:szCs w:val="10"/>
        </w:rPr>
        <w:t xml:space="preserve"> </w:t>
      </w:r>
      <w:r>
        <w:rPr>
          <w:rFonts w:hint="eastAsia" w:ascii="宋体" w:hAnsi="宋体" w:eastAsia="宋体" w:cs="宋体"/>
        </w:rPr>
        <w:t>mm（5</w:t>
      </w:r>
      <w:r>
        <w:rPr>
          <w:rFonts w:hint="eastAsia" w:ascii="宋体" w:hAnsi="宋体" w:eastAsia="宋体" w:cs="宋体"/>
          <w:sz w:val="10"/>
          <w:szCs w:val="10"/>
        </w:rPr>
        <w:t xml:space="preserve"> </w:t>
      </w:r>
      <w:r>
        <w:rPr>
          <w:rFonts w:hint="eastAsia" w:ascii="宋体" w:hAnsi="宋体" w:eastAsia="宋体" w:cs="宋体"/>
        </w:rPr>
        <w:t>in）及</w:t>
      </w:r>
      <w:r>
        <w:rPr>
          <w:rFonts w:hint="eastAsia" w:ascii="Times New Roman"/>
        </w:rPr>
        <w:t>以上外径的钻具或套管的环空。</w:t>
      </w:r>
    </w:p>
    <w:p w14:paraId="048A2E2E">
      <w:pPr>
        <w:pStyle w:val="261"/>
        <w:spacing w:before="156" w:after="156"/>
        <w:outlineLvl w:val="2"/>
      </w:pPr>
      <w:r>
        <w:rPr>
          <w:rFonts w:hint="eastAsia"/>
        </w:rPr>
        <w:t>钻井系统分流器控制系统</w:t>
      </w:r>
    </w:p>
    <w:p w14:paraId="1CC54D55">
      <w:pPr>
        <w:pStyle w:val="327"/>
        <w:rPr>
          <w:rFonts w:hint="eastAsia" w:hAnsi="宋体" w:eastAsia="宋体"/>
        </w:rPr>
      </w:pPr>
      <w:r>
        <w:rPr>
          <w:rFonts w:hint="eastAsia" w:hAnsi="宋体" w:eastAsia="宋体"/>
        </w:rPr>
        <w:t>转盘</w:t>
      </w:r>
      <w:r>
        <w:rPr>
          <w:rFonts w:hAnsi="宋体" w:eastAsia="宋体"/>
        </w:rPr>
        <w:t>分流器应配置专用控制系统</w:t>
      </w:r>
      <w:r>
        <w:rPr>
          <w:rFonts w:hint="eastAsia" w:hAnsi="宋体" w:eastAsia="宋体"/>
        </w:rPr>
        <w:t>；环形防喷器式</w:t>
      </w:r>
      <w:r>
        <w:rPr>
          <w:rFonts w:hAnsi="宋体" w:eastAsia="宋体"/>
        </w:rPr>
        <w:t>分流器可选用防喷器控制系统作为其控制系统，应在防喷器控制盘上安装临时性标牌或图示。</w:t>
      </w:r>
    </w:p>
    <w:p w14:paraId="4635736B">
      <w:pPr>
        <w:pStyle w:val="327"/>
        <w:rPr>
          <w:rFonts w:hint="eastAsia" w:hAnsi="宋体" w:eastAsia="宋体"/>
        </w:rPr>
      </w:pPr>
      <w:r>
        <w:rPr>
          <w:rFonts w:hint="eastAsia" w:ascii="Times New Roman"/>
        </w:rPr>
        <w:t>应</w:t>
      </w:r>
      <w:r>
        <w:rPr>
          <w:rFonts w:ascii="Times New Roman"/>
        </w:rPr>
        <w:t>配置主控盘、司钻控制盘。</w:t>
      </w:r>
      <w:r>
        <w:rPr>
          <w:rFonts w:hint="eastAsia" w:ascii="Times New Roman"/>
        </w:rPr>
        <w:t>控制盘</w:t>
      </w:r>
      <w:r>
        <w:rPr>
          <w:rFonts w:ascii="Times New Roman"/>
        </w:rPr>
        <w:t>应安装在人员容易进入的安全区域，并固定牢靠。</w:t>
      </w:r>
    </w:p>
    <w:p w14:paraId="4A87625C">
      <w:pPr>
        <w:pStyle w:val="327"/>
        <w:rPr>
          <w:rFonts w:hint="eastAsia" w:hAnsi="宋体" w:eastAsia="宋体"/>
        </w:rPr>
      </w:pPr>
      <w:r>
        <w:rPr>
          <w:rFonts w:ascii="Times New Roman"/>
        </w:rPr>
        <w:t>主控盘至分流器的控制管线应采用硬管或耐火软管，并施以功能标识。</w:t>
      </w:r>
    </w:p>
    <w:p w14:paraId="1A008662">
      <w:pPr>
        <w:pStyle w:val="261"/>
        <w:spacing w:before="156" w:after="156"/>
        <w:outlineLvl w:val="2"/>
      </w:pPr>
      <w:r>
        <w:rPr>
          <w:rFonts w:hint="eastAsia"/>
        </w:rPr>
        <w:t>节流管汇</w:t>
      </w:r>
    </w:p>
    <w:p w14:paraId="54913743">
      <w:pPr>
        <w:pStyle w:val="327"/>
        <w:rPr>
          <w:rFonts w:ascii="Times New Roman" w:eastAsia="宋体"/>
        </w:rPr>
      </w:pPr>
      <w:r>
        <w:rPr>
          <w:rFonts w:ascii="Times New Roman" w:eastAsia="宋体"/>
        </w:rPr>
        <w:t>节流管汇</w:t>
      </w:r>
      <w:r>
        <w:rPr>
          <w:rFonts w:hint="eastAsia" w:ascii="Times New Roman" w:eastAsia="宋体"/>
        </w:rPr>
        <w:t>不应</w:t>
      </w:r>
      <w:r>
        <w:rPr>
          <w:rFonts w:ascii="Times New Roman" w:eastAsia="宋体"/>
        </w:rPr>
        <w:t>少于两条可通过节流阀控制井筒压力实现连续节流放喷作业的通路。</w:t>
      </w:r>
    </w:p>
    <w:p w14:paraId="60E52940">
      <w:pPr>
        <w:pStyle w:val="327"/>
        <w:rPr>
          <w:rFonts w:ascii="Times New Roman" w:eastAsia="宋体"/>
        </w:rPr>
      </w:pPr>
      <w:r>
        <w:rPr>
          <w:rFonts w:ascii="Times New Roman" w:eastAsia="宋体"/>
        </w:rPr>
        <w:t>节流管汇额定工作压力不应小于在用闸板防喷器的额定工作压力，其通径不应小于</w:t>
      </w:r>
      <w:r>
        <w:rPr>
          <w:rFonts w:ascii="宋体" w:hAnsi="宋体" w:cs="宋体"/>
        </w:rPr>
        <w:t>76.2</w:t>
      </w:r>
      <w:r>
        <w:rPr>
          <w:rFonts w:hint="eastAsia" w:ascii="宋体" w:hAnsi="宋体" w:eastAsia="宋体" w:cs="宋体"/>
          <w:sz w:val="10"/>
          <w:szCs w:val="10"/>
        </w:rPr>
        <w:t xml:space="preserve"> </w:t>
      </w:r>
      <w:r>
        <w:rPr>
          <w:rFonts w:ascii="宋体" w:hAnsi="宋体" w:cs="宋体"/>
        </w:rPr>
        <w:t>mm（3</w:t>
      </w:r>
      <w:r>
        <w:rPr>
          <w:rFonts w:hint="eastAsia" w:ascii="宋体" w:hAnsi="宋体" w:eastAsia="宋体" w:cs="宋体"/>
          <w:sz w:val="10"/>
          <w:szCs w:val="10"/>
        </w:rPr>
        <w:t xml:space="preserve"> </w:t>
      </w:r>
      <w:r>
        <w:rPr>
          <w:rFonts w:ascii="宋体" w:hAnsi="宋体" w:cs="宋体"/>
        </w:rPr>
        <w:t>in）</w:t>
      </w:r>
      <w:r>
        <w:rPr>
          <w:rFonts w:ascii="Times New Roman" w:eastAsia="宋体"/>
        </w:rPr>
        <w:t>。</w:t>
      </w:r>
    </w:p>
    <w:p w14:paraId="6C0084B3">
      <w:pPr>
        <w:pStyle w:val="327"/>
        <w:rPr>
          <w:rFonts w:ascii="Times New Roman" w:eastAsia="宋体"/>
        </w:rPr>
      </w:pPr>
      <w:r>
        <w:rPr>
          <w:rFonts w:ascii="Times New Roman" w:eastAsia="宋体"/>
        </w:rPr>
        <w:t>节流管汇下游端管线通径不应小于节流阀进口、出口通径尺寸。</w:t>
      </w:r>
    </w:p>
    <w:p w14:paraId="09AA6151">
      <w:pPr>
        <w:pStyle w:val="327"/>
        <w:rPr>
          <w:rFonts w:ascii="Times New Roman" w:eastAsia="宋体"/>
        </w:rPr>
      </w:pPr>
      <w:r>
        <w:rPr>
          <w:rFonts w:ascii="Times New Roman"/>
        </w:rPr>
        <w:t>除节流阀外，节流管汇上的其他阀门应采用全通径的闸板阀。</w:t>
      </w:r>
    </w:p>
    <w:p w14:paraId="0A91981F">
      <w:pPr>
        <w:pStyle w:val="261"/>
        <w:spacing w:before="156" w:after="156"/>
        <w:outlineLvl w:val="2"/>
      </w:pPr>
      <w:r>
        <w:rPr>
          <w:rFonts w:hint="eastAsia"/>
        </w:rPr>
        <w:t>压井管汇</w:t>
      </w:r>
    </w:p>
    <w:p w14:paraId="7FACDBD3">
      <w:pPr>
        <w:pStyle w:val="327"/>
        <w:rPr>
          <w:rFonts w:ascii="Times New Roman" w:eastAsia="宋体"/>
        </w:rPr>
      </w:pPr>
      <w:r>
        <w:rPr>
          <w:rFonts w:ascii="Times New Roman"/>
        </w:rPr>
        <w:t>额定工作压力不应小于在用闸板防喷器的额定工作压力</w:t>
      </w:r>
      <w:r>
        <w:rPr>
          <w:rFonts w:hint="eastAsia" w:ascii="Times New Roman"/>
        </w:rPr>
        <w:t>，</w:t>
      </w:r>
      <w:r>
        <w:rPr>
          <w:rFonts w:ascii="Times New Roman"/>
        </w:rPr>
        <w:t>其通径不应小于</w:t>
      </w:r>
      <w:r>
        <w:rPr>
          <w:rFonts w:ascii="宋体" w:hAnsi="宋体" w:cs="宋体"/>
        </w:rPr>
        <w:t>50.8</w:t>
      </w:r>
      <w:r>
        <w:rPr>
          <w:rFonts w:hint="eastAsia" w:ascii="宋体" w:hAnsi="宋体" w:eastAsia="宋体" w:cs="宋体"/>
          <w:sz w:val="10"/>
          <w:szCs w:val="10"/>
        </w:rPr>
        <w:t xml:space="preserve"> </w:t>
      </w:r>
      <w:r>
        <w:rPr>
          <w:rFonts w:ascii="宋体" w:hAnsi="宋体" w:cs="宋体"/>
        </w:rPr>
        <w:t>mm（2</w:t>
      </w:r>
      <w:r>
        <w:rPr>
          <w:rFonts w:hint="eastAsia" w:ascii="宋体" w:hAnsi="宋体" w:eastAsia="宋体" w:cs="宋体"/>
          <w:sz w:val="10"/>
          <w:szCs w:val="10"/>
        </w:rPr>
        <w:t xml:space="preserve"> </w:t>
      </w:r>
      <w:r>
        <w:rPr>
          <w:rFonts w:ascii="宋体" w:hAnsi="宋体" w:cs="宋体"/>
        </w:rPr>
        <w:t>in）。</w:t>
      </w:r>
    </w:p>
    <w:p w14:paraId="2D2AE307">
      <w:pPr>
        <w:pStyle w:val="327"/>
        <w:rPr>
          <w:rFonts w:ascii="Times New Roman" w:eastAsia="宋体"/>
        </w:rPr>
      </w:pPr>
      <w:r>
        <w:rPr>
          <w:rFonts w:hint="eastAsia" w:ascii="Times New Roman"/>
        </w:rPr>
        <w:t>除单流阀外，</w:t>
      </w:r>
      <w:r>
        <w:rPr>
          <w:rFonts w:ascii="Times New Roman"/>
        </w:rPr>
        <w:t>管汇上的阀门应配置全通径闸板阀。</w:t>
      </w:r>
    </w:p>
    <w:p w14:paraId="7363E560">
      <w:pPr>
        <w:pStyle w:val="261"/>
        <w:spacing w:before="156" w:after="156"/>
        <w:outlineLvl w:val="2"/>
      </w:pPr>
      <w:r>
        <w:rPr>
          <w:rFonts w:hint="eastAsia"/>
        </w:rPr>
        <w:t>节流及压井管线</w:t>
      </w:r>
    </w:p>
    <w:p w14:paraId="28DE1D2E">
      <w:pPr>
        <w:pStyle w:val="327"/>
        <w:rPr>
          <w:rFonts w:ascii="Times New Roman"/>
        </w:rPr>
      </w:pPr>
      <w:r>
        <w:rPr>
          <w:rFonts w:ascii="Times New Roman"/>
        </w:rPr>
        <w:t>节流、压井管线额定工作压力不应小于在用闸板防喷器的额定工作压力</w:t>
      </w:r>
      <w:r>
        <w:rPr>
          <w:rFonts w:hint="eastAsia" w:ascii="Times New Roman"/>
        </w:rPr>
        <w:t>，</w:t>
      </w:r>
      <w:r>
        <w:rPr>
          <w:rFonts w:ascii="Times New Roman"/>
        </w:rPr>
        <w:t>节流管线通径不应小于</w:t>
      </w:r>
      <w:r>
        <w:rPr>
          <w:rFonts w:ascii="宋体" w:hAnsi="宋体" w:cs="宋体"/>
        </w:rPr>
        <w:t>76.2</w:t>
      </w:r>
      <w:r>
        <w:rPr>
          <w:rFonts w:hint="eastAsia" w:ascii="宋体" w:hAnsi="宋体" w:eastAsia="宋体" w:cs="宋体"/>
          <w:sz w:val="10"/>
          <w:szCs w:val="10"/>
        </w:rPr>
        <w:t xml:space="preserve"> </w:t>
      </w:r>
      <w:r>
        <w:rPr>
          <w:rFonts w:ascii="宋体" w:hAnsi="宋体" w:cs="宋体"/>
        </w:rPr>
        <w:t>mm（3</w:t>
      </w:r>
      <w:r>
        <w:rPr>
          <w:rFonts w:hint="eastAsia" w:ascii="宋体" w:hAnsi="宋体" w:eastAsia="宋体" w:cs="宋体"/>
          <w:sz w:val="10"/>
          <w:szCs w:val="10"/>
        </w:rPr>
        <w:t xml:space="preserve"> </w:t>
      </w:r>
      <w:r>
        <w:rPr>
          <w:rFonts w:ascii="宋体" w:hAnsi="宋体" w:cs="宋体"/>
        </w:rPr>
        <w:t>in）</w:t>
      </w:r>
      <w:r>
        <w:rPr>
          <w:rFonts w:ascii="Times New Roman"/>
        </w:rPr>
        <w:t>，压井管线通径不应小于</w:t>
      </w:r>
      <w:r>
        <w:rPr>
          <w:rFonts w:ascii="宋体" w:hAnsi="宋体" w:cs="宋体"/>
        </w:rPr>
        <w:t>50.8</w:t>
      </w:r>
      <w:r>
        <w:rPr>
          <w:rFonts w:hint="eastAsia" w:ascii="宋体" w:hAnsi="宋体" w:eastAsia="宋体" w:cs="宋体"/>
          <w:sz w:val="10"/>
          <w:szCs w:val="10"/>
        </w:rPr>
        <w:t xml:space="preserve"> </w:t>
      </w:r>
      <w:r>
        <w:rPr>
          <w:rFonts w:ascii="宋体" w:hAnsi="宋体" w:cs="宋体"/>
        </w:rPr>
        <w:t>mm（2</w:t>
      </w:r>
      <w:r>
        <w:rPr>
          <w:rFonts w:hint="eastAsia" w:ascii="宋体" w:hAnsi="宋体" w:eastAsia="宋体" w:cs="宋体"/>
          <w:sz w:val="10"/>
          <w:szCs w:val="10"/>
        </w:rPr>
        <w:t xml:space="preserve"> </w:t>
      </w:r>
      <w:r>
        <w:rPr>
          <w:rFonts w:ascii="宋体" w:hAnsi="宋体" w:cs="宋体"/>
        </w:rPr>
        <w:t>in）</w:t>
      </w:r>
      <w:r>
        <w:rPr>
          <w:rFonts w:ascii="Times New Roman"/>
        </w:rPr>
        <w:t>。</w:t>
      </w:r>
    </w:p>
    <w:p w14:paraId="0112E535">
      <w:pPr>
        <w:pStyle w:val="327"/>
        <w:rPr>
          <w:rFonts w:ascii="Times New Roman"/>
        </w:rPr>
      </w:pPr>
      <w:r>
        <w:rPr>
          <w:rFonts w:ascii="Times New Roman"/>
        </w:rPr>
        <w:t>采用由壬连接的</w:t>
      </w:r>
      <w:r>
        <w:rPr>
          <w:rFonts w:hint="eastAsia" w:ascii="Times New Roman"/>
        </w:rPr>
        <w:t>节流</w:t>
      </w:r>
      <w:r>
        <w:rPr>
          <w:rFonts w:ascii="Times New Roman"/>
        </w:rPr>
        <w:t>压井管线应在由壬接头位置设置安全链。</w:t>
      </w:r>
    </w:p>
    <w:p w14:paraId="769697DF">
      <w:pPr>
        <w:pStyle w:val="261"/>
        <w:spacing w:before="156" w:after="156"/>
        <w:outlineLvl w:val="2"/>
      </w:pPr>
      <w:r>
        <w:rPr>
          <w:rFonts w:hint="eastAsia"/>
        </w:rPr>
        <w:t>液气分离器</w:t>
      </w:r>
    </w:p>
    <w:p w14:paraId="5049B8DE">
      <w:pPr>
        <w:pStyle w:val="327"/>
      </w:pPr>
      <w:r>
        <w:rPr>
          <w:rFonts w:hint="eastAsia"/>
        </w:rPr>
        <w:t>罐体内径不应小于762</w:t>
      </w:r>
      <w:r>
        <w:rPr>
          <w:rFonts w:hint="eastAsia" w:ascii="宋体" w:hAnsi="宋体" w:eastAsia="宋体" w:cs="宋体"/>
          <w:sz w:val="10"/>
          <w:szCs w:val="10"/>
        </w:rPr>
        <w:t xml:space="preserve"> </w:t>
      </w:r>
      <w:r>
        <w:rPr>
          <w:rFonts w:hint="eastAsia"/>
        </w:rPr>
        <w:t>mm（30</w:t>
      </w:r>
      <w:r>
        <w:rPr>
          <w:rFonts w:hint="eastAsia" w:ascii="宋体" w:hAnsi="宋体" w:eastAsia="宋体" w:cs="宋体"/>
          <w:sz w:val="10"/>
          <w:szCs w:val="10"/>
        </w:rPr>
        <w:t xml:space="preserve"> </w:t>
      </w:r>
      <w:r>
        <w:rPr>
          <w:rFonts w:hint="eastAsia"/>
        </w:rPr>
        <w:t>in），处理液量不应小于180</w:t>
      </w:r>
      <w:r>
        <w:rPr>
          <w:rFonts w:hint="eastAsia" w:ascii="宋体" w:hAnsi="宋体" w:eastAsia="宋体" w:cs="宋体"/>
          <w:sz w:val="10"/>
          <w:szCs w:val="10"/>
        </w:rPr>
        <w:t xml:space="preserve"> </w:t>
      </w:r>
      <w:r>
        <w:rPr>
          <w:rFonts w:hint="eastAsia"/>
        </w:rPr>
        <w:t>m³/h，额定工作压力不应小于0.86 MPa（125 psi）。</w:t>
      </w:r>
    </w:p>
    <w:p w14:paraId="5D0222E2">
      <w:pPr>
        <w:pStyle w:val="327"/>
      </w:pPr>
      <w:r>
        <w:rPr>
          <w:rFonts w:hint="eastAsia"/>
        </w:rPr>
        <w:t>安装后应进行通液功能试验。</w:t>
      </w:r>
    </w:p>
    <w:p w14:paraId="0848C0B4">
      <w:pPr>
        <w:pStyle w:val="261"/>
        <w:spacing w:before="156" w:after="156"/>
        <w:outlineLvl w:val="2"/>
      </w:pPr>
      <w:r>
        <w:rPr>
          <w:rFonts w:hint="eastAsia"/>
        </w:rPr>
        <w:t>钻井液计量罐</w:t>
      </w:r>
    </w:p>
    <w:p w14:paraId="6AB3D263">
      <w:pPr>
        <w:pStyle w:val="327"/>
      </w:pPr>
      <w:bookmarkStart w:id="88" w:name="_Toc31779"/>
      <w:r>
        <w:rPr>
          <w:rFonts w:hint="eastAsia"/>
        </w:rPr>
        <w:t>罐体容积不应大于15</w:t>
      </w:r>
      <w:r>
        <w:rPr>
          <w:rFonts w:hint="eastAsia" w:ascii="宋体" w:hAnsi="宋体" w:eastAsia="宋体" w:cs="宋体"/>
          <w:sz w:val="10"/>
          <w:szCs w:val="10"/>
        </w:rPr>
        <w:t xml:space="preserve"> </w:t>
      </w:r>
      <w:r>
        <w:rPr>
          <w:rFonts w:hint="eastAsia"/>
        </w:rPr>
        <w:t>m³。</w:t>
      </w:r>
    </w:p>
    <w:p w14:paraId="780F0482">
      <w:pPr>
        <w:pStyle w:val="327"/>
      </w:pPr>
      <w:r>
        <w:rPr>
          <w:rFonts w:hint="eastAsia"/>
        </w:rPr>
        <w:t xml:space="preserve">罐体内应配备至少2套液位测量装置。 </w:t>
      </w:r>
    </w:p>
    <w:p w14:paraId="70D53986">
      <w:pPr>
        <w:pStyle w:val="260"/>
        <w:outlineLvl w:val="1"/>
      </w:pPr>
      <w:bookmarkStart w:id="89" w:name="_Toc4830"/>
      <w:bookmarkStart w:id="90" w:name="_Toc8472"/>
      <w:r>
        <w:rPr>
          <w:rFonts w:hint="eastAsia"/>
        </w:rPr>
        <w:t>动力系统</w:t>
      </w:r>
      <w:bookmarkEnd w:id="88"/>
      <w:bookmarkEnd w:id="89"/>
      <w:bookmarkEnd w:id="90"/>
    </w:p>
    <w:p w14:paraId="12E4637F">
      <w:pPr>
        <w:pStyle w:val="326"/>
      </w:pPr>
      <w:bookmarkStart w:id="91" w:name="_Toc7710"/>
      <w:bookmarkStart w:id="92" w:name="_Toc1051"/>
      <w:r>
        <w:rPr>
          <w:rFonts w:hint="eastAsia"/>
        </w:rPr>
        <w:t xml:space="preserve">每台柴油机排气口应设置火花捕捉装置。 </w:t>
      </w:r>
    </w:p>
    <w:p w14:paraId="65632291">
      <w:pPr>
        <w:pStyle w:val="326"/>
      </w:pPr>
      <w:r>
        <w:rPr>
          <w:rFonts w:hint="eastAsia"/>
        </w:rPr>
        <w:t xml:space="preserve">电传动控制系统应具有系统故障报警指示并具备紧急关停功能。 </w:t>
      </w:r>
    </w:p>
    <w:p w14:paraId="1B2269B7">
      <w:pPr>
        <w:pStyle w:val="260"/>
        <w:outlineLvl w:val="1"/>
      </w:pPr>
      <w:bookmarkStart w:id="93" w:name="_Toc9180"/>
      <w:r>
        <w:rPr>
          <w:rFonts w:hint="eastAsia"/>
        </w:rPr>
        <w:t>有毒有害气体、可燃气体监测及防控</w:t>
      </w:r>
      <w:bookmarkEnd w:id="91"/>
      <w:bookmarkEnd w:id="93"/>
    </w:p>
    <w:p w14:paraId="40260BA9">
      <w:pPr>
        <w:pStyle w:val="326"/>
      </w:pPr>
      <w:r>
        <w:rPr>
          <w:rFonts w:hint="eastAsia"/>
        </w:rPr>
        <w:t>钻井系统中应设置有毒有害气体、可燃气体监测和报警装置。</w:t>
      </w:r>
    </w:p>
    <w:bookmarkEnd w:id="92"/>
    <w:p w14:paraId="7450A239">
      <w:pPr>
        <w:pStyle w:val="326"/>
      </w:pPr>
      <w:bookmarkStart w:id="94" w:name="_Toc12917"/>
      <w:r>
        <w:rPr>
          <w:rFonts w:hint="eastAsia"/>
        </w:rPr>
        <w:t>应保持以下排放口的畅通：</w:t>
      </w:r>
    </w:p>
    <w:p w14:paraId="38C6D7BD">
      <w:pPr>
        <w:pStyle w:val="305"/>
        <w:numPr>
          <w:ilvl w:val="0"/>
          <w:numId w:val="33"/>
        </w:numPr>
      </w:pPr>
      <w:r>
        <w:rPr>
          <w:rFonts w:hint="eastAsia"/>
        </w:rPr>
        <w:t>液气分离器气体排放管线出口；</w:t>
      </w:r>
    </w:p>
    <w:p w14:paraId="1A504D76">
      <w:pPr>
        <w:pStyle w:val="305"/>
        <w:numPr>
          <w:ilvl w:val="0"/>
          <w:numId w:val="33"/>
        </w:numPr>
      </w:pPr>
      <w:r>
        <w:rPr>
          <w:rFonts w:hint="eastAsia"/>
        </w:rPr>
        <w:t>液气分离器排液</w:t>
      </w:r>
      <w:r>
        <w:t>管</w:t>
      </w:r>
      <w:r>
        <w:rPr>
          <w:rFonts w:hint="eastAsia"/>
        </w:rPr>
        <w:t>线</w:t>
      </w:r>
      <w:r>
        <w:t>出口；</w:t>
      </w:r>
    </w:p>
    <w:p w14:paraId="2AC3B46B">
      <w:pPr>
        <w:pStyle w:val="305"/>
        <w:numPr>
          <w:ilvl w:val="0"/>
          <w:numId w:val="33"/>
        </w:numPr>
        <w:rPr>
          <w:rFonts w:ascii="Times New Roman"/>
        </w:rPr>
      </w:pPr>
      <w:r>
        <w:t>真空</w:t>
      </w:r>
      <w:r>
        <w:rPr>
          <w:rFonts w:hint="eastAsia"/>
        </w:rPr>
        <w:t>除气</w:t>
      </w:r>
      <w:r>
        <w:t>器排放出口</w:t>
      </w:r>
      <w:r>
        <w:rPr>
          <w:rFonts w:hint="eastAsia"/>
        </w:rPr>
        <w:t>。</w:t>
      </w:r>
    </w:p>
    <w:p w14:paraId="27260C15">
      <w:pPr>
        <w:pStyle w:val="260"/>
        <w:outlineLvl w:val="1"/>
      </w:pPr>
      <w:bookmarkStart w:id="95" w:name="_Toc3643"/>
      <w:r>
        <w:rPr>
          <w:rFonts w:hint="eastAsia"/>
        </w:rPr>
        <w:t>其它主要系统</w:t>
      </w:r>
      <w:bookmarkEnd w:id="94"/>
      <w:bookmarkEnd w:id="95"/>
    </w:p>
    <w:p w14:paraId="283DB432">
      <w:pPr>
        <w:pStyle w:val="326"/>
      </w:pPr>
      <w:r>
        <w:rPr>
          <w:rFonts w:hint="eastAsia"/>
        </w:rPr>
        <w:t>管道系统应符合本文件11相关要求。</w:t>
      </w:r>
    </w:p>
    <w:p w14:paraId="4654AAE2">
      <w:pPr>
        <w:pStyle w:val="326"/>
      </w:pPr>
      <w:r>
        <w:rPr>
          <w:rFonts w:hint="eastAsia"/>
        </w:rPr>
        <w:t>机械设备应符合本文件12.1相关要求。</w:t>
      </w:r>
    </w:p>
    <w:p w14:paraId="58EA52A0">
      <w:pPr>
        <w:pStyle w:val="326"/>
      </w:pPr>
      <w:r>
        <w:rPr>
          <w:rFonts w:hint="eastAsia"/>
        </w:rPr>
        <w:t>柴油机应符合本文件12.2相关要求。</w:t>
      </w:r>
    </w:p>
    <w:p w14:paraId="11905653">
      <w:pPr>
        <w:pStyle w:val="326"/>
      </w:pPr>
      <w:r>
        <w:rPr>
          <w:rFonts w:hint="eastAsia"/>
        </w:rPr>
        <w:t>泵应符合本文件12.6相关要求。</w:t>
      </w:r>
    </w:p>
    <w:p w14:paraId="6D876769">
      <w:pPr>
        <w:pStyle w:val="326"/>
      </w:pPr>
      <w:r>
        <w:rPr>
          <w:rFonts w:hint="eastAsia"/>
        </w:rPr>
        <w:t>压力容器应符合本文件12.8相关要求。</w:t>
      </w:r>
    </w:p>
    <w:p w14:paraId="0F66428C">
      <w:pPr>
        <w:pStyle w:val="326"/>
      </w:pPr>
      <w:r>
        <w:rPr>
          <w:rFonts w:hint="eastAsia"/>
        </w:rPr>
        <w:t>设备管系应符合本文件12.9相关要求。</w:t>
      </w:r>
    </w:p>
    <w:p w14:paraId="25176F81">
      <w:pPr>
        <w:pStyle w:val="326"/>
      </w:pPr>
      <w:r>
        <w:rPr>
          <w:rFonts w:hint="eastAsia"/>
        </w:rPr>
        <w:t>暖通系统应符合本文件13相关要求。</w:t>
      </w:r>
    </w:p>
    <w:p w14:paraId="56E2F72D">
      <w:pPr>
        <w:pStyle w:val="326"/>
      </w:pPr>
      <w:r>
        <w:rPr>
          <w:rFonts w:hint="eastAsia"/>
        </w:rPr>
        <w:t>电气系统应符合本文件14相关要求。</w:t>
      </w:r>
    </w:p>
    <w:p w14:paraId="07331AEE">
      <w:pPr>
        <w:pStyle w:val="326"/>
      </w:pPr>
      <w:r>
        <w:rPr>
          <w:rFonts w:hint="eastAsia"/>
        </w:rPr>
        <w:t>仪表及控制系统应符合本文件15的相关要求。</w:t>
      </w:r>
    </w:p>
    <w:p w14:paraId="7461F9AA">
      <w:pPr>
        <w:pStyle w:val="326"/>
      </w:pPr>
      <w:r>
        <w:rPr>
          <w:rFonts w:hint="eastAsia"/>
        </w:rPr>
        <w:t>防火结构和危险区分类应符合本文件17相关要求。</w:t>
      </w:r>
    </w:p>
    <w:p w14:paraId="266C474E">
      <w:pPr>
        <w:pStyle w:val="326"/>
      </w:pPr>
      <w:r>
        <w:rPr>
          <w:rFonts w:hint="eastAsia"/>
        </w:rPr>
        <w:t>消防系统应符合本文件18相关要求。</w:t>
      </w:r>
    </w:p>
    <w:p w14:paraId="18201C55">
      <w:pPr>
        <w:pStyle w:val="326"/>
      </w:pPr>
      <w:r>
        <w:rPr>
          <w:rFonts w:hint="eastAsia"/>
        </w:rPr>
        <w:t>人员防护设备和脱险通道应符合本文件19相关要求。</w:t>
      </w:r>
    </w:p>
    <w:p w14:paraId="5C2A3EAB">
      <w:pPr>
        <w:pStyle w:val="326"/>
      </w:pPr>
      <w:r>
        <w:rPr>
          <w:rFonts w:hint="eastAsia"/>
        </w:rPr>
        <w:t>通信系统应符合本文件21相关要求。</w:t>
      </w:r>
    </w:p>
    <w:p w14:paraId="21CA320F">
      <w:pPr>
        <w:pStyle w:val="259"/>
        <w:outlineLvl w:val="0"/>
      </w:pPr>
      <w:r>
        <w:rPr>
          <w:rFonts w:hint="eastAsia"/>
        </w:rPr>
        <w:t>油气生产工艺系统</w:t>
      </w:r>
      <w:bookmarkEnd w:id="78"/>
    </w:p>
    <w:p w14:paraId="6AA3F61D">
      <w:pPr>
        <w:pStyle w:val="260"/>
        <w:outlineLvl w:val="1"/>
      </w:pPr>
      <w:bookmarkStart w:id="96" w:name="_Toc17136"/>
      <w:bookmarkStart w:id="97" w:name="_Toc30284"/>
      <w:r>
        <w:rPr>
          <w:rFonts w:hint="eastAsia"/>
        </w:rPr>
        <w:t>一般规定</w:t>
      </w:r>
      <w:bookmarkEnd w:id="96"/>
      <w:bookmarkEnd w:id="97"/>
    </w:p>
    <w:p w14:paraId="7AFDF411">
      <w:pPr>
        <w:pStyle w:val="261"/>
        <w:spacing w:before="156" w:after="156"/>
        <w:outlineLvl w:val="2"/>
      </w:pPr>
      <w:r>
        <w:rPr>
          <w:rFonts w:hint="eastAsia"/>
        </w:rPr>
        <w:t>系统安全设计</w:t>
      </w:r>
    </w:p>
    <w:p w14:paraId="733FD3F6">
      <w:pPr>
        <w:pStyle w:val="327"/>
        <w:rPr>
          <w:rFonts w:ascii="Times New Roman" w:eastAsia="宋体"/>
        </w:rPr>
      </w:pPr>
      <w:r>
        <w:rPr>
          <w:rFonts w:hint="eastAsia"/>
        </w:rPr>
        <w:t>工艺/公用系统</w:t>
      </w:r>
      <w:r>
        <w:t>的安全设计，应确保油气生产、处理、储存和外输过程密闭、安全、有效，防止可燃、有毒、有害组分的意外</w:t>
      </w:r>
      <w:r>
        <w:rPr>
          <w:rFonts w:hint="eastAsia"/>
        </w:rPr>
        <w:t>泄漏</w:t>
      </w:r>
      <w:r>
        <w:t>、扩散和排放，进而避免火灾、爆炸、中毒、污染、热辐射事故的发生，确保操作人员人身安全。</w:t>
      </w:r>
    </w:p>
    <w:p w14:paraId="53164422">
      <w:pPr>
        <w:pStyle w:val="327"/>
        <w:rPr>
          <w:rFonts w:ascii="Times New Roman" w:eastAsia="宋体"/>
        </w:rPr>
      </w:pPr>
      <w:r>
        <w:rPr>
          <w:rFonts w:hint="eastAsia" w:ascii="Times New Roman" w:eastAsia="宋体"/>
        </w:rPr>
        <w:t>为避免工艺流程、单元系列、单体设备在切换过程中出现事故，应做好隔离，操作规程明确，并设有安全操作说明标识。</w:t>
      </w:r>
    </w:p>
    <w:p w14:paraId="6DEB1889">
      <w:pPr>
        <w:pStyle w:val="327"/>
        <w:rPr>
          <w:rFonts w:ascii="Times New Roman" w:eastAsia="宋体"/>
        </w:rPr>
      </w:pPr>
      <w:r>
        <w:rPr>
          <w:rFonts w:hint="eastAsia" w:ascii="Times New Roman" w:eastAsia="宋体"/>
        </w:rPr>
        <w:t>应在工艺流程的关键位置设置异常工况检测及报警。</w:t>
      </w:r>
    </w:p>
    <w:p w14:paraId="44916C4F">
      <w:pPr>
        <w:pStyle w:val="327"/>
        <w:rPr>
          <w:rFonts w:ascii="Times New Roman" w:eastAsia="宋体"/>
        </w:rPr>
      </w:pPr>
      <w:r>
        <w:rPr>
          <w:rFonts w:hint="eastAsia" w:ascii="Times New Roman" w:eastAsia="宋体"/>
        </w:rPr>
        <w:t>工艺/公用系统中的设备、阀门、管道、仪表等一旦失效，应维持对于系统、操作人员和环境造成危害最低的状态，或处于失效安全状态。</w:t>
      </w:r>
    </w:p>
    <w:p w14:paraId="355031AA">
      <w:pPr>
        <w:pStyle w:val="327"/>
      </w:pPr>
      <w:r>
        <w:rPr>
          <w:rFonts w:hint="eastAsia" w:ascii="Times New Roman" w:eastAsia="宋体"/>
        </w:rPr>
        <w:t>工艺/公用系统设计过程中应充分考虑有毒有害组分对操作人员以及流程和设施的影响。</w:t>
      </w:r>
    </w:p>
    <w:p w14:paraId="2F4849ED">
      <w:pPr>
        <w:pStyle w:val="261"/>
        <w:spacing w:before="156" w:after="156"/>
        <w:outlineLvl w:val="2"/>
      </w:pPr>
      <w:r>
        <w:rPr>
          <w:rFonts w:hint="eastAsia"/>
        </w:rPr>
        <w:t>隔离原则</w:t>
      </w:r>
    </w:p>
    <w:p w14:paraId="45441492">
      <w:pPr>
        <w:pStyle w:val="327"/>
        <w:rPr>
          <w:rFonts w:ascii="Times New Roman"/>
        </w:rPr>
      </w:pPr>
      <w:r>
        <w:t>海上油气田生产过程中，为了在调试、维修、放空、排放、吹扫等工况下确保操作人员的安全，维持工艺系统的正常生产，</w:t>
      </w:r>
      <w:r>
        <w:rPr>
          <w:rFonts w:hint="eastAsia"/>
        </w:rPr>
        <w:t>应</w:t>
      </w:r>
      <w:r>
        <w:t>对一些密闭空间、</w:t>
      </w:r>
      <w:r>
        <w:rPr>
          <w:rFonts w:hint="eastAsia"/>
        </w:rPr>
        <w:t>单元系列</w:t>
      </w:r>
      <w:r>
        <w:t>、工艺设备、阀门等进行隔离。</w:t>
      </w:r>
    </w:p>
    <w:p w14:paraId="548F8E73">
      <w:pPr>
        <w:pStyle w:val="327"/>
        <w:rPr>
          <w:rFonts w:ascii="Times New Roman" w:eastAsia="宋体"/>
        </w:rPr>
      </w:pPr>
      <w:r>
        <w:rPr>
          <w:rFonts w:ascii="Times New Roman" w:eastAsia="宋体"/>
        </w:rPr>
        <w:t>根据操作参数和流体特性，隔离的应用场合主要分为高压危险性系统、低压危险性系统、高压非危险性系统和低压非危险性系统</w:t>
      </w:r>
      <w:r>
        <w:rPr>
          <w:rFonts w:hint="eastAsia" w:ascii="宋体" w:hAnsi="宋体" w:eastAsia="宋体" w:cs="宋体"/>
        </w:rPr>
        <w:t>4</w:t>
      </w:r>
      <w:r>
        <w:rPr>
          <w:rFonts w:ascii="Times New Roman" w:eastAsia="宋体"/>
        </w:rPr>
        <w:t>种，各场合</w:t>
      </w:r>
      <w:r>
        <w:rPr>
          <w:rFonts w:hint="eastAsia" w:ascii="Times New Roman" w:eastAsia="宋体"/>
        </w:rPr>
        <w:t>应</w:t>
      </w:r>
      <w:r>
        <w:rPr>
          <w:rFonts w:ascii="Times New Roman" w:eastAsia="宋体"/>
        </w:rPr>
        <w:t>采用</w:t>
      </w:r>
      <w:r>
        <w:rPr>
          <w:rFonts w:hint="eastAsia" w:ascii="Times New Roman" w:eastAsia="宋体"/>
        </w:rPr>
        <w:t>适宜的</w:t>
      </w:r>
      <w:r>
        <w:rPr>
          <w:rFonts w:ascii="Times New Roman" w:eastAsia="宋体"/>
        </w:rPr>
        <w:t>隔离类型和隔离方法。</w:t>
      </w:r>
      <w:r>
        <w:rPr>
          <w:rFonts w:hint="eastAsia" w:ascii="Times New Roman"/>
        </w:rPr>
        <w:t xml:space="preserve"> </w:t>
      </w:r>
    </w:p>
    <w:p w14:paraId="6EEA65F8">
      <w:pPr>
        <w:pStyle w:val="327"/>
        <w:rPr>
          <w:rFonts w:ascii="Times New Roman" w:eastAsia="宋体"/>
        </w:rPr>
      </w:pPr>
      <w:r>
        <w:rPr>
          <w:rFonts w:hint="eastAsia" w:ascii="Times New Roman" w:eastAsia="宋体"/>
        </w:rPr>
        <w:t>通常</w:t>
      </w:r>
      <w:r>
        <w:rPr>
          <w:rFonts w:ascii="Times New Roman" w:eastAsia="宋体"/>
        </w:rPr>
        <w:t>情况下，隔离阀应尽量避免使用</w:t>
      </w:r>
      <w:r>
        <w:rPr>
          <w:rFonts w:hint="eastAsia" w:ascii="Times New Roman" w:eastAsia="宋体"/>
        </w:rPr>
        <w:t>锁开</w:t>
      </w:r>
      <w:r>
        <w:rPr>
          <w:rFonts w:hint="eastAsia" w:ascii="宋体" w:hAnsi="宋体" w:eastAsia="宋体" w:cs="宋体"/>
        </w:rPr>
        <w:t>（LO）/锁关（LC）。但是，若隔离阀的误操作将导致工艺装置/设备受损或造成不安全隐患时，应将相关的隔离阀设计为锁开（LO）/锁关（LC）。</w:t>
      </w:r>
    </w:p>
    <w:p w14:paraId="0BC4BCE5">
      <w:pPr>
        <w:pStyle w:val="261"/>
        <w:spacing w:before="156" w:after="156"/>
        <w:outlineLvl w:val="2"/>
      </w:pPr>
      <w:r>
        <w:rPr>
          <w:rFonts w:hint="eastAsia"/>
        </w:rPr>
        <w:t>泄压及减压原则</w:t>
      </w:r>
    </w:p>
    <w:p w14:paraId="73C5337A">
      <w:pPr>
        <w:pStyle w:val="327"/>
        <w:rPr>
          <w:rFonts w:hint="eastAsia" w:ascii="宋体" w:hAnsi="宋体" w:eastAsia="宋体" w:cs="宋体"/>
        </w:rPr>
      </w:pPr>
      <w:r>
        <w:rPr>
          <w:rFonts w:hint="eastAsia" w:ascii="宋体" w:hAnsi="宋体" w:eastAsia="宋体" w:cs="宋体"/>
        </w:rPr>
        <w:t>应识别和分析工艺/公用系统潜在的超压风险和预期后果，采用有效的超压保护措施，规避或降低风险，确保设备和管道承受的压力低于最大允许工作压力（MAWP）。</w:t>
      </w:r>
    </w:p>
    <w:p w14:paraId="26DC2FDE">
      <w:pPr>
        <w:pStyle w:val="327"/>
        <w:rPr>
          <w:rFonts w:hint="eastAsia" w:ascii="宋体" w:hAnsi="宋体" w:eastAsia="宋体" w:cs="宋体"/>
        </w:rPr>
      </w:pPr>
      <w:r>
        <w:rPr>
          <w:rFonts w:hint="eastAsia" w:ascii="宋体" w:hAnsi="宋体" w:eastAsia="宋体" w:cs="宋体"/>
        </w:rPr>
        <w:t>有效的安全保护措施包括为工艺/公用系统和设备提供压力安全泄放装置（PRD）、减压装置和高完整性压力保护系统（HIPPS）。</w:t>
      </w:r>
    </w:p>
    <w:p w14:paraId="08F58E8E">
      <w:pPr>
        <w:pStyle w:val="327"/>
        <w:rPr>
          <w:rFonts w:hint="eastAsia" w:ascii="宋体" w:hAnsi="宋体" w:eastAsia="宋体" w:cs="宋体"/>
        </w:rPr>
      </w:pPr>
      <w:r>
        <w:rPr>
          <w:rFonts w:hint="eastAsia" w:ascii="宋体" w:hAnsi="宋体" w:eastAsia="宋体" w:cs="宋体"/>
        </w:rPr>
        <w:t>发生火灾事故时，为了避免产生过大的瞬时泄放量，经评估后可对不同火区内设备上的泄放阀（BDV）采取分火区延时泄压。</w:t>
      </w:r>
    </w:p>
    <w:p w14:paraId="5D10DA76">
      <w:pPr>
        <w:pStyle w:val="327"/>
        <w:jc w:val="both"/>
      </w:pPr>
      <w:r>
        <w:rPr>
          <w:rFonts w:hint="eastAsia" w:ascii="宋体" w:hAnsi="宋体" w:eastAsia="宋体" w:cs="宋体"/>
        </w:rPr>
        <w:t>对于可能会被隔离并暴露在火灾中的大型含烃设备，操作压力大于1700</w:t>
      </w:r>
      <w:r>
        <w:rPr>
          <w:rFonts w:hint="eastAsia" w:ascii="宋体" w:hAnsi="宋体" w:eastAsia="宋体" w:cs="宋体"/>
          <w:sz w:val="10"/>
          <w:szCs w:val="10"/>
        </w:rPr>
        <w:t xml:space="preserve"> </w:t>
      </w:r>
      <w:r>
        <w:rPr>
          <w:rFonts w:hint="eastAsia" w:ascii="宋体" w:hAnsi="宋体" w:eastAsia="宋体" w:cs="宋体"/>
        </w:rPr>
        <w:t>kPaG时需设置泄放阀（BDV）；对于可能会被隔离并暴露在火灾中的含烃管线，操作压力大于1700</w:t>
      </w:r>
      <w:r>
        <w:rPr>
          <w:rFonts w:hint="eastAsia" w:ascii="宋体" w:hAnsi="宋体" w:eastAsia="宋体" w:cs="宋体"/>
          <w:sz w:val="10"/>
          <w:szCs w:val="10"/>
        </w:rPr>
        <w:t xml:space="preserve"> </w:t>
      </w:r>
      <w:r>
        <w:rPr>
          <w:rFonts w:hint="eastAsia" w:ascii="宋体" w:hAnsi="宋体" w:eastAsia="宋体" w:cs="宋体"/>
        </w:rPr>
        <w:t>kPaG且至少容纳4</w:t>
      </w:r>
      <w:r>
        <w:rPr>
          <w:rFonts w:hint="eastAsia" w:ascii="宋体" w:hAnsi="宋体" w:eastAsia="宋体" w:cs="宋体"/>
          <w:sz w:val="10"/>
          <w:szCs w:val="10"/>
        </w:rPr>
        <w:t xml:space="preserve"> </w:t>
      </w:r>
      <w:r>
        <w:rPr>
          <w:rFonts w:hint="eastAsia" w:ascii="宋体" w:hAnsi="宋体" w:eastAsia="宋体" w:cs="宋体"/>
        </w:rPr>
        <w:t>m</w:t>
      </w:r>
      <w:r>
        <w:rPr>
          <w:rFonts w:hint="eastAsia" w:ascii="宋体" w:hAnsi="宋体" w:eastAsia="宋体" w:cs="宋体"/>
          <w:vertAlign w:val="superscript"/>
        </w:rPr>
        <w:t>3</w:t>
      </w:r>
      <w:r>
        <w:rPr>
          <w:rFonts w:hint="eastAsia" w:ascii="宋体" w:hAnsi="宋体" w:eastAsia="宋体" w:cs="宋体"/>
        </w:rPr>
        <w:t>丁烷或在操作条件下更易挥发的烃类液体时需设置泄放阀（BDV）。LPG储罐可不设置泄放阀（BDV）</w:t>
      </w:r>
      <w:r>
        <w:rPr>
          <w:rFonts w:hint="eastAsia" w:ascii="Times New Roman" w:eastAsia="宋体"/>
        </w:rPr>
        <w:t>。</w:t>
      </w:r>
    </w:p>
    <w:p w14:paraId="685218AC">
      <w:pPr>
        <w:pStyle w:val="260"/>
        <w:outlineLvl w:val="1"/>
      </w:pPr>
      <w:bookmarkStart w:id="98" w:name="_Toc2946"/>
      <w:r>
        <w:rPr>
          <w:rFonts w:hint="eastAsia"/>
        </w:rPr>
        <w:t>工艺设备及设施安全保护</w:t>
      </w:r>
      <w:bookmarkEnd w:id="98"/>
    </w:p>
    <w:p w14:paraId="36A4A645">
      <w:pPr>
        <w:pStyle w:val="261"/>
        <w:spacing w:before="156" w:after="156"/>
        <w:outlineLvl w:val="2"/>
      </w:pPr>
      <w:r>
        <w:rPr>
          <w:rFonts w:hint="eastAsia"/>
        </w:rPr>
        <w:t>总则</w:t>
      </w:r>
    </w:p>
    <w:p w14:paraId="21158040">
      <w:pPr>
        <w:pStyle w:val="327"/>
        <w:rPr>
          <w:rFonts w:hint="eastAsia" w:ascii="宋体" w:hAnsi="宋体" w:eastAsia="宋体" w:cs="宋体"/>
        </w:rPr>
      </w:pPr>
      <w:r>
        <w:rPr>
          <w:rFonts w:hint="eastAsia"/>
        </w:rPr>
        <w:t>对油气生产工艺系统应提供两级保</w:t>
      </w:r>
      <w:r>
        <w:rPr>
          <w:rFonts w:ascii="Times New Roman"/>
        </w:rPr>
        <w:t>护。一级安全保护为最高级保护，二级安全保护为次一级安全保护。两</w:t>
      </w:r>
      <w:r>
        <w:rPr>
          <w:rFonts w:hint="eastAsia" w:ascii="宋体" w:hAnsi="宋体" w:eastAsia="宋体" w:cs="宋体"/>
        </w:rPr>
        <w:t>级保护互相独立，由两种不同型式的安全装置完成。超压保护可以由高压传感器（PSH）和压力安全泄放装置（PRD）分别提供两级保护。其中一级保护应关断输入源，二级保护由压力安全泄放装置（PRD）执行。</w:t>
      </w:r>
    </w:p>
    <w:p w14:paraId="2285AAD7">
      <w:pPr>
        <w:pStyle w:val="327"/>
        <w:rPr>
          <w:rFonts w:hint="eastAsia" w:ascii="宋体" w:hAnsi="宋体" w:eastAsia="宋体" w:cs="宋体"/>
        </w:rPr>
      </w:pPr>
      <w:r>
        <w:rPr>
          <w:rFonts w:hint="eastAsia" w:ascii="宋体" w:hAnsi="宋体" w:eastAsia="宋体" w:cs="宋体"/>
        </w:rPr>
        <w:t>经安全分析后，出油管线上的压力安全泄放装置（PRD）可由两个独立控制的关断阀（SDV）执行，其中一个关断阀（SDV）可以为井上安全阀（SSV）。</w:t>
      </w:r>
    </w:p>
    <w:p w14:paraId="0E3FDCA9">
      <w:pPr>
        <w:pStyle w:val="327"/>
        <w:rPr>
          <w:rFonts w:hint="eastAsia" w:ascii="宋体" w:hAnsi="宋体" w:eastAsia="宋体" w:cs="宋体"/>
        </w:rPr>
      </w:pPr>
      <w:r>
        <w:rPr>
          <w:rFonts w:hint="eastAsia" w:ascii="宋体" w:hAnsi="宋体" w:eastAsia="宋体" w:cs="宋体"/>
        </w:rPr>
        <w:t>操作中的不安全因素可以用一个或几个超出操作范围的异常工艺参数来表明。相关异常被传感器检测到后触发关断阀（SDV）关断，关停泵或压缩机等增压设备以保护工艺设备。</w:t>
      </w:r>
    </w:p>
    <w:p w14:paraId="0B582B05">
      <w:pPr>
        <w:pStyle w:val="261"/>
        <w:spacing w:before="156" w:after="156"/>
        <w:outlineLvl w:val="2"/>
      </w:pPr>
      <w:r>
        <w:rPr>
          <w:rFonts w:hint="eastAsia"/>
        </w:rPr>
        <w:t>井口装置及出油管线</w:t>
      </w:r>
    </w:p>
    <w:p w14:paraId="093B79E8">
      <w:pPr>
        <w:pStyle w:val="327"/>
        <w:spacing w:before="156" w:beforeLines="50" w:after="156" w:afterLines="50"/>
        <w:outlineLvl w:val="4"/>
        <w:rPr>
          <w:rFonts w:hint="eastAsia" w:ascii="黑体" w:hAnsi="黑体" w:eastAsia="黑体" w:cs="黑体"/>
        </w:rPr>
      </w:pPr>
      <w:r>
        <w:rPr>
          <w:rFonts w:hint="eastAsia" w:ascii="黑体" w:hAnsi="黑体" w:eastAsia="黑体" w:cs="黑体"/>
        </w:rPr>
        <w:t>压力安全保护</w:t>
      </w:r>
    </w:p>
    <w:p w14:paraId="0A14F008">
      <w:pPr>
        <w:pStyle w:val="328"/>
        <w:rPr>
          <w:rFonts w:hint="eastAsia" w:ascii="宋体" w:hAnsi="宋体" w:eastAsia="宋体" w:cs="宋体"/>
        </w:rPr>
      </w:pPr>
      <w:r>
        <w:rPr>
          <w:rFonts w:hint="eastAsia" w:ascii="宋体" w:hAnsi="宋体" w:eastAsia="宋体" w:cs="宋体"/>
        </w:rPr>
        <w:t>出油管线上应设高压传感器（PSH）、低压传感器（PSL）和压力安全阀（PSV）。当检测到异常高压或低压时应关断油井。</w:t>
      </w:r>
    </w:p>
    <w:p w14:paraId="6628ED56">
      <w:pPr>
        <w:pStyle w:val="328"/>
        <w:rPr>
          <w:rFonts w:hint="eastAsia" w:ascii="宋体" w:hAnsi="宋体" w:eastAsia="宋体" w:cs="宋体"/>
        </w:rPr>
      </w:pPr>
      <w:r>
        <w:rPr>
          <w:rFonts w:hint="eastAsia" w:ascii="宋体" w:hAnsi="宋体" w:eastAsia="宋体" w:cs="宋体"/>
        </w:rPr>
        <w:t>在以下状态下，该出油管不需要设压力安全阀（PSV）：</w:t>
      </w:r>
    </w:p>
    <w:p w14:paraId="620A19E1">
      <w:pPr>
        <w:pStyle w:val="305"/>
        <w:rPr>
          <w:rFonts w:hint="eastAsia" w:hAnsi="宋体" w:cs="宋体"/>
        </w:rPr>
      </w:pPr>
      <w:r>
        <w:rPr>
          <w:rFonts w:hint="eastAsia" w:hAnsi="宋体" w:cs="宋体"/>
        </w:rPr>
        <w:t>出油管线的最大允许工作压力（MAWP）大于最大关井压力（MSITP）；</w:t>
      </w:r>
    </w:p>
    <w:p w14:paraId="10C02494">
      <w:pPr>
        <w:pStyle w:val="305"/>
        <w:rPr>
          <w:rFonts w:hint="eastAsia" w:hAnsi="宋体" w:cs="宋体"/>
        </w:rPr>
      </w:pPr>
      <w:r>
        <w:rPr>
          <w:rFonts w:hint="eastAsia" w:hAnsi="宋体" w:cs="宋体"/>
        </w:rPr>
        <w:t>出油管线受位于上游出油管段的压力安全泄放装置（PRD）保护；</w:t>
      </w:r>
    </w:p>
    <w:p w14:paraId="73E15DCF">
      <w:pPr>
        <w:pStyle w:val="305"/>
        <w:rPr>
          <w:rFonts w:hint="eastAsia" w:hAnsi="宋体" w:cs="宋体"/>
        </w:rPr>
      </w:pPr>
      <w:r>
        <w:rPr>
          <w:rFonts w:hint="eastAsia" w:hAnsi="宋体" w:cs="宋体"/>
        </w:rPr>
        <w:t>经工艺和安全分析后，可设两个独立控制的关断阀（SDV）（其中一个可以为井上安全阀（SSV）），关断阀（SDV）上游出油管线的容积应能在超过最大允许工作压力（MAWP）之前有足够的时间关断关断阀（SDV）；</w:t>
      </w:r>
    </w:p>
    <w:p w14:paraId="63D0C559">
      <w:pPr>
        <w:pStyle w:val="305"/>
        <w:rPr>
          <w:rFonts w:hint="eastAsia" w:hAnsi="宋体" w:cs="宋体"/>
        </w:rPr>
      </w:pPr>
      <w:r>
        <w:rPr>
          <w:rFonts w:hint="eastAsia" w:hAnsi="宋体" w:cs="宋体"/>
        </w:rPr>
        <w:t>出油管线由下游设备的压力安全泄放装置（PRD）保护，该设备不能与出油管线隔离，且出油管线和压力安全泄放装置（PRD）之间没有设节流装置或其他限制装置；</w:t>
      </w:r>
    </w:p>
    <w:p w14:paraId="1DE7E953">
      <w:pPr>
        <w:pStyle w:val="305"/>
        <w:rPr>
          <w:rFonts w:hint="eastAsia" w:hAnsi="宋体" w:cs="宋体"/>
        </w:rPr>
      </w:pPr>
      <w:r>
        <w:rPr>
          <w:rFonts w:hint="eastAsia" w:hAnsi="宋体" w:cs="宋体"/>
        </w:rPr>
        <w:t>出油管线由符合要求的高完整性压力保护系统（HIPPS）保护。</w:t>
      </w:r>
    </w:p>
    <w:p w14:paraId="79680BCC">
      <w:pPr>
        <w:pStyle w:val="327"/>
        <w:tabs>
          <w:tab w:val="left" w:pos="2847"/>
        </w:tabs>
        <w:spacing w:before="156" w:beforeLines="50" w:after="156" w:afterLines="50"/>
        <w:outlineLvl w:val="4"/>
        <w:rPr>
          <w:rFonts w:hint="eastAsia" w:ascii="黑体" w:hAnsi="黑体" w:eastAsia="黑体" w:cs="黑体"/>
        </w:rPr>
      </w:pPr>
      <w:r>
        <w:rPr>
          <w:rFonts w:hint="eastAsia" w:ascii="黑体" w:hAnsi="黑体" w:eastAsia="黑体" w:cs="黑体"/>
        </w:rPr>
        <w:t>流动安全保护</w:t>
      </w:r>
    </w:p>
    <w:p w14:paraId="06518AC2">
      <w:pPr>
        <w:pStyle w:val="521"/>
        <w:ind w:firstLine="420"/>
        <w:rPr>
          <w:rFonts w:ascii="Times New Roman"/>
          <w:szCs w:val="21"/>
        </w:rPr>
      </w:pPr>
      <w:r>
        <w:rPr>
          <w:rFonts w:ascii="Times New Roman"/>
          <w:szCs w:val="21"/>
        </w:rPr>
        <w:t>出油</w:t>
      </w:r>
      <w:r>
        <w:rPr>
          <w:rFonts w:hint="eastAsia" w:ascii="Times New Roman"/>
          <w:szCs w:val="21"/>
        </w:rPr>
        <w:t>管道上</w:t>
      </w:r>
      <w:r>
        <w:rPr>
          <w:rFonts w:ascii="Times New Roman"/>
          <w:szCs w:val="21"/>
        </w:rPr>
        <w:t>应设置流动安全</w:t>
      </w:r>
      <w:r>
        <w:rPr>
          <w:rFonts w:hint="eastAsia" w:ascii="Times New Roman"/>
          <w:szCs w:val="21"/>
        </w:rPr>
        <w:t>阀</w:t>
      </w:r>
      <w:r>
        <w:rPr>
          <w:rFonts w:hint="eastAsia" w:hAnsi="宋体" w:cs="宋体"/>
          <w:szCs w:val="21"/>
        </w:rPr>
        <w:t>（FSV），以防止回流。</w:t>
      </w:r>
    </w:p>
    <w:p w14:paraId="6B94E90A">
      <w:pPr>
        <w:pStyle w:val="261"/>
        <w:spacing w:before="156" w:after="156"/>
        <w:outlineLvl w:val="2"/>
      </w:pPr>
      <w:r>
        <w:rPr>
          <w:rFonts w:hint="eastAsia"/>
        </w:rPr>
        <w:t>井口注入管道</w:t>
      </w:r>
    </w:p>
    <w:p w14:paraId="218D9468">
      <w:pPr>
        <w:pStyle w:val="327"/>
        <w:spacing w:before="156" w:beforeLines="50" w:after="156" w:afterLines="50"/>
        <w:outlineLvl w:val="4"/>
        <w:rPr>
          <w:rFonts w:hint="eastAsia" w:ascii="黑体" w:hAnsi="黑体" w:eastAsia="黑体" w:cs="黑体"/>
        </w:rPr>
      </w:pPr>
      <w:r>
        <w:rPr>
          <w:rFonts w:hint="eastAsia" w:ascii="黑体" w:hAnsi="黑体" w:eastAsia="黑体" w:cs="黑体"/>
        </w:rPr>
        <w:t>压力安全保护</w:t>
      </w:r>
    </w:p>
    <w:p w14:paraId="578FCB11">
      <w:pPr>
        <w:pStyle w:val="328"/>
        <w:rPr>
          <w:rFonts w:hint="eastAsia" w:ascii="宋体" w:hAnsi="宋体" w:eastAsia="宋体" w:cs="宋体"/>
        </w:rPr>
      </w:pPr>
      <w:r>
        <w:rPr>
          <w:rFonts w:ascii="Times New Roman"/>
        </w:rPr>
        <w:t>压力保护通常由注入源</w:t>
      </w:r>
      <w:r>
        <w:rPr>
          <w:rFonts w:hint="eastAsia" w:ascii="Times New Roman"/>
        </w:rPr>
        <w:t>（如压缩机或泵）</w:t>
      </w:r>
      <w:r>
        <w:rPr>
          <w:rFonts w:hint="eastAsia" w:ascii="宋体" w:hAnsi="宋体" w:eastAsia="宋体" w:cs="宋体"/>
        </w:rPr>
        <w:t>的高压传感器（PSH）和低压传感器（PSL）执行，以关断流体。</w:t>
      </w:r>
    </w:p>
    <w:p w14:paraId="45BF3D36">
      <w:pPr>
        <w:pStyle w:val="328"/>
        <w:rPr>
          <w:rFonts w:hint="eastAsia" w:ascii="宋体" w:hAnsi="宋体" w:eastAsia="宋体" w:cs="宋体"/>
        </w:rPr>
      </w:pPr>
      <w:r>
        <w:rPr>
          <w:rFonts w:hint="eastAsia" w:ascii="宋体" w:hAnsi="宋体" w:eastAsia="宋体" w:cs="宋体"/>
        </w:rPr>
        <w:t>在以下状态下，该井口注入管道不需要设压力安全阀（PSV）：</w:t>
      </w:r>
    </w:p>
    <w:p w14:paraId="415C289C">
      <w:pPr>
        <w:pStyle w:val="305"/>
        <w:numPr>
          <w:ilvl w:val="0"/>
          <w:numId w:val="34"/>
        </w:numPr>
        <w:rPr>
          <w:rFonts w:hint="eastAsia" w:hAnsi="宋体" w:cs="宋体"/>
        </w:rPr>
      </w:pPr>
      <w:r>
        <w:rPr>
          <w:rFonts w:hint="eastAsia" w:hAnsi="宋体" w:cs="宋体"/>
        </w:rPr>
        <w:t>注入管道能够承受注入源所能施加的最大压力；</w:t>
      </w:r>
    </w:p>
    <w:p w14:paraId="0CBF99A0">
      <w:pPr>
        <w:pStyle w:val="305"/>
        <w:numPr>
          <w:ilvl w:val="0"/>
          <w:numId w:val="34"/>
        </w:numPr>
        <w:rPr>
          <w:rFonts w:hint="eastAsia" w:hAnsi="宋体" w:cs="宋体"/>
        </w:rPr>
      </w:pPr>
      <w:r>
        <w:rPr>
          <w:rFonts w:hint="eastAsia" w:hAnsi="宋体" w:cs="宋体"/>
        </w:rPr>
        <w:t>注入管道可以由上游压力安全泄放装置（PRD）保护；</w:t>
      </w:r>
    </w:p>
    <w:p w14:paraId="00D892DE">
      <w:pPr>
        <w:pStyle w:val="305"/>
        <w:numPr>
          <w:ilvl w:val="0"/>
          <w:numId w:val="34"/>
        </w:numPr>
        <w:rPr>
          <w:rFonts w:hint="eastAsia" w:hAnsi="宋体" w:cs="宋体"/>
        </w:rPr>
      </w:pPr>
      <w:r>
        <w:rPr>
          <w:rFonts w:hint="eastAsia" w:hAnsi="宋体" w:cs="宋体"/>
        </w:rPr>
        <w:t>注入管道由符合要求的高完整性压力保护系统（HIPPS）保护。</w:t>
      </w:r>
    </w:p>
    <w:p w14:paraId="68B90DE2">
      <w:pPr>
        <w:pStyle w:val="327"/>
        <w:spacing w:before="156" w:beforeLines="50" w:after="156" w:afterLines="50"/>
        <w:outlineLvl w:val="4"/>
        <w:rPr>
          <w:rFonts w:hint="eastAsia" w:ascii="黑体" w:hAnsi="黑体" w:eastAsia="黑体" w:cs="黑体"/>
        </w:rPr>
      </w:pPr>
      <w:r>
        <w:rPr>
          <w:rFonts w:hint="eastAsia" w:ascii="黑体" w:hAnsi="黑体" w:eastAsia="黑体" w:cs="黑体"/>
        </w:rPr>
        <w:t>流动安全保护</w:t>
      </w:r>
    </w:p>
    <w:p w14:paraId="64CA9F79">
      <w:pPr>
        <w:pStyle w:val="521"/>
        <w:ind w:firstLine="420"/>
        <w:rPr>
          <w:rFonts w:ascii="Times New Roman"/>
          <w:szCs w:val="21"/>
        </w:rPr>
      </w:pPr>
      <w:r>
        <w:rPr>
          <w:rFonts w:hint="eastAsia" w:ascii="Times New Roman"/>
          <w:szCs w:val="21"/>
        </w:rPr>
        <w:t>各井口注入管道上均应设</w:t>
      </w:r>
      <w:r>
        <w:rPr>
          <w:rFonts w:ascii="Times New Roman"/>
          <w:szCs w:val="21"/>
        </w:rPr>
        <w:t>流动安全</w:t>
      </w:r>
      <w:r>
        <w:rPr>
          <w:rFonts w:hint="eastAsia" w:ascii="Times New Roman"/>
          <w:szCs w:val="21"/>
        </w:rPr>
        <w:t>阀</w:t>
      </w:r>
      <w:r>
        <w:rPr>
          <w:rFonts w:hint="eastAsia" w:hAnsi="宋体" w:cs="宋体"/>
          <w:szCs w:val="21"/>
        </w:rPr>
        <w:t>（FSV）</w:t>
      </w:r>
      <w:r>
        <w:rPr>
          <w:rFonts w:hint="eastAsia" w:ascii="Times New Roman"/>
          <w:szCs w:val="21"/>
        </w:rPr>
        <w:t>，且尽量靠近井口，以减少回流。</w:t>
      </w:r>
    </w:p>
    <w:p w14:paraId="130FA992">
      <w:pPr>
        <w:pStyle w:val="261"/>
        <w:spacing w:before="156" w:after="156"/>
        <w:outlineLvl w:val="2"/>
      </w:pPr>
      <w:r>
        <w:rPr>
          <w:rFonts w:hint="eastAsia"/>
        </w:rPr>
        <w:t>管汇</w:t>
      </w:r>
    </w:p>
    <w:p w14:paraId="586B6FE0">
      <w:pPr>
        <w:pStyle w:val="327"/>
        <w:rPr>
          <w:rFonts w:hint="eastAsia" w:ascii="宋体" w:hAnsi="宋体" w:eastAsia="宋体" w:cs="宋体"/>
        </w:rPr>
      </w:pPr>
      <w:r>
        <w:rPr>
          <w:rFonts w:hint="eastAsia" w:ascii="宋体" w:hAnsi="宋体" w:eastAsia="宋体" w:cs="宋体"/>
        </w:rPr>
        <w:t>管汇可采用高压传感器（PSH）、低压传感器（PSL）、压力安全阀（PSV）保护。</w:t>
      </w:r>
    </w:p>
    <w:p w14:paraId="5EE2145D">
      <w:pPr>
        <w:pStyle w:val="327"/>
        <w:rPr>
          <w:rFonts w:hint="eastAsia" w:ascii="宋体" w:hAnsi="宋体" w:eastAsia="宋体" w:cs="宋体"/>
        </w:rPr>
      </w:pPr>
      <w:r>
        <w:rPr>
          <w:rFonts w:hint="eastAsia" w:ascii="宋体" w:hAnsi="宋体" w:eastAsia="宋体" w:cs="宋体"/>
        </w:rPr>
        <w:t>若有下述情况之一，管汇可不设高压传感器（PSH）：</w:t>
      </w:r>
    </w:p>
    <w:p w14:paraId="0DE9998A">
      <w:pPr>
        <w:pStyle w:val="305"/>
        <w:numPr>
          <w:ilvl w:val="0"/>
          <w:numId w:val="35"/>
        </w:numPr>
        <w:rPr>
          <w:rFonts w:hint="eastAsia" w:hAnsi="宋体" w:cs="宋体"/>
        </w:rPr>
      </w:pPr>
      <w:r>
        <w:rPr>
          <w:rFonts w:hint="eastAsia" w:hAnsi="宋体" w:cs="宋体"/>
        </w:rPr>
        <w:t>每个输入源都设有高压传感器（PSH），且高压传感器（PSH）的设定点低于管汇的最大允许工作压力（MAWP）；</w:t>
      </w:r>
    </w:p>
    <w:p w14:paraId="67A95C8D">
      <w:pPr>
        <w:pStyle w:val="305"/>
        <w:numPr>
          <w:ilvl w:val="0"/>
          <w:numId w:val="35"/>
        </w:numPr>
        <w:rPr>
          <w:rFonts w:hint="eastAsia" w:hAnsi="宋体" w:cs="宋体"/>
        </w:rPr>
      </w:pPr>
      <w:r>
        <w:rPr>
          <w:rFonts w:hint="eastAsia" w:hAnsi="宋体" w:cs="宋体"/>
        </w:rPr>
        <w:t>下游工艺设备上装有高压传感器（PSH），且不可能与管汇隔离；</w:t>
      </w:r>
    </w:p>
    <w:p w14:paraId="142376F6">
      <w:pPr>
        <w:pStyle w:val="305"/>
        <w:numPr>
          <w:ilvl w:val="0"/>
          <w:numId w:val="35"/>
        </w:numPr>
        <w:rPr>
          <w:rFonts w:hint="eastAsia" w:hAnsi="宋体" w:cs="宋体"/>
        </w:rPr>
      </w:pPr>
      <w:r>
        <w:rPr>
          <w:rFonts w:hint="eastAsia" w:hAnsi="宋体" w:cs="宋体"/>
        </w:rPr>
        <w:t>管汇是为火炬、泄放、放空或其它常压作业而设，且出口管线未设阀门。</w:t>
      </w:r>
    </w:p>
    <w:p w14:paraId="1E82F63C">
      <w:pPr>
        <w:pStyle w:val="327"/>
        <w:rPr>
          <w:rFonts w:hint="eastAsia" w:ascii="宋体" w:hAnsi="宋体" w:eastAsia="宋体" w:cs="宋体"/>
        </w:rPr>
      </w:pPr>
      <w:r>
        <w:rPr>
          <w:rFonts w:hint="eastAsia" w:ascii="宋体" w:hAnsi="宋体" w:eastAsia="宋体" w:cs="宋体"/>
        </w:rPr>
        <w:t>若有下述情况之一，管汇可不设低压传感器（PSL）：</w:t>
      </w:r>
    </w:p>
    <w:p w14:paraId="7A2E93BF">
      <w:pPr>
        <w:pStyle w:val="305"/>
        <w:numPr>
          <w:ilvl w:val="0"/>
          <w:numId w:val="36"/>
        </w:numPr>
        <w:rPr>
          <w:rFonts w:hint="eastAsia" w:hAnsi="宋体" w:cs="宋体"/>
        </w:rPr>
      </w:pPr>
      <w:r>
        <w:rPr>
          <w:rFonts w:hint="eastAsia" w:hAnsi="宋体" w:cs="宋体"/>
        </w:rPr>
        <w:t>每个输入源都设有低压传感器（PSL），且低压传感器（PSL）和管汇之间未设压力控制装置或节流装置；</w:t>
      </w:r>
    </w:p>
    <w:p w14:paraId="4C266945">
      <w:pPr>
        <w:pStyle w:val="305"/>
        <w:numPr>
          <w:ilvl w:val="0"/>
          <w:numId w:val="36"/>
        </w:numPr>
        <w:rPr>
          <w:rFonts w:hint="eastAsia" w:hAnsi="宋体" w:cs="宋体"/>
        </w:rPr>
      </w:pPr>
      <w:r>
        <w:rPr>
          <w:rFonts w:hint="eastAsia" w:hAnsi="宋体" w:cs="宋体"/>
        </w:rPr>
        <w:t>管汇是为火炬、泄放、放空或其它常压作业而设。</w:t>
      </w:r>
    </w:p>
    <w:p w14:paraId="7B98769B">
      <w:pPr>
        <w:pStyle w:val="327"/>
        <w:rPr>
          <w:rFonts w:hint="eastAsia" w:ascii="宋体" w:hAnsi="宋体" w:eastAsia="宋体" w:cs="宋体"/>
        </w:rPr>
      </w:pPr>
      <w:r>
        <w:rPr>
          <w:rFonts w:hint="eastAsia" w:ascii="宋体" w:hAnsi="宋体" w:eastAsia="宋体" w:cs="宋体"/>
        </w:rPr>
        <w:t>若管汇设高压传感器（PSH）和低压传感器（PSL），传感器来的信号应关断所有接入管汇的输入源。</w:t>
      </w:r>
    </w:p>
    <w:p w14:paraId="44C8DABF">
      <w:pPr>
        <w:pStyle w:val="327"/>
        <w:rPr>
          <w:rFonts w:hint="eastAsia" w:ascii="宋体" w:hAnsi="宋体" w:eastAsia="宋体" w:cs="宋体"/>
        </w:rPr>
      </w:pPr>
      <w:r>
        <w:rPr>
          <w:rFonts w:hint="eastAsia" w:ascii="宋体" w:hAnsi="宋体" w:eastAsia="宋体" w:cs="宋体"/>
        </w:rPr>
        <w:t>若有下述情况之一，管汇可不设压力安全阀（PSV）：</w:t>
      </w:r>
    </w:p>
    <w:p w14:paraId="4FF97D9F">
      <w:pPr>
        <w:pStyle w:val="305"/>
        <w:numPr>
          <w:ilvl w:val="0"/>
          <w:numId w:val="37"/>
        </w:numPr>
      </w:pPr>
      <w:r>
        <w:rPr>
          <w:rFonts w:hint="eastAsia"/>
        </w:rPr>
        <w:t>管汇的</w:t>
      </w:r>
      <w:r>
        <w:t>最大允许工作压力（MAWP）</w:t>
      </w:r>
      <w:r>
        <w:rPr>
          <w:rFonts w:hint="eastAsia"/>
        </w:rPr>
        <w:t>大于任何输入源的最大关井压力（M</w:t>
      </w:r>
      <w:r>
        <w:t>SITP</w:t>
      </w:r>
      <w:r>
        <w:rPr>
          <w:rFonts w:hint="eastAsia"/>
        </w:rPr>
        <w:t>）；</w:t>
      </w:r>
    </w:p>
    <w:p w14:paraId="4F42BCD2">
      <w:pPr>
        <w:pStyle w:val="305"/>
        <w:numPr>
          <w:ilvl w:val="0"/>
          <w:numId w:val="37"/>
        </w:numPr>
      </w:pPr>
      <w:r>
        <w:rPr>
          <w:rFonts w:hint="eastAsia"/>
        </w:rPr>
        <w:t>虽然输入源的最大关井压力（M</w:t>
      </w:r>
      <w:r>
        <w:t>SITP</w:t>
      </w:r>
      <w:r>
        <w:rPr>
          <w:rFonts w:hint="eastAsia"/>
        </w:rPr>
        <w:t>）大于管汇的</w:t>
      </w:r>
      <w:r>
        <w:t>最大允许工作压力（MAWP）</w:t>
      </w:r>
      <w:r>
        <w:rPr>
          <w:rFonts w:hint="eastAsia"/>
        </w:rPr>
        <w:t>，但每个输入源有</w:t>
      </w:r>
      <w:r>
        <w:t>压力安全阀（PSV）</w:t>
      </w:r>
      <w:r>
        <w:rPr>
          <w:rFonts w:hint="eastAsia"/>
        </w:rPr>
        <w:t>保护；</w:t>
      </w:r>
    </w:p>
    <w:p w14:paraId="2AFD6F14">
      <w:pPr>
        <w:pStyle w:val="305"/>
        <w:numPr>
          <w:ilvl w:val="0"/>
          <w:numId w:val="37"/>
        </w:numPr>
      </w:pPr>
      <w:r>
        <w:rPr>
          <w:rFonts w:hint="eastAsia"/>
        </w:rPr>
        <w:t>下游设备上的</w:t>
      </w:r>
      <w:r>
        <w:t>压力安全阀（PSV）</w:t>
      </w:r>
      <w:r>
        <w:rPr>
          <w:rFonts w:hint="eastAsia"/>
        </w:rPr>
        <w:t>可保护管汇，且不能与之隔断；</w:t>
      </w:r>
    </w:p>
    <w:p w14:paraId="62CBBEA4">
      <w:pPr>
        <w:pStyle w:val="305"/>
        <w:numPr>
          <w:ilvl w:val="0"/>
          <w:numId w:val="37"/>
        </w:numPr>
      </w:pPr>
      <w:r>
        <w:rPr>
          <w:rFonts w:hint="eastAsia"/>
        </w:rPr>
        <w:t>管汇用于火炬、泄放、放空或其它常压作业，且出口管线未设阀门；</w:t>
      </w:r>
    </w:p>
    <w:p w14:paraId="22AA69AF">
      <w:pPr>
        <w:pStyle w:val="305"/>
        <w:numPr>
          <w:ilvl w:val="0"/>
          <w:numId w:val="37"/>
        </w:numPr>
      </w:pPr>
      <w:r>
        <w:rPr>
          <w:rFonts w:hint="eastAsia"/>
        </w:rPr>
        <w:t>输入源为井口，其压力大于管汇的</w:t>
      </w:r>
      <w:r>
        <w:t>最大允许工作压力（MAWP）</w:t>
      </w:r>
      <w:r>
        <w:rPr>
          <w:rFonts w:hint="eastAsia"/>
        </w:rPr>
        <w:t>，井口设有两个</w:t>
      </w:r>
      <w:r>
        <w:t>独立</w:t>
      </w:r>
      <w:r>
        <w:rPr>
          <w:rFonts w:hint="eastAsia"/>
        </w:rPr>
        <w:t>控制</w:t>
      </w:r>
      <w:r>
        <w:t>的</w:t>
      </w:r>
      <w:r>
        <w:rPr>
          <w:rFonts w:hint="eastAsia"/>
        </w:rPr>
        <w:t>关断阀（SDV）</w:t>
      </w:r>
      <w:r>
        <w:t>（</w:t>
      </w:r>
      <w:r>
        <w:rPr>
          <w:rFonts w:hint="eastAsia"/>
        </w:rPr>
        <w:t>其中一个可以为</w:t>
      </w:r>
      <w:r>
        <w:t>SSV），</w:t>
      </w:r>
      <w:r>
        <w:rPr>
          <w:rFonts w:hint="eastAsia"/>
        </w:rPr>
        <w:t>上游应提供足够的管道容积，在压力超过管道</w:t>
      </w:r>
      <w:r>
        <w:t>最大允许工作压力（MAWP）</w:t>
      </w:r>
      <w:r>
        <w:rPr>
          <w:rFonts w:hint="eastAsia"/>
        </w:rPr>
        <w:t>之前，有足够时间关闭井上安全阀（SSV）；压力大于管汇</w:t>
      </w:r>
      <w:r>
        <w:t>最大允许工作压力（MAWP）</w:t>
      </w:r>
      <w:r>
        <w:rPr>
          <w:rFonts w:hint="eastAsia"/>
        </w:rPr>
        <w:t>的其他输入源由</w:t>
      </w:r>
      <w:r>
        <w:t>压力安全阀（PSV）</w:t>
      </w:r>
      <w:r>
        <w:rPr>
          <w:rFonts w:hint="eastAsia"/>
        </w:rPr>
        <w:t>保护；</w:t>
      </w:r>
    </w:p>
    <w:p w14:paraId="09DDE513">
      <w:pPr>
        <w:pStyle w:val="305"/>
        <w:numPr>
          <w:ilvl w:val="0"/>
          <w:numId w:val="37"/>
        </w:numPr>
      </w:pPr>
      <w:r>
        <w:rPr>
          <w:rFonts w:hint="eastAsia"/>
        </w:rPr>
        <w:t>输入源为井口，其压力大于管汇的</w:t>
      </w:r>
      <w:r>
        <w:t>最大允许工作压力（MAWP）</w:t>
      </w:r>
      <w:r>
        <w:rPr>
          <w:rFonts w:hint="eastAsia"/>
        </w:rPr>
        <w:t>，由符合要求的高完整性压力保护系统（HIPPS）提供保护。</w:t>
      </w:r>
    </w:p>
    <w:p w14:paraId="22C4D70E">
      <w:pPr>
        <w:pStyle w:val="261"/>
        <w:spacing w:before="156" w:after="156"/>
        <w:outlineLvl w:val="2"/>
      </w:pPr>
      <w:r>
        <w:rPr>
          <w:rFonts w:hint="eastAsia"/>
        </w:rPr>
        <w:t>压力容器</w:t>
      </w:r>
    </w:p>
    <w:p w14:paraId="2B1E8F6D">
      <w:pPr>
        <w:pStyle w:val="521"/>
        <w:ind w:firstLine="420"/>
        <w:rPr>
          <w:rFonts w:ascii="Times New Roman"/>
          <w:szCs w:val="21"/>
        </w:rPr>
      </w:pPr>
      <w:r>
        <w:rPr>
          <w:rFonts w:ascii="Times New Roman"/>
          <w:szCs w:val="21"/>
        </w:rPr>
        <w:t>所涉及的压力容器指在压力下对油井流体进行分离、脱水、储存、缓冲和</w:t>
      </w:r>
      <w:r>
        <w:rPr>
          <w:rFonts w:hint="eastAsia" w:ascii="Times New Roman"/>
          <w:szCs w:val="21"/>
        </w:rPr>
        <w:t>增压</w:t>
      </w:r>
      <w:r>
        <w:rPr>
          <w:rFonts w:ascii="Times New Roman"/>
          <w:szCs w:val="21"/>
        </w:rPr>
        <w:t>用的压力容器</w:t>
      </w:r>
      <w:r>
        <w:rPr>
          <w:rFonts w:hint="eastAsia" w:ascii="Times New Roman"/>
          <w:szCs w:val="21"/>
        </w:rPr>
        <w:t>。当压力容器操作需要加热时，将涉及安装在容器内的电加热器，以及温度对容器内工艺处理的影响。</w:t>
      </w:r>
    </w:p>
    <w:p w14:paraId="019F3A4A">
      <w:pPr>
        <w:pStyle w:val="327"/>
        <w:spacing w:before="156" w:beforeLines="50" w:after="156" w:afterLines="50"/>
        <w:outlineLvl w:val="4"/>
        <w:rPr>
          <w:rFonts w:hint="eastAsia" w:ascii="黑体" w:hAnsi="黑体" w:eastAsia="黑体" w:cs="黑体"/>
        </w:rPr>
      </w:pPr>
      <w:r>
        <w:rPr>
          <w:rFonts w:hint="eastAsia" w:ascii="黑体" w:hAnsi="黑体" w:eastAsia="黑体" w:cs="黑体"/>
        </w:rPr>
        <w:t>压力安全保护</w:t>
      </w:r>
    </w:p>
    <w:p w14:paraId="5E97DE51">
      <w:pPr>
        <w:pStyle w:val="328"/>
        <w:rPr>
          <w:rFonts w:hint="eastAsia" w:ascii="宋体" w:hAnsi="宋体" w:eastAsia="宋体" w:cs="宋体"/>
        </w:rPr>
      </w:pPr>
      <w:r>
        <w:rPr>
          <w:rFonts w:hint="eastAsia" w:ascii="宋体" w:hAnsi="宋体" w:eastAsia="宋体" w:cs="宋体"/>
        </w:rPr>
        <w:t>接受从井口或其它可能导致超压的输入源流体的压力容器，应采用高压传感器（PSH）保护，以便必要时切断流入。若满足下列条件之一，容器上可不设高压传感器（PSH）：</w:t>
      </w:r>
    </w:p>
    <w:p w14:paraId="1A74B05F">
      <w:pPr>
        <w:pStyle w:val="305"/>
        <w:numPr>
          <w:ilvl w:val="0"/>
          <w:numId w:val="38"/>
        </w:numPr>
        <w:rPr>
          <w:rFonts w:hint="eastAsia" w:hAnsi="宋体" w:cs="宋体"/>
        </w:rPr>
      </w:pPr>
      <w:r>
        <w:rPr>
          <w:rFonts w:hint="eastAsia" w:hAnsi="宋体" w:cs="宋体"/>
        </w:rPr>
        <w:t>输入源来自泵或压缩机，且产生的压力不可能大于容器的最大允许工作压力（MAWP）；</w:t>
      </w:r>
    </w:p>
    <w:p w14:paraId="0A470546">
      <w:pPr>
        <w:pStyle w:val="305"/>
        <w:numPr>
          <w:ilvl w:val="0"/>
          <w:numId w:val="38"/>
        </w:numPr>
        <w:rPr>
          <w:rFonts w:hint="eastAsia" w:hAnsi="宋体" w:cs="宋体"/>
        </w:rPr>
      </w:pPr>
      <w:r>
        <w:rPr>
          <w:rFonts w:hint="eastAsia" w:hAnsi="宋体" w:cs="宋体"/>
        </w:rPr>
        <w:t>输入源不是井口出油管线、生产管汇或管线，且每个输入源都有一个高压传感器（PSH）保护；</w:t>
      </w:r>
    </w:p>
    <w:p w14:paraId="60052B59">
      <w:pPr>
        <w:pStyle w:val="305"/>
        <w:numPr>
          <w:ilvl w:val="0"/>
          <w:numId w:val="38"/>
        </w:numPr>
        <w:rPr>
          <w:rFonts w:hint="eastAsia" w:hAnsi="宋体" w:cs="宋体"/>
        </w:rPr>
      </w:pPr>
      <w:r>
        <w:rPr>
          <w:rFonts w:hint="eastAsia" w:hAnsi="宋体" w:cs="宋体"/>
        </w:rPr>
        <w:t>气相出口通过不带隔离阀或调节阀的合适尺寸管线连接到下游设备，可由上游容器的高压传感器（PSH）保护；</w:t>
      </w:r>
    </w:p>
    <w:p w14:paraId="11DD3057">
      <w:pPr>
        <w:pStyle w:val="305"/>
        <w:numPr>
          <w:ilvl w:val="0"/>
          <w:numId w:val="38"/>
        </w:numPr>
        <w:rPr>
          <w:rFonts w:hint="eastAsia" w:hAnsi="宋体" w:cs="宋体"/>
        </w:rPr>
      </w:pPr>
      <w:r>
        <w:rPr>
          <w:rFonts w:hint="eastAsia" w:hAnsi="宋体" w:cs="宋体"/>
        </w:rPr>
        <w:t>容器是火炬、泄放、放空系统的最后一级气涤器，并且其设计压力能承受最大聚集回压；</w:t>
      </w:r>
    </w:p>
    <w:p w14:paraId="742C6ED2">
      <w:pPr>
        <w:pStyle w:val="305"/>
        <w:numPr>
          <w:ilvl w:val="0"/>
          <w:numId w:val="38"/>
        </w:numPr>
        <w:rPr>
          <w:rFonts w:hint="eastAsia" w:hAnsi="宋体" w:cs="宋体"/>
        </w:rPr>
      </w:pPr>
      <w:r>
        <w:rPr>
          <w:rFonts w:hint="eastAsia" w:hAnsi="宋体" w:cs="宋体"/>
        </w:rPr>
        <w:t>容器为常压操作且设有适当的放空系统。</w:t>
      </w:r>
    </w:p>
    <w:p w14:paraId="44DB6F93">
      <w:pPr>
        <w:pStyle w:val="328"/>
        <w:rPr>
          <w:rFonts w:hint="eastAsia" w:ascii="宋体" w:hAnsi="宋体" w:eastAsia="宋体" w:cs="宋体"/>
        </w:rPr>
      </w:pPr>
      <w:r>
        <w:rPr>
          <w:rFonts w:hint="eastAsia" w:ascii="宋体" w:hAnsi="宋体" w:eastAsia="宋体" w:cs="宋体"/>
        </w:rPr>
        <w:t>当泄漏量大到足以降低压力时，应采用低压传感器（PSL）保护，以便在必要时切断输入源。若满足下列条件之一，容器上可不设低压传感器（PSL）：</w:t>
      </w:r>
    </w:p>
    <w:p w14:paraId="1ADD08A2">
      <w:pPr>
        <w:pStyle w:val="305"/>
        <w:numPr>
          <w:ilvl w:val="0"/>
          <w:numId w:val="39"/>
        </w:numPr>
        <w:rPr>
          <w:rFonts w:hint="eastAsia" w:hAnsi="宋体" w:cs="宋体"/>
        </w:rPr>
      </w:pPr>
      <w:r>
        <w:rPr>
          <w:rFonts w:hint="eastAsia" w:hAnsi="宋体" w:cs="宋体"/>
        </w:rPr>
        <w:t>容器在常压下操作，则可不设低压传感器（PSL）；</w:t>
      </w:r>
    </w:p>
    <w:p w14:paraId="5AE4BAD8">
      <w:pPr>
        <w:pStyle w:val="305"/>
        <w:numPr>
          <w:ilvl w:val="0"/>
          <w:numId w:val="39"/>
        </w:numPr>
        <w:rPr>
          <w:rFonts w:hint="eastAsia" w:hAnsi="宋体" w:cs="宋体"/>
        </w:rPr>
      </w:pPr>
      <w:r>
        <w:rPr>
          <w:rFonts w:hint="eastAsia" w:hAnsi="宋体" w:cs="宋体"/>
        </w:rPr>
        <w:t>每个输入源都设有低压传感器（PSL），且在低压传感器（PSL）和容器之间未设压力控制装置或节流装置；</w:t>
      </w:r>
    </w:p>
    <w:p w14:paraId="0D05EDC7">
      <w:pPr>
        <w:pStyle w:val="305"/>
        <w:numPr>
          <w:ilvl w:val="0"/>
          <w:numId w:val="39"/>
        </w:numPr>
        <w:rPr>
          <w:rFonts w:hint="eastAsia" w:hAnsi="宋体" w:cs="宋体"/>
        </w:rPr>
      </w:pPr>
      <w:r>
        <w:rPr>
          <w:rFonts w:hint="eastAsia" w:hAnsi="宋体" w:cs="宋体"/>
        </w:rPr>
        <w:t>其它设备上的低压传感器（PSL）可保护容器，且不与之隔离；</w:t>
      </w:r>
    </w:p>
    <w:p w14:paraId="5152FC31">
      <w:pPr>
        <w:pStyle w:val="305"/>
        <w:numPr>
          <w:ilvl w:val="0"/>
          <w:numId w:val="39"/>
        </w:numPr>
        <w:rPr>
          <w:rFonts w:hint="eastAsia" w:hAnsi="宋体" w:cs="宋体"/>
        </w:rPr>
      </w:pPr>
      <w:r>
        <w:rPr>
          <w:rFonts w:hint="eastAsia" w:hAnsi="宋体" w:cs="宋体"/>
        </w:rPr>
        <w:t>气相出口通过不带隔离阀或调节阀的合适尺寸管线连接到下游设备，可由上游容器的低压传感器（PSL）保护。</w:t>
      </w:r>
    </w:p>
    <w:p w14:paraId="0348942D">
      <w:pPr>
        <w:pStyle w:val="328"/>
        <w:rPr>
          <w:rFonts w:hint="eastAsia" w:ascii="宋体" w:hAnsi="宋体" w:eastAsia="宋体" w:cs="宋体"/>
        </w:rPr>
      </w:pPr>
      <w:r>
        <w:rPr>
          <w:rFonts w:hint="eastAsia" w:ascii="宋体" w:hAnsi="宋体" w:eastAsia="宋体" w:cs="宋体"/>
        </w:rPr>
        <w:t>压力容器应采用一个或多个释放能力合适的压力安全阀（PSV）保护，且至少有一个压力安全阀（PSV）的设定点不大于容器的最大允许工作压力（MAWP）。若满足下列条件之一，容器上可不设压力安全阀（PSV）：</w:t>
      </w:r>
    </w:p>
    <w:p w14:paraId="63E00F2D">
      <w:pPr>
        <w:pStyle w:val="305"/>
        <w:numPr>
          <w:ilvl w:val="0"/>
          <w:numId w:val="40"/>
        </w:numPr>
        <w:rPr>
          <w:rFonts w:hint="eastAsia" w:hAnsi="宋体" w:cs="宋体"/>
        </w:rPr>
      </w:pPr>
      <w:r>
        <w:rPr>
          <w:rFonts w:hint="eastAsia" w:hAnsi="宋体" w:cs="宋体"/>
        </w:rPr>
        <w:t>上游或下游设备上的压力安全阀（PSV）能保护容器且不与之隔离；</w:t>
      </w:r>
    </w:p>
    <w:p w14:paraId="038710C7">
      <w:pPr>
        <w:pStyle w:val="305"/>
        <w:numPr>
          <w:ilvl w:val="0"/>
          <w:numId w:val="40"/>
        </w:numPr>
        <w:rPr>
          <w:rFonts w:hint="eastAsia" w:hAnsi="宋体" w:cs="宋体"/>
        </w:rPr>
      </w:pPr>
      <w:r>
        <w:rPr>
          <w:rFonts w:hint="eastAsia" w:hAnsi="宋体" w:cs="宋体"/>
        </w:rPr>
        <w:t>每个输入源都由一个压力安全阀（PSV）保护，其设定压力不高于容器的最大允许工作压力（MAWP），其中至少有一个PSV不能与容器隔离，且该压力安全阀（PSV）足以满足受保护容器的火灾和热膨胀工况要求；</w:t>
      </w:r>
    </w:p>
    <w:p w14:paraId="06B1DE75">
      <w:pPr>
        <w:pStyle w:val="305"/>
        <w:numPr>
          <w:ilvl w:val="0"/>
          <w:numId w:val="40"/>
        </w:numPr>
        <w:rPr>
          <w:rFonts w:hint="eastAsia" w:hAnsi="宋体" w:cs="宋体"/>
        </w:rPr>
      </w:pPr>
      <w:r>
        <w:rPr>
          <w:rFonts w:hint="eastAsia" w:hAnsi="宋体" w:cs="宋体"/>
        </w:rPr>
        <w:t>对于实际情况下不能受压力安全阀（PSV）保护的超压容器，需要设高完整性压力保护系统（HIPPS）。</w:t>
      </w:r>
    </w:p>
    <w:p w14:paraId="2F2DF5B2">
      <w:pPr>
        <w:pStyle w:val="327"/>
        <w:spacing w:before="156" w:beforeLines="50" w:after="156" w:afterLines="50"/>
        <w:outlineLvl w:val="4"/>
        <w:rPr>
          <w:rFonts w:hint="eastAsia" w:ascii="黑体" w:hAnsi="黑体" w:eastAsia="黑体" w:cs="黑体"/>
        </w:rPr>
      </w:pPr>
      <w:r>
        <w:rPr>
          <w:rFonts w:hint="eastAsia" w:ascii="黑体" w:hAnsi="黑体" w:eastAsia="黑体" w:cs="黑体"/>
        </w:rPr>
        <w:t>液位安全保护</w:t>
      </w:r>
    </w:p>
    <w:p w14:paraId="310DECC9">
      <w:pPr>
        <w:pStyle w:val="328"/>
        <w:rPr>
          <w:rFonts w:hint="eastAsia" w:ascii="宋体" w:hAnsi="宋体" w:eastAsia="宋体" w:cs="宋体"/>
        </w:rPr>
      </w:pPr>
      <w:r>
        <w:rPr>
          <w:rFonts w:hint="eastAsia" w:ascii="宋体" w:hAnsi="宋体" w:eastAsia="宋体" w:cs="宋体"/>
        </w:rPr>
        <w:t>向火炬排放的压力容器应当采用高液位传感器（LSH）保护，以切断输入源。不直接向火炬排放的压力容器也要用高液位传感器（LSH）保护，除非下游设备能安全处理最大来液量。</w:t>
      </w:r>
    </w:p>
    <w:p w14:paraId="27A0FA5B">
      <w:pPr>
        <w:pStyle w:val="328"/>
        <w:rPr>
          <w:rFonts w:hint="eastAsia" w:ascii="宋体" w:hAnsi="宋体" w:eastAsia="宋体" w:cs="宋体"/>
        </w:rPr>
      </w:pPr>
      <w:r>
        <w:rPr>
          <w:rFonts w:hint="eastAsia" w:ascii="宋体" w:hAnsi="宋体" w:eastAsia="宋体" w:cs="宋体"/>
        </w:rPr>
        <w:t>压力容器应用低液位传感器（LSL）保护，以切断输入源或关闭出口以防气窜。如在正常作业中，压力容器中不需保持一定的液位或下游设备能安全地处理气窜，则压力容器可不设低液位传感器（LSL）。</w:t>
      </w:r>
    </w:p>
    <w:p w14:paraId="2E3A7A56">
      <w:pPr>
        <w:pStyle w:val="328"/>
        <w:rPr>
          <w:rFonts w:hint="eastAsia" w:ascii="宋体" w:hAnsi="宋体" w:eastAsia="宋体" w:cs="宋体"/>
        </w:rPr>
      </w:pPr>
      <w:r>
        <w:rPr>
          <w:rFonts w:hint="eastAsia" w:ascii="宋体" w:hAnsi="宋体" w:eastAsia="宋体" w:cs="宋体"/>
        </w:rPr>
        <w:t>加热元件浸没在液体中的压力容器，应设低液位传感器（LSL）以便加热元件上方液位过低时切断热源。</w:t>
      </w:r>
    </w:p>
    <w:p w14:paraId="5BE2EF36">
      <w:pPr>
        <w:pStyle w:val="328"/>
        <w:rPr>
          <w:rFonts w:hint="eastAsia" w:ascii="宋体" w:hAnsi="宋体" w:eastAsia="宋体" w:cs="宋体"/>
        </w:rPr>
      </w:pPr>
      <w:r>
        <w:rPr>
          <w:rFonts w:hint="eastAsia" w:ascii="宋体" w:hAnsi="宋体" w:eastAsia="宋体" w:cs="宋体"/>
        </w:rPr>
        <w:t>若压力容器不作为气、液分离之用，或为手动排放的小型压力容器，则不需设液位安全装置。</w:t>
      </w:r>
    </w:p>
    <w:p w14:paraId="60534D05">
      <w:pPr>
        <w:pStyle w:val="327"/>
        <w:spacing w:before="156" w:beforeLines="50" w:after="156" w:afterLines="50"/>
        <w:outlineLvl w:val="4"/>
        <w:rPr>
          <w:rFonts w:hint="eastAsia" w:ascii="黑体" w:hAnsi="黑体" w:eastAsia="黑体" w:cs="黑体"/>
        </w:rPr>
      </w:pPr>
      <w:r>
        <w:rPr>
          <w:rFonts w:hint="eastAsia" w:ascii="黑体" w:hAnsi="黑体" w:eastAsia="黑体" w:cs="黑体"/>
        </w:rPr>
        <w:t>温度安全保护</w:t>
      </w:r>
    </w:p>
    <w:p w14:paraId="695D38F4">
      <w:pPr>
        <w:pStyle w:val="328"/>
        <w:rPr>
          <w:rFonts w:hint="eastAsia" w:ascii="宋体" w:hAnsi="宋体" w:eastAsia="宋体" w:cs="宋体"/>
        </w:rPr>
      </w:pPr>
      <w:r>
        <w:rPr>
          <w:rFonts w:hint="eastAsia" w:ascii="宋体" w:hAnsi="宋体" w:eastAsia="宋体" w:cs="宋体"/>
        </w:rPr>
        <w:t>若压力容器中的流体需加热，则应设高温传感器（TSH），以便当工艺流体超温时切断热源。</w:t>
      </w:r>
    </w:p>
    <w:p w14:paraId="1A56EAB8">
      <w:pPr>
        <w:pStyle w:val="328"/>
        <w:rPr>
          <w:rFonts w:hint="eastAsia" w:ascii="宋体" w:hAnsi="宋体" w:eastAsia="宋体" w:cs="宋体"/>
        </w:rPr>
      </w:pPr>
      <w:r>
        <w:rPr>
          <w:rFonts w:hint="eastAsia" w:ascii="宋体" w:hAnsi="宋体" w:eastAsia="宋体" w:cs="宋体"/>
        </w:rPr>
        <w:t>若压力容器、管道或设备暴露在焦耳汤姆逊效应（J-T）的冷却条件下，则需要提供低温传感器（TSL）传感器以切断产生焦耳汤姆逊效应（J-T）效应的冷源。</w:t>
      </w:r>
    </w:p>
    <w:p w14:paraId="65816287">
      <w:pPr>
        <w:pStyle w:val="327"/>
        <w:spacing w:before="156" w:beforeLines="50" w:after="156" w:afterLines="50"/>
        <w:outlineLvl w:val="4"/>
        <w:rPr>
          <w:rFonts w:hint="eastAsia" w:ascii="黑体" w:hAnsi="黑体" w:eastAsia="黑体" w:cs="黑体"/>
        </w:rPr>
      </w:pPr>
      <w:r>
        <w:rPr>
          <w:rFonts w:hint="eastAsia" w:ascii="黑体" w:hAnsi="黑体" w:eastAsia="黑体" w:cs="黑体"/>
        </w:rPr>
        <w:t>流动安全保护</w:t>
      </w:r>
    </w:p>
    <w:p w14:paraId="4597BF78">
      <w:pPr>
        <w:pStyle w:val="328"/>
        <w:rPr>
          <w:rFonts w:hint="eastAsia" w:ascii="宋体" w:hAnsi="宋体" w:eastAsia="宋体" w:cs="宋体"/>
        </w:rPr>
      </w:pPr>
      <w:r>
        <w:rPr>
          <w:rFonts w:hint="eastAsia" w:ascii="Times New Roman" w:eastAsia="宋体"/>
        </w:rPr>
        <w:t>若存在因泄漏导致大量流体由下游工艺设备回流的可能性时，应在压力容器的每个气、液排出管道上设置</w:t>
      </w:r>
      <w:r>
        <w:rPr>
          <w:rFonts w:ascii="Times New Roman" w:eastAsia="宋体"/>
        </w:rPr>
        <w:t>流动安全</w:t>
      </w:r>
      <w:r>
        <w:rPr>
          <w:rFonts w:hint="eastAsia" w:ascii="Times New Roman"/>
        </w:rPr>
        <w:t>阀</w:t>
      </w:r>
      <w:r>
        <w:rPr>
          <w:rFonts w:hint="eastAsia" w:ascii="宋体" w:hAnsi="宋体" w:eastAsia="宋体" w:cs="宋体"/>
        </w:rPr>
        <w:t>（FSV）。</w:t>
      </w:r>
    </w:p>
    <w:p w14:paraId="79195E52">
      <w:pPr>
        <w:pStyle w:val="328"/>
        <w:rPr>
          <w:rFonts w:hint="eastAsia" w:ascii="宋体" w:hAnsi="宋体" w:eastAsia="宋体" w:cs="宋体"/>
          <w:szCs w:val="20"/>
        </w:rPr>
      </w:pPr>
      <w:r>
        <w:rPr>
          <w:rFonts w:hint="eastAsia" w:ascii="宋体" w:hAnsi="宋体" w:eastAsia="宋体" w:cs="宋体"/>
        </w:rPr>
        <w:t>若管道上的控制或安全装置能有效地减少回流，则不需要设流动安全阀（FSV）。</w:t>
      </w:r>
    </w:p>
    <w:p w14:paraId="082A8055">
      <w:pPr>
        <w:pStyle w:val="261"/>
        <w:spacing w:before="156" w:after="156"/>
        <w:outlineLvl w:val="2"/>
      </w:pPr>
      <w:r>
        <w:rPr>
          <w:rFonts w:hint="eastAsia"/>
        </w:rPr>
        <w:t>常压容器</w:t>
      </w:r>
    </w:p>
    <w:p w14:paraId="35524FC0">
      <w:pPr>
        <w:pStyle w:val="521"/>
        <w:ind w:firstLine="420"/>
        <w:rPr>
          <w:rFonts w:ascii="Times New Roman"/>
          <w:szCs w:val="21"/>
        </w:rPr>
      </w:pPr>
      <w:r>
        <w:rPr>
          <w:rFonts w:hint="eastAsia" w:ascii="Times New Roman"/>
          <w:szCs w:val="21"/>
        </w:rPr>
        <w:t>本节所涉及的常压容器系指油气生产工艺/公用系统中在常压下使用的容器，包括: 原油、水处理、储存容器，公用系统储罐以及注水和采油中的处理和储存容器。</w:t>
      </w:r>
    </w:p>
    <w:p w14:paraId="3A1BF959">
      <w:pPr>
        <w:pStyle w:val="327"/>
        <w:spacing w:before="156" w:beforeLines="50" w:after="156" w:afterLines="50"/>
        <w:outlineLvl w:val="4"/>
        <w:rPr>
          <w:rFonts w:hint="eastAsia" w:ascii="黑体" w:hAnsi="黑体" w:eastAsia="黑体" w:cs="黑体"/>
        </w:rPr>
      </w:pPr>
      <w:r>
        <w:rPr>
          <w:rFonts w:hint="eastAsia" w:ascii="黑体" w:hAnsi="黑体" w:eastAsia="黑体" w:cs="黑体"/>
        </w:rPr>
        <w:t>压力安全保护</w:t>
      </w:r>
    </w:p>
    <w:p w14:paraId="6366E320">
      <w:pPr>
        <w:pStyle w:val="328"/>
        <w:rPr>
          <w:rFonts w:ascii="Times New Roman" w:eastAsia="宋体"/>
        </w:rPr>
      </w:pPr>
      <w:r>
        <w:rPr>
          <w:rFonts w:ascii="Times New Roman" w:eastAsia="宋体"/>
        </w:rPr>
        <w:t>常压容器应由适当尺寸的放空系统</w:t>
      </w:r>
      <w:r>
        <w:rPr>
          <w:rFonts w:hint="eastAsia" w:ascii="Times New Roman" w:eastAsia="宋体"/>
        </w:rPr>
        <w:t>提供</w:t>
      </w:r>
      <w:r>
        <w:rPr>
          <w:rFonts w:ascii="Times New Roman" w:eastAsia="宋体"/>
        </w:rPr>
        <w:t>保护，以防止超压和负压。</w:t>
      </w:r>
    </w:p>
    <w:p w14:paraId="2542B1BD">
      <w:pPr>
        <w:pStyle w:val="328"/>
        <w:rPr>
          <w:rFonts w:hint="eastAsia" w:ascii="宋体" w:hAnsi="宋体" w:eastAsia="宋体" w:cs="宋体"/>
        </w:rPr>
      </w:pPr>
      <w:r>
        <w:rPr>
          <w:rFonts w:ascii="Times New Roman" w:eastAsia="宋体"/>
        </w:rPr>
        <w:t>有压力源的常压容器上可</w:t>
      </w:r>
      <w:r>
        <w:rPr>
          <w:rFonts w:hint="eastAsia" w:ascii="Times New Roman" w:eastAsia="宋体"/>
        </w:rPr>
        <w:t>设</w:t>
      </w:r>
      <w:r>
        <w:rPr>
          <w:rFonts w:ascii="宋体" w:hAnsi="宋体" w:cs="宋体"/>
        </w:rPr>
        <w:t>压力真空泄放阀</w:t>
      </w:r>
      <w:r>
        <w:rPr>
          <w:rFonts w:hint="eastAsia" w:ascii="宋体" w:hAnsi="宋体" w:eastAsia="宋体" w:cs="宋体"/>
        </w:rPr>
        <w:t>（PVRV）或第二个放空系统作为二级保护来保护该容器，以防止气体补给系统的控制装置产生污垢而堵塞流体流动。</w:t>
      </w:r>
    </w:p>
    <w:p w14:paraId="1D65FDA6">
      <w:pPr>
        <w:pStyle w:val="328"/>
        <w:rPr>
          <w:rFonts w:hint="eastAsia" w:ascii="宋体" w:hAnsi="宋体" w:eastAsia="宋体" w:cs="宋体"/>
        </w:rPr>
      </w:pPr>
      <w:r>
        <w:rPr>
          <w:rFonts w:hint="eastAsia" w:ascii="宋体" w:hAnsi="宋体" w:eastAsia="宋体" w:cs="宋体"/>
        </w:rPr>
        <w:t>没有压力源管道的常压容器可不设压力真空泄放阀（PVRV）。</w:t>
      </w:r>
    </w:p>
    <w:p w14:paraId="79ED4691">
      <w:pPr>
        <w:pStyle w:val="328"/>
        <w:rPr>
          <w:rFonts w:hint="eastAsia" w:ascii="宋体" w:hAnsi="宋体" w:eastAsia="宋体" w:cs="宋体"/>
        </w:rPr>
      </w:pPr>
      <w:r>
        <w:rPr>
          <w:rFonts w:hint="eastAsia" w:ascii="宋体" w:hAnsi="宋体" w:eastAsia="宋体" w:cs="宋体"/>
        </w:rPr>
        <w:t>用于常压作业的压力容器可不设压力真空泄放阀（PVRV）。</w:t>
      </w:r>
    </w:p>
    <w:p w14:paraId="29F0DDB2">
      <w:pPr>
        <w:pStyle w:val="328"/>
        <w:rPr>
          <w:rFonts w:hint="eastAsia" w:ascii="宋体" w:hAnsi="宋体" w:eastAsia="宋体" w:cs="宋体"/>
        </w:rPr>
      </w:pPr>
      <w:r>
        <w:rPr>
          <w:rFonts w:hint="eastAsia" w:ascii="宋体" w:hAnsi="宋体" w:eastAsia="宋体" w:cs="宋体"/>
        </w:rPr>
        <w:t>储存含有烃类的常压容器放空系统应设阻火器。</w:t>
      </w:r>
    </w:p>
    <w:p w14:paraId="3296B349">
      <w:pPr>
        <w:pStyle w:val="328"/>
        <w:rPr>
          <w:rFonts w:hint="eastAsia" w:ascii="宋体" w:hAnsi="宋体" w:eastAsia="宋体" w:cs="宋体"/>
        </w:rPr>
      </w:pPr>
      <w:r>
        <w:rPr>
          <w:rFonts w:hint="eastAsia" w:ascii="宋体" w:hAnsi="宋体" w:eastAsia="宋体" w:cs="宋体"/>
        </w:rPr>
        <w:t>储存原油的常压容器应设有气体补给系统。</w:t>
      </w:r>
    </w:p>
    <w:p w14:paraId="315FC561">
      <w:pPr>
        <w:pStyle w:val="327"/>
        <w:spacing w:before="156" w:beforeLines="50" w:after="156" w:afterLines="50"/>
        <w:outlineLvl w:val="4"/>
        <w:rPr>
          <w:rFonts w:hint="eastAsia" w:ascii="黑体" w:hAnsi="黑体" w:eastAsia="黑体" w:cs="黑体"/>
        </w:rPr>
      </w:pPr>
      <w:r>
        <w:rPr>
          <w:rFonts w:hint="eastAsia" w:ascii="黑体" w:hAnsi="黑体" w:eastAsia="黑体" w:cs="黑体"/>
        </w:rPr>
        <w:t>液位安全保护</w:t>
      </w:r>
    </w:p>
    <w:p w14:paraId="61088C68">
      <w:pPr>
        <w:pStyle w:val="328"/>
        <w:rPr>
          <w:rFonts w:hint="eastAsia" w:ascii="宋体" w:hAnsi="宋体" w:eastAsia="宋体" w:cs="宋体"/>
        </w:rPr>
      </w:pPr>
      <w:r>
        <w:rPr>
          <w:rFonts w:hint="eastAsia" w:ascii="宋体" w:hAnsi="宋体" w:eastAsia="宋体" w:cs="宋体"/>
        </w:rPr>
        <w:t>除非在灌注作业时有人监视或者能溢流到其它工艺设备，常压容器应设高液位传感器（LSH）以切断输入源。</w:t>
      </w:r>
    </w:p>
    <w:p w14:paraId="12127E5E">
      <w:pPr>
        <w:pStyle w:val="328"/>
        <w:rPr>
          <w:rFonts w:hint="eastAsia" w:ascii="宋体" w:hAnsi="宋体" w:eastAsia="宋体" w:cs="宋体"/>
        </w:rPr>
      </w:pPr>
      <w:r>
        <w:rPr>
          <w:rFonts w:hint="eastAsia" w:ascii="宋体" w:hAnsi="宋体" w:eastAsia="宋体" w:cs="宋体"/>
        </w:rPr>
        <w:t>若容器中装有浸没式加热元件，应设低液位传感器（LSL），以便切断热源。</w:t>
      </w:r>
    </w:p>
    <w:p w14:paraId="50E4D008">
      <w:pPr>
        <w:pStyle w:val="328"/>
        <w:rPr>
          <w:rFonts w:hint="eastAsia" w:ascii="宋体" w:hAnsi="宋体" w:eastAsia="宋体" w:cs="宋体"/>
        </w:rPr>
      </w:pPr>
      <w:r>
        <w:rPr>
          <w:rFonts w:hint="eastAsia" w:ascii="宋体" w:hAnsi="宋体" w:eastAsia="宋体" w:cs="宋体"/>
        </w:rPr>
        <w:t>常压容器液位过低时，应设低液位传感器（LSL），以切断输入源和出口。</w:t>
      </w:r>
    </w:p>
    <w:p w14:paraId="0DA414BF">
      <w:pPr>
        <w:pStyle w:val="328"/>
        <w:rPr>
          <w:rFonts w:hint="eastAsia" w:ascii="宋体" w:hAnsi="宋体" w:eastAsia="宋体" w:cs="宋体"/>
        </w:rPr>
      </w:pPr>
      <w:r>
        <w:rPr>
          <w:rFonts w:hint="eastAsia" w:ascii="宋体" w:hAnsi="宋体" w:eastAsia="宋体" w:cs="宋体"/>
        </w:rPr>
        <w:t>若常压容器是泄漏收集和排放系统的最终容器，且用来排放到安全的地方，可不设低液位传感器（LSL）。</w:t>
      </w:r>
    </w:p>
    <w:p w14:paraId="70B9C4E1">
      <w:pPr>
        <w:pStyle w:val="327"/>
        <w:spacing w:before="156" w:beforeLines="50" w:after="156" w:afterLines="50"/>
        <w:outlineLvl w:val="4"/>
        <w:rPr>
          <w:rFonts w:hint="eastAsia" w:ascii="黑体" w:hAnsi="黑体" w:eastAsia="黑体" w:cs="黑体"/>
        </w:rPr>
      </w:pPr>
      <w:r>
        <w:rPr>
          <w:rFonts w:hint="eastAsia" w:ascii="黑体" w:hAnsi="黑体" w:eastAsia="黑体" w:cs="黑体"/>
        </w:rPr>
        <w:t>温度安全保护</w:t>
      </w:r>
    </w:p>
    <w:p w14:paraId="7D0B5E20">
      <w:pPr>
        <w:pStyle w:val="521"/>
        <w:ind w:firstLine="420"/>
        <w:rPr>
          <w:rFonts w:ascii="Times New Roman"/>
          <w:szCs w:val="21"/>
        </w:rPr>
      </w:pPr>
      <w:r>
        <w:rPr>
          <w:rFonts w:hint="eastAsia" w:ascii="Times New Roman"/>
          <w:szCs w:val="21"/>
        </w:rPr>
        <w:t>若</w:t>
      </w:r>
      <w:r>
        <w:rPr>
          <w:rFonts w:ascii="Times New Roman"/>
          <w:szCs w:val="21"/>
        </w:rPr>
        <w:t>常压容器中液体需加热，则应设</w:t>
      </w:r>
      <w:r>
        <w:rPr>
          <w:rFonts w:hint="eastAsia" w:ascii="Times New Roman"/>
          <w:szCs w:val="21"/>
        </w:rPr>
        <w:t>高温传感</w:t>
      </w:r>
      <w:r>
        <w:rPr>
          <w:rFonts w:hint="eastAsia" w:hAnsi="宋体" w:cs="宋体"/>
          <w:szCs w:val="21"/>
        </w:rPr>
        <w:t>器（TSH）以</w:t>
      </w:r>
      <w:r>
        <w:rPr>
          <w:rFonts w:ascii="Times New Roman"/>
          <w:szCs w:val="21"/>
        </w:rPr>
        <w:t>便当工艺流体过热时切断热源。</w:t>
      </w:r>
    </w:p>
    <w:p w14:paraId="62AB9B92">
      <w:pPr>
        <w:pStyle w:val="261"/>
        <w:spacing w:before="156" w:after="156"/>
        <w:outlineLvl w:val="2"/>
      </w:pPr>
      <w:r>
        <w:rPr>
          <w:rFonts w:hint="eastAsia"/>
        </w:rPr>
        <w:t>受火设备和废热回收设备</w:t>
      </w:r>
    </w:p>
    <w:p w14:paraId="2D058EF8">
      <w:pPr>
        <w:pStyle w:val="327"/>
        <w:spacing w:before="156" w:beforeLines="50" w:after="156" w:afterLines="50"/>
        <w:outlineLvl w:val="4"/>
        <w:rPr>
          <w:rFonts w:hint="eastAsia" w:ascii="黑体" w:hAnsi="黑体" w:eastAsia="黑体" w:cs="黑体"/>
        </w:rPr>
      </w:pPr>
      <w:r>
        <w:rPr>
          <w:rFonts w:ascii="黑体" w:hAnsi="黑体" w:eastAsia="黑体" w:cs="黑体"/>
        </w:rPr>
        <w:t>温度安全保护</w:t>
      </w:r>
    </w:p>
    <w:p w14:paraId="6F960A97">
      <w:pPr>
        <w:pStyle w:val="328"/>
        <w:rPr>
          <w:rFonts w:hint="eastAsia" w:ascii="宋体" w:hAnsi="宋体" w:eastAsia="宋体" w:cs="宋体"/>
        </w:rPr>
      </w:pPr>
      <w:r>
        <w:rPr>
          <w:rFonts w:hint="eastAsia" w:ascii="宋体" w:hAnsi="宋体" w:eastAsia="宋体" w:cs="宋体"/>
        </w:rPr>
        <w:t>受火设备中的介质或工艺流体应由高温传感器（TSH）监控其温度</w:t>
      </w:r>
      <w:r>
        <w:rPr>
          <w:rFonts w:hint="eastAsia" w:ascii="宋体" w:hAnsi="宋体" w:eastAsia="宋体" w:cs="宋体"/>
          <w:lang w:eastAsia="zh-CN"/>
        </w:rPr>
        <w:t>，</w:t>
      </w:r>
      <w:r>
        <w:rPr>
          <w:rFonts w:hint="eastAsia" w:ascii="宋体" w:hAnsi="宋体" w:eastAsia="宋体" w:cs="宋体"/>
        </w:rPr>
        <w:t xml:space="preserve"> 以便在必要时切断燃料供应和可燃介质输入源。</w:t>
      </w:r>
    </w:p>
    <w:p w14:paraId="6F9046C4">
      <w:pPr>
        <w:pStyle w:val="328"/>
        <w:rPr>
          <w:rFonts w:hint="eastAsia" w:ascii="宋体" w:hAnsi="宋体" w:eastAsia="宋体" w:cs="宋体"/>
        </w:rPr>
      </w:pPr>
      <w:r>
        <w:rPr>
          <w:rFonts w:hint="eastAsia" w:ascii="宋体" w:hAnsi="宋体" w:eastAsia="宋体" w:cs="宋体"/>
        </w:rPr>
        <w:t>废热回收设备应设高温传感器（TSH）</w:t>
      </w:r>
      <w:r>
        <w:rPr>
          <w:rFonts w:hint="eastAsia" w:ascii="宋体" w:hAnsi="宋体" w:eastAsia="宋体" w:cs="宋体"/>
          <w:lang w:eastAsia="zh-CN"/>
        </w:rPr>
        <w:t>，</w:t>
      </w:r>
      <w:r>
        <w:rPr>
          <w:rFonts w:hint="eastAsia" w:ascii="宋体" w:hAnsi="宋体" w:eastAsia="宋体" w:cs="宋体"/>
        </w:rPr>
        <w:t xml:space="preserve"> 以便在必要时将废热载体分流或切断。</w:t>
      </w:r>
    </w:p>
    <w:p w14:paraId="2ABF1314">
      <w:pPr>
        <w:pStyle w:val="328"/>
        <w:rPr>
          <w:rFonts w:hint="eastAsia" w:ascii="宋体" w:hAnsi="宋体" w:eastAsia="宋体" w:cs="宋体"/>
        </w:rPr>
      </w:pPr>
      <w:r>
        <w:rPr>
          <w:rFonts w:hint="eastAsia" w:ascii="宋体" w:hAnsi="宋体" w:eastAsia="宋体" w:cs="宋体"/>
        </w:rPr>
        <w:t>对于常压操作的间接水浴加热器，通常不需要设置高温传感器（TSH）来监测介质或工艺流体的温度。</w:t>
      </w:r>
    </w:p>
    <w:p w14:paraId="770AA8B0">
      <w:pPr>
        <w:pStyle w:val="328"/>
        <w:rPr>
          <w:rFonts w:hint="eastAsia" w:ascii="宋体" w:hAnsi="宋体" w:eastAsia="宋体" w:cs="宋体"/>
        </w:rPr>
      </w:pPr>
      <w:r>
        <w:rPr>
          <w:rFonts w:hint="eastAsia" w:ascii="宋体" w:hAnsi="宋体" w:eastAsia="宋体" w:cs="宋体"/>
        </w:rPr>
        <w:t>若介质是在封闭的传热系统中，如燃烧室或废热室的盘管中流动，则在燃烧室或废热室冷却之前不应停止介质的流动。如发生火灾或介质从封闭系统中逸出，紧急关断系统（ESD）或设备上的火气系统（FGS）应切断输入源。</w:t>
      </w:r>
    </w:p>
    <w:p w14:paraId="6773B964">
      <w:pPr>
        <w:pStyle w:val="328"/>
        <w:rPr>
          <w:rFonts w:hint="eastAsia" w:ascii="宋体" w:hAnsi="宋体" w:eastAsia="宋体" w:cs="宋体"/>
          <w:szCs w:val="27"/>
        </w:rPr>
      </w:pPr>
      <w:r>
        <w:rPr>
          <w:rFonts w:hint="eastAsia" w:ascii="宋体" w:hAnsi="宋体" w:eastAsia="宋体" w:cs="宋体"/>
        </w:rPr>
        <w:t>排烟道应用高温传感器（TSH）监控其温度</w:t>
      </w:r>
      <w:r>
        <w:rPr>
          <w:rFonts w:hint="eastAsia" w:ascii="宋体" w:hAnsi="宋体" w:eastAsia="宋体" w:cs="宋体"/>
          <w:lang w:eastAsia="zh-CN"/>
        </w:rPr>
        <w:t>，</w:t>
      </w:r>
      <w:r>
        <w:rPr>
          <w:rFonts w:hint="eastAsia" w:ascii="宋体" w:hAnsi="宋体" w:eastAsia="宋体" w:cs="宋体"/>
        </w:rPr>
        <w:t xml:space="preserve"> 必要时切断设备的燃料供应及可燃介质输入源。废热回收烟道的高温传感器（TSH）应在必要时切断废热源及可燃介质输入源。如果受火设备位于不处理可燃介质的安全隔离区，则不需要设高温传感器（TSH）。</w:t>
      </w:r>
    </w:p>
    <w:p w14:paraId="3C1EB374">
      <w:pPr>
        <w:pStyle w:val="327"/>
        <w:spacing w:before="156" w:beforeLines="50" w:after="156" w:afterLines="50"/>
        <w:outlineLvl w:val="4"/>
        <w:rPr>
          <w:rFonts w:hint="eastAsia" w:ascii="黑体" w:hAnsi="黑体" w:eastAsia="黑体" w:cs="黑体"/>
        </w:rPr>
      </w:pPr>
      <w:r>
        <w:rPr>
          <w:rFonts w:ascii="黑体" w:hAnsi="黑体" w:eastAsia="黑体" w:cs="黑体"/>
        </w:rPr>
        <w:t>流动安全保护</w:t>
      </w:r>
    </w:p>
    <w:p w14:paraId="078CD192">
      <w:pPr>
        <w:pStyle w:val="328"/>
        <w:rPr>
          <w:rFonts w:hint="eastAsia" w:ascii="宋体" w:hAnsi="宋体" w:eastAsia="宋体" w:cs="宋体"/>
        </w:rPr>
      </w:pPr>
      <w:r>
        <w:rPr>
          <w:rFonts w:hint="eastAsia" w:ascii="宋体" w:hAnsi="宋体" w:eastAsia="宋体" w:cs="宋体"/>
        </w:rPr>
        <w:t>对介质在燃烧室或废热室管子中流动的有火设备</w:t>
      </w:r>
      <w:r>
        <w:rPr>
          <w:rFonts w:hint="eastAsia" w:ascii="宋体" w:hAnsi="宋体" w:eastAsia="宋体" w:cs="宋体"/>
          <w:lang w:eastAsia="zh-CN"/>
        </w:rPr>
        <w:t>，</w:t>
      </w:r>
      <w:r>
        <w:rPr>
          <w:rFonts w:hint="eastAsia" w:ascii="宋体" w:hAnsi="宋体" w:eastAsia="宋体" w:cs="宋体"/>
        </w:rPr>
        <w:t xml:space="preserve"> 若监测介质的高温传感器（TSH）位于设备外部</w:t>
      </w:r>
      <w:r>
        <w:rPr>
          <w:rFonts w:hint="eastAsia" w:ascii="宋体" w:hAnsi="宋体" w:eastAsia="宋体" w:cs="宋体"/>
          <w:lang w:eastAsia="zh-CN"/>
        </w:rPr>
        <w:t>，</w:t>
      </w:r>
      <w:r>
        <w:rPr>
          <w:rFonts w:hint="eastAsia" w:ascii="宋体" w:hAnsi="宋体" w:eastAsia="宋体" w:cs="宋体"/>
        </w:rPr>
        <w:t xml:space="preserve"> 应由低流量传感器（FSL）监控管中介质的流量</w:t>
      </w:r>
      <w:r>
        <w:rPr>
          <w:rFonts w:hint="eastAsia" w:ascii="宋体" w:hAnsi="宋体" w:eastAsia="宋体" w:cs="宋体"/>
          <w:lang w:eastAsia="zh-CN"/>
        </w:rPr>
        <w:t>，</w:t>
      </w:r>
      <w:r>
        <w:rPr>
          <w:rFonts w:hint="eastAsia" w:ascii="宋体" w:hAnsi="宋体" w:eastAsia="宋体" w:cs="宋体"/>
        </w:rPr>
        <w:t xml:space="preserve"> 以便在必要时切断燃料供应或把废热分离。其它类型的有火设备的高温传感器（TSH）可设于介质段</w:t>
      </w:r>
      <w:r>
        <w:rPr>
          <w:rFonts w:hint="eastAsia" w:ascii="宋体" w:hAnsi="宋体" w:eastAsia="宋体" w:cs="宋体"/>
          <w:lang w:eastAsia="zh-CN"/>
        </w:rPr>
        <w:t>，</w:t>
      </w:r>
      <w:r>
        <w:rPr>
          <w:rFonts w:hint="eastAsia" w:ascii="宋体" w:hAnsi="宋体" w:eastAsia="宋体" w:cs="宋体"/>
        </w:rPr>
        <w:t xml:space="preserve"> 能立即测出高温</w:t>
      </w:r>
      <w:r>
        <w:rPr>
          <w:rFonts w:hint="eastAsia" w:ascii="宋体" w:hAnsi="宋体" w:eastAsia="宋体" w:cs="宋体"/>
          <w:lang w:eastAsia="zh-CN"/>
        </w:rPr>
        <w:t>，</w:t>
      </w:r>
      <w:r>
        <w:rPr>
          <w:rFonts w:hint="eastAsia" w:ascii="宋体" w:hAnsi="宋体" w:eastAsia="宋体" w:cs="宋体"/>
        </w:rPr>
        <w:t xml:space="preserve"> 因此可不设低流量传感器（FSL）。</w:t>
      </w:r>
    </w:p>
    <w:p w14:paraId="432C5BC2">
      <w:pPr>
        <w:pStyle w:val="328"/>
        <w:rPr>
          <w:rFonts w:hint="eastAsia" w:ascii="宋体" w:hAnsi="宋体" w:eastAsia="宋体" w:cs="宋体"/>
        </w:rPr>
      </w:pPr>
      <w:r>
        <w:rPr>
          <w:rFonts w:hint="eastAsia" w:ascii="宋体" w:hAnsi="宋体" w:eastAsia="宋体" w:cs="宋体"/>
        </w:rPr>
        <w:t>在介质出口管线上应设流动安全阀（FSV），以防管子破裂时向燃烧室或废热室回流。</w:t>
      </w:r>
    </w:p>
    <w:p w14:paraId="6B815CF0">
      <w:pPr>
        <w:pStyle w:val="327"/>
        <w:spacing w:before="156" w:beforeLines="50" w:after="156" w:afterLines="50"/>
        <w:outlineLvl w:val="4"/>
        <w:rPr>
          <w:rFonts w:hint="eastAsia" w:ascii="黑体" w:hAnsi="黑体" w:eastAsia="黑体" w:cs="黑体"/>
        </w:rPr>
      </w:pPr>
      <w:r>
        <w:rPr>
          <w:rFonts w:ascii="黑体" w:hAnsi="黑体" w:eastAsia="黑体" w:cs="黑体"/>
        </w:rPr>
        <w:t>压力安全保护</w:t>
      </w:r>
    </w:p>
    <w:p w14:paraId="7659E02D">
      <w:pPr>
        <w:pStyle w:val="328"/>
        <w:rPr>
          <w:rFonts w:hint="eastAsia" w:ascii="宋体" w:hAnsi="宋体" w:eastAsia="宋体" w:cs="宋体"/>
        </w:rPr>
      </w:pPr>
      <w:r>
        <w:rPr>
          <w:rFonts w:hint="eastAsia" w:ascii="宋体" w:hAnsi="宋体" w:eastAsia="宋体" w:cs="宋体"/>
        </w:rPr>
        <w:t>燃料供应管线的压力应用高压传感器（PSH）监控以便在必要时切断燃料供应。</w:t>
      </w:r>
    </w:p>
    <w:p w14:paraId="5F15E50D">
      <w:pPr>
        <w:pStyle w:val="328"/>
        <w:rPr>
          <w:rFonts w:hint="eastAsia" w:ascii="宋体" w:hAnsi="宋体" w:eastAsia="宋体" w:cs="宋体"/>
        </w:rPr>
      </w:pPr>
      <w:r>
        <w:rPr>
          <w:rFonts w:hint="eastAsia" w:ascii="宋体" w:hAnsi="宋体" w:eastAsia="宋体" w:cs="宋体"/>
        </w:rPr>
        <w:t>若为强制送风的燃烧器</w:t>
      </w:r>
      <w:r>
        <w:rPr>
          <w:rFonts w:hint="eastAsia" w:ascii="宋体" w:hAnsi="宋体" w:eastAsia="宋体" w:cs="宋体"/>
          <w:lang w:eastAsia="zh-CN"/>
        </w:rPr>
        <w:t>，</w:t>
      </w:r>
      <w:r>
        <w:rPr>
          <w:rFonts w:hint="eastAsia" w:ascii="宋体" w:hAnsi="宋体" w:eastAsia="宋体" w:cs="宋体"/>
        </w:rPr>
        <w:t xml:space="preserve"> 其燃料供应管线上及燃烧器进风口应设低压传感器（PSL），以便在必要时切断燃料和空气供应。</w:t>
      </w:r>
    </w:p>
    <w:p w14:paraId="7F532406">
      <w:pPr>
        <w:pStyle w:val="328"/>
        <w:rPr>
          <w:rFonts w:hint="eastAsia" w:ascii="宋体" w:hAnsi="宋体" w:eastAsia="宋体" w:cs="宋体"/>
        </w:rPr>
      </w:pPr>
      <w:r>
        <w:rPr>
          <w:rFonts w:hint="eastAsia" w:ascii="宋体" w:hAnsi="宋体" w:eastAsia="宋体" w:cs="宋体"/>
        </w:rPr>
        <w:t>在管式加热器中，为防止加热管中因被加热介质或工艺流体热膨胀而引起超压</w:t>
      </w:r>
      <w:r>
        <w:rPr>
          <w:rFonts w:hint="eastAsia" w:ascii="宋体" w:hAnsi="宋体" w:eastAsia="宋体" w:cs="宋体"/>
          <w:lang w:eastAsia="zh-CN"/>
        </w:rPr>
        <w:t>，</w:t>
      </w:r>
      <w:r>
        <w:rPr>
          <w:rFonts w:hint="eastAsia" w:ascii="宋体" w:hAnsi="宋体" w:eastAsia="宋体" w:cs="宋体"/>
        </w:rPr>
        <w:t xml:space="preserve"> 加热管上应设压力安全阀（PSV）。</w:t>
      </w:r>
    </w:p>
    <w:p w14:paraId="05931A5D">
      <w:pPr>
        <w:pStyle w:val="328"/>
        <w:rPr>
          <w:rFonts w:hint="eastAsia" w:ascii="宋体" w:hAnsi="宋体" w:eastAsia="宋体" w:cs="宋体"/>
        </w:rPr>
      </w:pPr>
      <w:r>
        <w:rPr>
          <w:rStyle w:val="534"/>
          <w:rFonts w:hint="eastAsia" w:ascii="宋体" w:hAnsi="宋体" w:eastAsia="宋体" w:cs="宋体"/>
        </w:rPr>
        <w:t>点火安全保护</w:t>
      </w:r>
    </w:p>
    <w:p w14:paraId="1A8EAB87">
      <w:pPr>
        <w:pStyle w:val="305"/>
        <w:numPr>
          <w:ilvl w:val="0"/>
          <w:numId w:val="41"/>
        </w:numPr>
        <w:rPr>
          <w:rFonts w:hint="eastAsia" w:hAnsi="宋体" w:cs="宋体"/>
        </w:rPr>
      </w:pPr>
      <w:r>
        <w:rPr>
          <w:rFonts w:hint="eastAsia" w:hAnsi="宋体" w:cs="宋体"/>
        </w:rPr>
        <w:t>自然通风的燃烧器空气入口应设阻火器，以防通过空气进口回火；</w:t>
      </w:r>
    </w:p>
    <w:p w14:paraId="1CF211D0">
      <w:pPr>
        <w:pStyle w:val="305"/>
        <w:numPr>
          <w:ilvl w:val="0"/>
          <w:numId w:val="41"/>
        </w:numPr>
        <w:rPr>
          <w:rFonts w:hint="eastAsia" w:hAnsi="宋体" w:cs="宋体"/>
        </w:rPr>
      </w:pPr>
      <w:r>
        <w:rPr>
          <w:rFonts w:hint="eastAsia" w:hAnsi="宋体" w:cs="宋体"/>
        </w:rPr>
        <w:t>自然通风的燃烧器的烟筒应设阻火器</w:t>
      </w:r>
      <w:r>
        <w:rPr>
          <w:rFonts w:hint="eastAsia" w:hAnsi="宋体" w:cs="宋体"/>
          <w:lang w:eastAsia="zh-CN"/>
        </w:rPr>
        <w:t>，</w:t>
      </w:r>
      <w:r>
        <w:rPr>
          <w:rFonts w:hint="eastAsia" w:hAnsi="宋体" w:cs="宋体"/>
        </w:rPr>
        <w:t xml:space="preserve"> 以防火花喷射；</w:t>
      </w:r>
    </w:p>
    <w:p w14:paraId="3090C486">
      <w:pPr>
        <w:pStyle w:val="305"/>
        <w:numPr>
          <w:ilvl w:val="0"/>
          <w:numId w:val="41"/>
        </w:numPr>
        <w:rPr>
          <w:rFonts w:hint="eastAsia" w:hAnsi="宋体" w:cs="宋体"/>
        </w:rPr>
      </w:pPr>
      <w:r>
        <w:rPr>
          <w:rFonts w:hint="eastAsia" w:hAnsi="宋体" w:cs="宋体"/>
        </w:rPr>
        <w:t>强制通风的电动机应设电动机起动器联锁装置，以便检测电动机故障并在必要时切断燃料及空气供应；</w:t>
      </w:r>
    </w:p>
    <w:p w14:paraId="2EE21F39">
      <w:pPr>
        <w:pStyle w:val="305"/>
        <w:numPr>
          <w:ilvl w:val="0"/>
          <w:numId w:val="41"/>
        </w:numPr>
        <w:rPr>
          <w:rFonts w:hint="eastAsia" w:hAnsi="宋体" w:cs="宋体"/>
        </w:rPr>
      </w:pPr>
      <w:r>
        <w:rPr>
          <w:rFonts w:hint="eastAsia" w:hAnsi="宋体" w:cs="宋体"/>
        </w:rPr>
        <w:t>燃烧室中的火焰应由燃烧器火焰探测器（BSL）或低温传感器（TSL）检测，以检测无法持续稳定燃烧的火焰</w:t>
      </w:r>
      <w:r>
        <w:rPr>
          <w:rFonts w:hint="eastAsia" w:hAnsi="宋体" w:cs="宋体"/>
          <w:lang w:eastAsia="zh-CN"/>
        </w:rPr>
        <w:t>，</w:t>
      </w:r>
      <w:r>
        <w:rPr>
          <w:rFonts w:hint="eastAsia" w:hAnsi="宋体" w:cs="宋体"/>
        </w:rPr>
        <w:t xml:space="preserve"> 并在必要时切断燃料供应。</w:t>
      </w:r>
    </w:p>
    <w:p w14:paraId="2F7D2264">
      <w:pPr>
        <w:pStyle w:val="261"/>
        <w:spacing w:before="156" w:after="156"/>
        <w:outlineLvl w:val="2"/>
      </w:pPr>
      <w:r>
        <w:rPr>
          <w:rFonts w:hint="eastAsia"/>
        </w:rPr>
        <w:t>泵</w:t>
      </w:r>
    </w:p>
    <w:p w14:paraId="57E9C52F">
      <w:pPr>
        <w:pStyle w:val="327"/>
        <w:spacing w:before="156" w:beforeLines="50" w:after="156" w:afterLines="50"/>
        <w:outlineLvl w:val="4"/>
        <w:rPr>
          <w:rFonts w:hint="eastAsia" w:ascii="黑体" w:hAnsi="黑体" w:eastAsia="黑体" w:cs="黑体"/>
        </w:rPr>
      </w:pPr>
      <w:r>
        <w:rPr>
          <w:rFonts w:hint="eastAsia" w:ascii="黑体" w:hAnsi="黑体" w:eastAsia="黑体" w:cs="黑体"/>
        </w:rPr>
        <w:t>压力安全保护</w:t>
      </w:r>
    </w:p>
    <w:p w14:paraId="1EF33111">
      <w:pPr>
        <w:pStyle w:val="328"/>
        <w:rPr>
          <w:rFonts w:hint="eastAsia" w:ascii="宋体" w:hAnsi="宋体" w:eastAsia="宋体" w:cs="宋体"/>
        </w:rPr>
      </w:pPr>
      <w:r>
        <w:rPr>
          <w:rFonts w:hint="eastAsia" w:ascii="宋体" w:hAnsi="宋体" w:eastAsia="宋体" w:cs="宋体"/>
        </w:rPr>
        <w:t>各种烃类输送泵出口管道上应设高压传感器（PSH）和低压传感器（PSL），以便必要时切断输入源并停泵。其它输送泵，若泵出口压力超过出口管道的70%最大允许工作压力（MAWP），其出口管道上应设高压传感器（PSH）。</w:t>
      </w:r>
    </w:p>
    <w:p w14:paraId="1D63099A">
      <w:pPr>
        <w:pStyle w:val="328"/>
        <w:rPr>
          <w:rFonts w:hint="eastAsia" w:ascii="宋体" w:hAnsi="宋体" w:eastAsia="宋体" w:cs="宋体"/>
        </w:rPr>
      </w:pPr>
      <w:r>
        <w:rPr>
          <w:rFonts w:hint="eastAsia" w:ascii="宋体" w:hAnsi="宋体" w:eastAsia="宋体" w:cs="宋体"/>
        </w:rPr>
        <w:t>其它重要的泵出口管道上也可设低压传感器（PSL）。</w:t>
      </w:r>
    </w:p>
    <w:p w14:paraId="35C8B3FE">
      <w:pPr>
        <w:pStyle w:val="328"/>
        <w:rPr>
          <w:rFonts w:hint="eastAsia" w:ascii="宋体" w:hAnsi="宋体" w:eastAsia="宋体" w:cs="宋体"/>
        </w:rPr>
      </w:pPr>
      <w:r>
        <w:rPr>
          <w:rFonts w:hint="eastAsia" w:ascii="宋体" w:hAnsi="宋体" w:eastAsia="宋体" w:cs="宋体"/>
        </w:rPr>
        <w:t>低容量泵上（如：污油泵、化学药剂注入泵，或者流量小于0.14m</w:t>
      </w:r>
      <w:r>
        <w:rPr>
          <w:rFonts w:hint="eastAsia" w:ascii="宋体" w:hAnsi="宋体" w:eastAsia="宋体" w:cs="宋体"/>
          <w:vertAlign w:val="superscript"/>
        </w:rPr>
        <w:t>3</w:t>
      </w:r>
      <w:r>
        <w:rPr>
          <w:rFonts w:hint="eastAsia" w:ascii="宋体" w:hAnsi="宋体" w:eastAsia="宋体" w:cs="宋体"/>
        </w:rPr>
        <w:t>/h的输送泵等）不需要设高压传感器（PSH）和低压传感器（PSL）。</w:t>
      </w:r>
    </w:p>
    <w:p w14:paraId="1E78F6A2">
      <w:pPr>
        <w:pStyle w:val="328"/>
        <w:rPr>
          <w:rFonts w:hint="eastAsia" w:ascii="宋体" w:hAnsi="宋体" w:eastAsia="宋体" w:cs="宋体"/>
        </w:rPr>
      </w:pPr>
      <w:r>
        <w:rPr>
          <w:rFonts w:hint="eastAsia" w:ascii="宋体" w:hAnsi="宋体" w:eastAsia="宋体" w:cs="宋体"/>
        </w:rPr>
        <w:t>泵出口管道上应设压力安全阀（PSV）。动能型泵（如离心泵）或其最大出口压力小于出口管道的最大允许工作压力（MAWP）、或具有内部卸压能力的泵，其出口管道可不设压力安全阀（PSV）。</w:t>
      </w:r>
    </w:p>
    <w:p w14:paraId="4B0EB083">
      <w:pPr>
        <w:pStyle w:val="327"/>
        <w:spacing w:before="156" w:beforeLines="50" w:after="156" w:afterLines="50"/>
        <w:outlineLvl w:val="4"/>
        <w:rPr>
          <w:rFonts w:hint="eastAsia" w:ascii="黑体" w:hAnsi="黑体" w:eastAsia="黑体" w:cs="黑体"/>
        </w:rPr>
      </w:pPr>
      <w:r>
        <w:rPr>
          <w:rFonts w:hint="eastAsia" w:ascii="黑体" w:hAnsi="黑体" w:eastAsia="黑体" w:cs="黑体"/>
        </w:rPr>
        <w:t>流动安全保护</w:t>
      </w:r>
    </w:p>
    <w:p w14:paraId="48D015C9">
      <w:pPr>
        <w:pStyle w:val="328"/>
        <w:rPr>
          <w:rFonts w:hint="eastAsia" w:ascii="宋体" w:hAnsi="宋体" w:eastAsia="宋体" w:cs="宋体"/>
        </w:rPr>
      </w:pPr>
      <w:r>
        <w:rPr>
          <w:rFonts w:hint="eastAsia" w:ascii="宋体" w:hAnsi="宋体" w:eastAsia="宋体" w:cs="宋体"/>
        </w:rPr>
        <w:t>泵的出口管道应设流动安全阀（FSV），以防止回流。</w:t>
      </w:r>
    </w:p>
    <w:p w14:paraId="6F040894">
      <w:pPr>
        <w:pStyle w:val="328"/>
        <w:rPr>
          <w:rFonts w:hint="eastAsia" w:ascii="宋体" w:hAnsi="宋体" w:eastAsia="宋体" w:cs="宋体"/>
        </w:rPr>
      </w:pPr>
      <w:r>
        <w:rPr>
          <w:rFonts w:hint="eastAsia" w:ascii="宋体" w:hAnsi="宋体" w:eastAsia="宋体" w:cs="宋体"/>
        </w:rPr>
        <w:t>若存在以下情况之一时，则不需要设低流量传感器（FSL）：</w:t>
      </w:r>
    </w:p>
    <w:p w14:paraId="69B41BE3">
      <w:pPr>
        <w:pStyle w:val="305"/>
        <w:numPr>
          <w:ilvl w:val="0"/>
          <w:numId w:val="42"/>
        </w:numPr>
        <w:rPr>
          <w:rFonts w:hint="eastAsia" w:hAnsi="宋体" w:cs="宋体"/>
        </w:rPr>
      </w:pPr>
      <w:r>
        <w:rPr>
          <w:rFonts w:hint="eastAsia" w:hAnsi="宋体" w:cs="宋体"/>
        </w:rPr>
        <w:t>容积泵；</w:t>
      </w:r>
    </w:p>
    <w:p w14:paraId="024CF6A3">
      <w:pPr>
        <w:pStyle w:val="305"/>
        <w:numPr>
          <w:ilvl w:val="0"/>
          <w:numId w:val="42"/>
        </w:numPr>
        <w:rPr>
          <w:rFonts w:hint="eastAsia" w:hAnsi="宋体" w:cs="宋体"/>
        </w:rPr>
      </w:pPr>
      <w:r>
        <w:rPr>
          <w:rFonts w:hint="eastAsia" w:hAnsi="宋体" w:cs="宋体"/>
        </w:rPr>
        <w:t>泵为手动操作，且持续有人值守；</w:t>
      </w:r>
    </w:p>
    <w:p w14:paraId="4F395530">
      <w:pPr>
        <w:pStyle w:val="305"/>
        <w:numPr>
          <w:ilvl w:val="0"/>
          <w:numId w:val="42"/>
        </w:numPr>
        <w:rPr>
          <w:rFonts w:hint="eastAsia" w:hAnsi="宋体" w:cs="宋体"/>
        </w:rPr>
      </w:pPr>
      <w:r>
        <w:rPr>
          <w:rFonts w:hint="eastAsia" w:hAnsi="宋体" w:cs="宋体"/>
        </w:rPr>
        <w:t>泵容积小；</w:t>
      </w:r>
    </w:p>
    <w:p w14:paraId="55ED6F78">
      <w:pPr>
        <w:pStyle w:val="305"/>
        <w:numPr>
          <w:ilvl w:val="0"/>
          <w:numId w:val="42"/>
        </w:numPr>
        <w:rPr>
          <w:rFonts w:hint="eastAsia" w:hAnsi="宋体" w:cs="宋体"/>
        </w:rPr>
      </w:pPr>
      <w:r>
        <w:rPr>
          <w:rFonts w:hint="eastAsia" w:hAnsi="宋体" w:cs="宋体"/>
        </w:rPr>
        <w:t>不存在最小连续流量（节流或回流）工况，且上游进料容器已设低液位传感器（LSL）；</w:t>
      </w:r>
    </w:p>
    <w:p w14:paraId="202DC593">
      <w:pPr>
        <w:pStyle w:val="305"/>
        <w:numPr>
          <w:ilvl w:val="0"/>
          <w:numId w:val="42"/>
        </w:numPr>
        <w:rPr>
          <w:rFonts w:hint="eastAsia" w:hAnsi="宋体" w:cs="宋体"/>
        </w:rPr>
      </w:pPr>
      <w:r>
        <w:rPr>
          <w:rFonts w:hint="eastAsia" w:hAnsi="宋体" w:cs="宋体"/>
        </w:rPr>
        <w:t>已设置循环系统；</w:t>
      </w:r>
    </w:p>
    <w:p w14:paraId="633C3AC5">
      <w:pPr>
        <w:pStyle w:val="305"/>
        <w:numPr>
          <w:ilvl w:val="0"/>
          <w:numId w:val="42"/>
        </w:numPr>
        <w:rPr>
          <w:rFonts w:hint="eastAsia" w:hAnsi="宋体" w:cs="宋体"/>
        </w:rPr>
      </w:pPr>
      <w:r>
        <w:rPr>
          <w:rFonts w:hint="eastAsia" w:hAnsi="宋体" w:cs="宋体"/>
        </w:rPr>
        <w:t>高压传感器（PSH）和（或）低压传感器（PSL）设有用于检测流量损失的关断值。</w:t>
      </w:r>
    </w:p>
    <w:p w14:paraId="37F8ED93">
      <w:pPr>
        <w:pStyle w:val="327"/>
        <w:spacing w:before="156" w:beforeLines="50" w:after="156" w:afterLines="50"/>
        <w:outlineLvl w:val="4"/>
        <w:rPr>
          <w:rFonts w:hint="eastAsia" w:ascii="黑体" w:hAnsi="黑体" w:eastAsia="黑体" w:cs="黑体"/>
        </w:rPr>
      </w:pPr>
      <w:r>
        <w:rPr>
          <w:rFonts w:hint="eastAsia" w:ascii="黑体" w:hAnsi="黑体" w:eastAsia="黑体" w:cs="黑体"/>
        </w:rPr>
        <w:t>振动安全保护</w:t>
      </w:r>
    </w:p>
    <w:p w14:paraId="674C7013">
      <w:pPr>
        <w:pStyle w:val="328"/>
        <w:rPr>
          <w:rFonts w:hint="eastAsia" w:ascii="宋体" w:hAnsi="宋体" w:eastAsia="宋体" w:cs="宋体"/>
        </w:rPr>
      </w:pPr>
      <w:r>
        <w:rPr>
          <w:rFonts w:hint="eastAsia" w:ascii="宋体" w:hAnsi="宋体" w:eastAsia="宋体" w:cs="宋体"/>
        </w:rPr>
        <w:t>应为泵安装一个振动安全传感器（VSH），以便发生设备故障导致振动过高时停泵。</w:t>
      </w:r>
    </w:p>
    <w:p w14:paraId="4F4D6B8C">
      <w:pPr>
        <w:pStyle w:val="328"/>
        <w:rPr>
          <w:rFonts w:ascii="Times New Roman" w:eastAsia="宋体"/>
        </w:rPr>
      </w:pPr>
      <w:r>
        <w:rPr>
          <w:rFonts w:hint="eastAsia" w:ascii="Times New Roman" w:eastAsia="宋体"/>
        </w:rPr>
        <w:t>若存在以下情况之一，可依据实际需要，确定是否设振动安全传感器</w:t>
      </w:r>
      <w:r>
        <w:rPr>
          <w:rFonts w:hint="eastAsia" w:ascii="宋体" w:hAnsi="宋体" w:eastAsia="宋体" w:cs="宋体"/>
        </w:rPr>
        <w:t>（VSH）：</w:t>
      </w:r>
    </w:p>
    <w:p w14:paraId="35D4F903">
      <w:pPr>
        <w:pStyle w:val="305"/>
        <w:numPr>
          <w:ilvl w:val="0"/>
          <w:numId w:val="43"/>
        </w:numPr>
      </w:pPr>
      <w:r>
        <w:rPr>
          <w:rFonts w:hint="eastAsia"/>
        </w:rPr>
        <w:t>泵的驱动功率小于735kw；</w:t>
      </w:r>
    </w:p>
    <w:p w14:paraId="64C4A83C">
      <w:pPr>
        <w:pStyle w:val="305"/>
        <w:numPr>
          <w:ilvl w:val="0"/>
          <w:numId w:val="43"/>
        </w:numPr>
      </w:pPr>
      <w:r>
        <w:rPr>
          <w:rFonts w:hint="eastAsia"/>
        </w:rPr>
        <w:t>泵是手动操作，且持续有人值守。</w:t>
      </w:r>
    </w:p>
    <w:p w14:paraId="5979908B">
      <w:pPr>
        <w:pStyle w:val="261"/>
        <w:spacing w:before="156" w:after="156"/>
        <w:outlineLvl w:val="2"/>
      </w:pPr>
      <w:r>
        <w:rPr>
          <w:rFonts w:hint="eastAsia"/>
        </w:rPr>
        <w:t>压缩机</w:t>
      </w:r>
    </w:p>
    <w:p w14:paraId="3E6BA11F">
      <w:pPr>
        <w:pStyle w:val="327"/>
        <w:spacing w:before="156" w:beforeLines="50" w:after="156" w:afterLines="50"/>
        <w:outlineLvl w:val="4"/>
        <w:rPr>
          <w:rFonts w:hint="eastAsia" w:ascii="黑体" w:hAnsi="黑体" w:eastAsia="黑体" w:cs="黑体"/>
        </w:rPr>
      </w:pPr>
      <w:r>
        <w:rPr>
          <w:rFonts w:hint="eastAsia" w:ascii="黑体" w:hAnsi="黑体" w:eastAsia="黑体" w:cs="黑体"/>
        </w:rPr>
        <w:t>压力安全保护</w:t>
      </w:r>
    </w:p>
    <w:p w14:paraId="7899A040">
      <w:pPr>
        <w:pStyle w:val="328"/>
        <w:rPr>
          <w:rFonts w:hint="eastAsia" w:ascii="宋体" w:hAnsi="宋体" w:eastAsia="宋体" w:cs="宋体"/>
        </w:rPr>
      </w:pPr>
      <w:r>
        <w:rPr>
          <w:rFonts w:hint="eastAsia" w:ascii="宋体" w:hAnsi="宋体" w:eastAsia="宋体" w:cs="宋体"/>
        </w:rPr>
        <w:t>压缩机的每一个吸入管道上应设高压传感器（PSH）、低压传感器（PSL）。若每一输入源都有高压传感器（PSH）、低压传感器（PSL）并可保护压缩机，则吸入管道上可不设高压传感器（PSH）、低压传感器（PSL）。</w:t>
      </w:r>
    </w:p>
    <w:p w14:paraId="263ACCE4">
      <w:pPr>
        <w:pStyle w:val="328"/>
        <w:rPr>
          <w:rFonts w:hint="eastAsia" w:ascii="宋体" w:hAnsi="宋体" w:eastAsia="宋体" w:cs="宋体"/>
        </w:rPr>
      </w:pPr>
      <w:r>
        <w:rPr>
          <w:rFonts w:hint="eastAsia" w:ascii="宋体" w:hAnsi="宋体" w:eastAsia="宋体" w:cs="宋体"/>
        </w:rPr>
        <w:t>压缩机的每一个出口管道上也应设高压传感器（PSH）、低压传感器（PSL）。</w:t>
      </w:r>
    </w:p>
    <w:p w14:paraId="71704573">
      <w:pPr>
        <w:pStyle w:val="328"/>
        <w:rPr>
          <w:rFonts w:hint="eastAsia" w:ascii="宋体" w:hAnsi="宋体" w:eastAsia="宋体" w:cs="宋体"/>
        </w:rPr>
      </w:pPr>
      <w:r>
        <w:rPr>
          <w:rFonts w:hint="eastAsia" w:ascii="宋体" w:hAnsi="宋体" w:eastAsia="宋体" w:cs="宋体"/>
        </w:rPr>
        <w:t>压缩机由设在其下游的高压传感器（PSH）、低压传感器（PSL）保护，并且该PSH、PSL与压缩机之间始终贯通，则其出口管道上可不设高压传感器（PSH）、低压传感器（PSL）。</w:t>
      </w:r>
    </w:p>
    <w:p w14:paraId="3CA4798C">
      <w:pPr>
        <w:pStyle w:val="328"/>
        <w:rPr>
          <w:rFonts w:hint="eastAsia" w:ascii="宋体" w:hAnsi="宋体" w:eastAsia="宋体" w:cs="宋体"/>
        </w:rPr>
      </w:pPr>
      <w:r>
        <w:rPr>
          <w:rFonts w:hint="eastAsia" w:ascii="宋体" w:hAnsi="宋体" w:eastAsia="宋体" w:cs="宋体"/>
        </w:rPr>
        <w:t>压缩机的每一个吸入管道上应设压力安全阀（PSV）。若每一输入源都设有压力安全阀（PSV），并且也保护压缩机，则其吸入管道上可不设压力安全阀（PSV）。压缩机出口管道上也应设压力安全阀（PSV）。</w:t>
      </w:r>
    </w:p>
    <w:p w14:paraId="699F14D9">
      <w:pPr>
        <w:pStyle w:val="328"/>
        <w:rPr>
          <w:rFonts w:hint="eastAsia" w:ascii="宋体" w:hAnsi="宋体" w:eastAsia="宋体" w:cs="宋体"/>
        </w:rPr>
      </w:pPr>
      <w:r>
        <w:rPr>
          <w:rFonts w:hint="eastAsia" w:ascii="宋体" w:hAnsi="宋体" w:eastAsia="宋体" w:cs="宋体"/>
        </w:rPr>
        <w:t>若压缩机为动能型，且最大出口压力不可能高于其出口管道的最大允许工作压力（MAWP），其出口管道上可不设压力安全阀（PSV）。</w:t>
      </w:r>
    </w:p>
    <w:p w14:paraId="2EB37F43">
      <w:pPr>
        <w:pStyle w:val="328"/>
        <w:rPr>
          <w:rFonts w:hint="eastAsia" w:ascii="宋体" w:hAnsi="宋体" w:eastAsia="宋体" w:cs="宋体"/>
        </w:rPr>
      </w:pPr>
      <w:r>
        <w:rPr>
          <w:rFonts w:hint="eastAsia" w:ascii="宋体" w:hAnsi="宋体" w:eastAsia="宋体" w:cs="宋体"/>
        </w:rPr>
        <w:t>压缩机由设在其下游任一冷却器的压力安全阀（PSV）保护，并且该压力安全阀（PSV）与压缩机之间始终贯通，则其出口管道上可不设压力安全阀（PSV）。</w:t>
      </w:r>
    </w:p>
    <w:p w14:paraId="39A4FDEA">
      <w:pPr>
        <w:pStyle w:val="327"/>
        <w:spacing w:before="156" w:beforeLines="50" w:after="156" w:afterLines="50"/>
        <w:outlineLvl w:val="4"/>
        <w:rPr>
          <w:rFonts w:hint="eastAsia" w:ascii="黑体" w:hAnsi="黑体" w:eastAsia="黑体" w:cs="黑体"/>
        </w:rPr>
      </w:pPr>
      <w:r>
        <w:rPr>
          <w:rFonts w:hint="eastAsia" w:ascii="黑体" w:hAnsi="黑体" w:eastAsia="黑体" w:cs="黑体"/>
        </w:rPr>
        <w:t>流动安全保护</w:t>
      </w:r>
    </w:p>
    <w:p w14:paraId="1126DCED">
      <w:pPr>
        <w:pStyle w:val="521"/>
        <w:ind w:firstLine="420" w:firstLineChars="0"/>
        <w:rPr>
          <w:rFonts w:hint="eastAsia" w:hAnsi="宋体" w:cs="宋体"/>
          <w:szCs w:val="21"/>
        </w:rPr>
      </w:pPr>
      <w:r>
        <w:rPr>
          <w:rFonts w:hint="eastAsia" w:hAnsi="宋体" w:cs="宋体"/>
          <w:szCs w:val="21"/>
        </w:rPr>
        <w:t>压缩机每一个出口管道上均应设流动安全阀（FSV）以防止回流。</w:t>
      </w:r>
    </w:p>
    <w:p w14:paraId="25DAC843">
      <w:pPr>
        <w:pStyle w:val="327"/>
        <w:spacing w:before="156" w:beforeLines="50" w:after="156" w:afterLines="50"/>
        <w:outlineLvl w:val="4"/>
        <w:rPr>
          <w:rFonts w:hint="eastAsia" w:ascii="宋体" w:hAnsi="宋体" w:eastAsia="宋体" w:cs="宋体"/>
        </w:rPr>
      </w:pPr>
      <w:r>
        <w:rPr>
          <w:rFonts w:hint="eastAsia" w:ascii="宋体" w:hAnsi="宋体" w:eastAsia="宋体" w:cs="宋体"/>
        </w:rPr>
        <w:t>天然气探测装置</w:t>
      </w:r>
    </w:p>
    <w:p w14:paraId="4E8AAE8D">
      <w:pPr>
        <w:pStyle w:val="521"/>
        <w:ind w:firstLine="420" w:firstLineChars="0"/>
        <w:rPr>
          <w:rFonts w:hint="eastAsia" w:hAnsi="宋体" w:cs="宋体"/>
          <w:szCs w:val="21"/>
        </w:rPr>
      </w:pPr>
      <w:r>
        <w:rPr>
          <w:rFonts w:hint="eastAsia" w:hAnsi="宋体" w:cs="宋体"/>
          <w:szCs w:val="21"/>
        </w:rPr>
        <w:t>若压缩机位于通风不良的建筑或封闭区域内（如附录定义），应设天然气探测装置，以便在必要时切断工艺流入源和燃料供应并使压缩机泄压。</w:t>
      </w:r>
    </w:p>
    <w:p w14:paraId="3E12C3F3">
      <w:pPr>
        <w:pStyle w:val="327"/>
        <w:spacing w:before="156" w:beforeLines="50" w:after="156" w:afterLines="50"/>
        <w:outlineLvl w:val="4"/>
        <w:rPr>
          <w:rFonts w:hint="eastAsia" w:ascii="宋体" w:hAnsi="宋体" w:eastAsia="宋体" w:cs="宋体"/>
        </w:rPr>
      </w:pPr>
      <w:r>
        <w:rPr>
          <w:rFonts w:hint="eastAsia" w:ascii="宋体" w:hAnsi="宋体" w:eastAsia="宋体" w:cs="宋体"/>
        </w:rPr>
        <w:t>温度安全保护</w:t>
      </w:r>
    </w:p>
    <w:p w14:paraId="1B1C5911">
      <w:pPr>
        <w:pStyle w:val="521"/>
        <w:ind w:firstLine="420" w:firstLineChars="0"/>
        <w:rPr>
          <w:rFonts w:hint="eastAsia" w:hAnsi="宋体" w:cs="宋体"/>
          <w:szCs w:val="21"/>
        </w:rPr>
      </w:pPr>
      <w:r>
        <w:rPr>
          <w:rFonts w:hint="eastAsia" w:hAnsi="宋体" w:cs="宋体"/>
          <w:szCs w:val="21"/>
        </w:rPr>
        <w:t>应设TSH以保护压缩机每一气缸及壳体，并在必要时切断工艺输入源和燃料供应管道。</w:t>
      </w:r>
    </w:p>
    <w:p w14:paraId="08F4759F">
      <w:pPr>
        <w:pStyle w:val="327"/>
        <w:spacing w:before="156" w:beforeLines="50" w:after="156" w:afterLines="50"/>
        <w:outlineLvl w:val="4"/>
        <w:rPr>
          <w:rFonts w:hint="eastAsia" w:ascii="宋体" w:hAnsi="宋体" w:eastAsia="宋体" w:cs="宋体"/>
        </w:rPr>
      </w:pPr>
      <w:r>
        <w:rPr>
          <w:rFonts w:hint="eastAsia" w:ascii="宋体" w:hAnsi="宋体" w:eastAsia="宋体" w:cs="宋体"/>
        </w:rPr>
        <w:t>振动安全保护（VSH）</w:t>
      </w:r>
    </w:p>
    <w:p w14:paraId="542C3E40">
      <w:pPr>
        <w:ind w:firstLine="420"/>
        <w:rPr>
          <w:rFonts w:hint="eastAsia" w:ascii="宋体" w:hAnsi="宋体" w:cs="宋体"/>
          <w:szCs w:val="21"/>
        </w:rPr>
      </w:pPr>
      <w:r>
        <w:rPr>
          <w:rFonts w:hint="eastAsia" w:ascii="宋体" w:hAnsi="宋体" w:cs="宋体"/>
          <w:szCs w:val="21"/>
        </w:rPr>
        <w:t>应设振动安全传感器（VSH）以检测机械故障，避免可能导致输送介质泄漏。</w:t>
      </w:r>
    </w:p>
    <w:p w14:paraId="18EB20DD">
      <w:pPr>
        <w:pStyle w:val="261"/>
        <w:spacing w:before="156" w:after="156"/>
        <w:outlineLvl w:val="2"/>
      </w:pPr>
      <w:r>
        <w:rPr>
          <w:rFonts w:hint="eastAsia"/>
        </w:rPr>
        <w:t>海底管道进出平台管道段</w:t>
      </w:r>
    </w:p>
    <w:p w14:paraId="39EC5B56">
      <w:pPr>
        <w:pStyle w:val="327"/>
        <w:spacing w:before="156" w:beforeLines="50" w:after="156" w:afterLines="50"/>
        <w:outlineLvl w:val="4"/>
        <w:rPr>
          <w:rFonts w:hint="eastAsia" w:ascii="黑体" w:hAnsi="黑体" w:eastAsia="黑体" w:cs="黑体"/>
        </w:rPr>
      </w:pPr>
      <w:r>
        <w:rPr>
          <w:rFonts w:hint="eastAsia" w:ascii="黑体" w:hAnsi="黑体" w:eastAsia="黑体" w:cs="黑体"/>
        </w:rPr>
        <w:t>压力安全保护</w:t>
      </w:r>
    </w:p>
    <w:p w14:paraId="0F271126">
      <w:pPr>
        <w:pStyle w:val="328"/>
        <w:rPr>
          <w:rFonts w:hint="eastAsia" w:ascii="宋体" w:hAnsi="宋体" w:eastAsia="宋体" w:cs="宋体"/>
        </w:rPr>
      </w:pPr>
      <w:r>
        <w:rPr>
          <w:rFonts w:hint="eastAsia" w:ascii="宋体" w:hAnsi="宋体" w:eastAsia="宋体" w:cs="宋体"/>
        </w:rPr>
        <w:t>进、出平台管道上应设高压传感器（PSH）、低压传感器（PSL），以切断输入源。双向长输管道上也应设高压传感器（PSH）、低压传感器（PSL）。</w:t>
      </w:r>
    </w:p>
    <w:p w14:paraId="05B5BBBD">
      <w:pPr>
        <w:pStyle w:val="328"/>
        <w:rPr>
          <w:rFonts w:hint="eastAsia" w:ascii="宋体" w:hAnsi="宋体" w:eastAsia="宋体" w:cs="宋体"/>
        </w:rPr>
      </w:pPr>
      <w:r>
        <w:rPr>
          <w:rFonts w:hint="eastAsia" w:ascii="宋体" w:hAnsi="宋体" w:eastAsia="宋体" w:cs="宋体"/>
        </w:rPr>
        <w:t>出平台管道应设压力安全阀（PSV）保护。但若存在下列情况之一则可不设压力安全阀（PSV）：</w:t>
      </w:r>
    </w:p>
    <w:p w14:paraId="44F8ACAD">
      <w:pPr>
        <w:pStyle w:val="305"/>
        <w:numPr>
          <w:ilvl w:val="0"/>
          <w:numId w:val="44"/>
        </w:numPr>
        <w:rPr>
          <w:rFonts w:hint="eastAsia" w:hAnsi="宋体" w:cs="宋体"/>
        </w:rPr>
      </w:pPr>
      <w:r>
        <w:rPr>
          <w:rFonts w:hint="eastAsia" w:hAnsi="宋体" w:cs="宋体"/>
        </w:rPr>
        <w:t>管道的最大允许工作压力（MAWP）大于任何输入源的最大压力；</w:t>
      </w:r>
    </w:p>
    <w:p w14:paraId="443BD0CB">
      <w:pPr>
        <w:pStyle w:val="305"/>
        <w:numPr>
          <w:ilvl w:val="0"/>
          <w:numId w:val="44"/>
        </w:numPr>
        <w:rPr>
          <w:rFonts w:hint="eastAsia" w:hAnsi="宋体" w:cs="宋体"/>
        </w:rPr>
      </w:pPr>
      <w:r>
        <w:rPr>
          <w:rFonts w:hint="eastAsia" w:hAnsi="宋体" w:cs="宋体"/>
        </w:rPr>
        <w:t>虽然输入源压力大于管道的最大允许工作压力（MAWP），但输入源有压力安全阀（PSV）保护，其设定点不大于管道的设计压力；</w:t>
      </w:r>
    </w:p>
    <w:p w14:paraId="3CAFB194">
      <w:pPr>
        <w:pStyle w:val="305"/>
        <w:numPr>
          <w:ilvl w:val="0"/>
          <w:numId w:val="44"/>
        </w:numPr>
      </w:pPr>
      <w:r>
        <w:t>输入源为压力高于管道最大允许工作压力（MAWP）的井口</w:t>
      </w:r>
      <w:r>
        <w:rPr>
          <w:rFonts w:hint="eastAsia"/>
        </w:rPr>
        <w:t>出油管线</w:t>
      </w:r>
      <w:r>
        <w:t>，</w:t>
      </w:r>
      <w:r>
        <w:rPr>
          <w:rFonts w:hint="eastAsia"/>
        </w:rPr>
        <w:t>且设有</w:t>
      </w:r>
      <w:r>
        <w:t>由两个独立控制的</w:t>
      </w:r>
      <w:r>
        <w:rPr>
          <w:rFonts w:hint="eastAsia"/>
        </w:rPr>
        <w:t>关断阀（SDV）</w:t>
      </w:r>
      <w:r>
        <w:t>（</w:t>
      </w:r>
      <w:r>
        <w:rPr>
          <w:rFonts w:hint="eastAsia"/>
        </w:rPr>
        <w:t>其中一个可以为</w:t>
      </w:r>
      <w:r>
        <w:t>SSV）</w:t>
      </w:r>
      <w:r>
        <w:rPr>
          <w:rFonts w:hint="eastAsia"/>
        </w:rPr>
        <w:t>；</w:t>
      </w:r>
    </w:p>
    <w:p w14:paraId="5B07E8F6">
      <w:pPr>
        <w:pStyle w:val="305"/>
        <w:numPr>
          <w:ilvl w:val="0"/>
          <w:numId w:val="44"/>
        </w:numPr>
        <w:rPr>
          <w:rFonts w:hint="eastAsia" w:hAnsi="宋体" w:cs="宋体"/>
        </w:rPr>
      </w:pPr>
      <w:r>
        <w:t>管道由符合要</w:t>
      </w:r>
      <w:r>
        <w:rPr>
          <w:rFonts w:hint="eastAsia" w:hAnsi="宋体" w:cs="宋体"/>
        </w:rPr>
        <w:t>求的高完整性压力保护系统（HIPPS）保护。</w:t>
      </w:r>
    </w:p>
    <w:p w14:paraId="2ECD7817">
      <w:pPr>
        <w:pStyle w:val="328"/>
        <w:rPr>
          <w:rFonts w:hint="eastAsia" w:ascii="宋体" w:hAnsi="宋体" w:eastAsia="宋体" w:cs="宋体"/>
        </w:rPr>
      </w:pPr>
      <w:r>
        <w:rPr>
          <w:rFonts w:hint="eastAsia" w:ascii="宋体" w:hAnsi="宋体" w:eastAsia="宋体" w:cs="宋体"/>
        </w:rPr>
        <w:t>进平台管道和出平台管道均应设关断阀（SDV）。关断阀（SDV）应与全平台的ESD和FGS等联锁。</w:t>
      </w:r>
    </w:p>
    <w:p w14:paraId="749AC41E">
      <w:pPr>
        <w:pStyle w:val="327"/>
        <w:spacing w:before="156" w:beforeLines="50" w:after="156" w:afterLines="50"/>
        <w:outlineLvl w:val="4"/>
        <w:rPr>
          <w:rFonts w:hint="eastAsia" w:ascii="黑体" w:hAnsi="黑体" w:eastAsia="黑体" w:cs="黑体"/>
        </w:rPr>
      </w:pPr>
      <w:r>
        <w:rPr>
          <w:rFonts w:hint="eastAsia" w:ascii="黑体" w:hAnsi="黑体" w:eastAsia="黑体" w:cs="黑体"/>
        </w:rPr>
        <w:t>流动安全保护</w:t>
      </w:r>
    </w:p>
    <w:p w14:paraId="05082EF6">
      <w:pPr>
        <w:pStyle w:val="328"/>
        <w:rPr>
          <w:rFonts w:hint="eastAsia" w:ascii="宋体" w:hAnsi="宋体" w:eastAsia="宋体" w:cs="宋体"/>
        </w:rPr>
      </w:pPr>
      <w:r>
        <w:rPr>
          <w:rFonts w:hint="eastAsia" w:ascii="宋体" w:hAnsi="宋体" w:eastAsia="宋体" w:cs="宋体"/>
        </w:rPr>
        <w:t>进平台管道上应设流动安全阀（FSV），以防止因管道泄漏或破损而导致平台工艺系统的流体向破损处回流。出平台管道上也应设流动安全阀（FSV），以防止平台工艺系统泄漏时，管道中的流体倒流回平台工艺系统。</w:t>
      </w:r>
    </w:p>
    <w:p w14:paraId="74658554">
      <w:pPr>
        <w:pStyle w:val="328"/>
        <w:rPr>
          <w:rFonts w:hint="eastAsia" w:ascii="宋体" w:hAnsi="宋体" w:eastAsia="宋体" w:cs="宋体"/>
        </w:rPr>
      </w:pPr>
      <w:r>
        <w:rPr>
          <w:rFonts w:hint="eastAsia" w:ascii="宋体" w:hAnsi="宋体" w:eastAsia="宋体" w:cs="宋体"/>
        </w:rPr>
        <w:t>如果进平台管道仅越站连接到出平台管道上，出平台管道上的流动安全阀（FSV）也保护进平台管道。</w:t>
      </w:r>
    </w:p>
    <w:p w14:paraId="1B4E137C">
      <w:pPr>
        <w:pStyle w:val="328"/>
        <w:rPr>
          <w:rFonts w:hint="eastAsia" w:ascii="宋体" w:hAnsi="宋体" w:eastAsia="宋体" w:cs="宋体"/>
        </w:rPr>
      </w:pPr>
      <w:r>
        <w:rPr>
          <w:rFonts w:hint="eastAsia" w:ascii="宋体" w:hAnsi="宋体" w:eastAsia="宋体" w:cs="宋体"/>
        </w:rPr>
        <w:t>如果出平台管道上所有输入源都设有流动安全阀（FSV），并且其位置能使管道的所有支线均能避免回流，则该出平台管道也可不设流动安全阀（FSV）。</w:t>
      </w:r>
    </w:p>
    <w:p w14:paraId="581131A5">
      <w:pPr>
        <w:pStyle w:val="328"/>
        <w:rPr>
          <w:rFonts w:hint="eastAsia" w:ascii="宋体" w:hAnsi="宋体" w:eastAsia="宋体" w:cs="宋体"/>
        </w:rPr>
      </w:pPr>
      <w:r>
        <w:rPr>
          <w:rFonts w:hint="eastAsia" w:ascii="宋体" w:hAnsi="宋体" w:eastAsia="宋体" w:cs="宋体"/>
        </w:rPr>
        <w:t>双向长输管道可不设流动安全阀（FSV）。</w:t>
      </w:r>
    </w:p>
    <w:p w14:paraId="72B1DF81">
      <w:pPr>
        <w:pStyle w:val="261"/>
        <w:spacing w:before="156" w:after="156"/>
        <w:outlineLvl w:val="2"/>
      </w:pPr>
      <w:r>
        <w:rPr>
          <w:rFonts w:hint="eastAsia"/>
        </w:rPr>
        <w:t>换热器</w:t>
      </w:r>
    </w:p>
    <w:p w14:paraId="0DEED391">
      <w:pPr>
        <w:pStyle w:val="327"/>
        <w:spacing w:before="156" w:beforeLines="50" w:after="156" w:afterLines="50"/>
        <w:outlineLvl w:val="4"/>
        <w:rPr>
          <w:rFonts w:hint="eastAsia" w:ascii="黑体" w:hAnsi="黑体" w:eastAsia="黑体" w:cs="黑体"/>
        </w:rPr>
      </w:pPr>
      <w:r>
        <w:rPr>
          <w:rFonts w:hint="eastAsia" w:ascii="黑体" w:hAnsi="黑体" w:eastAsia="黑体" w:cs="黑体"/>
        </w:rPr>
        <w:t>压力安全保护</w:t>
      </w:r>
    </w:p>
    <w:p w14:paraId="47F8BBB9">
      <w:pPr>
        <w:pStyle w:val="328"/>
        <w:rPr>
          <w:rFonts w:hint="eastAsia" w:ascii="宋体" w:hAnsi="宋体" w:eastAsia="宋体" w:cs="宋体"/>
        </w:rPr>
      </w:pPr>
      <w:r>
        <w:rPr>
          <w:rFonts w:hint="eastAsia" w:ascii="宋体" w:hAnsi="宋体" w:eastAsia="宋体" w:cs="宋体"/>
        </w:rPr>
        <w:t>换热器应按受热侧及供热侧分别分析。可能导致超压的输入源一侧应设高压传感器（PSH），以便在必要时切断流入。</w:t>
      </w:r>
    </w:p>
    <w:p w14:paraId="506202DD">
      <w:pPr>
        <w:pStyle w:val="328"/>
        <w:rPr>
          <w:rFonts w:hint="eastAsia" w:ascii="宋体" w:hAnsi="宋体" w:eastAsia="宋体" w:cs="宋体"/>
        </w:rPr>
      </w:pPr>
      <w:r>
        <w:rPr>
          <w:rFonts w:hint="eastAsia" w:ascii="宋体" w:hAnsi="宋体" w:eastAsia="宋体" w:cs="宋体"/>
        </w:rPr>
        <w:t>若换热器一侧可能由于另一侧的泄漏或破裂而导致超压时，应设高压传感器（PSH）以切断超压源的流入。</w:t>
      </w:r>
    </w:p>
    <w:p w14:paraId="68894A67">
      <w:pPr>
        <w:pStyle w:val="328"/>
        <w:rPr>
          <w:rFonts w:hint="eastAsia" w:ascii="宋体" w:hAnsi="宋体" w:eastAsia="宋体" w:cs="宋体"/>
        </w:rPr>
      </w:pPr>
      <w:r>
        <w:rPr>
          <w:rFonts w:hint="eastAsia" w:ascii="宋体" w:hAnsi="宋体" w:eastAsia="宋体" w:cs="宋体"/>
        </w:rPr>
        <w:t>若上游设备的高压传感器（PSH）能检测到换热器一个输入源压力并可切断流入，或下游设备的高压传感器（PSH）能保护该输入源，且不与之隔离，则该输入源可不设高压传感器（PSH）。</w:t>
      </w:r>
    </w:p>
    <w:p w14:paraId="12416A79">
      <w:pPr>
        <w:pStyle w:val="328"/>
        <w:rPr>
          <w:rFonts w:hint="eastAsia" w:ascii="宋体" w:hAnsi="宋体" w:eastAsia="宋体" w:cs="宋体"/>
        </w:rPr>
      </w:pPr>
      <w:r>
        <w:rPr>
          <w:rFonts w:hint="eastAsia" w:ascii="宋体" w:hAnsi="宋体" w:eastAsia="宋体" w:cs="宋体"/>
        </w:rPr>
        <w:t>若换热器一侧的最大允许工作压力（MAWP）大于该侧输入源的最大允许工作压力（MAWP），该输入源也可不设高压传感器（PSH）。</w:t>
      </w:r>
    </w:p>
    <w:p w14:paraId="45BD23D1">
      <w:pPr>
        <w:pStyle w:val="328"/>
        <w:rPr>
          <w:rFonts w:hint="eastAsia" w:ascii="宋体" w:hAnsi="宋体" w:eastAsia="宋体" w:cs="宋体"/>
        </w:rPr>
      </w:pPr>
      <w:r>
        <w:rPr>
          <w:rFonts w:hint="eastAsia" w:ascii="宋体" w:hAnsi="宋体" w:eastAsia="宋体" w:cs="宋体"/>
        </w:rPr>
        <w:t>有烃类介质流动的输入源应设低压传感器（PSL），当压力降低时切断向该输入源的流入。</w:t>
      </w:r>
    </w:p>
    <w:p w14:paraId="1C443FB8">
      <w:pPr>
        <w:pStyle w:val="328"/>
        <w:rPr>
          <w:rFonts w:hint="eastAsia" w:ascii="宋体" w:hAnsi="宋体" w:eastAsia="宋体" w:cs="宋体"/>
        </w:rPr>
      </w:pPr>
      <w:r>
        <w:rPr>
          <w:rFonts w:hint="eastAsia" w:ascii="宋体" w:hAnsi="宋体" w:eastAsia="宋体" w:cs="宋体"/>
        </w:rPr>
        <w:t>若其它设备上的低压传感器（PSL）能保护换热器一侧，且不与之隔离，该侧可不设低压传感器（PSL）。</w:t>
      </w:r>
    </w:p>
    <w:p w14:paraId="6260BE72">
      <w:pPr>
        <w:pStyle w:val="328"/>
        <w:rPr>
          <w:rFonts w:hint="eastAsia" w:ascii="宋体" w:hAnsi="宋体" w:eastAsia="宋体" w:cs="宋体"/>
        </w:rPr>
      </w:pPr>
      <w:r>
        <w:rPr>
          <w:rFonts w:hint="eastAsia" w:ascii="宋体" w:hAnsi="宋体" w:eastAsia="宋体" w:cs="宋体"/>
        </w:rPr>
        <w:t>常压作业或作业中压力经常变动到常压的一侧可不设低压传感器（PSL）。</w:t>
      </w:r>
    </w:p>
    <w:p w14:paraId="553E25EB">
      <w:pPr>
        <w:pStyle w:val="328"/>
        <w:rPr>
          <w:rFonts w:hint="eastAsia" w:ascii="宋体" w:hAnsi="宋体" w:eastAsia="宋体" w:cs="宋体"/>
        </w:rPr>
      </w:pPr>
      <w:r>
        <w:rPr>
          <w:rFonts w:hint="eastAsia" w:ascii="宋体" w:hAnsi="宋体" w:eastAsia="宋体" w:cs="宋体"/>
        </w:rPr>
        <w:t>换热器每个输入源均应设压力安全阀（PSV）保护。若其它设备上的压力安全阀（PSV）能保护换热器的一侧，且不与之隔离，则该侧可不设压力安全阀（PSV）。若换热器一侧的最大允许工作压力（MAWP）大于任何输入源的最大操作压力，则该侧可不设压力安全阀（PSV）。</w:t>
      </w:r>
    </w:p>
    <w:p w14:paraId="611E4439">
      <w:pPr>
        <w:pStyle w:val="327"/>
        <w:spacing w:before="156" w:beforeLines="50" w:after="156" w:afterLines="50"/>
        <w:outlineLvl w:val="4"/>
        <w:rPr>
          <w:rFonts w:hint="eastAsia" w:ascii="黑体" w:hAnsi="黑体" w:eastAsia="黑体" w:cs="黑体"/>
        </w:rPr>
      </w:pPr>
      <w:r>
        <w:rPr>
          <w:rFonts w:hint="eastAsia" w:ascii="黑体" w:hAnsi="黑体" w:eastAsia="黑体" w:cs="黑体"/>
        </w:rPr>
        <w:t>温度安全保护</w:t>
      </w:r>
    </w:p>
    <w:p w14:paraId="22A98A59">
      <w:pPr>
        <w:pStyle w:val="521"/>
        <w:ind w:firstLine="420"/>
        <w:rPr>
          <w:rFonts w:hint="eastAsia" w:hAnsi="宋体" w:cs="宋体"/>
          <w:szCs w:val="21"/>
        </w:rPr>
      </w:pPr>
      <w:r>
        <w:rPr>
          <w:rFonts w:hint="eastAsia" w:ascii="Times New Roman"/>
          <w:szCs w:val="21"/>
        </w:rPr>
        <w:t>由于换热器两端一般均按加热介质的最高温度设计，因此可不设</w:t>
      </w:r>
      <w:r>
        <w:rPr>
          <w:rFonts w:hint="eastAsia" w:hAnsi="宋体" w:cs="宋体"/>
          <w:szCs w:val="21"/>
        </w:rPr>
        <w:t>高温传感器（TSH）。</w:t>
      </w:r>
    </w:p>
    <w:p w14:paraId="44725E7F">
      <w:pPr>
        <w:pStyle w:val="261"/>
        <w:spacing w:before="156" w:after="156"/>
        <w:outlineLvl w:val="2"/>
      </w:pPr>
      <w:r>
        <w:rPr>
          <w:rFonts w:hint="eastAsia"/>
        </w:rPr>
        <w:t>电加热设备</w:t>
      </w:r>
    </w:p>
    <w:p w14:paraId="345570C3">
      <w:pPr>
        <w:ind w:firstLine="420" w:firstLineChars="200"/>
        <w:rPr>
          <w:rFonts w:hint="eastAsia" w:ascii="宋体" w:hAnsi="宋体" w:cs="宋体"/>
        </w:rPr>
      </w:pPr>
      <w:r>
        <w:rPr>
          <w:rFonts w:hint="eastAsia" w:ascii="宋体" w:hAnsi="宋体" w:cs="宋体"/>
        </w:rPr>
        <w:t>应设置高温传感器（TSH）以便当工艺流体超温时关闭电加热控制器开关，切断电源。</w:t>
      </w:r>
    </w:p>
    <w:p w14:paraId="6EB47A85">
      <w:pPr>
        <w:pStyle w:val="260"/>
        <w:outlineLvl w:val="1"/>
      </w:pPr>
      <w:bookmarkStart w:id="99" w:name="_Toc16685"/>
      <w:bookmarkStart w:id="100" w:name="_Toc4893"/>
      <w:r>
        <w:rPr>
          <w:rFonts w:hint="eastAsia"/>
        </w:rPr>
        <w:fldChar w:fldCharType="begin"/>
      </w:r>
      <w:r>
        <w:rPr>
          <w:rFonts w:hint="eastAsia"/>
        </w:rPr>
        <w:instrText xml:space="preserve"> HYPERLINK \l _Toc3869 </w:instrText>
      </w:r>
      <w:r>
        <w:rPr>
          <w:rFonts w:hint="eastAsia"/>
        </w:rPr>
        <w:fldChar w:fldCharType="separate"/>
      </w:r>
      <w:r>
        <w:rPr>
          <w:rFonts w:hint="eastAsia"/>
        </w:rPr>
        <w:t>其他</w:t>
      </w:r>
      <w:r>
        <w:rPr>
          <w:rFonts w:hint="eastAsia"/>
        </w:rPr>
        <w:fldChar w:fldCharType="end"/>
      </w:r>
      <w:r>
        <w:rPr>
          <w:rFonts w:hint="eastAsia"/>
        </w:rPr>
        <w:t>安全保护</w:t>
      </w:r>
      <w:bookmarkEnd w:id="99"/>
      <w:bookmarkEnd w:id="100"/>
    </w:p>
    <w:p w14:paraId="40D3F7E8">
      <w:pPr>
        <w:pStyle w:val="261"/>
        <w:numPr>
          <w:ilvl w:val="255"/>
          <w:numId w:val="0"/>
        </w:numPr>
        <w:spacing w:before="156" w:after="156"/>
        <w:outlineLvl w:val="2"/>
      </w:pPr>
      <w:r>
        <w:rPr>
          <w:rFonts w:hint="eastAsia"/>
        </w:rPr>
        <w:t>10.3.1  火炬及冷放空系统</w:t>
      </w:r>
    </w:p>
    <w:p w14:paraId="05C26EB1">
      <w:pPr>
        <w:pStyle w:val="327"/>
      </w:pPr>
      <w:r>
        <w:rPr>
          <w:rFonts w:hint="eastAsia"/>
        </w:rPr>
        <w:t>对于设置了冷放空系统的固定平台，在满足安全生产要求的前提下，冷放空系统和闭式排放系统可合二为一，但需分别设置闭排管汇和冷放空管汇，并通过各自独立的管道和管嘴接入闭排兼冷放空分液罐。</w:t>
      </w:r>
    </w:p>
    <w:p w14:paraId="12EF815C">
      <w:pPr>
        <w:pStyle w:val="327"/>
      </w:pPr>
      <w:r>
        <w:rPr>
          <w:rFonts w:hint="eastAsia"/>
        </w:rPr>
        <w:t>若固定平台存在高低压设备同时泄放</w:t>
      </w:r>
      <w:r>
        <w:rPr>
          <w:rFonts w:hint="eastAsia"/>
          <w:lang w:eastAsia="zh-CN"/>
        </w:rPr>
        <w:t>，</w:t>
      </w:r>
      <w:r>
        <w:rPr>
          <w:rFonts w:hint="eastAsia"/>
        </w:rPr>
        <w:t>且单一火炬系统产生的背压无法满足低压设备的正常泄放时</w:t>
      </w:r>
      <w:r>
        <w:rPr>
          <w:rFonts w:hint="eastAsia"/>
          <w:lang w:eastAsia="zh-CN"/>
        </w:rPr>
        <w:t>，</w:t>
      </w:r>
      <w:r>
        <w:rPr>
          <w:rFonts w:hint="eastAsia"/>
        </w:rPr>
        <w:t>应分别设置高压火炬系统和低压火炬系统。</w:t>
      </w:r>
    </w:p>
    <w:p w14:paraId="5AA670B5">
      <w:pPr>
        <w:pStyle w:val="327"/>
      </w:pPr>
      <w:r>
        <w:rPr>
          <w:rFonts w:hint="eastAsia"/>
        </w:rPr>
        <w:t>对于分别设有高/低压火炬系统的固定平台，在满足安全生产要求的前提下，低压火炬系统和闭式排放系统可合二为一，但需分别设置闭排管汇和低压火炬管汇，并通过各自独立的管道和管嘴接入闭排兼低压火炬分液罐。</w:t>
      </w:r>
    </w:p>
    <w:p w14:paraId="144B8B3E">
      <w:pPr>
        <w:pStyle w:val="327"/>
      </w:pPr>
      <w:r>
        <w:rPr>
          <w:rFonts w:hint="eastAsia"/>
        </w:rPr>
        <w:t>在满足生产安全和泄放要求的情况下</w:t>
      </w:r>
      <w:r>
        <w:rPr>
          <w:rFonts w:hint="eastAsia"/>
          <w:lang w:eastAsia="zh-CN"/>
        </w:rPr>
        <w:t>，</w:t>
      </w:r>
      <w:r>
        <w:rPr>
          <w:rFonts w:hint="eastAsia"/>
        </w:rPr>
        <w:t>以栈桥连接的固定平台可共用一套火炬系统。</w:t>
      </w:r>
    </w:p>
    <w:p w14:paraId="5A3F674B">
      <w:pPr>
        <w:pStyle w:val="327"/>
      </w:pPr>
      <w:r>
        <w:rPr>
          <w:rFonts w:hint="eastAsia"/>
        </w:rPr>
        <w:t>对于低温泄放流体或含酸性组分的泄放流体</w:t>
      </w:r>
      <w:r>
        <w:rPr>
          <w:rFonts w:hint="eastAsia"/>
          <w:lang w:eastAsia="zh-CN"/>
        </w:rPr>
        <w:t>，</w:t>
      </w:r>
      <w:r>
        <w:rPr>
          <w:rFonts w:hint="eastAsia"/>
        </w:rPr>
        <w:t>可根据需要设置独立的收集汇管</w:t>
      </w:r>
      <w:r>
        <w:rPr>
          <w:rFonts w:hint="eastAsia"/>
          <w:lang w:eastAsia="zh-CN"/>
        </w:rPr>
        <w:t>，</w:t>
      </w:r>
      <w:r>
        <w:rPr>
          <w:rFonts w:hint="eastAsia"/>
        </w:rPr>
        <w:t>相关管线与设备选材考虑低温或酸性流体的影响。</w:t>
      </w:r>
    </w:p>
    <w:p w14:paraId="292AD783">
      <w:pPr>
        <w:pStyle w:val="327"/>
      </w:pPr>
      <w:r>
        <w:rPr>
          <w:rFonts w:hint="eastAsia"/>
        </w:rPr>
        <w:t>泄放</w:t>
      </w:r>
      <w:r>
        <w:t>汇管/支管应有一定的倾斜度</w:t>
      </w:r>
      <w:r>
        <w:rPr>
          <w:rFonts w:hint="eastAsia"/>
          <w:lang w:eastAsia="zh-CN"/>
        </w:rPr>
        <w:t>，</w:t>
      </w:r>
      <w:r>
        <w:t>支管宜按1:100的坡度坡向管汇</w:t>
      </w:r>
      <w:r>
        <w:rPr>
          <w:rFonts w:hint="eastAsia"/>
          <w:lang w:eastAsia="zh-CN"/>
        </w:rPr>
        <w:t>，</w:t>
      </w:r>
      <w:r>
        <w:t>汇管宜按1:100的坡度坡向火炬分液罐</w:t>
      </w:r>
      <w:r>
        <w:rPr>
          <w:rFonts w:hint="eastAsia"/>
        </w:rPr>
        <w:t>或冷放空分液罐</w:t>
      </w:r>
      <w:r>
        <w:t>。</w:t>
      </w:r>
    </w:p>
    <w:p w14:paraId="3B29E3D1">
      <w:pPr>
        <w:pStyle w:val="327"/>
      </w:pPr>
      <w:r>
        <w:t>当冷放空系统设施的设计压力大于等于86</w:t>
      </w:r>
      <w:r>
        <w:rPr>
          <w:rFonts w:hint="eastAsia"/>
        </w:rPr>
        <w:t>0</w:t>
      </w:r>
      <w:r>
        <w:rPr>
          <w:rFonts w:hint="eastAsia"/>
          <w:sz w:val="10"/>
          <w:szCs w:val="10"/>
        </w:rPr>
        <w:t xml:space="preserve"> </w:t>
      </w:r>
      <w:r>
        <w:t>kPaG时，冷放空管不可设阻火器；若设置阻火器，应采用措施以应对发生堵塞的风险，如：设置爆破片。</w:t>
      </w:r>
    </w:p>
    <w:p w14:paraId="457F6445">
      <w:pPr>
        <w:pStyle w:val="327"/>
        <w:spacing w:before="156" w:beforeLines="50" w:after="156" w:afterLines="50"/>
        <w:outlineLvl w:val="4"/>
        <w:rPr>
          <w:rFonts w:hint="eastAsia" w:ascii="黑体" w:hAnsi="黑体" w:eastAsia="黑体" w:cs="黑体"/>
        </w:rPr>
      </w:pPr>
      <w:r>
        <w:rPr>
          <w:rFonts w:hint="eastAsia" w:ascii="黑体" w:hAnsi="黑体" w:eastAsia="黑体" w:cs="黑体"/>
        </w:rPr>
        <w:t>泄放及扩散安全保护</w:t>
      </w:r>
    </w:p>
    <w:p w14:paraId="457DC2FC">
      <w:pPr>
        <w:pStyle w:val="328"/>
        <w:rPr>
          <w:rFonts w:ascii="Times New Roman" w:eastAsia="宋体"/>
        </w:rPr>
      </w:pPr>
      <w:r>
        <w:rPr>
          <w:rFonts w:hint="eastAsia" w:ascii="Times New Roman" w:eastAsia="宋体"/>
        </w:rPr>
        <w:t>火炬系统和冷放空系统泄放的大气污染物排放限值应符合</w:t>
      </w:r>
      <w:r>
        <w:rPr>
          <w:rFonts w:hint="eastAsia" w:ascii="Times New Roman"/>
        </w:rPr>
        <w:t>相关标准规范</w:t>
      </w:r>
      <w:r>
        <w:rPr>
          <w:rFonts w:hint="eastAsia" w:ascii="Times New Roman" w:eastAsia="宋体"/>
        </w:rPr>
        <w:t>的规定。</w:t>
      </w:r>
    </w:p>
    <w:p w14:paraId="45056648">
      <w:pPr>
        <w:pStyle w:val="328"/>
        <w:rPr>
          <w:rFonts w:ascii="Times New Roman" w:eastAsia="宋体"/>
        </w:rPr>
      </w:pPr>
      <w:r>
        <w:rPr>
          <w:rFonts w:hint="eastAsia" w:ascii="Times New Roman" w:eastAsia="宋体"/>
        </w:rPr>
        <w:t>火炬系统和冷放空系统应按照风向+风速不同组合的极端工况，根据</w:t>
      </w:r>
      <w:r>
        <w:rPr>
          <w:rFonts w:hint="eastAsia" w:ascii="Times New Roman"/>
        </w:rPr>
        <w:t>相关标准规范</w:t>
      </w:r>
      <w:r>
        <w:rPr>
          <w:rFonts w:hint="eastAsia" w:ascii="Times New Roman" w:eastAsia="宋体"/>
        </w:rPr>
        <w:t>规定的有害组分容许接触浓度限值进行泄放气体的扩散分析。</w:t>
      </w:r>
    </w:p>
    <w:p w14:paraId="4980E596">
      <w:pPr>
        <w:pStyle w:val="327"/>
        <w:spacing w:before="156" w:beforeLines="50" w:after="156" w:afterLines="50"/>
        <w:outlineLvl w:val="4"/>
        <w:rPr>
          <w:rFonts w:hint="eastAsia" w:ascii="黑体" w:hAnsi="黑体" w:eastAsia="黑体" w:cs="黑体"/>
        </w:rPr>
      </w:pPr>
      <w:r>
        <w:rPr>
          <w:rFonts w:ascii="黑体" w:hAnsi="黑体" w:eastAsia="黑体" w:cs="黑体"/>
        </w:rPr>
        <w:t>热辐射</w:t>
      </w:r>
      <w:r>
        <w:rPr>
          <w:rFonts w:hint="eastAsia" w:ascii="黑体" w:hAnsi="黑体" w:eastAsia="黑体" w:cs="黑体"/>
        </w:rPr>
        <w:t>安全保护</w:t>
      </w:r>
    </w:p>
    <w:p w14:paraId="235B8821">
      <w:pPr>
        <w:pStyle w:val="328"/>
      </w:pPr>
      <w:r>
        <w:rPr>
          <w:rFonts w:hint="eastAsia"/>
        </w:rPr>
        <w:t>火炬系统应进行</w:t>
      </w:r>
      <w:r>
        <w:t>连续排放</w:t>
      </w:r>
      <w:r>
        <w:rPr>
          <w:rFonts w:hint="eastAsia"/>
        </w:rPr>
        <w:t>工况和间歇排放</w:t>
      </w:r>
      <w:r>
        <w:t>工况</w:t>
      </w:r>
      <w:r>
        <w:rPr>
          <w:rFonts w:hint="eastAsia"/>
        </w:rPr>
        <w:t>的热辐射强度分析。冷放空系统应进行意外引燃工况下的热辐射强度分析。</w:t>
      </w:r>
    </w:p>
    <w:p w14:paraId="77007928">
      <w:pPr>
        <w:pStyle w:val="328"/>
      </w:pPr>
      <w:r>
        <w:rPr>
          <w:rFonts w:hint="eastAsia"/>
        </w:rPr>
        <w:t>任何</w:t>
      </w:r>
      <w:r>
        <w:t>辐射热</w:t>
      </w:r>
      <w:r>
        <w:rPr>
          <w:rFonts w:hint="eastAsia"/>
        </w:rPr>
        <w:t>强度</w:t>
      </w:r>
      <w:r>
        <w:t>可能超过6.31kW/m</w:t>
      </w:r>
      <w:r>
        <w:rPr>
          <w:vertAlign w:val="superscript"/>
        </w:rPr>
        <w:t>2</w:t>
      </w:r>
      <w:r>
        <w:t>的区域，</w:t>
      </w:r>
      <w:r>
        <w:rPr>
          <w:rFonts w:hint="eastAsia"/>
        </w:rPr>
        <w:t>均应</w:t>
      </w:r>
      <w:r>
        <w:t>限制</w:t>
      </w:r>
      <w:r>
        <w:rPr>
          <w:rFonts w:hint="eastAsia"/>
        </w:rPr>
        <w:t>人员</w:t>
      </w:r>
      <w:r>
        <w:t>进入</w:t>
      </w:r>
      <w:r>
        <w:rPr>
          <w:rFonts w:hint="eastAsia"/>
        </w:rPr>
        <w:t>，并在</w:t>
      </w:r>
      <w:r>
        <w:t>区域的边界上标示有潜在热辐射暴露危险的警告</w:t>
      </w:r>
      <w:r>
        <w:rPr>
          <w:rFonts w:hint="eastAsia"/>
        </w:rPr>
        <w:t>。</w:t>
      </w:r>
    </w:p>
    <w:p w14:paraId="454BC467">
      <w:pPr>
        <w:pStyle w:val="328"/>
      </w:pPr>
      <w:r>
        <w:rPr>
          <w:rFonts w:hint="eastAsia"/>
        </w:rPr>
        <w:t>靠近火炬头且频繁作业的区域，操作人员在穿着适当防护服装的前提下，所承受的最大热辐射强度若超出相关标准规范的限值要求，应设置固定屏障或采用其它有效的保护装置。</w:t>
      </w:r>
    </w:p>
    <w:p w14:paraId="7A261CBA">
      <w:pPr>
        <w:pStyle w:val="327"/>
        <w:spacing w:before="156" w:beforeLines="50" w:after="156" w:afterLines="50"/>
        <w:outlineLvl w:val="4"/>
        <w:rPr>
          <w:rFonts w:hint="eastAsia" w:ascii="黑体" w:hAnsi="黑体" w:eastAsia="黑体" w:cs="黑体"/>
        </w:rPr>
      </w:pPr>
      <w:r>
        <w:rPr>
          <w:rFonts w:ascii="黑体" w:hAnsi="黑体" w:eastAsia="黑体" w:cs="黑体"/>
        </w:rPr>
        <w:t>噪音</w:t>
      </w:r>
      <w:r>
        <w:rPr>
          <w:rFonts w:hint="eastAsia" w:ascii="黑体" w:hAnsi="黑体" w:eastAsia="黑体" w:cs="黑体"/>
        </w:rPr>
        <w:t>安全保护</w:t>
      </w:r>
    </w:p>
    <w:p w14:paraId="357B387C">
      <w:pPr>
        <w:pStyle w:val="521"/>
        <w:ind w:firstLine="420"/>
        <w:rPr>
          <w:rFonts w:ascii="Times New Roman"/>
          <w:szCs w:val="21"/>
        </w:rPr>
      </w:pPr>
      <w:r>
        <w:rPr>
          <w:rFonts w:hint="eastAsia" w:ascii="Times New Roman"/>
          <w:szCs w:val="21"/>
        </w:rPr>
        <w:t>火炬系统和冷放空系统应进行</w:t>
      </w:r>
      <w:r>
        <w:rPr>
          <w:rFonts w:ascii="Times New Roman"/>
          <w:szCs w:val="21"/>
        </w:rPr>
        <w:t>连续排放</w:t>
      </w:r>
      <w:r>
        <w:rPr>
          <w:rFonts w:hint="eastAsia" w:ascii="Times New Roman"/>
          <w:szCs w:val="21"/>
        </w:rPr>
        <w:t>工况和间歇排放</w:t>
      </w:r>
      <w:r>
        <w:rPr>
          <w:rFonts w:ascii="Times New Roman"/>
          <w:szCs w:val="21"/>
        </w:rPr>
        <w:t>工况</w:t>
      </w:r>
      <w:r>
        <w:rPr>
          <w:rFonts w:hint="eastAsia" w:ascii="Times New Roman"/>
          <w:szCs w:val="21"/>
        </w:rPr>
        <w:t>的噪音分析。所承受的最大噪音若超出相关标准规范限值要求，均应为操作人员配备有效的防护装备</w:t>
      </w:r>
      <w:r>
        <w:rPr>
          <w:rFonts w:ascii="Times New Roman"/>
          <w:szCs w:val="21"/>
        </w:rPr>
        <w:t>。</w:t>
      </w:r>
    </w:p>
    <w:p w14:paraId="7651BC7F">
      <w:pPr>
        <w:pStyle w:val="261"/>
        <w:spacing w:before="156" w:after="156"/>
        <w:outlineLvl w:val="2"/>
      </w:pPr>
      <w:r>
        <w:rPr>
          <w:rFonts w:hint="eastAsia"/>
        </w:rPr>
        <w:t>开式排放系统</w:t>
      </w:r>
    </w:p>
    <w:p w14:paraId="6CD6A59F">
      <w:pPr>
        <w:pStyle w:val="327"/>
        <w:spacing w:before="156" w:beforeLines="50" w:after="156" w:afterLines="50"/>
        <w:outlineLvl w:val="4"/>
        <w:rPr>
          <w:rFonts w:hint="eastAsia" w:ascii="黑体" w:hAnsi="黑体" w:eastAsia="黑体" w:cs="黑体"/>
        </w:rPr>
      </w:pPr>
      <w:r>
        <w:rPr>
          <w:rFonts w:hint="eastAsia" w:ascii="黑体" w:hAnsi="黑体" w:eastAsia="黑体" w:cs="黑体"/>
        </w:rPr>
        <w:t>流动安全保护</w:t>
      </w:r>
    </w:p>
    <w:p w14:paraId="531B8438">
      <w:pPr>
        <w:pStyle w:val="521"/>
        <w:ind w:firstLine="420"/>
        <w:rPr>
          <w:rFonts w:ascii="Times New Roman"/>
          <w:szCs w:val="21"/>
        </w:rPr>
      </w:pPr>
      <w:r>
        <w:rPr>
          <w:rFonts w:hint="eastAsia" w:ascii="Times New Roman"/>
          <w:szCs w:val="21"/>
        </w:rPr>
        <w:t>每根开式排放管线均</w:t>
      </w:r>
      <w:r>
        <w:rPr>
          <w:rFonts w:ascii="Times New Roman"/>
          <w:szCs w:val="21"/>
        </w:rPr>
        <w:t>应设</w:t>
      </w:r>
      <w:r>
        <w:rPr>
          <w:rFonts w:hint="eastAsia" w:ascii="宋体" w:hAnsi="宋体" w:eastAsia="宋体" w:cs="宋体"/>
          <w:szCs w:val="21"/>
        </w:rPr>
        <w:t>1:100</w:t>
      </w:r>
      <w:r>
        <w:rPr>
          <w:rFonts w:hint="eastAsia" w:ascii="Times New Roman"/>
          <w:szCs w:val="21"/>
        </w:rPr>
        <w:t>的坡度使流体顺利排入开排罐、开排沉箱或开排槽中</w:t>
      </w:r>
      <w:r>
        <w:rPr>
          <w:rFonts w:ascii="Times New Roman"/>
          <w:szCs w:val="21"/>
        </w:rPr>
        <w:t>。</w:t>
      </w:r>
    </w:p>
    <w:p w14:paraId="32516968">
      <w:pPr>
        <w:pStyle w:val="327"/>
        <w:spacing w:before="156" w:beforeLines="50" w:after="156" w:afterLines="50"/>
        <w:outlineLvl w:val="4"/>
        <w:rPr>
          <w:rFonts w:hint="eastAsia" w:ascii="黑体" w:hAnsi="黑体" w:eastAsia="黑体" w:cs="黑体"/>
        </w:rPr>
      </w:pPr>
      <w:r>
        <w:rPr>
          <w:rFonts w:hint="eastAsia" w:ascii="黑体" w:hAnsi="黑体" w:eastAsia="黑体" w:cs="黑体"/>
        </w:rPr>
        <w:t>排放安全保护</w:t>
      </w:r>
    </w:p>
    <w:p w14:paraId="2EB488EE">
      <w:pPr>
        <w:pStyle w:val="328"/>
      </w:pPr>
      <w:r>
        <w:t>各层甲板应分别设置危险区和非危险区开排管汇。</w:t>
      </w:r>
    </w:p>
    <w:p w14:paraId="78806DB0">
      <w:pPr>
        <w:pStyle w:val="328"/>
      </w:pPr>
      <w:r>
        <w:rPr>
          <w:rFonts w:hint="eastAsia"/>
        </w:rPr>
        <w:t>每根与开排罐、开排沉箱或开排槽相连的开排管汇上均</w:t>
      </w:r>
      <w:r>
        <w:t>应设置水封，避免烃类气体逸出。</w:t>
      </w:r>
    </w:p>
    <w:p w14:paraId="02C87020">
      <w:pPr>
        <w:pStyle w:val="328"/>
      </w:pPr>
      <w:r>
        <w:t>开排罐/开排沉箱</w:t>
      </w:r>
      <w:r>
        <w:rPr>
          <w:rFonts w:hint="eastAsia"/>
        </w:rPr>
        <w:t>的</w:t>
      </w:r>
      <w:r>
        <w:t>顶部放空管道上须设置阻火器，放空口应引至安全区域。</w:t>
      </w:r>
    </w:p>
    <w:p w14:paraId="7DE860AB">
      <w:pPr>
        <w:pStyle w:val="328"/>
      </w:pPr>
      <w:r>
        <w:t>各层甲板危险区含油设备撬块底座/围堰支管汇收集的流体，应排入开排罐/开排沉箱，不可直接排海。</w:t>
      </w:r>
    </w:p>
    <w:p w14:paraId="1207A1CE">
      <w:pPr>
        <w:pStyle w:val="261"/>
        <w:spacing w:before="156" w:after="156"/>
        <w:outlineLvl w:val="2"/>
      </w:pPr>
      <w:r>
        <w:rPr>
          <w:rFonts w:hint="eastAsia"/>
        </w:rPr>
        <w:t>闭式排放系统</w:t>
      </w:r>
    </w:p>
    <w:p w14:paraId="4273700C">
      <w:pPr>
        <w:pStyle w:val="521"/>
        <w:ind w:firstLine="420"/>
        <w:rPr>
          <w:rFonts w:ascii="Times New Roman"/>
          <w:szCs w:val="21"/>
        </w:rPr>
      </w:pPr>
      <w:r>
        <w:rPr>
          <w:rFonts w:hint="eastAsia" w:ascii="Times New Roman"/>
          <w:szCs w:val="21"/>
        </w:rPr>
        <w:t>每根闭式排放管线汇均</w:t>
      </w:r>
      <w:r>
        <w:rPr>
          <w:rFonts w:ascii="Times New Roman"/>
          <w:szCs w:val="21"/>
        </w:rPr>
        <w:t>应设</w:t>
      </w:r>
      <w:r>
        <w:rPr>
          <w:rFonts w:hint="eastAsia" w:ascii="宋体" w:hAnsi="宋体" w:eastAsia="宋体" w:cs="宋体"/>
          <w:szCs w:val="21"/>
        </w:rPr>
        <w:t>1:100</w:t>
      </w:r>
      <w:r>
        <w:rPr>
          <w:rFonts w:hint="eastAsia" w:ascii="Times New Roman"/>
          <w:szCs w:val="21"/>
        </w:rPr>
        <w:t>的坡度使流体顺利排入闭排罐中</w:t>
      </w:r>
      <w:r>
        <w:rPr>
          <w:rFonts w:ascii="Times New Roman"/>
          <w:szCs w:val="21"/>
        </w:rPr>
        <w:t>。</w:t>
      </w:r>
    </w:p>
    <w:p w14:paraId="64537042">
      <w:pPr>
        <w:pStyle w:val="261"/>
        <w:spacing w:before="156" w:after="156"/>
        <w:outlineLvl w:val="2"/>
      </w:pPr>
      <w:r>
        <w:rPr>
          <w:rFonts w:hint="eastAsia"/>
        </w:rPr>
        <w:t>高压注气系统</w:t>
      </w:r>
    </w:p>
    <w:p w14:paraId="383C1D2A">
      <w:pPr>
        <w:pStyle w:val="327"/>
        <w:spacing w:before="156" w:beforeLines="50" w:after="156" w:afterLines="50"/>
        <w:outlineLvl w:val="4"/>
        <w:rPr>
          <w:rFonts w:hint="eastAsia" w:ascii="黑体" w:hAnsi="黑体" w:eastAsia="黑体" w:cs="黑体"/>
        </w:rPr>
      </w:pPr>
      <w:r>
        <w:rPr>
          <w:rFonts w:hint="eastAsia" w:ascii="黑体" w:hAnsi="黑体" w:eastAsia="黑体" w:cs="黑体"/>
        </w:rPr>
        <w:t>流动安全保护</w:t>
      </w:r>
    </w:p>
    <w:p w14:paraId="67D8F17C">
      <w:pPr>
        <w:pStyle w:val="328"/>
        <w:rPr>
          <w:rFonts w:ascii="Times New Roman" w:eastAsia="宋体"/>
        </w:rPr>
      </w:pPr>
      <w:r>
        <w:rPr>
          <w:rFonts w:hint="eastAsia" w:ascii="Times New Roman" w:eastAsia="宋体"/>
        </w:rPr>
        <w:t>第一口注气井投产之前应向井筒中注入</w:t>
      </w:r>
      <w:r>
        <w:rPr>
          <w:rFonts w:ascii="Times New Roman" w:eastAsia="宋体"/>
        </w:rPr>
        <w:t>水合物</w:t>
      </w:r>
      <w:r>
        <w:rPr>
          <w:rFonts w:hint="eastAsia" w:ascii="Times New Roman" w:eastAsia="宋体"/>
        </w:rPr>
        <w:t>抑制剂</w:t>
      </w:r>
      <w:r>
        <w:rPr>
          <w:rFonts w:ascii="Times New Roman" w:eastAsia="宋体"/>
        </w:rPr>
        <w:t>，</w:t>
      </w:r>
      <w:r>
        <w:rPr>
          <w:rFonts w:hint="eastAsia" w:ascii="Times New Roman" w:eastAsia="宋体"/>
        </w:rPr>
        <w:t>以防止开井过程中生成</w:t>
      </w:r>
      <w:r>
        <w:rPr>
          <w:rFonts w:ascii="Times New Roman" w:eastAsia="宋体"/>
        </w:rPr>
        <w:t>水合物</w:t>
      </w:r>
      <w:r>
        <w:rPr>
          <w:rFonts w:hint="eastAsia" w:ascii="Times New Roman" w:eastAsia="宋体"/>
        </w:rPr>
        <w:t>。</w:t>
      </w:r>
    </w:p>
    <w:p w14:paraId="0962C28F">
      <w:pPr>
        <w:pStyle w:val="328"/>
        <w:rPr>
          <w:rFonts w:hint="eastAsia" w:ascii="宋体" w:hAnsi="宋体" w:eastAsia="宋体" w:cs="宋体"/>
        </w:rPr>
      </w:pPr>
      <w:r>
        <w:rPr>
          <w:rFonts w:hint="eastAsia" w:ascii="宋体" w:hAnsi="宋体" w:eastAsia="宋体" w:cs="宋体"/>
        </w:rPr>
        <w:t>注气/注水转换井（WAG）在进行注水转注气作业时，停井后应立即向井筒中注入水合物抑制剂，以降低水合物生成风险。注气/注水转换井（WAG）在进行注气转注水作业时，冷关井工况（关井时间超过60</w:t>
      </w:r>
      <w:r>
        <w:rPr>
          <w:rFonts w:hint="eastAsia" w:ascii="宋体" w:hAnsi="宋体" w:eastAsia="宋体" w:cs="宋体"/>
          <w:sz w:val="10"/>
          <w:szCs w:val="10"/>
        </w:rPr>
        <w:t xml:space="preserve"> </w:t>
      </w:r>
      <w:r>
        <w:rPr>
          <w:rFonts w:hint="eastAsia" w:ascii="宋体" w:hAnsi="宋体" w:eastAsia="宋体" w:cs="宋体"/>
        </w:rPr>
        <w:t>min）停井后应立即向井筒中注入水合物抑制剂以降低水合物生成风险。</w:t>
      </w:r>
    </w:p>
    <w:p w14:paraId="1F169579">
      <w:pPr>
        <w:pStyle w:val="327"/>
        <w:spacing w:before="156" w:beforeLines="50" w:after="156" w:afterLines="50"/>
        <w:outlineLvl w:val="4"/>
        <w:rPr>
          <w:rFonts w:hint="eastAsia" w:ascii="黑体" w:hAnsi="黑体" w:eastAsia="黑体" w:cs="黑体"/>
        </w:rPr>
      </w:pPr>
      <w:r>
        <w:rPr>
          <w:rFonts w:hint="eastAsia" w:ascii="黑体" w:hAnsi="黑体" w:eastAsia="黑体" w:cs="黑体"/>
        </w:rPr>
        <w:t>温度安全保护</w:t>
      </w:r>
    </w:p>
    <w:p w14:paraId="6D520C00">
      <w:pPr>
        <w:pStyle w:val="521"/>
        <w:ind w:firstLine="420"/>
        <w:rPr>
          <w:rFonts w:hint="eastAsia" w:hAnsi="宋体" w:cs="宋体"/>
          <w:szCs w:val="21"/>
        </w:rPr>
      </w:pPr>
      <w:r>
        <w:rPr>
          <w:rFonts w:hint="eastAsia" w:hAnsi="宋体" w:cs="宋体"/>
          <w:szCs w:val="21"/>
        </w:rPr>
        <w:t>泄放系统应开展低温泄放分析，若注气设备或管道暴露在焦耳汤姆逊效应（J-T）效应的冷却条件下，则需设置低温传感器（TSL），同时可考虑设置专门的低温泄放罐。</w:t>
      </w:r>
    </w:p>
    <w:p w14:paraId="7F44600D">
      <w:pPr>
        <w:pStyle w:val="261"/>
        <w:spacing w:before="156" w:after="156"/>
        <w:outlineLvl w:val="2"/>
      </w:pPr>
      <w:r>
        <w:rPr>
          <w:rFonts w:hint="eastAsia"/>
        </w:rPr>
        <w:t>稠油热采系统</w:t>
      </w:r>
    </w:p>
    <w:p w14:paraId="744963EA">
      <w:pPr>
        <w:pStyle w:val="521"/>
        <w:ind w:firstLine="420"/>
        <w:rPr>
          <w:rFonts w:ascii="Times New Roman"/>
          <w:szCs w:val="27"/>
        </w:rPr>
      </w:pPr>
      <w:r>
        <w:rPr>
          <w:rFonts w:hint="eastAsia" w:ascii="Times New Roman"/>
          <w:szCs w:val="27"/>
        </w:rPr>
        <w:t>出油管线上</w:t>
      </w:r>
      <w:r>
        <w:rPr>
          <w:rFonts w:ascii="Times New Roman"/>
          <w:szCs w:val="27"/>
        </w:rPr>
        <w:t>应设</w:t>
      </w:r>
      <w:r>
        <w:rPr>
          <w:rFonts w:hint="eastAsia" w:ascii="Times New Roman"/>
          <w:szCs w:val="21"/>
        </w:rPr>
        <w:t>高温传感器</w:t>
      </w:r>
      <w:r>
        <w:rPr>
          <w:rFonts w:hint="eastAsia" w:hAnsi="宋体" w:cs="宋体"/>
          <w:szCs w:val="21"/>
        </w:rPr>
        <w:t>（TSH）</w:t>
      </w:r>
      <w:r>
        <w:rPr>
          <w:rFonts w:ascii="Times New Roman"/>
          <w:szCs w:val="27"/>
        </w:rPr>
        <w:t>保护</w:t>
      </w:r>
      <w:r>
        <w:rPr>
          <w:rFonts w:hint="eastAsia" w:ascii="Times New Roman"/>
          <w:szCs w:val="27"/>
        </w:rPr>
        <w:t>，以便必要时关油井、切断高压蒸汽流入并停蒸汽锅炉</w:t>
      </w:r>
      <w:r>
        <w:rPr>
          <w:rFonts w:ascii="Times New Roman"/>
          <w:szCs w:val="27"/>
        </w:rPr>
        <w:t>。</w:t>
      </w:r>
    </w:p>
    <w:p w14:paraId="11E56432">
      <w:pPr>
        <w:pStyle w:val="260"/>
        <w:outlineLvl w:val="1"/>
      </w:pPr>
      <w:bookmarkStart w:id="101" w:name="_Toc17730"/>
      <w:bookmarkStart w:id="102" w:name="_Toc27386"/>
      <w:r>
        <w:rPr>
          <w:rFonts w:hint="eastAsia"/>
        </w:rPr>
        <w:fldChar w:fldCharType="begin"/>
      </w:r>
      <w:r>
        <w:rPr>
          <w:rFonts w:hint="eastAsia"/>
        </w:rPr>
        <w:instrText xml:space="preserve"> HYPERLINK \l _Toc3465 </w:instrText>
      </w:r>
      <w:r>
        <w:rPr>
          <w:rFonts w:hint="eastAsia"/>
        </w:rPr>
        <w:fldChar w:fldCharType="separate"/>
      </w:r>
      <w:r>
        <w:rPr>
          <w:rFonts w:hint="eastAsia"/>
        </w:rPr>
        <w:t>工艺安全分析</w:t>
      </w:r>
      <w:r>
        <w:rPr>
          <w:rFonts w:hint="eastAsia"/>
        </w:rPr>
        <w:fldChar w:fldCharType="end"/>
      </w:r>
      <w:bookmarkEnd w:id="101"/>
      <w:bookmarkEnd w:id="102"/>
    </w:p>
    <w:p w14:paraId="71EE33AD">
      <w:pPr>
        <w:pStyle w:val="326"/>
      </w:pPr>
      <w:r>
        <w:rPr>
          <w:rFonts w:hint="eastAsia"/>
        </w:rPr>
        <w:t>安全分析和功能评价表是对基本安全系统的设计逻辑进行确认的必要手段。</w:t>
      </w:r>
    </w:p>
    <w:p w14:paraId="3E52B7C7">
      <w:pPr>
        <w:pStyle w:val="326"/>
      </w:pPr>
      <w:r>
        <w:rPr>
          <w:rFonts w:hint="eastAsia"/>
        </w:rPr>
        <w:t>平台流程设计完成后，应用安全分析和功能评价表对其进行安全分析。</w:t>
      </w:r>
    </w:p>
    <w:p w14:paraId="10584731">
      <w:pPr>
        <w:pStyle w:val="260"/>
        <w:outlineLvl w:val="1"/>
      </w:pPr>
      <w:bookmarkStart w:id="103" w:name="_Toc19734"/>
      <w:bookmarkStart w:id="104" w:name="_Toc23087"/>
      <w:r>
        <w:rPr>
          <w:rFonts w:hint="eastAsia"/>
        </w:rPr>
        <w:fldChar w:fldCharType="begin"/>
      </w:r>
      <w:r>
        <w:rPr>
          <w:rFonts w:hint="eastAsia"/>
        </w:rPr>
        <w:instrText xml:space="preserve"> HYPERLINK \l _Toc21774 </w:instrText>
      </w:r>
      <w:r>
        <w:rPr>
          <w:rFonts w:hint="eastAsia"/>
        </w:rPr>
        <w:fldChar w:fldCharType="separate"/>
      </w:r>
      <w:r>
        <w:rPr>
          <w:rFonts w:hint="eastAsia"/>
        </w:rPr>
        <w:t>保温及伴热</w:t>
      </w:r>
      <w:r>
        <w:rPr>
          <w:rFonts w:hint="eastAsia"/>
        </w:rPr>
        <w:fldChar w:fldCharType="end"/>
      </w:r>
      <w:bookmarkEnd w:id="103"/>
      <w:bookmarkEnd w:id="104"/>
    </w:p>
    <w:p w14:paraId="236E63AE">
      <w:pPr>
        <w:pStyle w:val="326"/>
      </w:pPr>
      <w:r>
        <w:rPr>
          <w:rFonts w:hint="eastAsia"/>
        </w:rPr>
        <w:t>油（气）生产工艺/公用系统中设备与管系的保温</w:t>
      </w:r>
      <w:r>
        <w:t>应根据操作要求、流体的物理性质、人身保护、防冻、低温要求及环境温度等条件综合地分析并合理地确定。</w:t>
      </w:r>
    </w:p>
    <w:p w14:paraId="5FC2215E">
      <w:pPr>
        <w:pStyle w:val="326"/>
      </w:pPr>
      <w:r>
        <w:t>在保温措施不能满足流体物理性质要求的情况下</w:t>
      </w:r>
      <w:r>
        <w:rPr>
          <w:rFonts w:hint="eastAsia"/>
          <w:lang w:eastAsia="zh-CN"/>
        </w:rPr>
        <w:t>，</w:t>
      </w:r>
      <w:r>
        <w:t xml:space="preserve"> 可采用伴热措施。若采用电伴热系统</w:t>
      </w:r>
      <w:r>
        <w:rPr>
          <w:rFonts w:hint="eastAsia"/>
        </w:rPr>
        <w:t>，应</w:t>
      </w:r>
      <w:r>
        <w:t>通过选择适当的材料和采取必要的措施使电气设备的腐蚀减至最小。</w:t>
      </w:r>
    </w:p>
    <w:p w14:paraId="7182E093">
      <w:pPr>
        <w:pStyle w:val="326"/>
      </w:pPr>
      <w:r>
        <w:t>伴热的设备与管线应使用绝缘材料包覆</w:t>
      </w:r>
      <w:r>
        <w:rPr>
          <w:rFonts w:hint="eastAsia"/>
          <w:lang w:eastAsia="zh-CN"/>
        </w:rPr>
        <w:t>，</w:t>
      </w:r>
      <w:r>
        <w:rPr>
          <w:rFonts w:hint="eastAsia"/>
        </w:rPr>
        <w:t>该</w:t>
      </w:r>
      <w:r>
        <w:t>绝缘材料应用耐腐蚀的防水层包覆</w:t>
      </w:r>
      <w:r>
        <w:rPr>
          <w:rFonts w:hint="eastAsia"/>
          <w:lang w:eastAsia="zh-CN"/>
        </w:rPr>
        <w:t>，</w:t>
      </w:r>
      <w:r>
        <w:t xml:space="preserve"> 以免绝缘材料浸水失效。绝热表面温度一般不应超过60</w:t>
      </w:r>
      <w:r>
        <w:rPr>
          <w:rFonts w:hint="eastAsia" w:ascii="宋体" w:hAnsi="宋体" w:eastAsia="宋体" w:cs="宋体"/>
          <w:sz w:val="10"/>
          <w:szCs w:val="10"/>
        </w:rPr>
        <w:t xml:space="preserve"> </w:t>
      </w:r>
      <w:r>
        <w:t>℃。</w:t>
      </w:r>
    </w:p>
    <w:p w14:paraId="71AF24EF">
      <w:pPr>
        <w:pStyle w:val="326"/>
      </w:pPr>
      <w:r>
        <w:rPr>
          <w:rFonts w:hint="eastAsia"/>
        </w:rPr>
        <w:t>稠油热采井注热管线、出油受高温管线和高温放喷管线应选用耐高温材料</w:t>
      </w:r>
      <w:r>
        <w:t>。</w:t>
      </w:r>
    </w:p>
    <w:p w14:paraId="3B2E4851">
      <w:pPr>
        <w:pStyle w:val="260"/>
        <w:outlineLvl w:val="1"/>
      </w:pPr>
      <w:bookmarkStart w:id="105" w:name="_Toc2153"/>
      <w:r>
        <w:rPr>
          <w:rFonts w:hint="eastAsia"/>
        </w:rPr>
        <w:t>保冷及防冻</w:t>
      </w:r>
      <w:bookmarkEnd w:id="105"/>
    </w:p>
    <w:p w14:paraId="12EDBFDC">
      <w:pPr>
        <w:pStyle w:val="326"/>
        <w:numPr>
          <w:ilvl w:val="2"/>
          <w:numId w:val="0"/>
        </w:numPr>
        <w:ind w:firstLine="420" w:firstLineChars="200"/>
      </w:pPr>
      <w:r>
        <w:rPr>
          <w:rFonts w:hint="eastAsia"/>
        </w:rPr>
        <w:t>具有下列情况之一的设备和管道应进行保冷：</w:t>
      </w:r>
    </w:p>
    <w:p w14:paraId="0DE73DB2">
      <w:pPr>
        <w:pStyle w:val="305"/>
        <w:numPr>
          <w:ilvl w:val="0"/>
          <w:numId w:val="45"/>
        </w:numPr>
      </w:pPr>
      <w:r>
        <w:rPr>
          <w:rFonts w:hint="eastAsia"/>
        </w:rPr>
        <w:t>需减少冷介质在工艺处理或输送过程中的温升或气化（包括突然减压而气化产生结冰）；</w:t>
      </w:r>
    </w:p>
    <w:p w14:paraId="7B543BD9">
      <w:pPr>
        <w:pStyle w:val="305"/>
        <w:numPr>
          <w:ilvl w:val="0"/>
          <w:numId w:val="45"/>
        </w:numPr>
      </w:pPr>
      <w:r>
        <w:rPr>
          <w:rFonts w:hint="eastAsia"/>
        </w:rPr>
        <w:t>需减少冷介质在工艺处理或输送过程中的冷量损失；</w:t>
      </w:r>
    </w:p>
    <w:p w14:paraId="36585978">
      <w:pPr>
        <w:pStyle w:val="305"/>
        <w:numPr>
          <w:ilvl w:val="0"/>
          <w:numId w:val="45"/>
        </w:numPr>
      </w:pPr>
      <w:r>
        <w:rPr>
          <w:rFonts w:hint="eastAsia"/>
        </w:rPr>
        <w:t>需防止在环境温度下，设备或管道表面凝露。</w:t>
      </w:r>
    </w:p>
    <w:p w14:paraId="241EBB31">
      <w:pPr>
        <w:pStyle w:val="259"/>
        <w:outlineLvl w:val="0"/>
      </w:pPr>
      <w:bookmarkStart w:id="106" w:name="_Toc28901"/>
      <w:bookmarkStart w:id="107" w:name="_Toc25971"/>
      <w:r>
        <w:rPr>
          <w:rFonts w:hint="eastAsia"/>
        </w:rPr>
        <w:t>工艺管道</w:t>
      </w:r>
      <w:bookmarkEnd w:id="106"/>
    </w:p>
    <w:p w14:paraId="1E33F200">
      <w:pPr>
        <w:pStyle w:val="260"/>
        <w:outlineLvl w:val="1"/>
      </w:pPr>
      <w:bookmarkStart w:id="108" w:name="_Toc27075"/>
      <w:r>
        <w:rPr>
          <w:rFonts w:hint="eastAsia"/>
        </w:rPr>
        <w:t>一般规定</w:t>
      </w:r>
      <w:bookmarkEnd w:id="108"/>
    </w:p>
    <w:p w14:paraId="0FD155D2">
      <w:pPr>
        <w:pStyle w:val="326"/>
        <w:rPr>
          <w:rFonts w:ascii="Times New Roman"/>
        </w:rPr>
      </w:pPr>
      <w:r>
        <w:rPr>
          <w:rFonts w:hint="eastAsia"/>
        </w:rPr>
        <w:t>本章的规定适用于平台上部设施的油气生产、钻修井工艺管道和公用管道。</w:t>
      </w:r>
    </w:p>
    <w:p w14:paraId="63C5506D">
      <w:pPr>
        <w:pStyle w:val="326"/>
        <w:rPr>
          <w:rFonts w:ascii="Times New Roman"/>
        </w:rPr>
      </w:pPr>
      <w:r>
        <w:rPr>
          <w:rFonts w:hint="eastAsia" w:ascii="Times New Roman"/>
        </w:rPr>
        <w:t>管道的设计、制作、安装和检验应符合本章及本文件其他章节的相关规定。本文件未做规定者应按所用规范、标准执行。</w:t>
      </w:r>
    </w:p>
    <w:p w14:paraId="6F00B5CC">
      <w:pPr>
        <w:pStyle w:val="260"/>
        <w:outlineLvl w:val="1"/>
      </w:pPr>
      <w:bookmarkStart w:id="109" w:name="_Toc8996"/>
      <w:r>
        <w:rPr>
          <w:rFonts w:hint="eastAsia"/>
        </w:rPr>
        <w:t>管道布置</w:t>
      </w:r>
      <w:bookmarkEnd w:id="109"/>
    </w:p>
    <w:p w14:paraId="0B47EAE5">
      <w:pPr>
        <w:pStyle w:val="326"/>
        <w:rPr>
          <w:rFonts w:ascii="Times New Roman"/>
        </w:rPr>
      </w:pPr>
      <w:r>
        <w:rPr>
          <w:rFonts w:hint="eastAsia"/>
        </w:rPr>
        <w:t>管道应布置在不易受碰损处所，布置位置受限时，应具有可靠的防护结构。</w:t>
      </w:r>
    </w:p>
    <w:p w14:paraId="4557D39D">
      <w:pPr>
        <w:pStyle w:val="326"/>
      </w:pPr>
      <w:r>
        <w:rPr>
          <w:rFonts w:hint="eastAsia" w:ascii="Times New Roman"/>
        </w:rPr>
        <w:t>管道布置穿越有防火分隔的墙壁或甲板时，穿越处的墙壁或甲板仍应符合</w:t>
      </w:r>
      <w:r>
        <w:rPr>
          <w:rFonts w:hint="eastAsia" w:ascii="宋体" w:hAnsi="宋体" w:eastAsia="宋体" w:cs="宋体"/>
        </w:rPr>
        <w:t>17.2</w:t>
      </w:r>
      <w:r>
        <w:rPr>
          <w:rFonts w:hint="eastAsia" w:ascii="Times New Roman"/>
        </w:rPr>
        <w:t>中规定的耐火完整性要求。</w:t>
      </w:r>
    </w:p>
    <w:p w14:paraId="51ED1E68">
      <w:pPr>
        <w:pStyle w:val="326"/>
        <w:rPr>
          <w:rFonts w:ascii="Times New Roman"/>
        </w:rPr>
      </w:pPr>
      <w:r>
        <w:rPr>
          <w:rFonts w:hint="eastAsia" w:ascii="Times New Roman"/>
        </w:rPr>
        <w:t>应避免油罐的透气管、溢流管通过居住处所及蒸汽管系通过储物间和油漆间</w:t>
      </w:r>
      <w:r>
        <w:rPr>
          <w:rFonts w:hint="eastAsia" w:ascii="Times New Roman"/>
          <w:lang w:eastAsia="zh-CN"/>
        </w:rPr>
        <w:t>，</w:t>
      </w:r>
      <w:r>
        <w:rPr>
          <w:rFonts w:hint="eastAsia" w:ascii="Times New Roman"/>
        </w:rPr>
        <w:t>若不可避免</w:t>
      </w:r>
      <w:r>
        <w:rPr>
          <w:rFonts w:hint="eastAsia" w:ascii="Times New Roman"/>
          <w:lang w:eastAsia="zh-CN"/>
        </w:rPr>
        <w:t>，</w:t>
      </w:r>
      <w:r>
        <w:rPr>
          <w:rFonts w:hint="eastAsia" w:ascii="Times New Roman"/>
        </w:rPr>
        <w:t>则通过这类处所的管系不得有可拆接头。</w:t>
      </w:r>
    </w:p>
    <w:p w14:paraId="77A51518">
      <w:pPr>
        <w:pStyle w:val="326"/>
        <w:rPr>
          <w:rFonts w:ascii="Times New Roman"/>
        </w:rPr>
      </w:pPr>
      <w:r>
        <w:rPr>
          <w:rFonts w:hint="eastAsia" w:ascii="Times New Roman"/>
        </w:rPr>
        <w:t>原油与天然气管系不应穿越封闭或半封闭的非危险处所</w:t>
      </w:r>
      <w:r>
        <w:rPr>
          <w:rFonts w:hint="eastAsia" w:ascii="Times New Roman"/>
          <w:lang w:eastAsia="zh-CN"/>
        </w:rPr>
        <w:t>，</w:t>
      </w:r>
      <w:r>
        <w:rPr>
          <w:rFonts w:hint="eastAsia" w:ascii="Times New Roman"/>
        </w:rPr>
        <w:t xml:space="preserve"> 若不可避免，需采取相应的防护措施。 </w:t>
      </w:r>
    </w:p>
    <w:p w14:paraId="7067073C">
      <w:pPr>
        <w:pStyle w:val="326"/>
        <w:rPr>
          <w:rFonts w:ascii="Times New Roman"/>
        </w:rPr>
      </w:pPr>
      <w:r>
        <w:rPr>
          <w:rFonts w:hint="eastAsia" w:ascii="Times New Roman"/>
        </w:rPr>
        <w:t>输送液体介质的生产管道不应穿越电气房间。</w:t>
      </w:r>
    </w:p>
    <w:p w14:paraId="5D9FF677">
      <w:pPr>
        <w:pStyle w:val="260"/>
        <w:outlineLvl w:val="1"/>
      </w:pPr>
      <w:bookmarkStart w:id="110" w:name="_Toc6723"/>
      <w:r>
        <w:rPr>
          <w:rFonts w:hint="eastAsia"/>
        </w:rPr>
        <w:t>管道设计</w:t>
      </w:r>
      <w:bookmarkEnd w:id="110"/>
    </w:p>
    <w:p w14:paraId="209445B8">
      <w:pPr>
        <w:pStyle w:val="326"/>
        <w:rPr>
          <w:rFonts w:ascii="Times New Roman"/>
        </w:rPr>
      </w:pPr>
      <w:r>
        <w:rPr>
          <w:rFonts w:hint="eastAsia"/>
        </w:rPr>
        <w:t>管道的设计壁厚应依据所采用的标准规范确定。</w:t>
      </w:r>
    </w:p>
    <w:p w14:paraId="4C88C91C">
      <w:pPr>
        <w:pStyle w:val="326"/>
        <w:rPr>
          <w:rFonts w:ascii="Times New Roman" w:eastAsia="宋体"/>
        </w:rPr>
      </w:pPr>
      <w:r>
        <w:rPr>
          <w:rFonts w:hint="eastAsia" w:ascii="Times New Roman"/>
        </w:rPr>
        <w:t>管道材料应与其内部输送介质和管道承担的用途相适应，满足耐介质腐蚀、低温性能等要求。</w:t>
      </w:r>
    </w:p>
    <w:p w14:paraId="79E070C4">
      <w:pPr>
        <w:pStyle w:val="326"/>
        <w:rPr>
          <w:rFonts w:ascii="Times New Roman" w:eastAsia="宋体"/>
        </w:rPr>
      </w:pPr>
      <w:r>
        <w:rPr>
          <w:rFonts w:hint="eastAsia" w:ascii="Times New Roman" w:eastAsia="宋体"/>
        </w:rPr>
        <w:t xml:space="preserve">油气管道和消防管道中所有管道元件均不得含有石棉材料。 </w:t>
      </w:r>
    </w:p>
    <w:p w14:paraId="30FBB808">
      <w:pPr>
        <w:pStyle w:val="326"/>
        <w:rPr>
          <w:rFonts w:ascii="Times New Roman"/>
        </w:rPr>
      </w:pPr>
      <w:r>
        <w:rPr>
          <w:rFonts w:hint="eastAsia" w:ascii="Times New Roman"/>
        </w:rPr>
        <w:t>根据温度、压力、材料、连接设备、管道布置确定管道应力分析范围，并根据所采用设计标准进行应力分析。</w:t>
      </w:r>
    </w:p>
    <w:p w14:paraId="3BE4B176">
      <w:pPr>
        <w:pStyle w:val="326"/>
        <w:rPr>
          <w:rFonts w:ascii="Times New Roman" w:eastAsia="宋体"/>
        </w:rPr>
      </w:pPr>
      <w:r>
        <w:rPr>
          <w:rFonts w:hint="eastAsia" w:ascii="Times New Roman" w:eastAsia="宋体"/>
        </w:rPr>
        <w:t>油罐的透气管应引至安全的位置。</w:t>
      </w:r>
    </w:p>
    <w:p w14:paraId="25151F65">
      <w:pPr>
        <w:pStyle w:val="326"/>
        <w:rPr>
          <w:rFonts w:ascii="Times New Roman"/>
        </w:rPr>
      </w:pPr>
      <w:r>
        <w:rPr>
          <w:rFonts w:hint="eastAsia" w:ascii="Times New Roman"/>
        </w:rPr>
        <w:t>安全阀的排出管应尽量减少弯头，弯曲角度不能大于</w:t>
      </w:r>
      <w:r>
        <w:rPr>
          <w:rFonts w:hint="eastAsia" w:ascii="宋体" w:hAnsi="宋体" w:eastAsia="宋体" w:cs="宋体"/>
        </w:rPr>
        <w:t>90°</w:t>
      </w:r>
      <w:r>
        <w:rPr>
          <w:rFonts w:hint="eastAsia" w:ascii="Times New Roman"/>
        </w:rPr>
        <w:t xml:space="preserve">，排出管的安装应牢固，且要有足够的支承，不使阀体受到附加应力。 </w:t>
      </w:r>
    </w:p>
    <w:p w14:paraId="329A2F5D">
      <w:pPr>
        <w:pStyle w:val="260"/>
        <w:outlineLvl w:val="1"/>
      </w:pPr>
      <w:bookmarkStart w:id="111" w:name="_Toc23951"/>
      <w:r>
        <w:rPr>
          <w:rFonts w:hint="eastAsia"/>
        </w:rPr>
        <w:t>管道安装</w:t>
      </w:r>
      <w:bookmarkEnd w:id="111"/>
    </w:p>
    <w:p w14:paraId="0D2DDD7A">
      <w:pPr>
        <w:pStyle w:val="326"/>
        <w:rPr>
          <w:rFonts w:ascii="Times New Roman"/>
        </w:rPr>
      </w:pPr>
      <w:r>
        <w:t>输送含有可燃</w:t>
      </w:r>
      <w:r>
        <w:rPr>
          <w:rFonts w:hint="eastAsia"/>
        </w:rPr>
        <w:t>介质</w:t>
      </w:r>
      <w:r>
        <w:t>的管</w:t>
      </w:r>
      <w:r>
        <w:rPr>
          <w:rFonts w:hint="eastAsia"/>
        </w:rPr>
        <w:t>道</w:t>
      </w:r>
      <w:r>
        <w:t>应尽量减少</w:t>
      </w:r>
      <w:r>
        <w:rPr>
          <w:rFonts w:hint="eastAsia"/>
        </w:rPr>
        <w:t>可拆接头数量</w:t>
      </w:r>
      <w:r>
        <w:t>，并确保密封。</w:t>
      </w:r>
    </w:p>
    <w:p w14:paraId="63B9776C">
      <w:pPr>
        <w:pStyle w:val="326"/>
        <w:rPr>
          <w:rFonts w:ascii="Times New Roman"/>
        </w:rPr>
      </w:pPr>
      <w:r>
        <w:rPr>
          <w:rFonts w:hint="eastAsia" w:ascii="Times New Roman"/>
        </w:rPr>
        <w:t xml:space="preserve">管道的支承应避免由于温度、载荷变化使管道产生过大应力，危险区内管道的支承应确保防止产生火花。 </w:t>
      </w:r>
    </w:p>
    <w:p w14:paraId="6B947BC6">
      <w:pPr>
        <w:pStyle w:val="326"/>
        <w:rPr>
          <w:rFonts w:ascii="Times New Roman"/>
        </w:rPr>
      </w:pPr>
      <w:r>
        <w:rPr>
          <w:rFonts w:hint="eastAsia" w:ascii="Times New Roman"/>
        </w:rPr>
        <w:t>管道的防静电接地保护，应符合</w:t>
      </w:r>
      <w:r>
        <w:rPr>
          <w:rFonts w:hint="eastAsia" w:ascii="宋体" w:hAnsi="宋体" w:eastAsia="宋体" w:cs="宋体"/>
        </w:rPr>
        <w:t xml:space="preserve">14.8 </w:t>
      </w:r>
      <w:r>
        <w:rPr>
          <w:rFonts w:hint="eastAsia" w:ascii="Times New Roman"/>
        </w:rPr>
        <w:t xml:space="preserve">的有关规定。 </w:t>
      </w:r>
    </w:p>
    <w:p w14:paraId="5D670795">
      <w:pPr>
        <w:pStyle w:val="326"/>
      </w:pPr>
      <w:r>
        <w:rPr>
          <w:rFonts w:hint="eastAsia" w:ascii="Times New Roman"/>
        </w:rPr>
        <w:t>管道制造、安装、检验、试验按照所采用的标准规范执行。</w:t>
      </w:r>
    </w:p>
    <w:p w14:paraId="25FFDEA7">
      <w:pPr>
        <w:pStyle w:val="260"/>
        <w:outlineLvl w:val="1"/>
      </w:pPr>
      <w:bookmarkStart w:id="112" w:name="_Toc8796"/>
      <w:r>
        <w:rPr>
          <w:rFonts w:hint="eastAsia"/>
        </w:rPr>
        <w:t>隔热与伴热</w:t>
      </w:r>
      <w:bookmarkEnd w:id="112"/>
    </w:p>
    <w:p w14:paraId="32BD88D7">
      <w:pPr>
        <w:pStyle w:val="326"/>
        <w:rPr>
          <w:rFonts w:ascii="Times New Roman"/>
        </w:rPr>
      </w:pPr>
      <w:r>
        <w:rPr>
          <w:rFonts w:hint="eastAsia"/>
        </w:rPr>
        <w:t>应根据操作要求、管道内介质的物理性质、环境温度等条件确定管道的保温、保冷措施。</w:t>
      </w:r>
    </w:p>
    <w:p w14:paraId="1186CA1C">
      <w:pPr>
        <w:pStyle w:val="326"/>
        <w:rPr>
          <w:rFonts w:ascii="Times New Roman"/>
        </w:rPr>
      </w:pPr>
      <w:r>
        <w:rPr>
          <w:rFonts w:hint="eastAsia" w:ascii="Times New Roman"/>
        </w:rPr>
        <w:t>表面温度超过</w:t>
      </w:r>
      <w:r>
        <w:rPr>
          <w:rFonts w:hint="eastAsia" w:ascii="宋体" w:hAnsi="宋体" w:eastAsia="宋体" w:cs="宋体"/>
        </w:rPr>
        <w:t>60</w:t>
      </w:r>
      <w:r>
        <w:rPr>
          <w:rFonts w:hint="eastAsia" w:ascii="宋体" w:hAnsi="宋体" w:eastAsia="宋体" w:cs="宋体"/>
          <w:sz w:val="10"/>
          <w:szCs w:val="10"/>
        </w:rPr>
        <w:t xml:space="preserve"> </w:t>
      </w:r>
      <w:r>
        <w:rPr>
          <w:rFonts w:hint="eastAsia" w:ascii="宋体" w:hAnsi="宋体" w:eastAsia="宋体" w:cs="宋体"/>
        </w:rPr>
        <w:t>℃</w:t>
      </w:r>
      <w:r>
        <w:rPr>
          <w:rFonts w:hint="eastAsia" w:ascii="Times New Roman"/>
        </w:rPr>
        <w:t>的不保温绝热管道，需要经常维护又无法采用其他措施防止烫伤的部位，应采用防烫绝热。</w:t>
      </w:r>
    </w:p>
    <w:p w14:paraId="6F98EE1D">
      <w:pPr>
        <w:pStyle w:val="326"/>
        <w:rPr>
          <w:rFonts w:ascii="Times New Roman"/>
        </w:rPr>
      </w:pPr>
      <w:r>
        <w:rPr>
          <w:rFonts w:hint="eastAsia" w:ascii="Times New Roman"/>
        </w:rPr>
        <w:t>保温材料制品的允许使用温度应高于正常操作时的介质最高温度。</w:t>
      </w:r>
    </w:p>
    <w:p w14:paraId="00370520">
      <w:pPr>
        <w:pStyle w:val="326"/>
        <w:rPr>
          <w:rFonts w:ascii="Times New Roman"/>
        </w:rPr>
      </w:pPr>
      <w:r>
        <w:rPr>
          <w:rFonts w:hint="eastAsia" w:ascii="Times New Roman"/>
        </w:rPr>
        <w:t xml:space="preserve">隔热材料应为不燃材料或难燃材料。 </w:t>
      </w:r>
    </w:p>
    <w:p w14:paraId="4832BDC6">
      <w:pPr>
        <w:pStyle w:val="326"/>
        <w:rPr>
          <w:rFonts w:ascii="Times New Roman"/>
        </w:rPr>
      </w:pPr>
      <w:r>
        <w:rPr>
          <w:rFonts w:hint="eastAsia" w:ascii="Times New Roman"/>
        </w:rPr>
        <w:t>应特别注意伴热管道在穿越甲板处以及在其他受限空间处的保温，以避免该处的伴热管道发生冻堵。</w:t>
      </w:r>
    </w:p>
    <w:p w14:paraId="1B9AF49F">
      <w:pPr>
        <w:pStyle w:val="326"/>
      </w:pPr>
      <w:r>
        <w:t>伴热的设备与管线应使用绝缘材料包覆</w:t>
      </w:r>
      <w:r>
        <w:rPr>
          <w:rFonts w:hint="eastAsia"/>
          <w:lang w:eastAsia="zh-CN"/>
        </w:rPr>
        <w:t>，</w:t>
      </w:r>
      <w:r>
        <w:rPr>
          <w:rFonts w:hint="eastAsia"/>
        </w:rPr>
        <w:t>该</w:t>
      </w:r>
      <w:r>
        <w:t>绝缘材料应用耐腐蚀的防水层包覆</w:t>
      </w:r>
      <w:r>
        <w:rPr>
          <w:rFonts w:hint="eastAsia"/>
          <w:lang w:eastAsia="zh-CN"/>
        </w:rPr>
        <w:t>，</w:t>
      </w:r>
      <w:r>
        <w:t xml:space="preserve"> 以免绝缘材料浸水失效。绝热表面温度一般不应超过60</w:t>
      </w:r>
      <w:r>
        <w:rPr>
          <w:rFonts w:hint="eastAsia" w:ascii="宋体" w:hAnsi="宋体" w:eastAsia="宋体" w:cs="宋体"/>
          <w:sz w:val="10"/>
          <w:szCs w:val="10"/>
        </w:rPr>
        <w:t xml:space="preserve"> </w:t>
      </w:r>
      <w:r>
        <w:t>℃。</w:t>
      </w:r>
    </w:p>
    <w:p w14:paraId="1A145F57">
      <w:pPr>
        <w:pStyle w:val="326"/>
        <w:rPr>
          <w:rFonts w:ascii="Times New Roman"/>
        </w:rPr>
      </w:pPr>
      <w:r>
        <w:rPr>
          <w:rFonts w:hint="eastAsia"/>
        </w:rPr>
        <w:t>稠油热采井注热管线、出油受高温管线和高温放喷管线应选用耐高温材料</w:t>
      </w:r>
      <w:r>
        <w:t>。</w:t>
      </w:r>
    </w:p>
    <w:p w14:paraId="39380834">
      <w:pPr>
        <w:pStyle w:val="260"/>
        <w:outlineLvl w:val="1"/>
      </w:pPr>
      <w:bookmarkStart w:id="113" w:name="_Toc19925"/>
      <w:r>
        <w:rPr>
          <w:rFonts w:hint="eastAsia"/>
        </w:rPr>
        <w:t>安全装置和标识</w:t>
      </w:r>
      <w:bookmarkEnd w:id="113"/>
    </w:p>
    <w:p w14:paraId="73B2C56C">
      <w:pPr>
        <w:pStyle w:val="326"/>
        <w:rPr>
          <w:rFonts w:ascii="Times New Roman"/>
        </w:rPr>
      </w:pPr>
      <w:r>
        <w:rPr>
          <w:rFonts w:hint="eastAsia"/>
        </w:rPr>
        <w:t xml:space="preserve">根据管道工作条件，按所选用规范、标准设置必要的安全装置。 </w:t>
      </w:r>
    </w:p>
    <w:p w14:paraId="2AC228D0">
      <w:pPr>
        <w:pStyle w:val="326"/>
        <w:rPr>
          <w:rFonts w:ascii="Times New Roman"/>
        </w:rPr>
      </w:pPr>
      <w:r>
        <w:rPr>
          <w:rFonts w:hint="eastAsia" w:ascii="Times New Roman"/>
        </w:rPr>
        <w:t>各管道应按输送介质不同涂以不同颜色面漆或色环，并设立标明流向的标识。</w:t>
      </w:r>
    </w:p>
    <w:bookmarkEnd w:id="107"/>
    <w:p w14:paraId="428658B5">
      <w:pPr>
        <w:pStyle w:val="259"/>
        <w:outlineLvl w:val="0"/>
        <w:rPr>
          <w:rFonts w:ascii="Times New Roman"/>
        </w:rPr>
      </w:pPr>
      <w:bookmarkStart w:id="114" w:name="_Toc11265"/>
      <w:bookmarkStart w:id="115" w:name="_Toc15512"/>
      <w:r>
        <w:rPr>
          <w:rFonts w:hint="eastAsia" w:ascii="Times New Roman"/>
        </w:rPr>
        <w:t>机</w:t>
      </w:r>
      <w:r>
        <w:rPr>
          <w:rFonts w:ascii="Times New Roman"/>
        </w:rPr>
        <w:t>械设备及管系</w:t>
      </w:r>
      <w:bookmarkEnd w:id="114"/>
    </w:p>
    <w:p w14:paraId="1BA46F92">
      <w:pPr>
        <w:pStyle w:val="260"/>
        <w:outlineLvl w:val="1"/>
        <w:rPr>
          <w:rFonts w:ascii="Times New Roman"/>
        </w:rPr>
      </w:pPr>
      <w:bookmarkStart w:id="116" w:name="_Toc17703"/>
      <w:bookmarkStart w:id="117" w:name="_Toc32075"/>
      <w:r>
        <w:rPr>
          <w:rFonts w:ascii="Times New Roman"/>
        </w:rPr>
        <w:t>一般规定</w:t>
      </w:r>
      <w:bookmarkEnd w:id="116"/>
      <w:bookmarkEnd w:id="117"/>
    </w:p>
    <w:p w14:paraId="62F003EE">
      <w:pPr>
        <w:pStyle w:val="261"/>
        <w:spacing w:before="156" w:after="156"/>
        <w:outlineLvl w:val="2"/>
        <w:rPr>
          <w:rFonts w:ascii="Times New Roman"/>
        </w:rPr>
      </w:pPr>
      <w:r>
        <w:rPr>
          <w:rFonts w:ascii="Times New Roman"/>
        </w:rPr>
        <w:t>适用范围</w:t>
      </w:r>
    </w:p>
    <w:p w14:paraId="27698E20">
      <w:pPr>
        <w:pStyle w:val="521"/>
        <w:ind w:firstLine="420"/>
        <w:rPr>
          <w:rFonts w:ascii="Times New Roman"/>
        </w:rPr>
      </w:pPr>
      <w:r>
        <w:rPr>
          <w:rFonts w:ascii="Times New Roman"/>
        </w:rPr>
        <w:t>适用于平台上应用的主要通用机械设备和系统，未涉及的通用机械设备和系统应符合所用规范、标准的规定。</w:t>
      </w:r>
    </w:p>
    <w:p w14:paraId="5EE4779D">
      <w:pPr>
        <w:pStyle w:val="261"/>
        <w:spacing w:before="156" w:after="156"/>
        <w:outlineLvl w:val="2"/>
        <w:rPr>
          <w:rFonts w:ascii="Times New Roman"/>
        </w:rPr>
      </w:pPr>
      <w:bookmarkStart w:id="118" w:name="_Toc6367"/>
      <w:r>
        <w:rPr>
          <w:rFonts w:ascii="Times New Roman"/>
        </w:rPr>
        <w:t>燃料要求</w:t>
      </w:r>
      <w:bookmarkEnd w:id="118"/>
    </w:p>
    <w:p w14:paraId="540A23F1">
      <w:pPr>
        <w:pStyle w:val="327"/>
        <w:rPr>
          <w:rFonts w:hint="eastAsia" w:ascii="宋体" w:hAnsi="宋体" w:eastAsia="宋体" w:cs="宋体"/>
        </w:rPr>
      </w:pPr>
      <w:r>
        <w:rPr>
          <w:rFonts w:hint="eastAsia" w:ascii="宋体" w:hAnsi="宋体" w:eastAsia="宋体" w:cs="宋体"/>
        </w:rPr>
        <w:t>内燃机所用柴油的闪点（闭杯试验）一般不低于60 ℃。应急发电机原动机所用柴油的闪点不低于43</w:t>
      </w:r>
      <w:r>
        <w:rPr>
          <w:rFonts w:hint="eastAsia" w:ascii="宋体" w:hAnsi="宋体" w:eastAsia="宋体" w:cs="宋体"/>
          <w:sz w:val="10"/>
          <w:szCs w:val="10"/>
        </w:rPr>
        <w:t xml:space="preserve"> </w:t>
      </w:r>
      <w:r>
        <w:rPr>
          <w:rFonts w:hint="eastAsia" w:ascii="宋体" w:hAnsi="宋体" w:eastAsia="宋体" w:cs="宋体"/>
        </w:rPr>
        <w:t>℃。</w:t>
      </w:r>
    </w:p>
    <w:p w14:paraId="4903A4E5">
      <w:pPr>
        <w:pStyle w:val="327"/>
        <w:rPr>
          <w:rFonts w:hint="eastAsia" w:ascii="宋体" w:hAnsi="宋体" w:eastAsia="宋体" w:cs="宋体"/>
        </w:rPr>
      </w:pPr>
      <w:r>
        <w:rPr>
          <w:rFonts w:hint="eastAsia" w:ascii="宋体" w:hAnsi="宋体" w:eastAsia="宋体" w:cs="宋体"/>
        </w:rPr>
        <w:t>如有专门的措施，使柴油的存储或使用处所的环境温度能限制在低于该柴油闪点10</w:t>
      </w:r>
      <w:r>
        <w:rPr>
          <w:rFonts w:hint="eastAsia" w:ascii="宋体" w:hAnsi="宋体" w:eastAsia="宋体" w:cs="宋体"/>
          <w:sz w:val="10"/>
          <w:szCs w:val="10"/>
        </w:rPr>
        <w:t xml:space="preserve"> </w:t>
      </w:r>
      <w:r>
        <w:rPr>
          <w:rFonts w:hint="eastAsia" w:ascii="宋体" w:hAnsi="宋体" w:eastAsia="宋体" w:cs="宋体"/>
        </w:rPr>
        <w:t>℃以下范围内时，可允许除应急发电机原动机之外的内燃机使用闪点低于60℃但不低于43</w:t>
      </w:r>
      <w:r>
        <w:rPr>
          <w:rFonts w:hint="eastAsia" w:ascii="宋体" w:hAnsi="宋体" w:eastAsia="宋体" w:cs="宋体"/>
          <w:sz w:val="10"/>
          <w:szCs w:val="10"/>
        </w:rPr>
        <w:t xml:space="preserve"> </w:t>
      </w:r>
      <w:r>
        <w:rPr>
          <w:rFonts w:hint="eastAsia" w:ascii="宋体" w:hAnsi="宋体" w:eastAsia="宋体" w:cs="宋体"/>
        </w:rPr>
        <w:t>℃的柴油。</w:t>
      </w:r>
    </w:p>
    <w:p w14:paraId="14BEC617">
      <w:pPr>
        <w:pStyle w:val="327"/>
        <w:rPr>
          <w:rFonts w:hint="eastAsia" w:ascii="宋体" w:hAnsi="宋体" w:eastAsia="宋体" w:cs="宋体"/>
        </w:rPr>
      </w:pPr>
      <w:r>
        <w:rPr>
          <w:rFonts w:hint="eastAsia" w:ascii="宋体" w:hAnsi="宋体" w:eastAsia="宋体" w:cs="宋体"/>
        </w:rPr>
        <w:t>以平台自产的天然气天然气或原油作为燃料时，应进行适当的处理以满足燃烧设备对燃料的要求，还应分别采取本文件所规定的燃料系统保护措施或其他等效措施，确保安全使用。</w:t>
      </w:r>
    </w:p>
    <w:p w14:paraId="6F4062B7">
      <w:pPr>
        <w:pStyle w:val="261"/>
        <w:spacing w:before="156" w:after="156"/>
        <w:outlineLvl w:val="2"/>
        <w:rPr>
          <w:rFonts w:ascii="Times New Roman"/>
        </w:rPr>
      </w:pPr>
      <w:bookmarkStart w:id="119" w:name="_Toc32145"/>
      <w:r>
        <w:rPr>
          <w:rFonts w:ascii="Times New Roman"/>
        </w:rPr>
        <w:t>防护设施</w:t>
      </w:r>
      <w:bookmarkEnd w:id="119"/>
      <w:r>
        <w:rPr>
          <w:rFonts w:ascii="Times New Roman"/>
        </w:rPr>
        <w:t xml:space="preserve"> </w:t>
      </w:r>
    </w:p>
    <w:p w14:paraId="720BD215">
      <w:pPr>
        <w:pStyle w:val="327"/>
        <w:rPr>
          <w:rFonts w:ascii="Times New Roman" w:eastAsia="宋体"/>
        </w:rPr>
      </w:pPr>
      <w:r>
        <w:rPr>
          <w:rFonts w:hint="eastAsia" w:ascii="Times New Roman" w:eastAsia="宋体"/>
        </w:rPr>
        <w:t>机器</w:t>
      </w:r>
      <w:r>
        <w:rPr>
          <w:rFonts w:ascii="Times New Roman" w:eastAsia="宋体"/>
        </w:rPr>
        <w:t>、锅炉、压力容器及其管系和附件的设计、安装和防护应充分考虑到使运动部件、热表面和其他危险对平台上人员的伤害可能性减至最小程度。</w:t>
      </w:r>
    </w:p>
    <w:p w14:paraId="07C1AB25">
      <w:pPr>
        <w:pStyle w:val="327"/>
        <w:rPr>
          <w:rFonts w:ascii="Times New Roman"/>
        </w:rPr>
      </w:pPr>
      <w:r>
        <w:rPr>
          <w:rFonts w:ascii="Times New Roman"/>
        </w:rPr>
        <w:t>为避免机械设备和管系在操作及切换中的差错，应在醒目处设有操作须知的标志牌。</w:t>
      </w:r>
    </w:p>
    <w:p w14:paraId="0421665B">
      <w:pPr>
        <w:pStyle w:val="261"/>
        <w:spacing w:before="156" w:after="156"/>
        <w:outlineLvl w:val="2"/>
        <w:rPr>
          <w:rFonts w:ascii="Times New Roman"/>
        </w:rPr>
      </w:pPr>
      <w:bookmarkStart w:id="120" w:name="_Toc15941"/>
      <w:r>
        <w:rPr>
          <w:rFonts w:ascii="Times New Roman"/>
        </w:rPr>
        <w:t>关键设备布置</w:t>
      </w:r>
      <w:bookmarkEnd w:id="120"/>
      <w:r>
        <w:rPr>
          <w:rFonts w:ascii="Times New Roman"/>
        </w:rPr>
        <w:t xml:space="preserve">要求    </w:t>
      </w:r>
    </w:p>
    <w:p w14:paraId="054B6E89">
      <w:pPr>
        <w:pStyle w:val="327"/>
        <w:rPr>
          <w:rFonts w:ascii="Times New Roman"/>
        </w:rPr>
      </w:pPr>
      <w:bookmarkStart w:id="121" w:name="_Toc29360"/>
      <w:bookmarkStart w:id="122" w:name="_Toc21799"/>
      <w:bookmarkStart w:id="123" w:name="_Toc22797"/>
      <w:r>
        <w:rPr>
          <w:rFonts w:ascii="Times New Roman"/>
        </w:rPr>
        <w:t>通用</w:t>
      </w:r>
      <w:r>
        <w:rPr>
          <w:rFonts w:hint="eastAsia" w:ascii="Times New Roman"/>
        </w:rPr>
        <w:t>机械</w:t>
      </w:r>
      <w:r>
        <w:rPr>
          <w:rFonts w:ascii="Times New Roman"/>
        </w:rPr>
        <w:t>设备处所应设有便于操作和维修设备的通道和平台，设备的布置应留有适当的检修空间。</w:t>
      </w:r>
      <w:bookmarkEnd w:id="121"/>
      <w:bookmarkEnd w:id="122"/>
      <w:bookmarkEnd w:id="123"/>
      <w:r>
        <w:rPr>
          <w:rFonts w:ascii="Times New Roman"/>
        </w:rPr>
        <w:t xml:space="preserve"> </w:t>
      </w:r>
    </w:p>
    <w:p w14:paraId="6EFC666D">
      <w:pPr>
        <w:pStyle w:val="327"/>
        <w:rPr>
          <w:rFonts w:ascii="Times New Roman"/>
        </w:rPr>
      </w:pPr>
      <w:r>
        <w:rPr>
          <w:rFonts w:ascii="Times New Roman"/>
        </w:rPr>
        <w:t>不适宜露天环境的设备应设在罩壳或机房内，所有的废气出口不能排出具有引爆能力的火星。</w:t>
      </w:r>
    </w:p>
    <w:p w14:paraId="3CB2CB7A">
      <w:pPr>
        <w:pStyle w:val="327"/>
        <w:rPr>
          <w:rFonts w:ascii="Times New Roman"/>
        </w:rPr>
      </w:pPr>
      <w:r>
        <w:rPr>
          <w:rFonts w:ascii="Times New Roman"/>
        </w:rPr>
        <w:t>饮水</w:t>
      </w:r>
      <w:r>
        <w:rPr>
          <w:rFonts w:hint="eastAsia" w:ascii="Times New Roman"/>
        </w:rPr>
        <w:t>罐</w:t>
      </w:r>
      <w:r>
        <w:rPr>
          <w:rFonts w:ascii="Times New Roman"/>
        </w:rPr>
        <w:t>或淡水</w:t>
      </w:r>
      <w:r>
        <w:rPr>
          <w:rFonts w:hint="eastAsia" w:ascii="Times New Roman"/>
        </w:rPr>
        <w:t>罐</w:t>
      </w:r>
      <w:r>
        <w:rPr>
          <w:rFonts w:ascii="Times New Roman"/>
        </w:rPr>
        <w:t>不能与任何油</w:t>
      </w:r>
      <w:r>
        <w:rPr>
          <w:rFonts w:hint="eastAsia" w:ascii="Times New Roman"/>
        </w:rPr>
        <w:t>罐</w:t>
      </w:r>
      <w:r>
        <w:rPr>
          <w:rFonts w:ascii="Times New Roman"/>
        </w:rPr>
        <w:t>和海水</w:t>
      </w:r>
      <w:r>
        <w:rPr>
          <w:rFonts w:hint="eastAsia" w:ascii="Times New Roman"/>
        </w:rPr>
        <w:t>罐</w:t>
      </w:r>
      <w:r>
        <w:rPr>
          <w:rFonts w:ascii="Times New Roman"/>
        </w:rPr>
        <w:t>直接相邻接，润滑油</w:t>
      </w:r>
      <w:r>
        <w:rPr>
          <w:rFonts w:hint="eastAsia" w:ascii="Times New Roman"/>
        </w:rPr>
        <w:t>罐</w:t>
      </w:r>
      <w:r>
        <w:rPr>
          <w:rFonts w:ascii="Times New Roman"/>
        </w:rPr>
        <w:t>或液压油</w:t>
      </w:r>
      <w:r>
        <w:rPr>
          <w:rFonts w:hint="eastAsia" w:ascii="Times New Roman"/>
        </w:rPr>
        <w:t>罐</w:t>
      </w:r>
      <w:r>
        <w:rPr>
          <w:rFonts w:ascii="Times New Roman"/>
        </w:rPr>
        <w:t>不能直接与水</w:t>
      </w:r>
      <w:r>
        <w:rPr>
          <w:rFonts w:hint="eastAsia" w:ascii="Times New Roman"/>
        </w:rPr>
        <w:t>罐</w:t>
      </w:r>
      <w:r>
        <w:rPr>
          <w:rFonts w:ascii="Times New Roman"/>
        </w:rPr>
        <w:t>或其他油</w:t>
      </w:r>
      <w:r>
        <w:rPr>
          <w:rFonts w:hint="eastAsia" w:ascii="Times New Roman"/>
        </w:rPr>
        <w:t>罐</w:t>
      </w:r>
      <w:r>
        <w:rPr>
          <w:rFonts w:ascii="Times New Roman"/>
        </w:rPr>
        <w:t>直接相邻接。</w:t>
      </w:r>
    </w:p>
    <w:p w14:paraId="76529B4E">
      <w:pPr>
        <w:pStyle w:val="327"/>
        <w:rPr>
          <w:rFonts w:hint="eastAsia" w:ascii="宋体" w:hAnsi="宋体" w:eastAsia="宋体" w:cs="宋体"/>
        </w:rPr>
      </w:pPr>
      <w:r>
        <w:rPr>
          <w:rFonts w:hint="eastAsia" w:ascii="宋体" w:hAnsi="宋体" w:eastAsia="宋体" w:cs="宋体"/>
        </w:rPr>
        <w:t>内燃机、燃气轮机及其他燃油设备的助燃空气入口及排气口应位于非危险区内。排气口的布置应能防止排出的烟气进入助燃空气入口、通风系统进风口，影响平台正常的生产和作业。空气压缩机的吸气口应位于非危险区内</w:t>
      </w:r>
      <w:r>
        <w:rPr>
          <w:rFonts w:hint="eastAsia" w:ascii="宋体" w:hAnsi="宋体" w:eastAsia="宋体" w:cs="宋体"/>
          <w:lang w:eastAsia="zh-CN"/>
        </w:rPr>
        <w:t>，</w:t>
      </w:r>
      <w:r>
        <w:rPr>
          <w:rFonts w:hint="eastAsia" w:ascii="宋体" w:hAnsi="宋体" w:eastAsia="宋体" w:cs="宋体"/>
        </w:rPr>
        <w:t>离危险区至少有3</w:t>
      </w:r>
      <w:r>
        <w:rPr>
          <w:rFonts w:hint="eastAsia" w:ascii="宋体" w:hAnsi="宋体" w:eastAsia="宋体" w:cs="宋体"/>
          <w:sz w:val="10"/>
          <w:szCs w:val="10"/>
        </w:rPr>
        <w:t xml:space="preserve"> </w:t>
      </w:r>
      <w:r>
        <w:rPr>
          <w:rFonts w:hint="eastAsia" w:ascii="宋体" w:hAnsi="宋体" w:eastAsia="宋体" w:cs="宋体"/>
        </w:rPr>
        <w:t>m的距离。所有危险区内的机械设备</w:t>
      </w:r>
      <w:r>
        <w:rPr>
          <w:rFonts w:hint="eastAsia" w:ascii="宋体" w:hAnsi="宋体" w:eastAsia="宋体" w:cs="宋体"/>
          <w:lang w:eastAsia="zh-CN"/>
        </w:rPr>
        <w:t>，</w:t>
      </w:r>
      <w:r>
        <w:rPr>
          <w:rFonts w:hint="eastAsia" w:ascii="宋体" w:hAnsi="宋体" w:eastAsia="宋体" w:cs="宋体"/>
        </w:rPr>
        <w:t>其结构和安装应避免由于静电或运动摩擦而产生火花引燃的危险，以及由于机械设备裸露部件高温而引燃的危险。</w:t>
      </w:r>
    </w:p>
    <w:p w14:paraId="6150FA92">
      <w:pPr>
        <w:pStyle w:val="327"/>
        <w:rPr>
          <w:rFonts w:hint="eastAsia" w:ascii="宋体" w:hAnsi="宋体" w:eastAsia="宋体" w:cs="宋体"/>
        </w:rPr>
      </w:pPr>
      <w:r>
        <w:rPr>
          <w:rFonts w:hint="eastAsia" w:ascii="宋体" w:hAnsi="宋体" w:eastAsia="宋体" w:cs="宋体"/>
        </w:rPr>
        <w:t>除非不可避免，公用设备应安装在非危险区，危险区内的机械设备上的电气设备、电气仪表及控制装置，应符合14.7 和14.9的危险区内的电气设备及电缆的有关规定。</w:t>
      </w:r>
    </w:p>
    <w:p w14:paraId="4D4993F9">
      <w:pPr>
        <w:pStyle w:val="327"/>
        <w:rPr>
          <w:rFonts w:ascii="Times New Roman"/>
        </w:rPr>
      </w:pPr>
      <w:r>
        <w:rPr>
          <w:rFonts w:ascii="Times New Roman" w:eastAsia="宋体"/>
        </w:rPr>
        <w:t>防火及配电对设备布置的要求分别见本</w:t>
      </w:r>
      <w:r>
        <w:rPr>
          <w:rFonts w:hint="eastAsia" w:ascii="Times New Roman" w:eastAsia="宋体"/>
        </w:rPr>
        <w:t>文件</w:t>
      </w:r>
      <w:r>
        <w:rPr>
          <w:rFonts w:ascii="Times New Roman" w:eastAsia="宋体"/>
        </w:rPr>
        <w:t>的总体布置公用设备区和电气装置有关规定。</w:t>
      </w:r>
    </w:p>
    <w:p w14:paraId="6B3C76C7">
      <w:pPr>
        <w:pStyle w:val="261"/>
        <w:spacing w:before="156" w:after="156"/>
        <w:outlineLvl w:val="2"/>
        <w:rPr>
          <w:rFonts w:ascii="Times New Roman"/>
        </w:rPr>
      </w:pPr>
      <w:bookmarkStart w:id="124" w:name="_Toc21769"/>
      <w:r>
        <w:rPr>
          <w:rFonts w:ascii="Times New Roman"/>
        </w:rPr>
        <w:t>设备的可使用性</w:t>
      </w:r>
      <w:bookmarkEnd w:id="124"/>
      <w:r>
        <w:rPr>
          <w:rFonts w:ascii="Times New Roman"/>
        </w:rPr>
        <w:t xml:space="preserve"> </w:t>
      </w:r>
    </w:p>
    <w:p w14:paraId="1F2E49A6">
      <w:pPr>
        <w:pStyle w:val="327"/>
        <w:rPr>
          <w:rFonts w:ascii="Times New Roman"/>
        </w:rPr>
      </w:pPr>
      <w:r>
        <w:rPr>
          <w:rFonts w:ascii="Times New Roman"/>
        </w:rPr>
        <w:t>平台上的应急发电机组应能在不依靠外部帮助的情况下正常启动、控制并保持正常运行</w:t>
      </w:r>
      <w:r>
        <w:rPr>
          <w:rFonts w:hint="eastAsia" w:ascii="Times New Roman"/>
        </w:rPr>
        <w:t>。</w:t>
      </w:r>
    </w:p>
    <w:p w14:paraId="3B537E5A">
      <w:pPr>
        <w:pStyle w:val="327"/>
        <w:rPr>
          <w:rFonts w:ascii="Times New Roman"/>
        </w:rPr>
      </w:pPr>
      <w:r>
        <w:rPr>
          <w:rFonts w:ascii="Times New Roman"/>
        </w:rPr>
        <w:t>以平台自产的天然气或原油为燃料的主电站原动机如在停产时需要运行，应能以</w:t>
      </w:r>
      <w:r>
        <w:rPr>
          <w:rFonts w:hint="eastAsia" w:ascii="Times New Roman"/>
        </w:rPr>
        <w:t>柴油作为</w:t>
      </w:r>
      <w:r>
        <w:rPr>
          <w:rFonts w:ascii="Times New Roman"/>
        </w:rPr>
        <w:t>燃料并保持正常工作。</w:t>
      </w:r>
    </w:p>
    <w:p w14:paraId="72778395">
      <w:pPr>
        <w:pStyle w:val="261"/>
        <w:spacing w:before="156" w:after="156"/>
        <w:outlineLvl w:val="2"/>
        <w:rPr>
          <w:rFonts w:ascii="Times New Roman"/>
        </w:rPr>
      </w:pPr>
      <w:bookmarkStart w:id="125" w:name="_Toc29513"/>
      <w:r>
        <w:rPr>
          <w:rFonts w:ascii="Times New Roman"/>
        </w:rPr>
        <w:t>操控位置</w:t>
      </w:r>
      <w:bookmarkEnd w:id="125"/>
      <w:r>
        <w:rPr>
          <w:rFonts w:ascii="Times New Roman"/>
        </w:rPr>
        <w:t xml:space="preserve"> </w:t>
      </w:r>
    </w:p>
    <w:p w14:paraId="3C7903C7">
      <w:pPr>
        <w:pStyle w:val="521"/>
        <w:ind w:firstLine="420"/>
        <w:rPr>
          <w:rFonts w:ascii="Times New Roman"/>
        </w:rPr>
      </w:pPr>
      <w:r>
        <w:rPr>
          <w:rFonts w:ascii="Times New Roman"/>
        </w:rPr>
        <w:t>内燃机、燃气轮机除能就地操纵停机外，还应在安装处所外易于达到</w:t>
      </w:r>
      <w:r>
        <w:rPr>
          <w:rFonts w:hint="eastAsia" w:ascii="Times New Roman"/>
        </w:rPr>
        <w:t>且</w:t>
      </w:r>
      <w:r>
        <w:rPr>
          <w:rFonts w:ascii="Times New Roman"/>
        </w:rPr>
        <w:t>失火时不致被隔断的地点使之停机。</w:t>
      </w:r>
    </w:p>
    <w:p w14:paraId="27C66127">
      <w:pPr>
        <w:pStyle w:val="261"/>
        <w:spacing w:before="156" w:after="156"/>
        <w:outlineLvl w:val="2"/>
        <w:rPr>
          <w:rFonts w:ascii="Times New Roman"/>
        </w:rPr>
      </w:pPr>
      <w:bookmarkStart w:id="126" w:name="_Toc18118"/>
      <w:r>
        <w:rPr>
          <w:rFonts w:ascii="Times New Roman"/>
        </w:rPr>
        <w:t>检验、试验与证书</w:t>
      </w:r>
      <w:bookmarkEnd w:id="126"/>
      <w:r>
        <w:rPr>
          <w:rFonts w:ascii="Times New Roman"/>
        </w:rPr>
        <w:t xml:space="preserve"> </w:t>
      </w:r>
    </w:p>
    <w:p w14:paraId="033F7299">
      <w:pPr>
        <w:pStyle w:val="327"/>
        <w:rPr>
          <w:rFonts w:ascii="Times New Roman" w:eastAsia="宋体"/>
        </w:rPr>
      </w:pPr>
      <w:r>
        <w:rPr>
          <w:rFonts w:ascii="Times New Roman" w:eastAsia="宋体"/>
        </w:rPr>
        <w:t>燃气轮机、柴油机以及平台作业者根据所用规范、标准和设备的重要性确定的需进行出厂检验或试验的其它设备</w:t>
      </w:r>
      <w:r>
        <w:rPr>
          <w:rFonts w:hint="eastAsia" w:ascii="Times New Roman" w:eastAsia="宋体"/>
        </w:rPr>
        <w:t>，</w:t>
      </w:r>
      <w:r>
        <w:rPr>
          <w:rFonts w:ascii="Times New Roman" w:eastAsia="宋体"/>
        </w:rPr>
        <w:t>均应在设备制造厂进行检验和试验。</w:t>
      </w:r>
    </w:p>
    <w:p w14:paraId="12DAEF0A">
      <w:pPr>
        <w:pStyle w:val="327"/>
        <w:rPr>
          <w:rFonts w:ascii="Times New Roman"/>
        </w:rPr>
      </w:pPr>
      <w:r>
        <w:rPr>
          <w:rFonts w:ascii="Times New Roman"/>
        </w:rPr>
        <w:t>平台上所有的通用机械设备应有出厂合格证书。有取证要求的设备根据发证检验机构相应规定进行取证。</w:t>
      </w:r>
    </w:p>
    <w:p w14:paraId="54D62C77">
      <w:pPr>
        <w:pStyle w:val="260"/>
        <w:outlineLvl w:val="1"/>
        <w:rPr>
          <w:rFonts w:ascii="Times New Roman"/>
        </w:rPr>
      </w:pPr>
      <w:bookmarkStart w:id="127" w:name="_Toc1229"/>
      <w:bookmarkStart w:id="128" w:name="_Toc11992"/>
      <w:bookmarkStart w:id="129" w:name="_Toc153"/>
      <w:bookmarkStart w:id="130" w:name="_Toc7777"/>
      <w:bookmarkStart w:id="131" w:name="_Toc14391"/>
      <w:r>
        <w:rPr>
          <w:rFonts w:ascii="Times New Roman"/>
        </w:rPr>
        <w:t>柴油机</w:t>
      </w:r>
      <w:bookmarkEnd w:id="127"/>
      <w:bookmarkEnd w:id="128"/>
      <w:bookmarkEnd w:id="129"/>
      <w:bookmarkEnd w:id="130"/>
      <w:bookmarkEnd w:id="131"/>
    </w:p>
    <w:p w14:paraId="397AE0B5">
      <w:pPr>
        <w:pStyle w:val="326"/>
      </w:pPr>
      <w:bookmarkStart w:id="132" w:name="_Toc27345"/>
      <w:r>
        <w:t>每台柴油机应有独立的排气管路并装有消音器，其出口应通到平台</w:t>
      </w:r>
      <w:r>
        <w:rPr>
          <w:rFonts w:hint="eastAsia"/>
        </w:rPr>
        <w:t>非危险</w:t>
      </w:r>
      <w:r>
        <w:t>区的开敞空间，排气管路采用隔热措施，确保人员安全。</w:t>
      </w:r>
    </w:p>
    <w:p w14:paraId="30F6D8FA">
      <w:pPr>
        <w:pStyle w:val="326"/>
      </w:pPr>
      <w:r>
        <w:t>柴油机的安全装置</w:t>
      </w:r>
      <w:bookmarkEnd w:id="132"/>
    </w:p>
    <w:p w14:paraId="2B2B06C3">
      <w:pPr>
        <w:pStyle w:val="305"/>
        <w:numPr>
          <w:ilvl w:val="255"/>
          <w:numId w:val="0"/>
        </w:numPr>
        <w:ind w:left="420"/>
        <w:rPr>
          <w:rFonts w:ascii="Times New Roman"/>
        </w:rPr>
      </w:pPr>
      <w:r>
        <w:rPr>
          <w:rFonts w:hint="eastAsia" w:ascii="Times New Roman"/>
        </w:rPr>
        <w:t>柴油机上的安全装置应满足下列要求：</w:t>
      </w:r>
    </w:p>
    <w:p w14:paraId="2A1BA028">
      <w:pPr>
        <w:pStyle w:val="305"/>
        <w:numPr>
          <w:ilvl w:val="0"/>
          <w:numId w:val="46"/>
        </w:numPr>
        <w:rPr>
          <w:rFonts w:hint="eastAsia" w:hAnsi="宋体" w:cs="宋体"/>
        </w:rPr>
      </w:pPr>
      <w:r>
        <w:rPr>
          <w:rFonts w:ascii="Times New Roman"/>
        </w:rPr>
        <w:t>气缸直径大</w:t>
      </w:r>
      <w:r>
        <w:rPr>
          <w:rFonts w:hint="eastAsia" w:hAnsi="宋体" w:cs="宋体"/>
        </w:rPr>
        <w:t>于200</w:t>
      </w:r>
      <w:r>
        <w:rPr>
          <w:rFonts w:hint="eastAsia" w:hAnsi="宋体" w:cs="宋体"/>
          <w:sz w:val="10"/>
          <w:szCs w:val="10"/>
        </w:rPr>
        <w:t xml:space="preserve"> </w:t>
      </w:r>
      <w:r>
        <w:rPr>
          <w:rFonts w:hint="eastAsia" w:hAnsi="宋体" w:cs="宋体"/>
        </w:rPr>
        <w:t>mm或曲轴箱容积大于0.6</w:t>
      </w:r>
      <w:r>
        <w:rPr>
          <w:rFonts w:hint="eastAsia" w:hAnsi="宋体" w:cs="宋体"/>
          <w:sz w:val="10"/>
          <w:szCs w:val="10"/>
        </w:rPr>
        <w:t xml:space="preserve"> </w:t>
      </w:r>
      <w:r>
        <w:rPr>
          <w:rFonts w:hint="eastAsia" w:hAnsi="宋体" w:cs="宋体"/>
        </w:rPr>
        <w:t>m</w:t>
      </w:r>
      <w:r>
        <w:rPr>
          <w:rFonts w:hint="eastAsia" w:hAnsi="宋体" w:cs="宋体"/>
          <w:vertAlign w:val="superscript"/>
        </w:rPr>
        <w:t>3</w:t>
      </w:r>
      <w:r>
        <w:rPr>
          <w:rFonts w:hint="eastAsia" w:hAnsi="宋体" w:cs="宋体"/>
        </w:rPr>
        <w:t>的柴油机，应设有防爆门；</w:t>
      </w:r>
    </w:p>
    <w:p w14:paraId="13B1EAF0">
      <w:pPr>
        <w:pStyle w:val="305"/>
        <w:numPr>
          <w:ilvl w:val="0"/>
          <w:numId w:val="46"/>
        </w:numPr>
        <w:rPr>
          <w:rFonts w:hint="eastAsia" w:hAnsi="宋体" w:cs="宋体"/>
        </w:rPr>
      </w:pPr>
      <w:r>
        <w:rPr>
          <w:rFonts w:hint="eastAsia" w:hAnsi="宋体" w:cs="宋体"/>
        </w:rPr>
        <w:t>气缸直径大于230</w:t>
      </w:r>
      <w:r>
        <w:rPr>
          <w:rFonts w:hint="eastAsia" w:hAnsi="宋体" w:cs="宋体"/>
          <w:sz w:val="10"/>
          <w:szCs w:val="10"/>
        </w:rPr>
        <w:t xml:space="preserve"> </w:t>
      </w:r>
      <w:r>
        <w:rPr>
          <w:rFonts w:hint="eastAsia" w:hAnsi="宋体" w:cs="宋体"/>
        </w:rPr>
        <w:t>mm的柴油机，气缸盖上应设有安全阀；</w:t>
      </w:r>
    </w:p>
    <w:p w14:paraId="38C51572">
      <w:pPr>
        <w:pStyle w:val="305"/>
        <w:numPr>
          <w:ilvl w:val="0"/>
          <w:numId w:val="46"/>
        </w:numPr>
        <w:rPr>
          <w:rFonts w:ascii="Times New Roman"/>
        </w:rPr>
      </w:pPr>
      <w:r>
        <w:rPr>
          <w:rFonts w:hint="eastAsia" w:hAnsi="宋体" w:cs="宋体"/>
        </w:rPr>
        <w:t>上述防爆门和安全阀的结构和布置应能使其排放物伤人的可能</w:t>
      </w:r>
      <w:r>
        <w:rPr>
          <w:rFonts w:ascii="Times New Roman"/>
        </w:rPr>
        <w:t>性减至最低；</w:t>
      </w:r>
    </w:p>
    <w:p w14:paraId="057FA797">
      <w:pPr>
        <w:pStyle w:val="305"/>
        <w:numPr>
          <w:ilvl w:val="0"/>
          <w:numId w:val="46"/>
        </w:numPr>
        <w:rPr>
          <w:rFonts w:ascii="Times New Roman"/>
        </w:rPr>
      </w:pPr>
      <w:r>
        <w:rPr>
          <w:rFonts w:ascii="Times New Roman"/>
        </w:rPr>
        <w:t>柴油机至少应设有安全报警和应急关断安全及应急停车装置；</w:t>
      </w:r>
    </w:p>
    <w:p w14:paraId="28E42549">
      <w:pPr>
        <w:pStyle w:val="305"/>
        <w:numPr>
          <w:ilvl w:val="0"/>
          <w:numId w:val="46"/>
        </w:numPr>
        <w:rPr>
          <w:rFonts w:ascii="Times New Roman"/>
        </w:rPr>
      </w:pPr>
      <w:r>
        <w:rPr>
          <w:rFonts w:ascii="Times New Roman"/>
        </w:rPr>
        <w:t>柴油机应设有超速保护装置</w:t>
      </w:r>
      <w:r>
        <w:t>。</w:t>
      </w:r>
    </w:p>
    <w:p w14:paraId="7948EB8E">
      <w:pPr>
        <w:pStyle w:val="326"/>
      </w:pPr>
      <w:bookmarkStart w:id="133" w:name="_Toc22787"/>
      <w:r>
        <w:t>柴油机应安装于</w:t>
      </w:r>
      <w:r>
        <w:rPr>
          <w:rFonts w:hint="eastAsia"/>
        </w:rPr>
        <w:t>非危险</w:t>
      </w:r>
      <w:r>
        <w:t>区内。如不可避免，安装在危险区内的柴油机，其安装处所应予以封闭，并至少采取下述措施使之成为安全处所</w:t>
      </w:r>
      <w:bookmarkEnd w:id="133"/>
      <w:r>
        <w:t>：</w:t>
      </w:r>
    </w:p>
    <w:p w14:paraId="27B7D6E4">
      <w:pPr>
        <w:pStyle w:val="305"/>
        <w:numPr>
          <w:ilvl w:val="0"/>
          <w:numId w:val="47"/>
        </w:numPr>
        <w:rPr>
          <w:rFonts w:ascii="Times New Roman"/>
        </w:rPr>
      </w:pPr>
      <w:r>
        <w:rPr>
          <w:rFonts w:ascii="Times New Roman"/>
        </w:rPr>
        <w:t>封闭处所可由送风装置保持正压，送风装置应从</w:t>
      </w:r>
      <w:r>
        <w:rPr>
          <w:rFonts w:hint="eastAsia"/>
        </w:rPr>
        <w:t>非危险</w:t>
      </w:r>
      <w:r>
        <w:t>区</w:t>
      </w:r>
      <w:r>
        <w:rPr>
          <w:rFonts w:ascii="Times New Roman"/>
        </w:rPr>
        <w:t>进气，送、排风装置必须防爆；</w:t>
      </w:r>
    </w:p>
    <w:p w14:paraId="47E9015E">
      <w:pPr>
        <w:pStyle w:val="305"/>
        <w:numPr>
          <w:ilvl w:val="0"/>
          <w:numId w:val="47"/>
        </w:numPr>
        <w:rPr>
          <w:rFonts w:ascii="Times New Roman"/>
        </w:rPr>
      </w:pPr>
      <w:r>
        <w:rPr>
          <w:rFonts w:ascii="Times New Roman"/>
        </w:rPr>
        <w:t>当封闭处所内的正压丧失时，应有报警；</w:t>
      </w:r>
    </w:p>
    <w:p w14:paraId="2501ED68">
      <w:pPr>
        <w:pStyle w:val="305"/>
        <w:numPr>
          <w:ilvl w:val="0"/>
          <w:numId w:val="47"/>
        </w:numPr>
        <w:rPr>
          <w:rFonts w:ascii="Times New Roman"/>
        </w:rPr>
      </w:pPr>
      <w:r>
        <w:rPr>
          <w:rFonts w:ascii="Times New Roman"/>
        </w:rPr>
        <w:t>封闭处所应装设自闭式门；</w:t>
      </w:r>
    </w:p>
    <w:p w14:paraId="3121EE75">
      <w:pPr>
        <w:pStyle w:val="305"/>
        <w:numPr>
          <w:ilvl w:val="0"/>
          <w:numId w:val="47"/>
        </w:numPr>
        <w:rPr>
          <w:rFonts w:ascii="Times New Roman"/>
        </w:rPr>
      </w:pPr>
      <w:r>
        <w:rPr>
          <w:rFonts w:ascii="Times New Roman"/>
        </w:rPr>
        <w:t>柴油机助燃空气进口和排气出口应位于</w:t>
      </w:r>
      <w:r>
        <w:rPr>
          <w:rFonts w:hint="eastAsia"/>
        </w:rPr>
        <w:t>非危险</w:t>
      </w:r>
      <w:r>
        <w:t>区</w:t>
      </w:r>
      <w:r>
        <w:rPr>
          <w:rFonts w:ascii="Times New Roman"/>
        </w:rPr>
        <w:t xml:space="preserve">内，排气系统应安装灭火花型消音器；  </w:t>
      </w:r>
    </w:p>
    <w:p w14:paraId="08BE06EC">
      <w:pPr>
        <w:pStyle w:val="305"/>
        <w:numPr>
          <w:ilvl w:val="0"/>
          <w:numId w:val="47"/>
        </w:numPr>
        <w:rPr>
          <w:rFonts w:hint="eastAsia" w:hAnsi="宋体" w:cs="宋体"/>
        </w:rPr>
      </w:pPr>
      <w:r>
        <w:rPr>
          <w:rFonts w:ascii="Times New Roman"/>
        </w:rPr>
        <w:t>靠近封闭处所的进气口处应</w:t>
      </w:r>
      <w:r>
        <w:rPr>
          <w:rFonts w:hint="eastAsia" w:hAnsi="宋体" w:cs="宋体"/>
        </w:rPr>
        <w:t>装有可燃气体探测器。在可燃气体浓度达到爆炸下限的20%时，给出声、光报警信号；可燃气体浓度达到爆炸下限的50%时，给出声、光危险报警信号并迫使柴油机自动停车；</w:t>
      </w:r>
    </w:p>
    <w:p w14:paraId="1960304E">
      <w:pPr>
        <w:pStyle w:val="305"/>
        <w:numPr>
          <w:ilvl w:val="0"/>
          <w:numId w:val="47"/>
        </w:numPr>
        <w:rPr>
          <w:rFonts w:ascii="Times New Roman"/>
        </w:rPr>
      </w:pPr>
      <w:r>
        <w:rPr>
          <w:rFonts w:hint="eastAsia" w:hAnsi="宋体" w:cs="宋体"/>
        </w:rPr>
        <w:t>封闭处所应按本文件的要求设置相应的灭火设施，且当灭火剂释</w:t>
      </w:r>
      <w:r>
        <w:rPr>
          <w:rFonts w:ascii="Times New Roman"/>
        </w:rPr>
        <w:t>放时，封闭处所内的送风和排风装置应自动停止，防火阀自动关闭。</w:t>
      </w:r>
    </w:p>
    <w:p w14:paraId="0CB041F9">
      <w:pPr>
        <w:pStyle w:val="326"/>
      </w:pPr>
      <w:bookmarkStart w:id="134" w:name="_Toc32049"/>
      <w:r>
        <w:rPr>
          <w:rFonts w:hint="eastAsia"/>
        </w:rPr>
        <w:t>采用空气启动的柴油机，</w:t>
      </w:r>
      <w:r>
        <w:t>启动空压机的排出管应直接通至起动空气瓶。从空气瓶到柴油机的起动空气管路应与空压机的排出管完全分开。</w:t>
      </w:r>
    </w:p>
    <w:p w14:paraId="20D68FFB">
      <w:pPr>
        <w:pStyle w:val="326"/>
      </w:pPr>
      <w:r>
        <w:t>从启动空气瓶通往柴油机的上起动空气管路应设有止回阀。启动空气系统的最低点应装设泄放阀或等效设施。</w:t>
      </w:r>
    </w:p>
    <w:bookmarkEnd w:id="134"/>
    <w:p w14:paraId="64D0AB25">
      <w:pPr>
        <w:pStyle w:val="326"/>
      </w:pPr>
      <w:r>
        <w:t>应急发电机组应能满足下列要求</w:t>
      </w:r>
      <w:r>
        <w:rPr>
          <w:rFonts w:hint="eastAsia"/>
        </w:rPr>
        <w:t>：</w:t>
      </w:r>
    </w:p>
    <w:p w14:paraId="60885861">
      <w:pPr>
        <w:pStyle w:val="305"/>
        <w:numPr>
          <w:ilvl w:val="0"/>
          <w:numId w:val="48"/>
        </w:numPr>
        <w:rPr>
          <w:rFonts w:ascii="Times New Roman"/>
        </w:rPr>
      </w:pPr>
      <w:r>
        <w:rPr>
          <w:rFonts w:ascii="Times New Roman"/>
          <w:kern w:val="2"/>
          <w:szCs w:val="24"/>
        </w:rPr>
        <w:t>应急发电机组应能在使用的最低环境温度下易于冷机启动。如不具备这种能力，应装设一个经</w:t>
      </w:r>
      <w:r>
        <w:rPr>
          <w:rFonts w:ascii="Times New Roman"/>
        </w:rPr>
        <w:t>发证检验机构认可的辅助预热装置，以保证机组的冷机启动性能；</w:t>
      </w:r>
    </w:p>
    <w:p w14:paraId="64452FEC">
      <w:pPr>
        <w:pStyle w:val="305"/>
        <w:numPr>
          <w:ilvl w:val="0"/>
          <w:numId w:val="48"/>
        </w:numPr>
        <w:rPr>
          <w:rFonts w:hint="eastAsia" w:hAnsi="宋体" w:cs="宋体"/>
        </w:rPr>
      </w:pPr>
      <w:r>
        <w:rPr>
          <w:rFonts w:hint="eastAsia" w:hAnsi="宋体" w:cs="宋体"/>
        </w:rPr>
        <w:t>柴油机应配备可靠的启动装置，应急发电机应能在所处的环境下进行启动，自动启动的应急发电机组应设有经发证检验机构认可的启动装置</w:t>
      </w:r>
      <w:r>
        <w:rPr>
          <w:rFonts w:hint="eastAsia" w:hAnsi="宋体" w:cs="宋体"/>
          <w:lang w:eastAsia="zh-CN"/>
        </w:rPr>
        <w:t>，</w:t>
      </w:r>
      <w:r>
        <w:rPr>
          <w:rFonts w:hint="eastAsia" w:hAnsi="宋体" w:cs="宋体"/>
        </w:rPr>
        <w:t>并配备至少能供6次连续启动的能源。此外</w:t>
      </w:r>
      <w:r>
        <w:rPr>
          <w:rFonts w:hint="eastAsia" w:hAnsi="宋体" w:cs="宋体"/>
          <w:lang w:eastAsia="zh-CN"/>
        </w:rPr>
        <w:t>，</w:t>
      </w:r>
      <w:r>
        <w:rPr>
          <w:rFonts w:hint="eastAsia" w:hAnsi="宋体" w:cs="宋体"/>
        </w:rPr>
        <w:t>应配备在 30</w:t>
      </w:r>
      <w:r>
        <w:rPr>
          <w:rFonts w:hint="eastAsia" w:hAnsi="宋体" w:cs="宋体"/>
          <w:sz w:val="10"/>
          <w:szCs w:val="10"/>
        </w:rPr>
        <w:t xml:space="preserve"> </w:t>
      </w:r>
      <w:r>
        <w:rPr>
          <w:rFonts w:hint="eastAsia" w:hAnsi="宋体" w:cs="宋体"/>
        </w:rPr>
        <w:t>min内能启动6次的第二能源；</w:t>
      </w:r>
    </w:p>
    <w:p w14:paraId="50C6638C">
      <w:pPr>
        <w:pStyle w:val="305"/>
        <w:numPr>
          <w:ilvl w:val="0"/>
          <w:numId w:val="48"/>
        </w:numPr>
        <w:rPr>
          <w:rFonts w:ascii="Times New Roman"/>
        </w:rPr>
      </w:pPr>
      <w:r>
        <w:rPr>
          <w:rFonts w:ascii="Times New Roman"/>
        </w:rPr>
        <w:t>应急发电机组控制系统电源单独设置；</w:t>
      </w:r>
    </w:p>
    <w:p w14:paraId="02E70107">
      <w:pPr>
        <w:pStyle w:val="305"/>
        <w:numPr>
          <w:ilvl w:val="0"/>
          <w:numId w:val="48"/>
        </w:numPr>
        <w:rPr>
          <w:rFonts w:ascii="Times New Roman"/>
        </w:rPr>
      </w:pPr>
      <w:r>
        <w:rPr>
          <w:rFonts w:hint="eastAsia" w:ascii="Times New Roman"/>
        </w:rPr>
        <w:t>应急</w:t>
      </w:r>
      <w:r>
        <w:rPr>
          <w:rFonts w:ascii="Times New Roman"/>
        </w:rPr>
        <w:t>发电机组的柴油机应有独立的冷却装置和燃油供给系统。</w:t>
      </w:r>
    </w:p>
    <w:p w14:paraId="7712B3DF">
      <w:pPr>
        <w:pStyle w:val="260"/>
        <w:outlineLvl w:val="1"/>
        <w:rPr>
          <w:rFonts w:ascii="Times New Roman"/>
        </w:rPr>
      </w:pPr>
      <w:bookmarkStart w:id="135" w:name="_Toc9633"/>
      <w:bookmarkStart w:id="136" w:name="_Toc28323"/>
      <w:bookmarkStart w:id="137" w:name="_Toc29765"/>
      <w:bookmarkStart w:id="138" w:name="_Toc23599"/>
      <w:bookmarkStart w:id="139" w:name="_Toc14523"/>
      <w:r>
        <w:rPr>
          <w:rFonts w:hint="eastAsia" w:ascii="Times New Roman"/>
        </w:rPr>
        <w:t>其他往复式发动</w:t>
      </w:r>
      <w:r>
        <w:rPr>
          <w:rFonts w:ascii="Times New Roman"/>
        </w:rPr>
        <w:t>机</w:t>
      </w:r>
      <w:bookmarkEnd w:id="135"/>
    </w:p>
    <w:p w14:paraId="26FBFF6A">
      <w:pPr>
        <w:ind w:firstLine="420" w:firstLineChars="200"/>
      </w:pPr>
      <w:r>
        <w:t>双燃料发动机、天然气发动机、原油发动机安全要求不仅应满足</w:t>
      </w:r>
      <w:r>
        <w:rPr>
          <w:rFonts w:hint="eastAsia" w:ascii="宋体" w:hAnsi="宋体" w:cs="宋体"/>
        </w:rPr>
        <w:t>12.2.1～12.2.2</w:t>
      </w:r>
      <w:r>
        <w:t>的要求，且应将确保安全的技术措施提交发证检验机构认可。</w:t>
      </w:r>
    </w:p>
    <w:p w14:paraId="5DCDEFFC">
      <w:pPr>
        <w:pStyle w:val="260"/>
        <w:outlineLvl w:val="1"/>
        <w:rPr>
          <w:rFonts w:ascii="Times New Roman"/>
        </w:rPr>
      </w:pPr>
      <w:bookmarkStart w:id="140" w:name="_Toc5193"/>
      <w:r>
        <w:rPr>
          <w:rFonts w:ascii="Times New Roman"/>
        </w:rPr>
        <w:t>燃气轮机</w:t>
      </w:r>
      <w:bookmarkEnd w:id="136"/>
      <w:bookmarkEnd w:id="137"/>
      <w:bookmarkEnd w:id="138"/>
      <w:bookmarkEnd w:id="139"/>
      <w:bookmarkEnd w:id="140"/>
    </w:p>
    <w:p w14:paraId="1DAD7610">
      <w:pPr>
        <w:pStyle w:val="326"/>
      </w:pPr>
      <w:bookmarkStart w:id="141" w:name="_Toc19441"/>
      <w:r>
        <w:rPr>
          <w:rFonts w:hint="eastAsia"/>
        </w:rPr>
        <w:t>在高温下工作的零部件的材料应具有与工作温度相适应的高温性能。</w:t>
      </w:r>
      <w:bookmarkEnd w:id="141"/>
    </w:p>
    <w:p w14:paraId="07859608">
      <w:pPr>
        <w:pStyle w:val="326"/>
      </w:pPr>
      <w:bookmarkStart w:id="142" w:name="_Toc26563"/>
      <w:r>
        <w:rPr>
          <w:rFonts w:hint="eastAsia"/>
        </w:rPr>
        <w:t>燃气轮机进气系统应安装过滤器和消音器。过滤器应有效过滤空气中的盐分。如果需要，燃气轮机进气系统应安装防冰设施。</w:t>
      </w:r>
      <w:bookmarkEnd w:id="142"/>
    </w:p>
    <w:p w14:paraId="40911E45">
      <w:pPr>
        <w:pStyle w:val="326"/>
      </w:pPr>
      <w:bookmarkStart w:id="143" w:name="_Toc25030"/>
      <w:bookmarkStart w:id="144" w:name="_Toc15033"/>
      <w:r>
        <w:rPr>
          <w:rFonts w:hint="eastAsia"/>
        </w:rPr>
        <w:t>排气系统的布置应防止排出的尾气进入压气机。</w:t>
      </w:r>
      <w:bookmarkEnd w:id="143"/>
      <w:r>
        <w:rPr>
          <w:rFonts w:hint="eastAsia"/>
        </w:rPr>
        <w:t>燃气轮机排气系统应安装灭火花型消音器。</w:t>
      </w:r>
      <w:bookmarkEnd w:id="144"/>
    </w:p>
    <w:p w14:paraId="705E116B">
      <w:pPr>
        <w:pStyle w:val="326"/>
        <w:rPr>
          <w:rFonts w:hint="eastAsia" w:ascii="宋体" w:hAnsi="宋体" w:eastAsia="宋体" w:cs="宋体"/>
        </w:rPr>
      </w:pPr>
      <w:r>
        <w:rPr>
          <w:rFonts w:hint="eastAsia"/>
        </w:rPr>
        <w:t>燃气轮机的安全保护装置应能实现下列功能：</w:t>
      </w:r>
      <w:r>
        <w:rPr>
          <w:rFonts w:hint="eastAsia" w:ascii="宋体" w:hAnsi="宋体" w:eastAsia="宋体" w:cs="宋体"/>
        </w:rPr>
        <w:t xml:space="preserve">    </w:t>
      </w:r>
    </w:p>
    <w:p w14:paraId="37D02ADA">
      <w:pPr>
        <w:pStyle w:val="305"/>
        <w:numPr>
          <w:ilvl w:val="0"/>
          <w:numId w:val="49"/>
        </w:numPr>
        <w:rPr>
          <w:rFonts w:ascii="Times New Roman"/>
        </w:rPr>
      </w:pPr>
      <w:r>
        <w:rPr>
          <w:rFonts w:ascii="Times New Roman"/>
        </w:rPr>
        <w:t>超速关断保护；</w:t>
      </w:r>
    </w:p>
    <w:p w14:paraId="10FC1545">
      <w:pPr>
        <w:pStyle w:val="305"/>
        <w:numPr>
          <w:ilvl w:val="0"/>
          <w:numId w:val="49"/>
        </w:numPr>
        <w:rPr>
          <w:rFonts w:ascii="Times New Roman"/>
        </w:rPr>
      </w:pPr>
      <w:r>
        <w:rPr>
          <w:rFonts w:ascii="Times New Roman"/>
        </w:rPr>
        <w:t>润滑油低油压关断保护；</w:t>
      </w:r>
    </w:p>
    <w:p w14:paraId="46080533">
      <w:pPr>
        <w:pStyle w:val="305"/>
        <w:numPr>
          <w:ilvl w:val="0"/>
          <w:numId w:val="49"/>
        </w:numPr>
        <w:rPr>
          <w:rFonts w:ascii="Times New Roman"/>
        </w:rPr>
      </w:pPr>
      <w:r>
        <w:rPr>
          <w:rFonts w:ascii="Times New Roman"/>
          <w:szCs w:val="21"/>
        </w:rPr>
        <w:t>润滑油高温报警保护，</w:t>
      </w:r>
      <w:r>
        <w:rPr>
          <w:rFonts w:ascii="Times New Roman"/>
        </w:rPr>
        <w:t>轴承高温关断保护；</w:t>
      </w:r>
    </w:p>
    <w:p w14:paraId="41064A5D">
      <w:pPr>
        <w:pStyle w:val="305"/>
        <w:numPr>
          <w:ilvl w:val="0"/>
          <w:numId w:val="49"/>
        </w:numPr>
        <w:rPr>
          <w:rFonts w:ascii="Times New Roman"/>
        </w:rPr>
      </w:pPr>
      <w:r>
        <w:rPr>
          <w:rFonts w:ascii="Times New Roman"/>
        </w:rPr>
        <w:t>燃气高温报警；</w:t>
      </w:r>
    </w:p>
    <w:p w14:paraId="79A371DC">
      <w:pPr>
        <w:pStyle w:val="305"/>
        <w:numPr>
          <w:ilvl w:val="0"/>
          <w:numId w:val="49"/>
        </w:numPr>
        <w:rPr>
          <w:rFonts w:ascii="Times New Roman"/>
        </w:rPr>
      </w:pPr>
      <w:r>
        <w:rPr>
          <w:rFonts w:ascii="Times New Roman"/>
        </w:rPr>
        <w:t>熄火保护；</w:t>
      </w:r>
    </w:p>
    <w:p w14:paraId="0A379121">
      <w:pPr>
        <w:pStyle w:val="305"/>
        <w:numPr>
          <w:ilvl w:val="0"/>
          <w:numId w:val="49"/>
        </w:numPr>
        <w:rPr>
          <w:rFonts w:ascii="Times New Roman"/>
        </w:rPr>
      </w:pPr>
      <w:r>
        <w:rPr>
          <w:rFonts w:ascii="Times New Roman"/>
        </w:rPr>
        <w:t>透平设置振动监测装置，振动过大关断保护。</w:t>
      </w:r>
    </w:p>
    <w:p w14:paraId="0BD21CD3">
      <w:pPr>
        <w:pStyle w:val="260"/>
        <w:outlineLvl w:val="1"/>
        <w:rPr>
          <w:rFonts w:ascii="Times New Roman"/>
        </w:rPr>
      </w:pPr>
      <w:bookmarkStart w:id="145" w:name="_Toc24979"/>
      <w:bookmarkStart w:id="146" w:name="_Toc17291"/>
      <w:bookmarkStart w:id="147" w:name="_Toc8533"/>
      <w:bookmarkStart w:id="148" w:name="_Toc14224"/>
      <w:bookmarkStart w:id="149" w:name="_Toc227"/>
      <w:r>
        <w:rPr>
          <w:rFonts w:ascii="Times New Roman"/>
        </w:rPr>
        <w:t>压缩机</w:t>
      </w:r>
      <w:bookmarkEnd w:id="145"/>
      <w:bookmarkEnd w:id="146"/>
      <w:bookmarkEnd w:id="147"/>
      <w:bookmarkEnd w:id="148"/>
      <w:bookmarkEnd w:id="149"/>
    </w:p>
    <w:p w14:paraId="0F16A573">
      <w:pPr>
        <w:pStyle w:val="326"/>
        <w:rPr>
          <w:rFonts w:hint="eastAsia" w:ascii="宋体" w:hAnsi="宋体" w:eastAsia="宋体" w:cs="宋体"/>
        </w:rPr>
      </w:pPr>
      <w:bookmarkStart w:id="150" w:name="_Toc21875"/>
      <w:bookmarkStart w:id="151" w:name="_Toc20677"/>
      <w:bookmarkStart w:id="152" w:name="_Toc29842"/>
      <w:r>
        <w:rPr>
          <w:rFonts w:ascii="宋体" w:hAnsi="宋体" w:eastAsia="宋体" w:cs="宋体"/>
        </w:rPr>
        <w:t>工艺压缩机组</w:t>
      </w:r>
      <w:r>
        <w:rPr>
          <w:rFonts w:hint="eastAsia" w:ascii="宋体" w:hAnsi="宋体" w:eastAsia="宋体" w:cs="宋体"/>
        </w:rPr>
        <w:t>应能满足下列要求：</w:t>
      </w:r>
    </w:p>
    <w:p w14:paraId="773FB295">
      <w:pPr>
        <w:pStyle w:val="305"/>
        <w:numPr>
          <w:ilvl w:val="0"/>
          <w:numId w:val="50"/>
        </w:numPr>
        <w:rPr>
          <w:rFonts w:ascii="Times New Roman"/>
        </w:rPr>
      </w:pPr>
      <w:r>
        <w:rPr>
          <w:rFonts w:ascii="Times New Roman"/>
        </w:rPr>
        <w:t>压缩机应设有必要的前置涤气装置及出口冷却装置</w:t>
      </w:r>
      <w:r>
        <w:rPr>
          <w:rFonts w:hint="eastAsia" w:ascii="Times New Roman"/>
        </w:rPr>
        <w:t>；</w:t>
      </w:r>
    </w:p>
    <w:p w14:paraId="04DDE86A">
      <w:pPr>
        <w:pStyle w:val="305"/>
        <w:numPr>
          <w:ilvl w:val="0"/>
          <w:numId w:val="50"/>
        </w:numPr>
        <w:rPr>
          <w:rFonts w:ascii="Times New Roman"/>
        </w:rPr>
      </w:pPr>
      <w:r>
        <w:rPr>
          <w:rFonts w:ascii="Times New Roman"/>
        </w:rPr>
        <w:t>压缩机应采用符合要求的密封形式和措施</w:t>
      </w:r>
      <w:r>
        <w:rPr>
          <w:rFonts w:hint="eastAsia" w:ascii="Times New Roman"/>
        </w:rPr>
        <w:t>；</w:t>
      </w:r>
    </w:p>
    <w:p w14:paraId="22792A52">
      <w:pPr>
        <w:pStyle w:val="305"/>
        <w:numPr>
          <w:ilvl w:val="0"/>
          <w:numId w:val="50"/>
        </w:numPr>
        <w:rPr>
          <w:rFonts w:ascii="Times New Roman"/>
        </w:rPr>
      </w:pPr>
      <w:r>
        <w:rPr>
          <w:rFonts w:ascii="Times New Roman"/>
        </w:rPr>
        <w:t>压缩机的气路、水路、油路的连接应保证密封，不应相互渗漏或外泄</w:t>
      </w:r>
      <w:r>
        <w:rPr>
          <w:rFonts w:hint="eastAsia" w:ascii="Times New Roman"/>
        </w:rPr>
        <w:t>；</w:t>
      </w:r>
    </w:p>
    <w:bookmarkEnd w:id="150"/>
    <w:bookmarkEnd w:id="151"/>
    <w:bookmarkEnd w:id="152"/>
    <w:p w14:paraId="188A39F8">
      <w:pPr>
        <w:pStyle w:val="326"/>
        <w:rPr>
          <w:rFonts w:hint="eastAsia" w:ascii="宋体" w:hAnsi="宋体" w:eastAsia="宋体" w:cs="宋体"/>
        </w:rPr>
      </w:pPr>
      <w:bookmarkStart w:id="153" w:name="_Toc17255"/>
      <w:r>
        <w:rPr>
          <w:rFonts w:ascii="宋体" w:hAnsi="宋体" w:eastAsia="宋体" w:cs="宋体"/>
        </w:rPr>
        <w:t>工艺压缩机安全装置</w:t>
      </w:r>
      <w:bookmarkEnd w:id="153"/>
      <w:r>
        <w:rPr>
          <w:rFonts w:hint="eastAsia" w:ascii="宋体" w:hAnsi="宋体" w:eastAsia="宋体" w:cs="宋体"/>
        </w:rPr>
        <w:t>应能满足下列要求：</w:t>
      </w:r>
    </w:p>
    <w:p w14:paraId="1CE1BD33">
      <w:pPr>
        <w:pStyle w:val="305"/>
        <w:numPr>
          <w:ilvl w:val="0"/>
          <w:numId w:val="51"/>
        </w:numPr>
        <w:rPr>
          <w:rFonts w:ascii="Times New Roman"/>
        </w:rPr>
      </w:pPr>
      <w:r>
        <w:rPr>
          <w:rFonts w:ascii="Times New Roman"/>
        </w:rPr>
        <w:t>压缩机的安全阀设置应符合</w:t>
      </w:r>
      <w:r>
        <w:rPr>
          <w:rFonts w:hint="eastAsia" w:hAnsi="宋体" w:cs="宋体"/>
        </w:rPr>
        <w:t>10.2.9.1.4</w:t>
      </w:r>
      <w:r>
        <w:rPr>
          <w:rFonts w:ascii="Times New Roman"/>
        </w:rPr>
        <w:t>的有关规定；</w:t>
      </w:r>
    </w:p>
    <w:p w14:paraId="3F7A5BE8">
      <w:pPr>
        <w:pStyle w:val="305"/>
        <w:numPr>
          <w:ilvl w:val="0"/>
          <w:numId w:val="51"/>
        </w:numPr>
        <w:rPr>
          <w:rFonts w:ascii="Times New Roman"/>
        </w:rPr>
      </w:pPr>
      <w:r>
        <w:rPr>
          <w:rFonts w:ascii="Times New Roman"/>
        </w:rPr>
        <w:t>压缩机应设有排气超温报警和关断；</w:t>
      </w:r>
    </w:p>
    <w:p w14:paraId="7666FF9A">
      <w:pPr>
        <w:pStyle w:val="305"/>
        <w:numPr>
          <w:ilvl w:val="0"/>
          <w:numId w:val="51"/>
        </w:numPr>
        <w:rPr>
          <w:rFonts w:ascii="Times New Roman"/>
        </w:rPr>
      </w:pPr>
      <w:r>
        <w:rPr>
          <w:rFonts w:ascii="Times New Roman"/>
        </w:rPr>
        <w:t>压缩机应设有润滑油低油压报警和关断；</w:t>
      </w:r>
    </w:p>
    <w:p w14:paraId="4C1B2F95">
      <w:pPr>
        <w:pStyle w:val="305"/>
        <w:numPr>
          <w:ilvl w:val="0"/>
          <w:numId w:val="51"/>
        </w:numPr>
        <w:rPr>
          <w:rFonts w:ascii="Times New Roman"/>
        </w:rPr>
      </w:pPr>
      <w:r>
        <w:rPr>
          <w:rFonts w:ascii="Times New Roman"/>
        </w:rPr>
        <w:t>压缩机应设有振动过大报警和关断；</w:t>
      </w:r>
    </w:p>
    <w:p w14:paraId="6CAF9750">
      <w:pPr>
        <w:pStyle w:val="305"/>
        <w:numPr>
          <w:ilvl w:val="0"/>
          <w:numId w:val="51"/>
        </w:numPr>
        <w:rPr>
          <w:rFonts w:ascii="Times New Roman"/>
        </w:rPr>
      </w:pPr>
      <w:r>
        <w:rPr>
          <w:rFonts w:ascii="Times New Roman"/>
        </w:rPr>
        <w:t>离心压缩机还应设有密封气泄漏报警和关断。</w:t>
      </w:r>
    </w:p>
    <w:p w14:paraId="6BB762E1">
      <w:pPr>
        <w:pStyle w:val="326"/>
        <w:rPr>
          <w:rFonts w:hint="eastAsia" w:ascii="宋体" w:hAnsi="宋体" w:eastAsia="宋体" w:cs="宋体"/>
        </w:rPr>
      </w:pPr>
      <w:r>
        <w:rPr>
          <w:rFonts w:ascii="宋体" w:hAnsi="宋体" w:eastAsia="宋体" w:cs="宋体"/>
        </w:rPr>
        <w:t>空气压缩机组</w:t>
      </w:r>
      <w:r>
        <w:rPr>
          <w:rFonts w:hint="eastAsia" w:ascii="宋体" w:hAnsi="宋体" w:eastAsia="宋体" w:cs="宋体"/>
        </w:rPr>
        <w:t>应能满足下列要求：</w:t>
      </w:r>
    </w:p>
    <w:p w14:paraId="53EED69C">
      <w:pPr>
        <w:pStyle w:val="305"/>
        <w:numPr>
          <w:ilvl w:val="0"/>
          <w:numId w:val="52"/>
        </w:numPr>
        <w:rPr>
          <w:rFonts w:ascii="Times New Roman"/>
        </w:rPr>
      </w:pPr>
      <w:r>
        <w:rPr>
          <w:rFonts w:ascii="Times New Roman"/>
        </w:rPr>
        <w:t>空气压缩机的吸口应设有空气滤清器；</w:t>
      </w:r>
    </w:p>
    <w:p w14:paraId="28B08235">
      <w:pPr>
        <w:pStyle w:val="305"/>
        <w:numPr>
          <w:ilvl w:val="0"/>
          <w:numId w:val="52"/>
        </w:numPr>
        <w:rPr>
          <w:rFonts w:ascii="Times New Roman"/>
        </w:rPr>
      </w:pPr>
      <w:r>
        <w:rPr>
          <w:rFonts w:ascii="Times New Roman"/>
        </w:rPr>
        <w:t>空气压缩机装置应设有从气体中分离油和水的装置；</w:t>
      </w:r>
    </w:p>
    <w:p w14:paraId="4E76ED96">
      <w:pPr>
        <w:pStyle w:val="305"/>
        <w:numPr>
          <w:ilvl w:val="0"/>
          <w:numId w:val="52"/>
        </w:numPr>
        <w:rPr>
          <w:rFonts w:ascii="Times New Roman"/>
        </w:rPr>
      </w:pPr>
      <w:r>
        <w:rPr>
          <w:rFonts w:ascii="Times New Roman"/>
        </w:rPr>
        <w:t>空气压缩机应设置主/备用机组，应能自动保持仪表和公用空气系统的压力；</w:t>
      </w:r>
    </w:p>
    <w:p w14:paraId="1351864A">
      <w:pPr>
        <w:pStyle w:val="305"/>
        <w:numPr>
          <w:ilvl w:val="0"/>
          <w:numId w:val="52"/>
        </w:numPr>
        <w:rPr>
          <w:rFonts w:ascii="Times New Roman"/>
        </w:rPr>
      </w:pPr>
      <w:r>
        <w:rPr>
          <w:rFonts w:ascii="Times New Roman"/>
        </w:rPr>
        <w:t>仪表空气系统应设有低压报警及超低压应急关断装置。</w:t>
      </w:r>
    </w:p>
    <w:p w14:paraId="744B8288">
      <w:pPr>
        <w:pStyle w:val="260"/>
        <w:outlineLvl w:val="1"/>
        <w:rPr>
          <w:rFonts w:ascii="Times New Roman"/>
        </w:rPr>
      </w:pPr>
      <w:bookmarkStart w:id="154" w:name="_Toc20397"/>
      <w:bookmarkStart w:id="155" w:name="_Toc29835"/>
      <w:bookmarkStart w:id="156" w:name="_Toc32476"/>
      <w:bookmarkStart w:id="157" w:name="_Toc2902"/>
      <w:bookmarkStart w:id="158" w:name="_Toc27334"/>
      <w:r>
        <w:rPr>
          <w:rFonts w:ascii="Times New Roman"/>
        </w:rPr>
        <w:t>泵</w:t>
      </w:r>
      <w:bookmarkEnd w:id="154"/>
      <w:bookmarkEnd w:id="155"/>
      <w:bookmarkEnd w:id="156"/>
      <w:bookmarkEnd w:id="157"/>
      <w:bookmarkEnd w:id="158"/>
    </w:p>
    <w:p w14:paraId="33EA2D52">
      <w:pPr>
        <w:pStyle w:val="326"/>
      </w:pPr>
      <w:bookmarkStart w:id="159" w:name="_Toc4475"/>
      <w:r>
        <w:t>泵应按照采用的标准进行设计、制造。</w:t>
      </w:r>
      <w:bookmarkEnd w:id="159"/>
    </w:p>
    <w:p w14:paraId="259DFE7C">
      <w:pPr>
        <w:pStyle w:val="326"/>
      </w:pPr>
      <w:bookmarkStart w:id="160" w:name="_Toc19411"/>
      <w:r>
        <w:t>各类泵的吸入、排出管路中</w:t>
      </w:r>
      <w:r>
        <w:rPr>
          <w:rFonts w:hint="eastAsia"/>
        </w:rPr>
        <w:t>，</w:t>
      </w:r>
      <w:r>
        <w:t>应装隔离阀</w:t>
      </w:r>
      <w:r>
        <w:rPr>
          <w:rFonts w:hint="eastAsia"/>
        </w:rPr>
        <w:t>，</w:t>
      </w:r>
      <w:r>
        <w:t>以便安全维修。</w:t>
      </w:r>
    </w:p>
    <w:p w14:paraId="7EA8A68D">
      <w:pPr>
        <w:pStyle w:val="326"/>
      </w:pPr>
      <w:r>
        <w:rPr>
          <w:rFonts w:hint="eastAsia"/>
        </w:rPr>
        <w:t>除泥浆泵外，</w:t>
      </w:r>
      <w:r>
        <w:t>各类泵的出口管线应设置止回阀。</w:t>
      </w:r>
    </w:p>
    <w:p w14:paraId="6CA6EC3E">
      <w:pPr>
        <w:pStyle w:val="326"/>
      </w:pPr>
      <w:r>
        <w:t>各类泵的排出管路中应装压力表。</w:t>
      </w:r>
    </w:p>
    <w:p w14:paraId="784F9D99">
      <w:pPr>
        <w:pStyle w:val="326"/>
      </w:pPr>
      <w:r>
        <w:t>容积泵液力端应设有安全阀或在排出管路上设置安全阀。</w:t>
      </w:r>
      <w:bookmarkEnd w:id="160"/>
    </w:p>
    <w:p w14:paraId="447BA7D4">
      <w:pPr>
        <w:pStyle w:val="326"/>
      </w:pPr>
      <w:bookmarkStart w:id="161" w:name="_Toc28449"/>
      <w:r>
        <w:t>在容积泵的吸入管路中应装真空表。</w:t>
      </w:r>
      <w:bookmarkEnd w:id="161"/>
    </w:p>
    <w:p w14:paraId="3F3C6B92">
      <w:pPr>
        <w:pStyle w:val="260"/>
        <w:outlineLvl w:val="1"/>
        <w:rPr>
          <w:rFonts w:ascii="Times New Roman"/>
        </w:rPr>
      </w:pPr>
      <w:bookmarkStart w:id="162" w:name="_Toc4223"/>
      <w:bookmarkStart w:id="163" w:name="_Toc2691"/>
      <w:bookmarkStart w:id="164" w:name="_Toc8703"/>
      <w:bookmarkStart w:id="165" w:name="_Toc31863"/>
      <w:bookmarkStart w:id="166" w:name="_Toc7940"/>
      <w:r>
        <w:rPr>
          <w:rFonts w:ascii="Times New Roman"/>
        </w:rPr>
        <w:t>锅炉</w:t>
      </w:r>
      <w:bookmarkEnd w:id="162"/>
      <w:bookmarkEnd w:id="163"/>
      <w:bookmarkEnd w:id="164"/>
      <w:bookmarkEnd w:id="165"/>
      <w:bookmarkEnd w:id="166"/>
    </w:p>
    <w:p w14:paraId="310067F4">
      <w:pPr>
        <w:pStyle w:val="326"/>
        <w:rPr>
          <w:rFonts w:ascii="Times New Roman"/>
        </w:rPr>
      </w:pPr>
      <w:r>
        <w:rPr>
          <w:rFonts w:ascii="Times New Roman"/>
        </w:rPr>
        <w:t>安装与布置应符合下列要求:</w:t>
      </w:r>
    </w:p>
    <w:p w14:paraId="5D0182BF">
      <w:pPr>
        <w:pStyle w:val="305"/>
        <w:numPr>
          <w:ilvl w:val="0"/>
          <w:numId w:val="53"/>
        </w:numPr>
      </w:pPr>
      <w:r>
        <w:t>锅炉应安装在非危险区内</w:t>
      </w:r>
      <w:r>
        <w:rPr>
          <w:rFonts w:hint="eastAsia"/>
        </w:rPr>
        <w:t>；</w:t>
      </w:r>
    </w:p>
    <w:p w14:paraId="55145F7F">
      <w:pPr>
        <w:pStyle w:val="305"/>
        <w:numPr>
          <w:ilvl w:val="0"/>
          <w:numId w:val="53"/>
        </w:numPr>
      </w:pPr>
      <w:r>
        <w:t>锅炉上的安全阀、进口阀、出口阀等应直接安装在锅炉本体上或与本体相连的短管节上；</w:t>
      </w:r>
    </w:p>
    <w:p w14:paraId="0DB8AF3E">
      <w:pPr>
        <w:pStyle w:val="305"/>
        <w:numPr>
          <w:ilvl w:val="0"/>
          <w:numId w:val="53"/>
        </w:numPr>
      </w:pPr>
      <w:r>
        <w:t>每台锅炉的燃料供应总管上应安装一速闭阀。该阀应置于适当地点</w:t>
      </w:r>
      <w:r>
        <w:rPr>
          <w:rFonts w:hint="eastAsia"/>
        </w:rPr>
        <w:t>，</w:t>
      </w:r>
      <w:r>
        <w:t>以便在应急情况下就地关闭，且应在位于该处所以外易于接近的安全地点予以遥控关闭。燃料供应总管上还应设燃料高、低压或流量监测装置；</w:t>
      </w:r>
    </w:p>
    <w:p w14:paraId="2F606E9B">
      <w:pPr>
        <w:pStyle w:val="305"/>
        <w:numPr>
          <w:ilvl w:val="0"/>
          <w:numId w:val="53"/>
        </w:numPr>
      </w:pPr>
      <w:r>
        <w:t>锅炉与燃油和润滑油罐之间应有足够的安全距离；</w:t>
      </w:r>
    </w:p>
    <w:p w14:paraId="660C0B45">
      <w:pPr>
        <w:pStyle w:val="305"/>
        <w:numPr>
          <w:ilvl w:val="0"/>
          <w:numId w:val="53"/>
        </w:numPr>
      </w:pPr>
      <w:r>
        <w:t>燃烧器附近应设弱火焰安全装置（BSL）；</w:t>
      </w:r>
    </w:p>
    <w:p w14:paraId="417AEC83">
      <w:pPr>
        <w:pStyle w:val="305"/>
        <w:numPr>
          <w:ilvl w:val="0"/>
          <w:numId w:val="53"/>
        </w:numPr>
      </w:pPr>
      <w:r>
        <w:t>当燃烧器接有蒸汽吹洗或蒸汽雾化设施时</w:t>
      </w:r>
      <w:r>
        <w:rPr>
          <w:rFonts w:hint="eastAsia"/>
        </w:rPr>
        <w:t>，</w:t>
      </w:r>
      <w:r>
        <w:t>则应设有防止燃料进入蒸汽系统的有效设施；</w:t>
      </w:r>
    </w:p>
    <w:p w14:paraId="2872388A">
      <w:pPr>
        <w:pStyle w:val="305"/>
        <w:numPr>
          <w:ilvl w:val="0"/>
          <w:numId w:val="53"/>
        </w:numPr>
      </w:pPr>
      <w:r>
        <w:t>应有可靠的止回装置</w:t>
      </w:r>
      <w:r>
        <w:rPr>
          <w:rFonts w:hint="eastAsia"/>
        </w:rPr>
        <w:t>，</w:t>
      </w:r>
      <w:r>
        <w:t>以防止在切断燃烧器的燃料供应后</w:t>
      </w:r>
      <w:r>
        <w:rPr>
          <w:rFonts w:hint="eastAsia"/>
        </w:rPr>
        <w:t>，</w:t>
      </w:r>
      <w:r>
        <w:t>燃料从回流系统流至燃烧器；</w:t>
      </w:r>
    </w:p>
    <w:p w14:paraId="2FC828B8">
      <w:pPr>
        <w:pStyle w:val="305"/>
        <w:numPr>
          <w:ilvl w:val="0"/>
          <w:numId w:val="53"/>
        </w:numPr>
      </w:pPr>
      <w:r>
        <w:t>为防可燃气体在炉膛内的积聚引起爆炸，至少应设火焰故障探测器并进行点火前的预扫风；</w:t>
      </w:r>
    </w:p>
    <w:p w14:paraId="718CE5DB">
      <w:pPr>
        <w:pStyle w:val="305"/>
        <w:numPr>
          <w:ilvl w:val="0"/>
          <w:numId w:val="53"/>
        </w:numPr>
      </w:pPr>
      <w:r>
        <w:t>应设有点火失败关断燃料供应并触发报警的措施；</w:t>
      </w:r>
    </w:p>
    <w:p w14:paraId="6E47FD8C">
      <w:pPr>
        <w:pStyle w:val="305"/>
        <w:numPr>
          <w:ilvl w:val="0"/>
          <w:numId w:val="53"/>
        </w:numPr>
      </w:pPr>
      <w:r>
        <w:t>锅炉装置应设控制盘</w:t>
      </w:r>
      <w:r>
        <w:rPr>
          <w:rFonts w:hint="eastAsia"/>
        </w:rPr>
        <w:t>，</w:t>
      </w:r>
      <w:r>
        <w:t>当发生异常情况时，在控制盘上进行声、光报警</w:t>
      </w:r>
      <w:r>
        <w:rPr>
          <w:rFonts w:hint="eastAsia"/>
        </w:rPr>
        <w:t>，</w:t>
      </w:r>
      <w:r>
        <w:t>并进行相应的控制；</w:t>
      </w:r>
    </w:p>
    <w:p w14:paraId="1287AC4D">
      <w:pPr>
        <w:pStyle w:val="305"/>
        <w:numPr>
          <w:ilvl w:val="0"/>
          <w:numId w:val="53"/>
        </w:numPr>
      </w:pPr>
      <w:r>
        <w:t>锅炉装置的设计、制造、检验、验收须符合本</w:t>
      </w:r>
      <w:r>
        <w:rPr>
          <w:rFonts w:hint="eastAsia"/>
        </w:rPr>
        <w:t>文件</w:t>
      </w:r>
      <w:r>
        <w:t>12.</w:t>
      </w:r>
      <w:r>
        <w:rPr>
          <w:rFonts w:hint="eastAsia"/>
        </w:rPr>
        <w:t>7</w:t>
      </w:r>
      <w:r>
        <w:t>的有关规定。</w:t>
      </w:r>
    </w:p>
    <w:p w14:paraId="7D4B2AB9">
      <w:pPr>
        <w:pStyle w:val="326"/>
        <w:rPr>
          <w:rFonts w:ascii="Times New Roman"/>
        </w:rPr>
      </w:pPr>
      <w:r>
        <w:rPr>
          <w:rFonts w:ascii="Times New Roman"/>
        </w:rPr>
        <w:t>蒸汽锅炉的安全装置应符合下列要求：</w:t>
      </w:r>
    </w:p>
    <w:p w14:paraId="71240359">
      <w:pPr>
        <w:pStyle w:val="305"/>
        <w:numPr>
          <w:ilvl w:val="0"/>
          <w:numId w:val="54"/>
        </w:numPr>
        <w:rPr>
          <w:rFonts w:ascii="Times New Roman"/>
        </w:rPr>
      </w:pPr>
      <w:r>
        <w:rPr>
          <w:rFonts w:ascii="Times New Roman"/>
        </w:rPr>
        <w:t>每台锅炉应至少装设两个安全阀</w:t>
      </w:r>
      <w:r>
        <w:rPr>
          <w:rFonts w:hint="eastAsia" w:ascii="Times New Roman"/>
        </w:rPr>
        <w:t>，</w:t>
      </w:r>
      <w:r>
        <w:rPr>
          <w:rFonts w:ascii="Times New Roman"/>
        </w:rPr>
        <w:t>对</w:t>
      </w:r>
      <w:r>
        <w:rPr>
          <w:rFonts w:ascii="Times New Roman"/>
          <w:szCs w:val="21"/>
        </w:rPr>
        <w:t>额定蒸发量小于或等</w:t>
      </w:r>
      <w:r>
        <w:rPr>
          <w:rFonts w:hint="eastAsia" w:hAnsi="宋体" w:cs="宋体"/>
          <w:szCs w:val="21"/>
        </w:rPr>
        <w:t>于0.5</w:t>
      </w:r>
      <w:r>
        <w:rPr>
          <w:rFonts w:hint="eastAsia" w:hAnsi="宋体" w:cs="宋体"/>
          <w:sz w:val="10"/>
          <w:szCs w:val="10"/>
        </w:rPr>
        <w:t xml:space="preserve"> </w:t>
      </w:r>
      <w:r>
        <w:rPr>
          <w:rFonts w:hint="eastAsia" w:hAnsi="宋体" w:cs="宋体"/>
          <w:szCs w:val="21"/>
        </w:rPr>
        <w:t>t/h的锅炉或额定蒸发量小于4</w:t>
      </w:r>
      <w:r>
        <w:rPr>
          <w:rFonts w:hint="eastAsia" w:hAnsi="宋体" w:cs="宋体"/>
          <w:sz w:val="10"/>
          <w:szCs w:val="10"/>
        </w:rPr>
        <w:t xml:space="preserve"> </w:t>
      </w:r>
      <w:r>
        <w:rPr>
          <w:rFonts w:hint="eastAsia" w:hAnsi="宋体" w:cs="宋体"/>
          <w:szCs w:val="21"/>
        </w:rPr>
        <w:t>t/h且装有可靠的超压联锁保护装置的锅炉</w:t>
      </w:r>
      <w:r>
        <w:rPr>
          <w:rFonts w:hint="eastAsia" w:hAnsi="宋体" w:cs="宋体"/>
        </w:rPr>
        <w:t>可仅装一个安全阀；</w:t>
      </w:r>
    </w:p>
    <w:p w14:paraId="152C19C9">
      <w:pPr>
        <w:pStyle w:val="305"/>
        <w:numPr>
          <w:ilvl w:val="0"/>
          <w:numId w:val="54"/>
        </w:numPr>
        <w:rPr>
          <w:rFonts w:ascii="Times New Roman"/>
        </w:rPr>
      </w:pPr>
      <w:r>
        <w:rPr>
          <w:rFonts w:ascii="Times New Roman"/>
        </w:rPr>
        <w:t>每台锅炉应装设液位计和压力表；</w:t>
      </w:r>
    </w:p>
    <w:p w14:paraId="0EF37197">
      <w:pPr>
        <w:pStyle w:val="305"/>
        <w:numPr>
          <w:ilvl w:val="0"/>
          <w:numId w:val="54"/>
        </w:numPr>
        <w:rPr>
          <w:rFonts w:ascii="Times New Roman"/>
        </w:rPr>
      </w:pPr>
      <w:r>
        <w:rPr>
          <w:rFonts w:ascii="Times New Roman"/>
        </w:rPr>
        <w:t>锅炉应设有低水量报警和关断；</w:t>
      </w:r>
    </w:p>
    <w:p w14:paraId="24DE09FA">
      <w:pPr>
        <w:pStyle w:val="305"/>
        <w:numPr>
          <w:ilvl w:val="0"/>
          <w:numId w:val="54"/>
        </w:numPr>
        <w:rPr>
          <w:rFonts w:ascii="Times New Roman"/>
        </w:rPr>
      </w:pPr>
      <w:r>
        <w:rPr>
          <w:rFonts w:ascii="Times New Roman"/>
        </w:rPr>
        <w:t>锅炉应设有超压报警和和关断；</w:t>
      </w:r>
    </w:p>
    <w:p w14:paraId="0391B773">
      <w:pPr>
        <w:pStyle w:val="305"/>
        <w:numPr>
          <w:ilvl w:val="0"/>
          <w:numId w:val="54"/>
        </w:numPr>
        <w:rPr>
          <w:rFonts w:ascii="Times New Roman"/>
        </w:rPr>
      </w:pPr>
      <w:r>
        <w:rPr>
          <w:rFonts w:ascii="Times New Roman"/>
        </w:rPr>
        <w:t>锅炉应设有燃料监测功能，燃料压力超过限定值时</w:t>
      </w:r>
      <w:r>
        <w:rPr>
          <w:rFonts w:hint="eastAsia" w:ascii="Times New Roman"/>
        </w:rPr>
        <w:t>，</w:t>
      </w:r>
      <w:r>
        <w:rPr>
          <w:rFonts w:ascii="Times New Roman"/>
        </w:rPr>
        <w:t>报警和关断；</w:t>
      </w:r>
    </w:p>
    <w:p w14:paraId="226E69D0">
      <w:pPr>
        <w:pStyle w:val="305"/>
        <w:numPr>
          <w:ilvl w:val="0"/>
          <w:numId w:val="54"/>
        </w:numPr>
        <w:rPr>
          <w:rFonts w:ascii="Times New Roman"/>
        </w:rPr>
      </w:pPr>
      <w:r>
        <w:rPr>
          <w:rFonts w:ascii="Times New Roman"/>
        </w:rPr>
        <w:t>锅炉应设有给水泵</w:t>
      </w:r>
      <w:r>
        <w:rPr>
          <w:rFonts w:hint="eastAsia" w:ascii="Times New Roman"/>
        </w:rPr>
        <w:t>出</w:t>
      </w:r>
      <w:r>
        <w:rPr>
          <w:rFonts w:ascii="Times New Roman"/>
        </w:rPr>
        <w:t>入口高低压报警和关断；</w:t>
      </w:r>
    </w:p>
    <w:p w14:paraId="53280ED6">
      <w:pPr>
        <w:pStyle w:val="305"/>
        <w:numPr>
          <w:ilvl w:val="0"/>
          <w:numId w:val="54"/>
        </w:numPr>
        <w:rPr>
          <w:rFonts w:ascii="Times New Roman"/>
        </w:rPr>
      </w:pPr>
      <w:r>
        <w:rPr>
          <w:rFonts w:ascii="Times New Roman"/>
        </w:rPr>
        <w:t>锅炉应设有炉管壁高温报警和关断；</w:t>
      </w:r>
    </w:p>
    <w:p w14:paraId="410E30A4">
      <w:pPr>
        <w:pStyle w:val="305"/>
        <w:numPr>
          <w:ilvl w:val="0"/>
          <w:numId w:val="54"/>
        </w:numPr>
        <w:rPr>
          <w:rFonts w:ascii="Times New Roman"/>
        </w:rPr>
      </w:pPr>
      <w:r>
        <w:rPr>
          <w:rFonts w:ascii="Times New Roman"/>
        </w:rPr>
        <w:t>锅炉应设有蒸汽压力报警和关断；</w:t>
      </w:r>
    </w:p>
    <w:p w14:paraId="5EC28B9E">
      <w:pPr>
        <w:pStyle w:val="305"/>
        <w:numPr>
          <w:ilvl w:val="0"/>
          <w:numId w:val="54"/>
        </w:numPr>
        <w:rPr>
          <w:rFonts w:ascii="Times New Roman"/>
        </w:rPr>
      </w:pPr>
      <w:r>
        <w:rPr>
          <w:rFonts w:ascii="Times New Roman"/>
        </w:rPr>
        <w:t>锅炉排烟道出口处应设有高温报警和关断。</w:t>
      </w:r>
    </w:p>
    <w:p w14:paraId="2B41CD95">
      <w:pPr>
        <w:pStyle w:val="305"/>
        <w:numPr>
          <w:ilvl w:val="0"/>
          <w:numId w:val="54"/>
        </w:numPr>
        <w:rPr>
          <w:rFonts w:ascii="Times New Roman"/>
        </w:rPr>
      </w:pPr>
      <w:r>
        <w:rPr>
          <w:rFonts w:ascii="Times New Roman"/>
          <w:szCs w:val="21"/>
        </w:rPr>
        <w:t>在出现低水位，</w:t>
      </w:r>
      <w:r>
        <w:rPr>
          <w:rFonts w:ascii="Times New Roman"/>
        </w:rPr>
        <w:t>锅炉供汽中断或熄火等应急情况时</w:t>
      </w:r>
      <w:r>
        <w:rPr>
          <w:rFonts w:hint="eastAsia" w:ascii="Times New Roman"/>
        </w:rPr>
        <w:t>，</w:t>
      </w:r>
      <w:r>
        <w:rPr>
          <w:rFonts w:ascii="Times New Roman"/>
        </w:rPr>
        <w:t>应能自动停止燃料供应并在值班室发出声、光报警。</w:t>
      </w:r>
    </w:p>
    <w:p w14:paraId="0A8406B0">
      <w:pPr>
        <w:pStyle w:val="305"/>
        <w:numPr>
          <w:ilvl w:val="0"/>
          <w:numId w:val="54"/>
        </w:numPr>
        <w:rPr>
          <w:rFonts w:ascii="Times New Roman"/>
        </w:rPr>
      </w:pPr>
      <w:r>
        <w:rPr>
          <w:rFonts w:ascii="Times New Roman"/>
        </w:rPr>
        <w:t>额定蒸发量小于或者等于</w:t>
      </w:r>
      <w:r>
        <w:rPr>
          <w:rFonts w:hint="eastAsia" w:hAnsi="宋体" w:cs="宋体"/>
        </w:rPr>
        <w:t>75</w:t>
      </w:r>
      <w:r>
        <w:rPr>
          <w:rFonts w:hint="eastAsia" w:hAnsi="宋体" w:cs="宋体"/>
          <w:sz w:val="10"/>
          <w:szCs w:val="10"/>
        </w:rPr>
        <w:t xml:space="preserve"> </w:t>
      </w:r>
      <w:r>
        <w:rPr>
          <w:rFonts w:hint="eastAsia" w:hAnsi="宋体" w:cs="宋体"/>
        </w:rPr>
        <w:t>t/h</w:t>
      </w:r>
      <w:r>
        <w:rPr>
          <w:rFonts w:ascii="Times New Roman"/>
        </w:rPr>
        <w:t>的燃用油、气的水管锅炉，未设置炉膛安全自动保护系统的炉膛和烟道应当设置防爆门，防爆门的设置不应当危及人身安全。</w:t>
      </w:r>
    </w:p>
    <w:p w14:paraId="5E0AC621">
      <w:pPr>
        <w:pStyle w:val="326"/>
        <w:rPr>
          <w:rFonts w:hint="eastAsia" w:ascii="宋体" w:hAnsi="宋体" w:eastAsia="宋体" w:cs="宋体"/>
        </w:rPr>
      </w:pPr>
      <w:r>
        <w:rPr>
          <w:rFonts w:hint="eastAsia" w:ascii="宋体" w:hAnsi="宋体" w:eastAsia="宋体" w:cs="宋体"/>
        </w:rPr>
        <w:t>热介质锅炉的安全装置应符合下列要求：</w:t>
      </w:r>
    </w:p>
    <w:p w14:paraId="5E14802A">
      <w:pPr>
        <w:pStyle w:val="305"/>
        <w:numPr>
          <w:ilvl w:val="0"/>
          <w:numId w:val="55"/>
        </w:numPr>
        <w:rPr>
          <w:rFonts w:hint="eastAsia" w:hAnsi="宋体" w:cs="宋体"/>
        </w:rPr>
      </w:pPr>
      <w:r>
        <w:rPr>
          <w:rFonts w:hint="eastAsia" w:hAnsi="宋体" w:cs="宋体"/>
        </w:rPr>
        <w:t>热介质锅炉应安装安全阀，安全阀的排泄口应接至位于安全区域的收集容器内；</w:t>
      </w:r>
    </w:p>
    <w:p w14:paraId="4791E951">
      <w:pPr>
        <w:pStyle w:val="305"/>
        <w:numPr>
          <w:ilvl w:val="0"/>
          <w:numId w:val="55"/>
        </w:numPr>
        <w:rPr>
          <w:rFonts w:hint="eastAsia" w:hAnsi="宋体" w:cs="宋体"/>
        </w:rPr>
      </w:pPr>
      <w:r>
        <w:rPr>
          <w:rFonts w:hint="eastAsia" w:hAnsi="宋体" w:cs="宋体"/>
        </w:rPr>
        <w:t>热介质锅炉应装设低流量安全装置（FSL）。当流量下降到限定值时，报警和切断燃料供给；</w:t>
      </w:r>
    </w:p>
    <w:p w14:paraId="3D199DD8">
      <w:pPr>
        <w:pStyle w:val="305"/>
        <w:numPr>
          <w:ilvl w:val="0"/>
          <w:numId w:val="55"/>
        </w:numPr>
        <w:rPr>
          <w:rFonts w:hint="eastAsia" w:hAnsi="宋体" w:cs="宋体"/>
        </w:rPr>
      </w:pPr>
      <w:r>
        <w:rPr>
          <w:rFonts w:hint="eastAsia" w:hAnsi="宋体" w:cs="宋体"/>
        </w:rPr>
        <w:t>热介质锅炉的介质管系上应装高温安全装置。当出口温度高过限定值时，报警和切断燃料供给；</w:t>
      </w:r>
    </w:p>
    <w:p w14:paraId="3CFF7A88">
      <w:pPr>
        <w:pStyle w:val="305"/>
        <w:numPr>
          <w:ilvl w:val="0"/>
          <w:numId w:val="55"/>
        </w:numPr>
        <w:rPr>
          <w:rFonts w:hint="eastAsia" w:hAnsi="宋体" w:cs="宋体"/>
        </w:rPr>
      </w:pPr>
      <w:r>
        <w:rPr>
          <w:rFonts w:hint="eastAsia" w:hAnsi="宋体" w:cs="宋体"/>
        </w:rPr>
        <w:t>热介质锅炉排烟道出口处应装设高温监测报警装置。当温度高过限定值时，切断燃料供应；</w:t>
      </w:r>
    </w:p>
    <w:p w14:paraId="5E033888">
      <w:pPr>
        <w:pStyle w:val="305"/>
        <w:numPr>
          <w:ilvl w:val="0"/>
          <w:numId w:val="55"/>
        </w:numPr>
        <w:rPr>
          <w:rFonts w:hint="eastAsia" w:hAnsi="宋体" w:cs="宋体"/>
        </w:rPr>
      </w:pPr>
      <w:r>
        <w:rPr>
          <w:rFonts w:hint="eastAsia" w:hAnsi="宋体" w:cs="宋体"/>
        </w:rPr>
        <w:t>利用燃机高温尾气加热热介质时，热介质的管系上应设流量、压力安全装置，燃机排气管上应设高温安全装置；</w:t>
      </w:r>
    </w:p>
    <w:p w14:paraId="60637476">
      <w:pPr>
        <w:pStyle w:val="305"/>
        <w:numPr>
          <w:ilvl w:val="0"/>
          <w:numId w:val="55"/>
        </w:numPr>
        <w:rPr>
          <w:rFonts w:hint="eastAsia" w:hAnsi="宋体" w:cs="宋体"/>
        </w:rPr>
      </w:pPr>
      <w:r>
        <w:rPr>
          <w:rFonts w:hint="eastAsia" w:hAnsi="宋体" w:cs="宋体"/>
        </w:rPr>
        <w:t>热介质膨胀罐应具有足够容积。</w:t>
      </w:r>
    </w:p>
    <w:p w14:paraId="7AB4C11E">
      <w:pPr>
        <w:pStyle w:val="260"/>
        <w:outlineLvl w:val="1"/>
        <w:rPr>
          <w:rFonts w:ascii="Times New Roman"/>
        </w:rPr>
      </w:pPr>
      <w:bookmarkStart w:id="167" w:name="_Toc19210"/>
      <w:bookmarkStart w:id="168" w:name="_Toc21282"/>
      <w:bookmarkStart w:id="169" w:name="_Toc20936"/>
      <w:bookmarkStart w:id="170" w:name="_Toc9692"/>
      <w:bookmarkStart w:id="171" w:name="_Toc25466"/>
      <w:r>
        <w:rPr>
          <w:rFonts w:ascii="Times New Roman"/>
        </w:rPr>
        <w:t>压力容器</w:t>
      </w:r>
      <w:bookmarkEnd w:id="167"/>
      <w:bookmarkEnd w:id="168"/>
      <w:bookmarkEnd w:id="169"/>
      <w:bookmarkEnd w:id="170"/>
      <w:bookmarkEnd w:id="171"/>
    </w:p>
    <w:p w14:paraId="29285875">
      <w:pPr>
        <w:pStyle w:val="326"/>
        <w:rPr>
          <w:rFonts w:ascii="Times New Roman"/>
        </w:rPr>
      </w:pPr>
      <w:bookmarkStart w:id="172" w:name="_Toc13543"/>
      <w:r>
        <w:rPr>
          <w:rFonts w:ascii="Times New Roman"/>
        </w:rPr>
        <w:t>压力容器应根据所用规范、标准进行设计、制造、检验、验收，并取得发证检验机构的产品检验证书。</w:t>
      </w:r>
      <w:bookmarkEnd w:id="172"/>
    </w:p>
    <w:p w14:paraId="37E237B6">
      <w:pPr>
        <w:pStyle w:val="326"/>
      </w:pPr>
      <w:bookmarkStart w:id="173" w:name="_Toc21135"/>
      <w:r>
        <w:rPr>
          <w:rFonts w:ascii="Times New Roman"/>
        </w:rPr>
        <w:t>压力容器</w:t>
      </w:r>
      <w:bookmarkEnd w:id="173"/>
      <w:bookmarkStart w:id="174" w:name="_Toc31183"/>
      <w:r>
        <w:t>制造前，压力容器制造厂应向发证检验机构提交下述文件，并取得认可：</w:t>
      </w:r>
      <w:bookmarkEnd w:id="174"/>
    </w:p>
    <w:p w14:paraId="48467D75">
      <w:pPr>
        <w:pStyle w:val="305"/>
        <w:numPr>
          <w:ilvl w:val="0"/>
          <w:numId w:val="56"/>
        </w:numPr>
      </w:pPr>
      <w:r>
        <w:t>焊接工艺程序；</w:t>
      </w:r>
    </w:p>
    <w:p w14:paraId="0C910DE8">
      <w:pPr>
        <w:pStyle w:val="305"/>
        <w:numPr>
          <w:ilvl w:val="0"/>
          <w:numId w:val="56"/>
        </w:numPr>
      </w:pPr>
      <w:r>
        <w:t>焊接工艺评定报告；</w:t>
      </w:r>
    </w:p>
    <w:p w14:paraId="710B0CBF">
      <w:pPr>
        <w:pStyle w:val="305"/>
        <w:numPr>
          <w:ilvl w:val="0"/>
          <w:numId w:val="56"/>
        </w:numPr>
      </w:pPr>
      <w:r>
        <w:t>无损</w:t>
      </w:r>
      <w:r>
        <w:rPr>
          <w:rFonts w:hint="eastAsia"/>
        </w:rPr>
        <w:t>检测</w:t>
      </w:r>
      <w:r>
        <w:t>程序；</w:t>
      </w:r>
    </w:p>
    <w:p w14:paraId="514E3EBB">
      <w:pPr>
        <w:pStyle w:val="305"/>
        <w:numPr>
          <w:ilvl w:val="0"/>
          <w:numId w:val="56"/>
        </w:numPr>
      </w:pPr>
      <w:r>
        <w:t>焊工与无损</w:t>
      </w:r>
      <w:r>
        <w:rPr>
          <w:rFonts w:hint="eastAsia"/>
        </w:rPr>
        <w:t>检测</w:t>
      </w:r>
      <w:r>
        <w:t>人员资格证书及考核报告；</w:t>
      </w:r>
    </w:p>
    <w:p w14:paraId="2E2D2F42">
      <w:pPr>
        <w:pStyle w:val="305"/>
        <w:numPr>
          <w:ilvl w:val="0"/>
          <w:numId w:val="56"/>
        </w:numPr>
      </w:pPr>
      <w:r>
        <w:t>制造工艺程序；</w:t>
      </w:r>
    </w:p>
    <w:p w14:paraId="7087C343">
      <w:pPr>
        <w:pStyle w:val="305"/>
        <w:numPr>
          <w:ilvl w:val="0"/>
          <w:numId w:val="56"/>
        </w:numPr>
      </w:pPr>
      <w:r>
        <w:t>检验与试验程序。</w:t>
      </w:r>
    </w:p>
    <w:p w14:paraId="160F6631">
      <w:pPr>
        <w:pStyle w:val="326"/>
      </w:pPr>
      <w:r>
        <w:t>在压力容器上应设压力表以便监测容器内的压力，还应设一套压力传感器和一套安全阀或设两套安全阀对容器进行压力保护。</w:t>
      </w:r>
    </w:p>
    <w:p w14:paraId="771F3D05">
      <w:pPr>
        <w:pStyle w:val="326"/>
      </w:pPr>
      <w:r>
        <w:t xml:space="preserve">对于盛装液体的压力容器应设液位计及液位控制措施。 </w:t>
      </w:r>
    </w:p>
    <w:p w14:paraId="4B963920">
      <w:pPr>
        <w:pStyle w:val="326"/>
      </w:pPr>
      <w:r>
        <w:t>在压力容器的进出口上应设隔离阀。</w:t>
      </w:r>
    </w:p>
    <w:p w14:paraId="64FE59FF">
      <w:pPr>
        <w:pStyle w:val="326"/>
      </w:pPr>
      <w:r>
        <w:t>安全阀、隔离阀及放泄阀应设在容器的本体上或与之相连的短管节上。</w:t>
      </w:r>
    </w:p>
    <w:p w14:paraId="269D2406">
      <w:pPr>
        <w:pStyle w:val="260"/>
        <w:outlineLvl w:val="1"/>
        <w:rPr>
          <w:rFonts w:ascii="Times New Roman"/>
        </w:rPr>
      </w:pPr>
      <w:bookmarkStart w:id="175" w:name="_Toc28034"/>
      <w:bookmarkStart w:id="176" w:name="_Toc6773"/>
      <w:bookmarkStart w:id="177" w:name="_Toc27896"/>
      <w:bookmarkStart w:id="178" w:name="_Toc29949"/>
      <w:bookmarkStart w:id="179" w:name="_Toc31692"/>
      <w:r>
        <w:rPr>
          <w:rFonts w:ascii="Times New Roman"/>
        </w:rPr>
        <w:t>设备管系</w:t>
      </w:r>
      <w:bookmarkEnd w:id="175"/>
      <w:bookmarkEnd w:id="176"/>
      <w:bookmarkEnd w:id="177"/>
      <w:bookmarkEnd w:id="178"/>
      <w:bookmarkEnd w:id="179"/>
    </w:p>
    <w:p w14:paraId="4A997C29">
      <w:pPr>
        <w:pStyle w:val="261"/>
        <w:spacing w:before="156" w:after="156"/>
        <w:outlineLvl w:val="2"/>
        <w:rPr>
          <w:rFonts w:ascii="Times New Roman"/>
        </w:rPr>
      </w:pPr>
      <w:bookmarkStart w:id="180" w:name="_Toc13872"/>
      <w:r>
        <w:rPr>
          <w:rFonts w:ascii="Times New Roman"/>
        </w:rPr>
        <w:t>压缩空气管系</w:t>
      </w:r>
      <w:bookmarkEnd w:id="180"/>
    </w:p>
    <w:p w14:paraId="5BADA73A">
      <w:pPr>
        <w:pStyle w:val="327"/>
        <w:rPr>
          <w:rFonts w:ascii="Times New Roman"/>
        </w:rPr>
      </w:pPr>
      <w:r>
        <w:rPr>
          <w:rFonts w:ascii="Times New Roman"/>
        </w:rPr>
        <w:t>仪表空气系统应设有干燥、净化装置，以保证仪表空气质量达到使用要求。</w:t>
      </w:r>
    </w:p>
    <w:p w14:paraId="38C3A96A">
      <w:pPr>
        <w:pStyle w:val="327"/>
        <w:rPr>
          <w:rFonts w:ascii="Times New Roman"/>
        </w:rPr>
      </w:pPr>
      <w:r>
        <w:rPr>
          <w:rFonts w:ascii="Times New Roman"/>
        </w:rPr>
        <w:t>仪表空气系统应设有低压报警及超低压应急关断。</w:t>
      </w:r>
    </w:p>
    <w:p w14:paraId="3CA39570">
      <w:pPr>
        <w:pStyle w:val="261"/>
        <w:spacing w:before="156" w:after="156"/>
        <w:outlineLvl w:val="2"/>
        <w:rPr>
          <w:rFonts w:ascii="Times New Roman"/>
        </w:rPr>
      </w:pPr>
      <w:bookmarkStart w:id="181" w:name="_Toc25814"/>
      <w:r>
        <w:rPr>
          <w:rFonts w:ascii="Times New Roman"/>
        </w:rPr>
        <w:t>燃油管系</w:t>
      </w:r>
      <w:bookmarkEnd w:id="181"/>
    </w:p>
    <w:p w14:paraId="5B978892">
      <w:pPr>
        <w:pStyle w:val="327"/>
        <w:rPr>
          <w:rFonts w:ascii="Times New Roman"/>
        </w:rPr>
      </w:pPr>
      <w:r>
        <w:rPr>
          <w:rFonts w:ascii="Times New Roman"/>
        </w:rPr>
        <w:t>燃油管系应尽可能远离热表面和电气设备。如无法避免时，则该管应位于良好照明和易于观察之处，且可拆卸的管接头处应与热表面和电气设备保持安全距离，或接头处利用可适当接收泄放的设施予以保护。</w:t>
      </w:r>
    </w:p>
    <w:p w14:paraId="355E3880">
      <w:pPr>
        <w:pStyle w:val="327"/>
        <w:rPr>
          <w:rFonts w:ascii="Times New Roman"/>
        </w:rPr>
      </w:pPr>
      <w:r>
        <w:rPr>
          <w:rFonts w:ascii="Times New Roman"/>
        </w:rPr>
        <w:t>油罐、燃油泵、过滤器、锅炉燃烧器和其他可能漏油阀件处应设置油盘，油盘内的残油，需泄至专设污油</w:t>
      </w:r>
      <w:r>
        <w:rPr>
          <w:rFonts w:hint="eastAsia" w:ascii="Times New Roman"/>
        </w:rPr>
        <w:t>罐</w:t>
      </w:r>
      <w:r>
        <w:rPr>
          <w:rFonts w:ascii="Times New Roman"/>
        </w:rPr>
        <w:t>或系统的排放</w:t>
      </w:r>
      <w:r>
        <w:rPr>
          <w:rFonts w:hint="eastAsia" w:ascii="Times New Roman"/>
        </w:rPr>
        <w:t>罐</w:t>
      </w:r>
      <w:r>
        <w:rPr>
          <w:rFonts w:ascii="Times New Roman"/>
        </w:rPr>
        <w:t>内。</w:t>
      </w:r>
    </w:p>
    <w:p w14:paraId="5E777A5B">
      <w:pPr>
        <w:pStyle w:val="327"/>
        <w:rPr>
          <w:rFonts w:ascii="Times New Roman"/>
        </w:rPr>
      </w:pPr>
      <w:r>
        <w:rPr>
          <w:rFonts w:ascii="Times New Roman"/>
        </w:rPr>
        <w:t>在机房内的日用油</w:t>
      </w:r>
      <w:r>
        <w:rPr>
          <w:rFonts w:hint="eastAsia" w:ascii="Times New Roman"/>
        </w:rPr>
        <w:t>罐</w:t>
      </w:r>
      <w:r>
        <w:rPr>
          <w:rFonts w:ascii="Times New Roman"/>
        </w:rPr>
        <w:t>供油管路上，应设有速闭阀或等效设施。除能就地关闭外，应能在该阀所在处所外易于接近的安全地点进行应急关闭。</w:t>
      </w:r>
    </w:p>
    <w:p w14:paraId="7B00EB4E">
      <w:pPr>
        <w:pStyle w:val="327"/>
        <w:rPr>
          <w:rFonts w:ascii="Times New Roman"/>
        </w:rPr>
      </w:pPr>
      <w:r>
        <w:rPr>
          <w:rFonts w:ascii="Times New Roman"/>
        </w:rPr>
        <w:t>加热燃油用的介质可为电气、蒸汽、热介质油、热水等，不得利用烟气直接加热燃油。</w:t>
      </w:r>
    </w:p>
    <w:p w14:paraId="37D4D08E">
      <w:pPr>
        <w:pStyle w:val="327"/>
        <w:rPr>
          <w:rFonts w:hint="eastAsia" w:ascii="宋体" w:hAnsi="宋体" w:eastAsia="宋体" w:cs="宋体"/>
        </w:rPr>
      </w:pPr>
      <w:r>
        <w:rPr>
          <w:rFonts w:hint="eastAsia" w:ascii="宋体" w:hAnsi="宋体" w:eastAsia="宋体" w:cs="宋体"/>
        </w:rPr>
        <w:t>加热燃油用的蒸汽应为饱和蒸汽，其压力不大于0.68</w:t>
      </w:r>
      <w:r>
        <w:rPr>
          <w:rFonts w:hint="eastAsia" w:ascii="宋体" w:hAnsi="宋体" w:eastAsia="宋体" w:cs="宋体"/>
          <w:sz w:val="10"/>
          <w:szCs w:val="10"/>
        </w:rPr>
        <w:t xml:space="preserve"> </w:t>
      </w:r>
      <w:r>
        <w:rPr>
          <w:rFonts w:hint="eastAsia" w:ascii="宋体" w:hAnsi="宋体" w:eastAsia="宋体" w:cs="宋体"/>
        </w:rPr>
        <w:t>MPa，其加热的最高温度应低于该燃油闪点10</w:t>
      </w:r>
      <w:r>
        <w:rPr>
          <w:rFonts w:hint="eastAsia" w:ascii="宋体" w:hAnsi="宋体" w:eastAsia="宋体" w:cs="宋体"/>
          <w:sz w:val="10"/>
          <w:szCs w:val="10"/>
        </w:rPr>
        <w:t xml:space="preserve"> </w:t>
      </w:r>
      <w:r>
        <w:rPr>
          <w:rFonts w:hint="eastAsia" w:ascii="宋体" w:hAnsi="宋体" w:eastAsia="宋体" w:cs="宋体"/>
        </w:rPr>
        <w:t>℃。</w:t>
      </w:r>
    </w:p>
    <w:p w14:paraId="16699D28">
      <w:pPr>
        <w:pStyle w:val="327"/>
        <w:rPr>
          <w:rFonts w:ascii="Times New Roman"/>
        </w:rPr>
      </w:pPr>
      <w:r>
        <w:rPr>
          <w:rFonts w:ascii="Times New Roman"/>
        </w:rPr>
        <w:t>若采用防爆型电加热元件，必须保证在元件通电的全部时间内，所有元件均浸没在燃油中，应设置电加热元件温度控制装置，保证燃油不发生质变和结焦。</w:t>
      </w:r>
    </w:p>
    <w:p w14:paraId="6DB48529">
      <w:pPr>
        <w:pStyle w:val="327"/>
        <w:rPr>
          <w:rFonts w:ascii="Times New Roman"/>
        </w:rPr>
      </w:pPr>
      <w:r>
        <w:rPr>
          <w:rFonts w:ascii="Times New Roman"/>
        </w:rPr>
        <w:t>若燃油罐内的燃油采用灌注进入时，应保证注入时不产生静电。</w:t>
      </w:r>
    </w:p>
    <w:p w14:paraId="1062A2FB">
      <w:pPr>
        <w:pStyle w:val="327"/>
        <w:rPr>
          <w:rFonts w:ascii="Times New Roman"/>
        </w:rPr>
      </w:pPr>
      <w:r>
        <w:rPr>
          <w:rFonts w:ascii="Times New Roman"/>
        </w:rPr>
        <w:t>燃油输送泵、锅炉燃油泵及其他类似的燃油泵，除能就地关闭外，还应能在该泵所在处所外易于接近的安全地点进行应急关闭。</w:t>
      </w:r>
    </w:p>
    <w:p w14:paraId="6A9721C0">
      <w:pPr>
        <w:pStyle w:val="261"/>
        <w:spacing w:before="156" w:after="156"/>
        <w:outlineLvl w:val="2"/>
        <w:rPr>
          <w:rFonts w:ascii="Times New Roman"/>
        </w:rPr>
      </w:pPr>
      <w:bookmarkStart w:id="182" w:name="_Toc29184"/>
      <w:r>
        <w:rPr>
          <w:rFonts w:ascii="Times New Roman"/>
        </w:rPr>
        <w:t>海水管系</w:t>
      </w:r>
      <w:bookmarkEnd w:id="182"/>
    </w:p>
    <w:p w14:paraId="7FDDDB81">
      <w:pPr>
        <w:pStyle w:val="327"/>
        <w:rPr>
          <w:rFonts w:ascii="Times New Roman"/>
        </w:rPr>
      </w:pPr>
      <w:r>
        <w:rPr>
          <w:rFonts w:ascii="Times New Roman"/>
        </w:rPr>
        <w:t>海水管系应选用耐腐蚀材料或敷设内涂层。</w:t>
      </w:r>
    </w:p>
    <w:p w14:paraId="42B5AA3A">
      <w:pPr>
        <w:pStyle w:val="327"/>
        <w:rPr>
          <w:rFonts w:ascii="Times New Roman"/>
          <w:szCs w:val="20"/>
        </w:rPr>
      </w:pPr>
      <w:r>
        <w:rPr>
          <w:rFonts w:ascii="Times New Roman" w:eastAsia="宋体"/>
          <w:szCs w:val="20"/>
        </w:rPr>
        <w:t>平台</w:t>
      </w:r>
      <w:r>
        <w:rPr>
          <w:rFonts w:ascii="Times New Roman"/>
          <w:szCs w:val="20"/>
        </w:rPr>
        <w:t>上应设有适当设施，防止海生物在海水管系入口处生长聚集。</w:t>
      </w:r>
    </w:p>
    <w:p w14:paraId="237AB371">
      <w:pPr>
        <w:pStyle w:val="261"/>
        <w:spacing w:before="156" w:after="156"/>
        <w:outlineLvl w:val="2"/>
        <w:rPr>
          <w:rFonts w:ascii="Times New Roman"/>
        </w:rPr>
      </w:pPr>
      <w:bookmarkStart w:id="183" w:name="_Toc19102"/>
      <w:r>
        <w:rPr>
          <w:rFonts w:ascii="Times New Roman"/>
        </w:rPr>
        <w:t>蒸汽管系</w:t>
      </w:r>
      <w:bookmarkEnd w:id="183"/>
    </w:p>
    <w:p w14:paraId="38705FAC">
      <w:pPr>
        <w:pStyle w:val="327"/>
      </w:pPr>
      <w:r>
        <w:t>蒸汽管系应采取可靠措施，不使管子因膨胀和收缩而产生过大的应力。</w:t>
      </w:r>
    </w:p>
    <w:p w14:paraId="7D59CD97">
      <w:pPr>
        <w:pStyle w:val="327"/>
      </w:pPr>
      <w:r>
        <w:t>每一蒸汽管系应设有有效的泄水装置，以免发生危险的水击作用。</w:t>
      </w:r>
    </w:p>
    <w:p w14:paraId="0679A259">
      <w:pPr>
        <w:pStyle w:val="327"/>
      </w:pPr>
      <w:r>
        <w:t>如果蒸汽管系或附件可能从任何来源接受高于其设计压力的蒸汽，则应装设适当的减压阀、安全阀和压力表。</w:t>
      </w:r>
    </w:p>
    <w:p w14:paraId="45287265">
      <w:pPr>
        <w:pStyle w:val="327"/>
      </w:pPr>
      <w:r>
        <w:t>每一蒸汽管系及其附件的设计、构造和安装，应能承受最大的工作压力。</w:t>
      </w:r>
    </w:p>
    <w:p w14:paraId="1C2B2399">
      <w:pPr>
        <w:pStyle w:val="261"/>
        <w:spacing w:before="156" w:after="156"/>
        <w:outlineLvl w:val="2"/>
        <w:rPr>
          <w:rFonts w:ascii="Times New Roman"/>
        </w:rPr>
      </w:pPr>
      <w:bookmarkStart w:id="184" w:name="_Toc7715"/>
      <w:r>
        <w:rPr>
          <w:rFonts w:ascii="Times New Roman"/>
        </w:rPr>
        <w:t>热介质加热管系</w:t>
      </w:r>
      <w:bookmarkEnd w:id="184"/>
    </w:p>
    <w:p w14:paraId="326083A1">
      <w:pPr>
        <w:pStyle w:val="327"/>
        <w:rPr>
          <w:rFonts w:ascii="Times New Roman"/>
        </w:rPr>
      </w:pPr>
      <w:r>
        <w:rPr>
          <w:rFonts w:ascii="Times New Roman"/>
        </w:rPr>
        <w:t>热介质加热管系应采用符合标准的无缝钢管制造。</w:t>
      </w:r>
    </w:p>
    <w:p w14:paraId="43B0928E">
      <w:pPr>
        <w:pStyle w:val="327"/>
        <w:rPr>
          <w:rFonts w:ascii="Times New Roman"/>
        </w:rPr>
      </w:pPr>
      <w:r>
        <w:rPr>
          <w:rFonts w:ascii="Times New Roman"/>
        </w:rPr>
        <w:t>贮油容器、燃油罐的热介质加热进/出管系，应设有截止阀或其它等效隔断设施，及热介质的流量调节设施。</w:t>
      </w:r>
    </w:p>
    <w:p w14:paraId="7CA0AE5B">
      <w:pPr>
        <w:pStyle w:val="327"/>
        <w:rPr>
          <w:rFonts w:ascii="Times New Roman"/>
        </w:rPr>
      </w:pPr>
      <w:r>
        <w:rPr>
          <w:rFonts w:ascii="Times New Roman"/>
        </w:rPr>
        <w:t>加热燃料油用的热介质的最高温度应不超</w:t>
      </w:r>
      <w:r>
        <w:rPr>
          <w:rFonts w:hint="eastAsia" w:ascii="宋体" w:hAnsi="宋体" w:eastAsia="宋体" w:cs="宋体"/>
        </w:rPr>
        <w:t>过220</w:t>
      </w:r>
      <w:r>
        <w:rPr>
          <w:rFonts w:hint="eastAsia" w:ascii="宋体" w:hAnsi="宋体" w:eastAsia="宋体" w:cs="宋体"/>
          <w:sz w:val="10"/>
          <w:szCs w:val="10"/>
        </w:rPr>
        <w:t xml:space="preserve"> </w:t>
      </w:r>
      <w:r>
        <w:rPr>
          <w:rFonts w:hint="eastAsia" w:ascii="宋体" w:hAnsi="宋体" w:eastAsia="宋体" w:cs="宋体"/>
        </w:rPr>
        <w:t>℃。</w:t>
      </w:r>
    </w:p>
    <w:p w14:paraId="462C59C5">
      <w:pPr>
        <w:pStyle w:val="327"/>
        <w:rPr>
          <w:rFonts w:ascii="Times New Roman"/>
        </w:rPr>
      </w:pPr>
      <w:r>
        <w:rPr>
          <w:rFonts w:ascii="Times New Roman"/>
        </w:rPr>
        <w:t>热油锅炉的热介质进/出管路上应安装</w:t>
      </w:r>
      <w:r>
        <w:rPr>
          <w:rFonts w:hint="eastAsia" w:ascii="Times New Roman"/>
        </w:rPr>
        <w:t>：</w:t>
      </w:r>
    </w:p>
    <w:p w14:paraId="787DE3A6">
      <w:pPr>
        <w:pStyle w:val="305"/>
        <w:numPr>
          <w:ilvl w:val="0"/>
          <w:numId w:val="57"/>
        </w:numPr>
      </w:pPr>
      <w:r>
        <w:t>温度监测装置，当温度上升或下降超出限定值时，应发出报警；</w:t>
      </w:r>
    </w:p>
    <w:p w14:paraId="3F38971F">
      <w:pPr>
        <w:pStyle w:val="305"/>
        <w:numPr>
          <w:ilvl w:val="0"/>
          <w:numId w:val="57"/>
        </w:numPr>
      </w:pPr>
      <w:r>
        <w:t>流量监测装置，当流量下降到限定值以下时，应发出报警；</w:t>
      </w:r>
    </w:p>
    <w:p w14:paraId="6C42155B">
      <w:pPr>
        <w:pStyle w:val="305"/>
        <w:numPr>
          <w:ilvl w:val="0"/>
          <w:numId w:val="57"/>
        </w:numPr>
      </w:pPr>
      <w:r>
        <w:t>压力监测装置，当压力升高或降低至限定值时，应发出报警。</w:t>
      </w:r>
    </w:p>
    <w:p w14:paraId="325DDFDE">
      <w:pPr>
        <w:pStyle w:val="327"/>
        <w:rPr>
          <w:rFonts w:ascii="Times New Roman"/>
        </w:rPr>
      </w:pPr>
      <w:r>
        <w:rPr>
          <w:rFonts w:ascii="Times New Roman"/>
        </w:rPr>
        <w:t>储油罐内的热介质加热盘管的布置，管接头的焊接工艺以及检验、试验等，需经发证检验机构认可。</w:t>
      </w:r>
    </w:p>
    <w:p w14:paraId="3D3729DA">
      <w:pPr>
        <w:pStyle w:val="261"/>
        <w:spacing w:before="156" w:after="156"/>
        <w:outlineLvl w:val="2"/>
        <w:rPr>
          <w:rFonts w:ascii="Times New Roman"/>
        </w:rPr>
      </w:pPr>
      <w:bookmarkStart w:id="185" w:name="_Toc12909"/>
      <w:r>
        <w:rPr>
          <w:rFonts w:ascii="Times New Roman"/>
        </w:rPr>
        <w:t>润滑油管系</w:t>
      </w:r>
      <w:bookmarkEnd w:id="185"/>
    </w:p>
    <w:p w14:paraId="52012DF2">
      <w:pPr>
        <w:pStyle w:val="327"/>
        <w:rPr>
          <w:rFonts w:ascii="Times New Roman"/>
        </w:rPr>
      </w:pPr>
      <w:r>
        <w:rPr>
          <w:rFonts w:ascii="Times New Roman"/>
        </w:rPr>
        <w:t>润滑油管系应装有过滤器，过滤器应保证在不停机和不减少向发动机供应过滤油的情况下进行内部清洗。</w:t>
      </w:r>
    </w:p>
    <w:p w14:paraId="083AFB44">
      <w:pPr>
        <w:pStyle w:val="327"/>
        <w:rPr>
          <w:rFonts w:ascii="Times New Roman"/>
        </w:rPr>
      </w:pPr>
      <w:r>
        <w:rPr>
          <w:rFonts w:ascii="Times New Roman"/>
        </w:rPr>
        <w:t>润滑油系统应设有当润滑油压力明显下降时能发出声、光信号的报警装置。</w:t>
      </w:r>
    </w:p>
    <w:p w14:paraId="47DD4D09">
      <w:pPr>
        <w:pStyle w:val="327"/>
        <w:rPr>
          <w:rFonts w:ascii="Times New Roman"/>
        </w:rPr>
      </w:pPr>
      <w:r>
        <w:rPr>
          <w:rFonts w:ascii="Times New Roman"/>
        </w:rPr>
        <w:t>如装有</w:t>
      </w:r>
      <w:r>
        <w:rPr>
          <w:rFonts w:hint="eastAsia" w:ascii="宋体" w:hAnsi="宋体" w:eastAsia="宋体" w:cs="宋体"/>
        </w:rPr>
        <w:t>2</w:t>
      </w:r>
      <w:r>
        <w:rPr>
          <w:rFonts w:ascii="Times New Roman"/>
        </w:rPr>
        <w:t>台或多台柴油机，则各油底壳引至润滑油循环罐的泄油管应独立。避免曲轴箱之间互通。</w:t>
      </w:r>
    </w:p>
    <w:p w14:paraId="7C59FCAA">
      <w:pPr>
        <w:pStyle w:val="327"/>
        <w:rPr>
          <w:rFonts w:ascii="Times New Roman"/>
          <w:szCs w:val="20"/>
        </w:rPr>
      </w:pPr>
      <w:r>
        <w:rPr>
          <w:rFonts w:ascii="Times New Roman" w:eastAsia="宋体"/>
          <w:szCs w:val="20"/>
        </w:rPr>
        <w:t>润滑油罐应根据需要设置符合本</w:t>
      </w:r>
      <w:r>
        <w:rPr>
          <w:rFonts w:hint="eastAsia" w:ascii="Times New Roman" w:eastAsia="宋体"/>
          <w:szCs w:val="20"/>
        </w:rPr>
        <w:t>文件</w:t>
      </w:r>
      <w:r>
        <w:rPr>
          <w:rFonts w:hint="eastAsia" w:ascii="宋体" w:hAnsi="宋体" w:eastAsia="宋体" w:cs="宋体"/>
          <w:szCs w:val="20"/>
        </w:rPr>
        <w:t>12.8.2.6</w:t>
      </w:r>
      <w:r>
        <w:rPr>
          <w:rFonts w:ascii="Times New Roman" w:eastAsia="宋体"/>
          <w:szCs w:val="20"/>
        </w:rPr>
        <w:t>规定的加热设备。</w:t>
      </w:r>
    </w:p>
    <w:p w14:paraId="078493CE">
      <w:pPr>
        <w:pStyle w:val="261"/>
        <w:spacing w:before="156" w:after="156"/>
        <w:outlineLvl w:val="2"/>
        <w:rPr>
          <w:rFonts w:ascii="Times New Roman"/>
        </w:rPr>
      </w:pPr>
      <w:bookmarkStart w:id="186" w:name="_Toc5171"/>
      <w:r>
        <w:rPr>
          <w:rFonts w:ascii="Times New Roman"/>
        </w:rPr>
        <w:t>透气管</w:t>
      </w:r>
      <w:bookmarkEnd w:id="186"/>
    </w:p>
    <w:p w14:paraId="7B8B9CC6">
      <w:pPr>
        <w:pStyle w:val="327"/>
        <w:rPr>
          <w:rFonts w:ascii="Times New Roman" w:eastAsia="宋体"/>
          <w:szCs w:val="20"/>
        </w:rPr>
      </w:pPr>
      <w:r>
        <w:rPr>
          <w:rFonts w:ascii="Times New Roman"/>
        </w:rPr>
        <w:t>贮存水、燃油、润滑油的罐体</w:t>
      </w:r>
      <w:r>
        <w:rPr>
          <w:rFonts w:hint="eastAsia" w:ascii="Times New Roman"/>
        </w:rPr>
        <w:t>或箱体</w:t>
      </w:r>
      <w:r>
        <w:rPr>
          <w:rFonts w:ascii="Times New Roman"/>
        </w:rPr>
        <w:t>应设置透气管。透气管应从最高点引出，</w:t>
      </w:r>
      <w:r>
        <w:rPr>
          <w:rFonts w:hint="eastAsia" w:ascii="Times New Roman"/>
        </w:rPr>
        <w:t>引至开敞空间</w:t>
      </w:r>
      <w:r>
        <w:rPr>
          <w:rFonts w:ascii="Times New Roman"/>
        </w:rPr>
        <w:t>。</w:t>
      </w:r>
    </w:p>
    <w:p w14:paraId="786D803C">
      <w:pPr>
        <w:pStyle w:val="327"/>
        <w:rPr>
          <w:rFonts w:ascii="Times New Roman"/>
        </w:rPr>
      </w:pPr>
      <w:r>
        <w:rPr>
          <w:rFonts w:ascii="Times New Roman"/>
        </w:rPr>
        <w:t>油罐透气管的管端，应装有耐腐蚀和便于更换的阻火器。阻火器的净流通面积应不小于透气管的截面积。</w:t>
      </w:r>
    </w:p>
    <w:p w14:paraId="53650B00">
      <w:pPr>
        <w:pStyle w:val="261"/>
        <w:spacing w:before="156" w:after="156"/>
        <w:outlineLvl w:val="2"/>
        <w:rPr>
          <w:rFonts w:ascii="Times New Roman"/>
        </w:rPr>
      </w:pPr>
      <w:bookmarkStart w:id="187" w:name="_Toc29026"/>
      <w:r>
        <w:rPr>
          <w:rFonts w:ascii="Times New Roman"/>
        </w:rPr>
        <w:t>溢流管</w:t>
      </w:r>
      <w:bookmarkEnd w:id="187"/>
    </w:p>
    <w:p w14:paraId="64F35B8A">
      <w:pPr>
        <w:pStyle w:val="327"/>
        <w:rPr>
          <w:rFonts w:ascii="Times New Roman"/>
        </w:rPr>
      </w:pPr>
      <w:r>
        <w:rPr>
          <w:rFonts w:ascii="Times New Roman"/>
        </w:rPr>
        <w:t>用泵灌装的油罐、润滑油罐应装设溢流管。溢流管应引向有足够容积的单独溢流罐，或有多余空间的贮存罐。上述油罐必要时应装报警装置，当油罐的油位达到预定高度时予以报警，以防油溢出。</w:t>
      </w:r>
    </w:p>
    <w:p w14:paraId="57A6EC34">
      <w:pPr>
        <w:pStyle w:val="327"/>
        <w:rPr>
          <w:rFonts w:ascii="Times New Roman"/>
        </w:rPr>
      </w:pPr>
      <w:r>
        <w:rPr>
          <w:rFonts w:ascii="Times New Roman"/>
        </w:rPr>
        <w:t>溢流管不</w:t>
      </w:r>
      <w:r>
        <w:rPr>
          <w:rFonts w:hint="eastAsia" w:ascii="Times New Roman"/>
        </w:rPr>
        <w:t>应</w:t>
      </w:r>
      <w:r>
        <w:rPr>
          <w:rFonts w:ascii="Times New Roman"/>
        </w:rPr>
        <w:t>装设隔断阀或旋塞阀。</w:t>
      </w:r>
    </w:p>
    <w:p w14:paraId="6939EDAA">
      <w:pPr>
        <w:pStyle w:val="327"/>
        <w:rPr>
          <w:rFonts w:ascii="Times New Roman"/>
        </w:rPr>
      </w:pPr>
      <w:r>
        <w:rPr>
          <w:rFonts w:ascii="Times New Roman"/>
        </w:rPr>
        <w:t>每一油罐的溢流管截面积应不得少于该油罐注入管截面积的</w:t>
      </w:r>
      <w:r>
        <w:rPr>
          <w:rFonts w:hint="eastAsia" w:ascii="宋体" w:hAnsi="宋体" w:eastAsia="宋体" w:cs="宋体"/>
        </w:rPr>
        <w:t>1.25</w:t>
      </w:r>
      <w:r>
        <w:rPr>
          <w:rFonts w:ascii="Times New Roman"/>
        </w:rPr>
        <w:t>倍。</w:t>
      </w:r>
    </w:p>
    <w:p w14:paraId="437DD669">
      <w:pPr>
        <w:pStyle w:val="260"/>
        <w:outlineLvl w:val="1"/>
        <w:rPr>
          <w:rFonts w:ascii="Times New Roman"/>
        </w:rPr>
      </w:pPr>
      <w:bookmarkStart w:id="188" w:name="_Toc5624"/>
      <w:bookmarkStart w:id="189" w:name="_Toc11698"/>
      <w:bookmarkStart w:id="190" w:name="_Toc30464"/>
      <w:bookmarkStart w:id="191" w:name="_Toc896"/>
      <w:bookmarkStart w:id="192" w:name="_Toc22216"/>
      <w:r>
        <w:rPr>
          <w:rFonts w:ascii="Times New Roman"/>
        </w:rPr>
        <w:t>起重机</w:t>
      </w:r>
      <w:bookmarkEnd w:id="188"/>
      <w:bookmarkEnd w:id="189"/>
      <w:bookmarkEnd w:id="190"/>
      <w:bookmarkEnd w:id="191"/>
      <w:bookmarkEnd w:id="192"/>
    </w:p>
    <w:p w14:paraId="105A457E">
      <w:pPr>
        <w:pStyle w:val="261"/>
        <w:spacing w:before="156" w:after="156"/>
        <w:outlineLvl w:val="2"/>
        <w:rPr>
          <w:rFonts w:ascii="Times New Roman"/>
        </w:rPr>
      </w:pPr>
      <w:r>
        <w:rPr>
          <w:rFonts w:ascii="Times New Roman"/>
        </w:rPr>
        <w:t>一般要求</w:t>
      </w:r>
    </w:p>
    <w:p w14:paraId="2BB68446">
      <w:pPr>
        <w:pStyle w:val="327"/>
        <w:numPr>
          <w:ilvl w:val="3"/>
          <w:numId w:val="0"/>
        </w:numPr>
        <w:ind w:firstLine="420" w:firstLineChars="200"/>
        <w:rPr>
          <w:rFonts w:ascii="Times New Roman"/>
          <w:szCs w:val="20"/>
        </w:rPr>
      </w:pPr>
      <w:r>
        <w:rPr>
          <w:rFonts w:ascii="Times New Roman"/>
          <w:szCs w:val="20"/>
        </w:rPr>
        <w:t>若起重机吊臂处于危险区内，其机电设备应符合本</w:t>
      </w:r>
      <w:r>
        <w:rPr>
          <w:rFonts w:hint="eastAsia" w:ascii="Times New Roman"/>
          <w:szCs w:val="20"/>
        </w:rPr>
        <w:t>文件</w:t>
      </w:r>
      <w:r>
        <w:rPr>
          <w:rFonts w:ascii="Times New Roman"/>
          <w:szCs w:val="20"/>
        </w:rPr>
        <w:t>危险处所的通风和危险区内的电气装置的有关规定。</w:t>
      </w:r>
    </w:p>
    <w:p w14:paraId="75677A16">
      <w:pPr>
        <w:pStyle w:val="261"/>
        <w:spacing w:before="156" w:after="156"/>
        <w:outlineLvl w:val="2"/>
        <w:rPr>
          <w:rFonts w:ascii="Times New Roman"/>
        </w:rPr>
      </w:pPr>
      <w:bookmarkStart w:id="193" w:name="_Toc29939"/>
      <w:r>
        <w:rPr>
          <w:rFonts w:ascii="Times New Roman"/>
        </w:rPr>
        <w:t>起重机的位置</w:t>
      </w:r>
      <w:bookmarkEnd w:id="193"/>
    </w:p>
    <w:p w14:paraId="2E23DCBE">
      <w:pPr>
        <w:pStyle w:val="327"/>
      </w:pPr>
      <w:r>
        <w:rPr>
          <w:rFonts w:hint="eastAsia"/>
        </w:rPr>
        <w:t>起重机安装位置应能满足覆盖面的要求，并尽可能避免死角。</w:t>
      </w:r>
    </w:p>
    <w:p w14:paraId="413EFC9F">
      <w:pPr>
        <w:pStyle w:val="327"/>
      </w:pPr>
      <w:r>
        <w:rPr>
          <w:rFonts w:hint="eastAsia"/>
        </w:rPr>
        <w:t>安装位置及其保护设施应考虑尽量避免对现场人员的伤害，防止运动件可能导致的事故。设计时应考虑材料、工作条件、环境条件等因素。</w:t>
      </w:r>
    </w:p>
    <w:p w14:paraId="481E29C9">
      <w:pPr>
        <w:pStyle w:val="261"/>
        <w:spacing w:before="156" w:after="156"/>
        <w:outlineLvl w:val="2"/>
        <w:rPr>
          <w:rFonts w:ascii="Times New Roman"/>
        </w:rPr>
      </w:pPr>
      <w:bookmarkStart w:id="194" w:name="_Toc15341"/>
      <w:r>
        <w:rPr>
          <w:rFonts w:ascii="Times New Roman"/>
        </w:rPr>
        <w:t>结构设计</w:t>
      </w:r>
      <w:bookmarkEnd w:id="194"/>
    </w:p>
    <w:p w14:paraId="7ACF76C6">
      <w:pPr>
        <w:pStyle w:val="327"/>
      </w:pPr>
      <w:r>
        <w:t>起重设备的结构设计应考虑相应的安全工作负荷，</w:t>
      </w:r>
      <w:r>
        <w:rPr>
          <w:rFonts w:hint="eastAsia"/>
        </w:rPr>
        <w:t>包括</w:t>
      </w:r>
      <w:r>
        <w:t>垂直载荷</w:t>
      </w:r>
      <w:r>
        <w:rPr>
          <w:rFonts w:hint="eastAsia"/>
        </w:rPr>
        <w:t>、</w:t>
      </w:r>
      <w:r>
        <w:t>水平载荷和环境载荷，并满足相关标准和规范的要求。</w:t>
      </w:r>
    </w:p>
    <w:p w14:paraId="151143C5">
      <w:pPr>
        <w:pStyle w:val="327"/>
      </w:pPr>
      <w:r>
        <w:t>起重设备结构的疲劳寿命</w:t>
      </w:r>
      <w:r>
        <w:rPr>
          <w:rFonts w:hint="eastAsia"/>
        </w:rPr>
        <w:t>应</w:t>
      </w:r>
      <w:r>
        <w:t>大于其使用寿命。疲劳设计应满足相关标准和规范的要求。</w:t>
      </w:r>
    </w:p>
    <w:p w14:paraId="0DD9133B">
      <w:pPr>
        <w:pStyle w:val="261"/>
        <w:spacing w:before="156" w:after="156"/>
        <w:outlineLvl w:val="2"/>
        <w:rPr>
          <w:rFonts w:ascii="Times New Roman"/>
        </w:rPr>
      </w:pPr>
      <w:bookmarkStart w:id="195" w:name="_Toc22315"/>
      <w:r>
        <w:rPr>
          <w:rFonts w:ascii="Times New Roman"/>
        </w:rPr>
        <w:t>基座</w:t>
      </w:r>
      <w:bookmarkEnd w:id="195"/>
    </w:p>
    <w:p w14:paraId="56E5D42E">
      <w:pPr>
        <w:pStyle w:val="521"/>
        <w:ind w:firstLine="420"/>
        <w:rPr>
          <w:rFonts w:ascii="Times New Roman"/>
          <w:szCs w:val="21"/>
        </w:rPr>
      </w:pPr>
      <w:r>
        <w:rPr>
          <w:rFonts w:ascii="Times New Roman"/>
          <w:szCs w:val="21"/>
        </w:rPr>
        <w:t>基座</w:t>
      </w:r>
      <w:r>
        <w:rPr>
          <w:rFonts w:ascii="Times New Roman"/>
        </w:rPr>
        <w:t>应</w:t>
      </w:r>
      <w:r>
        <w:rPr>
          <w:rFonts w:ascii="Times New Roman"/>
          <w:szCs w:val="21"/>
        </w:rPr>
        <w:t>与平台主结构进行有效的连接，其设计、制造及与主结构的焊接应符合</w:t>
      </w:r>
      <w:r>
        <w:rPr>
          <w:rFonts w:ascii="Times New Roman"/>
        </w:rPr>
        <w:t>本</w:t>
      </w:r>
      <w:r>
        <w:rPr>
          <w:rFonts w:hint="eastAsia" w:ascii="Times New Roman"/>
        </w:rPr>
        <w:t>文件</w:t>
      </w:r>
      <w:r>
        <w:rPr>
          <w:rFonts w:ascii="Times New Roman"/>
          <w:szCs w:val="21"/>
        </w:rPr>
        <w:t>的有关规定。安装回转环的基座法兰应牢固、平整和满足水平度的要求。</w:t>
      </w:r>
    </w:p>
    <w:p w14:paraId="537C9E1C">
      <w:pPr>
        <w:pStyle w:val="261"/>
        <w:spacing w:before="156" w:after="156"/>
        <w:outlineLvl w:val="2"/>
        <w:rPr>
          <w:rFonts w:ascii="Times New Roman"/>
        </w:rPr>
      </w:pPr>
      <w:bookmarkStart w:id="196" w:name="_Toc11804"/>
      <w:r>
        <w:rPr>
          <w:rFonts w:ascii="Times New Roman"/>
        </w:rPr>
        <w:t>绞车</w:t>
      </w:r>
      <w:bookmarkEnd w:id="196"/>
    </w:p>
    <w:p w14:paraId="1F04A903">
      <w:pPr>
        <w:pStyle w:val="327"/>
      </w:pPr>
      <w:r>
        <w:t>绞车卷筒上钢丝绳应能自行整齐排列，当起重机臂杆在最高操作位置且吊钩达到最低天文潮海面时，剩留在主起升卷筒上的钢丝绳不得少于5圈。</w:t>
      </w:r>
    </w:p>
    <w:p w14:paraId="6FA213EC">
      <w:pPr>
        <w:pStyle w:val="327"/>
      </w:pPr>
      <w:r>
        <w:t>绞车除应设置自动制动器外，还应设置手动控制应急释放装置。当起重机的动力源或控制系统失效时，能自动制止重物落下，并可用手动控制装置将吊钩上的重物放下。</w:t>
      </w:r>
    </w:p>
    <w:p w14:paraId="4F016D6D">
      <w:pPr>
        <w:pStyle w:val="261"/>
        <w:spacing w:before="156" w:after="156"/>
        <w:outlineLvl w:val="2"/>
        <w:rPr>
          <w:rFonts w:ascii="Times New Roman"/>
        </w:rPr>
      </w:pPr>
      <w:r>
        <w:rPr>
          <w:rFonts w:ascii="Times New Roman"/>
        </w:rPr>
        <w:t>钢丝绳</w:t>
      </w:r>
    </w:p>
    <w:p w14:paraId="2EB93628">
      <w:pPr>
        <w:pStyle w:val="521"/>
        <w:ind w:firstLine="420"/>
        <w:rPr>
          <w:rFonts w:ascii="Times New Roman"/>
          <w:szCs w:val="21"/>
        </w:rPr>
      </w:pPr>
      <w:r>
        <w:rPr>
          <w:rFonts w:ascii="Times New Roman"/>
          <w:szCs w:val="21"/>
        </w:rPr>
        <w:t>钢丝绳应按所用规范、标准制造</w:t>
      </w:r>
      <w:r>
        <w:rPr>
          <w:rFonts w:hint="eastAsia" w:ascii="Times New Roman"/>
          <w:szCs w:val="21"/>
        </w:rPr>
        <w:t>，</w:t>
      </w:r>
      <w:r>
        <w:rPr>
          <w:rFonts w:ascii="Times New Roman"/>
          <w:szCs w:val="21"/>
        </w:rPr>
        <w:t>并须具有出厂合格证和试验证书。起升装置应使用无旋转特性的钢丝绳。</w:t>
      </w:r>
    </w:p>
    <w:p w14:paraId="371A8853">
      <w:pPr>
        <w:pStyle w:val="261"/>
        <w:spacing w:before="156" w:after="156"/>
        <w:outlineLvl w:val="2"/>
        <w:rPr>
          <w:rFonts w:ascii="Times New Roman"/>
        </w:rPr>
      </w:pPr>
      <w:bookmarkStart w:id="197" w:name="_Toc31900"/>
      <w:r>
        <w:rPr>
          <w:rFonts w:ascii="Times New Roman"/>
        </w:rPr>
        <w:t>工作性能</w:t>
      </w:r>
      <w:bookmarkEnd w:id="197"/>
    </w:p>
    <w:p w14:paraId="529852A3">
      <w:pPr>
        <w:pStyle w:val="327"/>
      </w:pPr>
      <w:r>
        <w:t>起重机吊物时的最低起升速度应考虑吊物时的海况条件，避免吊物离开供应船时，与供应船发生碰击。</w:t>
      </w:r>
    </w:p>
    <w:p w14:paraId="30D94610">
      <w:pPr>
        <w:pStyle w:val="327"/>
      </w:pPr>
      <w:r>
        <w:t>起升机构应符合下列要求：</w:t>
      </w:r>
    </w:p>
    <w:p w14:paraId="468FAC19">
      <w:pPr>
        <w:pStyle w:val="305"/>
        <w:numPr>
          <w:ilvl w:val="0"/>
          <w:numId w:val="58"/>
        </w:numPr>
        <w:rPr>
          <w:rFonts w:hint="eastAsia" w:hAnsi="宋体" w:cs="宋体"/>
        </w:rPr>
      </w:pPr>
      <w:r>
        <w:rPr>
          <w:rFonts w:hint="eastAsia" w:hAnsi="宋体" w:cs="宋体"/>
          <w:szCs w:val="27"/>
        </w:rPr>
        <w:t>静态制动应能刹住1.5倍的额定起升力矩；</w:t>
      </w:r>
    </w:p>
    <w:p w14:paraId="6E7DDA66">
      <w:pPr>
        <w:pStyle w:val="305"/>
        <w:numPr>
          <w:ilvl w:val="0"/>
          <w:numId w:val="58"/>
        </w:numPr>
        <w:rPr>
          <w:rFonts w:hint="eastAsia" w:hAnsi="宋体" w:cs="宋体"/>
        </w:rPr>
      </w:pPr>
      <w:r>
        <w:rPr>
          <w:rFonts w:hint="eastAsia" w:hAnsi="宋体" w:cs="宋体"/>
          <w:szCs w:val="27"/>
        </w:rPr>
        <w:t>在承受110%的安全工作负荷最大下降速度状态下能够平稳制动；</w:t>
      </w:r>
    </w:p>
    <w:p w14:paraId="667FF4FF">
      <w:pPr>
        <w:pStyle w:val="305"/>
        <w:numPr>
          <w:ilvl w:val="0"/>
          <w:numId w:val="58"/>
        </w:numPr>
        <w:rPr>
          <w:rFonts w:hint="eastAsia" w:hAnsi="宋体" w:cs="宋体"/>
        </w:rPr>
      </w:pPr>
      <w:r>
        <w:rPr>
          <w:rFonts w:hint="eastAsia" w:hAnsi="宋体" w:cs="宋体"/>
          <w:szCs w:val="27"/>
        </w:rPr>
        <w:t>吊臂应装有从操纵室可读出吊臂幅角或工作半径的指示计。</w:t>
      </w:r>
    </w:p>
    <w:p w14:paraId="462BCD49">
      <w:pPr>
        <w:pStyle w:val="327"/>
        <w:rPr>
          <w:rFonts w:hint="eastAsia" w:ascii="宋体" w:hAnsi="宋体" w:eastAsia="宋体" w:cs="宋体"/>
        </w:rPr>
      </w:pPr>
      <w:r>
        <w:rPr>
          <w:rFonts w:hint="eastAsia" w:ascii="宋体" w:hAnsi="宋体" w:eastAsia="宋体" w:cs="宋体"/>
        </w:rPr>
        <w:t>变幅机构应符合下列要求：</w:t>
      </w:r>
    </w:p>
    <w:p w14:paraId="7BDC94A1">
      <w:pPr>
        <w:pStyle w:val="305"/>
        <w:numPr>
          <w:ilvl w:val="0"/>
          <w:numId w:val="59"/>
        </w:numPr>
        <w:rPr>
          <w:rFonts w:hint="eastAsia" w:hAnsi="宋体" w:cs="宋体"/>
        </w:rPr>
      </w:pPr>
      <w:r>
        <w:rPr>
          <w:rFonts w:hint="eastAsia" w:hAnsi="宋体" w:cs="宋体"/>
          <w:szCs w:val="21"/>
        </w:rPr>
        <w:t>应能在设计的最小和最大吊臂角度范围内支承吊臂并承受110%的安全工作负荷；</w:t>
      </w:r>
    </w:p>
    <w:p w14:paraId="0F33231E">
      <w:pPr>
        <w:pStyle w:val="305"/>
        <w:numPr>
          <w:ilvl w:val="0"/>
          <w:numId w:val="59"/>
        </w:numPr>
        <w:rPr>
          <w:rFonts w:ascii="Times New Roman"/>
        </w:rPr>
      </w:pPr>
      <w:r>
        <w:rPr>
          <w:rFonts w:ascii="Times New Roman"/>
          <w:szCs w:val="21"/>
        </w:rPr>
        <w:t>应具有防止吊</w:t>
      </w:r>
      <w:r>
        <w:rPr>
          <w:rFonts w:ascii="Times New Roman"/>
          <w:szCs w:val="27"/>
        </w:rPr>
        <w:t>臂失控降落的性能。</w:t>
      </w:r>
    </w:p>
    <w:p w14:paraId="1963C5DA">
      <w:pPr>
        <w:pStyle w:val="327"/>
      </w:pPr>
      <w:r>
        <w:t>回转机构应符合下列要求：</w:t>
      </w:r>
    </w:p>
    <w:p w14:paraId="3DBEAA22">
      <w:pPr>
        <w:pStyle w:val="305"/>
        <w:numPr>
          <w:ilvl w:val="0"/>
          <w:numId w:val="60"/>
        </w:numPr>
        <w:rPr>
          <w:rFonts w:ascii="Times New Roman"/>
        </w:rPr>
      </w:pPr>
      <w:r>
        <w:rPr>
          <w:rFonts w:ascii="Times New Roman"/>
          <w:szCs w:val="21"/>
        </w:rPr>
        <w:t>应能进行双向制动；</w:t>
      </w:r>
    </w:p>
    <w:p w14:paraId="577D40B1">
      <w:pPr>
        <w:pStyle w:val="305"/>
        <w:numPr>
          <w:ilvl w:val="0"/>
          <w:numId w:val="60"/>
        </w:numPr>
        <w:rPr>
          <w:rFonts w:ascii="Times New Roman"/>
        </w:rPr>
      </w:pPr>
      <w:r>
        <w:rPr>
          <w:rFonts w:ascii="Times New Roman"/>
          <w:szCs w:val="21"/>
        </w:rPr>
        <w:t>在回转环装置发生机械事故的情况下，应具有防止上部构架与基座分离的性能。</w:t>
      </w:r>
    </w:p>
    <w:p w14:paraId="3170F040">
      <w:pPr>
        <w:pStyle w:val="261"/>
        <w:spacing w:before="156" w:after="156"/>
        <w:outlineLvl w:val="2"/>
        <w:rPr>
          <w:rFonts w:ascii="Times New Roman"/>
        </w:rPr>
      </w:pPr>
      <w:bookmarkStart w:id="198" w:name="_Toc4436"/>
      <w:bookmarkStart w:id="199" w:name="_Toc14957"/>
      <w:bookmarkStart w:id="200" w:name="_Toc16028"/>
      <w:bookmarkStart w:id="201" w:name="_Toc26647"/>
      <w:r>
        <w:rPr>
          <w:rFonts w:ascii="Times New Roman"/>
        </w:rPr>
        <w:t>安全装置</w:t>
      </w:r>
      <w:bookmarkEnd w:id="198"/>
      <w:bookmarkEnd w:id="199"/>
      <w:bookmarkEnd w:id="200"/>
      <w:bookmarkEnd w:id="201"/>
    </w:p>
    <w:p w14:paraId="221E4F72">
      <w:pPr>
        <w:pStyle w:val="327"/>
        <w:spacing w:before="156" w:beforeLines="50" w:after="156" w:afterLines="50"/>
        <w:outlineLvl w:val="4"/>
        <w:rPr>
          <w:rFonts w:hint="eastAsia" w:ascii="黑体" w:hAnsi="黑体" w:eastAsia="黑体" w:cs="黑体"/>
        </w:rPr>
      </w:pPr>
      <w:r>
        <w:rPr>
          <w:rFonts w:hint="eastAsia" w:ascii="黑体" w:hAnsi="黑体" w:eastAsia="黑体" w:cs="黑体"/>
        </w:rPr>
        <w:t>一般要求</w:t>
      </w:r>
    </w:p>
    <w:p w14:paraId="2FF8E274">
      <w:pPr>
        <w:pStyle w:val="521"/>
        <w:ind w:firstLine="420"/>
        <w:rPr>
          <w:rFonts w:ascii="Times New Roman"/>
          <w:szCs w:val="27"/>
        </w:rPr>
      </w:pPr>
      <w:r>
        <w:rPr>
          <w:rFonts w:ascii="Times New Roman"/>
          <w:szCs w:val="27"/>
        </w:rPr>
        <w:t>起重机应设置控制速度、转向和停止运转的设施</w:t>
      </w:r>
      <w:r>
        <w:rPr>
          <w:rFonts w:hint="eastAsia" w:ascii="Times New Roman"/>
          <w:szCs w:val="27"/>
        </w:rPr>
        <w:t>、</w:t>
      </w:r>
      <w:r>
        <w:rPr>
          <w:rFonts w:ascii="Times New Roman"/>
          <w:szCs w:val="27"/>
        </w:rPr>
        <w:t>动力故障报警及保护设施。</w:t>
      </w:r>
    </w:p>
    <w:p w14:paraId="7E12A660">
      <w:pPr>
        <w:pStyle w:val="327"/>
        <w:spacing w:before="156" w:beforeLines="50" w:after="156" w:afterLines="50"/>
        <w:outlineLvl w:val="4"/>
        <w:rPr>
          <w:rFonts w:hint="eastAsia" w:ascii="黑体" w:hAnsi="黑体" w:eastAsia="黑体" w:cs="黑体"/>
        </w:rPr>
      </w:pPr>
      <w:r>
        <w:rPr>
          <w:rFonts w:ascii="黑体" w:hAnsi="黑体" w:eastAsia="黑体" w:cs="黑体"/>
        </w:rPr>
        <w:t>限位器</w:t>
      </w:r>
    </w:p>
    <w:p w14:paraId="2419A930">
      <w:pPr>
        <w:pStyle w:val="305"/>
        <w:numPr>
          <w:ilvl w:val="0"/>
          <w:numId w:val="61"/>
        </w:numPr>
      </w:pPr>
      <w:r>
        <w:t>起重机应设有：起升高度限位器，最大、最小臂幅限位器和回转角度限位器（仅适用于回转受限制的起重机）。限位器动作后</w:t>
      </w:r>
      <w:r>
        <w:rPr>
          <w:rFonts w:hint="eastAsia"/>
        </w:rPr>
        <w:t>，</w:t>
      </w:r>
      <w:r>
        <w:t>应报警和切断运转动力，并应将起重机和负荷保持在限位器动作前的位置上。</w:t>
      </w:r>
    </w:p>
    <w:p w14:paraId="36C12384">
      <w:pPr>
        <w:pStyle w:val="305"/>
        <w:numPr>
          <w:ilvl w:val="0"/>
          <w:numId w:val="61"/>
        </w:numPr>
      </w:pPr>
      <w:r>
        <w:t>起重机可设置使限位器停止动作的越控开关，此开关应有适当保护，以防发生误动作。若需使用越控开关时</w:t>
      </w:r>
      <w:r>
        <w:rPr>
          <w:rFonts w:hint="eastAsia"/>
        </w:rPr>
        <w:t>，</w:t>
      </w:r>
      <w:r>
        <w:t>必须严格遵照操作手册中使用越控开关的规定。</w:t>
      </w:r>
    </w:p>
    <w:p w14:paraId="585F7603">
      <w:pPr>
        <w:pStyle w:val="327"/>
        <w:spacing w:before="156" w:beforeLines="50" w:after="156" w:afterLines="50"/>
        <w:outlineLvl w:val="4"/>
        <w:rPr>
          <w:rFonts w:hint="eastAsia" w:ascii="黑体" w:hAnsi="黑体" w:eastAsia="黑体" w:cs="黑体"/>
        </w:rPr>
      </w:pPr>
      <w:r>
        <w:rPr>
          <w:rFonts w:ascii="黑体" w:hAnsi="黑体" w:eastAsia="黑体" w:cs="黑体"/>
        </w:rPr>
        <w:t>超负荷保护</w:t>
      </w:r>
    </w:p>
    <w:p w14:paraId="09918D78">
      <w:pPr>
        <w:widowControl/>
        <w:ind w:firstLine="420" w:firstLineChars="200"/>
        <w:jc w:val="left"/>
        <w:rPr>
          <w:rFonts w:hint="eastAsia" w:ascii="宋体" w:hAnsi="宋体" w:cs="宋体"/>
          <w:kern w:val="0"/>
          <w:szCs w:val="21"/>
        </w:rPr>
      </w:pPr>
      <w:r>
        <w:rPr>
          <w:rFonts w:ascii="宋体" w:hAnsi="宋体" w:cs="宋体"/>
          <w:kern w:val="0"/>
          <w:szCs w:val="21"/>
        </w:rPr>
        <w:t>起重机应设有超负荷保护，超负荷保护应调整在不超过100%安全工作负荷时动作。</w:t>
      </w:r>
    </w:p>
    <w:p w14:paraId="2B8563E4">
      <w:pPr>
        <w:pStyle w:val="327"/>
        <w:spacing w:before="156" w:beforeLines="50" w:after="156" w:afterLines="50"/>
        <w:outlineLvl w:val="4"/>
        <w:rPr>
          <w:rFonts w:hint="eastAsia" w:ascii="黑体" w:hAnsi="黑体" w:eastAsia="黑体" w:cs="黑体"/>
        </w:rPr>
      </w:pPr>
      <w:r>
        <w:rPr>
          <w:rFonts w:ascii="黑体" w:hAnsi="黑体" w:eastAsia="黑体" w:cs="黑体"/>
        </w:rPr>
        <w:t>臂幅指示器</w:t>
      </w:r>
    </w:p>
    <w:p w14:paraId="76AF14C1">
      <w:pPr>
        <w:widowControl/>
        <w:ind w:firstLine="420" w:firstLineChars="200"/>
        <w:jc w:val="left"/>
        <w:rPr>
          <w:rFonts w:hint="eastAsia" w:ascii="宋体" w:hAnsi="宋体" w:cs="宋体"/>
          <w:kern w:val="0"/>
          <w:szCs w:val="21"/>
        </w:rPr>
      </w:pPr>
      <w:r>
        <w:rPr>
          <w:rFonts w:ascii="宋体" w:hAnsi="宋体" w:cs="宋体"/>
          <w:kern w:val="0"/>
          <w:szCs w:val="21"/>
        </w:rPr>
        <w:t>具有不同安全工作负荷相应于不同臂幅的起重机，应设有能自动显示在给定臂幅上的最大安全工作负荷的指示器，并在实际负荷达到安全工作负荷的9</w:t>
      </w:r>
      <w:r>
        <w:rPr>
          <w:rFonts w:hint="eastAsia" w:ascii="宋体" w:hAnsi="宋体" w:cs="宋体"/>
          <w:kern w:val="0"/>
          <w:szCs w:val="21"/>
        </w:rPr>
        <w:t>5</w:t>
      </w:r>
      <w:r>
        <w:rPr>
          <w:rFonts w:ascii="宋体" w:hAnsi="宋体" w:cs="宋体"/>
          <w:kern w:val="0"/>
          <w:szCs w:val="21"/>
        </w:rPr>
        <w:t>%时应发出声、光报警，到安全工作负荷的1</w:t>
      </w:r>
      <w:r>
        <w:rPr>
          <w:rFonts w:hint="eastAsia" w:ascii="宋体" w:hAnsi="宋体" w:cs="宋体"/>
          <w:kern w:val="0"/>
          <w:szCs w:val="21"/>
        </w:rPr>
        <w:t>1</w:t>
      </w:r>
      <w:r>
        <w:rPr>
          <w:rFonts w:ascii="宋体" w:hAnsi="宋体" w:cs="宋体"/>
          <w:kern w:val="0"/>
          <w:szCs w:val="21"/>
        </w:rPr>
        <w:t>0%时自动切断运转。</w:t>
      </w:r>
    </w:p>
    <w:p w14:paraId="550B4019">
      <w:pPr>
        <w:pStyle w:val="327"/>
        <w:spacing w:before="156" w:beforeLines="50" w:after="156" w:afterLines="50"/>
        <w:outlineLvl w:val="4"/>
        <w:rPr>
          <w:rFonts w:hint="eastAsia" w:ascii="黑体" w:hAnsi="黑体" w:eastAsia="黑体" w:cs="黑体"/>
        </w:rPr>
      </w:pPr>
      <w:r>
        <w:rPr>
          <w:rFonts w:hint="eastAsia" w:ascii="黑体" w:hAnsi="黑体" w:eastAsia="黑体" w:cs="黑体"/>
        </w:rPr>
        <w:t>应急停止开关</w:t>
      </w:r>
    </w:p>
    <w:p w14:paraId="1EE9E46E">
      <w:pPr>
        <w:ind w:firstLine="420"/>
        <w:rPr>
          <w:rFonts w:hint="eastAsia" w:ascii="宋体" w:hAnsi="宋体" w:cs="宋体"/>
          <w:kern w:val="0"/>
          <w:szCs w:val="21"/>
        </w:rPr>
      </w:pPr>
      <w:r>
        <w:rPr>
          <w:rFonts w:ascii="宋体" w:hAnsi="宋体" w:cs="宋体"/>
          <w:kern w:val="0"/>
          <w:szCs w:val="21"/>
        </w:rPr>
        <w:t>在起重机司机座位附近</w:t>
      </w:r>
      <w:r>
        <w:rPr>
          <w:rFonts w:hint="eastAsia" w:ascii="宋体" w:hAnsi="宋体" w:cs="宋体"/>
          <w:kern w:val="0"/>
          <w:szCs w:val="21"/>
        </w:rPr>
        <w:t>，</w:t>
      </w:r>
      <w:r>
        <w:rPr>
          <w:rFonts w:ascii="宋体" w:hAnsi="宋体" w:cs="宋体"/>
          <w:kern w:val="0"/>
          <w:szCs w:val="21"/>
        </w:rPr>
        <w:t>应安装一个应急停止开关。当该开关动作时</w:t>
      </w:r>
      <w:r>
        <w:rPr>
          <w:rFonts w:hint="eastAsia" w:ascii="宋体" w:hAnsi="宋体" w:cs="宋体"/>
          <w:kern w:val="0"/>
          <w:szCs w:val="21"/>
        </w:rPr>
        <w:t>，</w:t>
      </w:r>
      <w:r>
        <w:rPr>
          <w:rFonts w:ascii="宋体" w:hAnsi="宋体" w:cs="宋体"/>
          <w:kern w:val="0"/>
          <w:szCs w:val="21"/>
        </w:rPr>
        <w:t>能使所有制动装置立即动作。应急停止开关应涂以红色</w:t>
      </w:r>
      <w:r>
        <w:rPr>
          <w:rFonts w:hint="eastAsia" w:ascii="宋体" w:hAnsi="宋体" w:cs="宋体"/>
          <w:kern w:val="0"/>
          <w:szCs w:val="21"/>
        </w:rPr>
        <w:t>，</w:t>
      </w:r>
      <w:r>
        <w:rPr>
          <w:rFonts w:ascii="宋体" w:hAnsi="宋体" w:cs="宋体"/>
          <w:kern w:val="0"/>
          <w:szCs w:val="21"/>
        </w:rPr>
        <w:t>并应有标明开关位置的标记和防止误操作的保护。</w:t>
      </w:r>
      <w:r>
        <w:rPr>
          <w:rFonts w:ascii="宋体" w:hAnsi="宋体" w:cs="宋体"/>
          <w:kern w:val="0"/>
          <w:szCs w:val="21"/>
        </w:rPr>
        <w:br w:type="textWrapping"/>
      </w:r>
      <w:r>
        <w:rPr>
          <w:rFonts w:ascii="宋体" w:hAnsi="宋体" w:cs="宋体"/>
          <w:kern w:val="0"/>
          <w:szCs w:val="21"/>
        </w:rPr>
        <w:t xml:space="preserve">    由电动机驱动的起重机上</w:t>
      </w:r>
      <w:r>
        <w:rPr>
          <w:rFonts w:hint="eastAsia" w:ascii="宋体" w:hAnsi="宋体" w:cs="宋体"/>
          <w:kern w:val="0"/>
          <w:szCs w:val="21"/>
        </w:rPr>
        <w:t>，</w:t>
      </w:r>
      <w:r>
        <w:rPr>
          <w:rFonts w:ascii="宋体" w:hAnsi="宋体" w:cs="宋体"/>
          <w:kern w:val="0"/>
          <w:szCs w:val="21"/>
        </w:rPr>
        <w:t>该开关动作时应能切断主电源。当主电源恢复供电后</w:t>
      </w:r>
      <w:r>
        <w:rPr>
          <w:rFonts w:hint="eastAsia" w:ascii="宋体" w:hAnsi="宋体" w:cs="宋体"/>
          <w:kern w:val="0"/>
          <w:szCs w:val="21"/>
        </w:rPr>
        <w:t>，</w:t>
      </w:r>
      <w:r>
        <w:rPr>
          <w:rFonts w:ascii="宋体" w:hAnsi="宋体" w:cs="宋体"/>
          <w:kern w:val="0"/>
          <w:szCs w:val="21"/>
        </w:rPr>
        <w:t>应确保在操纵杆没回到空档位置之前</w:t>
      </w:r>
      <w:r>
        <w:rPr>
          <w:rFonts w:hint="eastAsia" w:ascii="宋体" w:hAnsi="宋体" w:cs="宋体"/>
          <w:kern w:val="0"/>
          <w:szCs w:val="21"/>
        </w:rPr>
        <w:t>，</w:t>
      </w:r>
      <w:r>
        <w:rPr>
          <w:rFonts w:ascii="宋体" w:hAnsi="宋体" w:cs="宋体"/>
          <w:kern w:val="0"/>
          <w:szCs w:val="21"/>
        </w:rPr>
        <w:t>电动机不能自动起动。</w:t>
      </w:r>
    </w:p>
    <w:p w14:paraId="6748971E">
      <w:pPr>
        <w:pStyle w:val="327"/>
        <w:spacing w:before="156" w:beforeLines="50" w:after="156" w:afterLines="50"/>
        <w:outlineLvl w:val="4"/>
        <w:rPr>
          <w:rFonts w:hint="eastAsia" w:ascii="黑体" w:hAnsi="黑体" w:eastAsia="黑体" w:cs="黑体"/>
        </w:rPr>
      </w:pPr>
      <w:r>
        <w:rPr>
          <w:rFonts w:hint="eastAsia" w:ascii="黑体" w:hAnsi="黑体" w:eastAsia="黑体" w:cs="黑体"/>
        </w:rPr>
        <w:t>警告信号</w:t>
      </w:r>
    </w:p>
    <w:p w14:paraId="7D7FC8CD">
      <w:r>
        <w:t xml:space="preserve">    起重机应设有一个手动音响警告信号</w:t>
      </w:r>
      <w:r>
        <w:rPr>
          <w:rFonts w:hint="eastAsia"/>
        </w:rPr>
        <w:t>，</w:t>
      </w:r>
      <w:r>
        <w:t>该信号应区别于平台上所使用的其它信号。</w:t>
      </w:r>
    </w:p>
    <w:p w14:paraId="1B18AF37">
      <w:pPr>
        <w:pStyle w:val="327"/>
        <w:spacing w:before="156" w:beforeLines="50" w:after="156" w:afterLines="50"/>
        <w:outlineLvl w:val="4"/>
        <w:rPr>
          <w:rFonts w:hint="eastAsia" w:ascii="黑体" w:hAnsi="黑体" w:eastAsia="黑体" w:cs="黑体"/>
        </w:rPr>
      </w:pPr>
      <w:r>
        <w:rPr>
          <w:rFonts w:hint="eastAsia" w:ascii="黑体" w:hAnsi="黑体" w:eastAsia="黑体" w:cs="黑体"/>
        </w:rPr>
        <w:t>障碍灯</w:t>
      </w:r>
    </w:p>
    <w:p w14:paraId="6F67A203">
      <w:pPr>
        <w:ind w:firstLine="420"/>
      </w:pPr>
      <w:r>
        <w:t>在起重机吊臂顶端、旋转台顶端或当起重机处于存放位置时的最高处所应安装障碍灯。</w:t>
      </w:r>
    </w:p>
    <w:p w14:paraId="552E352A">
      <w:pPr>
        <w:pStyle w:val="327"/>
        <w:spacing w:before="156" w:beforeLines="50" w:after="156" w:afterLines="50"/>
        <w:outlineLvl w:val="4"/>
        <w:rPr>
          <w:rFonts w:hint="eastAsia" w:ascii="黑体" w:hAnsi="黑体" w:eastAsia="黑体" w:cs="黑体"/>
        </w:rPr>
      </w:pPr>
      <w:r>
        <w:rPr>
          <w:rFonts w:hint="eastAsia" w:ascii="黑体" w:hAnsi="黑体" w:eastAsia="黑体" w:cs="黑体"/>
        </w:rPr>
        <w:t>电动机</w:t>
      </w:r>
    </w:p>
    <w:p w14:paraId="37BD3E71">
      <w:pPr>
        <w:ind w:firstLine="420"/>
      </w:pPr>
      <w:r>
        <w:t>驱动起重机运转的电动机</w:t>
      </w:r>
      <w:r>
        <w:rPr>
          <w:rFonts w:hint="eastAsia"/>
        </w:rPr>
        <w:t>，</w:t>
      </w:r>
      <w:r>
        <w:t>应设有短路保护、欠电压保护和过载保护。</w:t>
      </w:r>
    </w:p>
    <w:p w14:paraId="2694B418">
      <w:pPr>
        <w:pStyle w:val="327"/>
        <w:spacing w:before="156" w:beforeLines="50" w:after="156" w:afterLines="50"/>
        <w:outlineLvl w:val="4"/>
        <w:rPr>
          <w:rFonts w:hint="eastAsia" w:ascii="黑体" w:hAnsi="黑体" w:eastAsia="黑体" w:cs="黑体"/>
        </w:rPr>
      </w:pPr>
      <w:r>
        <w:rPr>
          <w:rFonts w:hint="eastAsia" w:ascii="黑体" w:hAnsi="黑体" w:eastAsia="黑体" w:cs="黑体"/>
        </w:rPr>
        <w:t>柴油机</w:t>
      </w:r>
    </w:p>
    <w:p w14:paraId="5C1439BF">
      <w:r>
        <w:t xml:space="preserve">    驱动起重机运转的柴油机，其安全技术措施应符合</w:t>
      </w:r>
      <w:r>
        <w:rPr>
          <w:rFonts w:hint="eastAsia" w:ascii="宋体" w:hAnsi="宋体" w:cs="宋体"/>
        </w:rPr>
        <w:t>12.2</w:t>
      </w:r>
      <w:r>
        <w:t>有关规定。</w:t>
      </w:r>
    </w:p>
    <w:p w14:paraId="4F044719">
      <w:pPr>
        <w:pStyle w:val="305"/>
        <w:numPr>
          <w:ilvl w:val="0"/>
          <w:numId w:val="62"/>
        </w:numPr>
      </w:pPr>
      <w:r>
        <w:t>发动机废气管应排到发动机防护罩外</w:t>
      </w:r>
      <w:r>
        <w:rPr>
          <w:rFonts w:hint="eastAsia"/>
        </w:rPr>
        <w:t>，</w:t>
      </w:r>
      <w:r>
        <w:t>并向远离操作者方向排出</w:t>
      </w:r>
      <w:r>
        <w:rPr>
          <w:rFonts w:hint="eastAsia"/>
        </w:rPr>
        <w:t>；</w:t>
      </w:r>
    </w:p>
    <w:p w14:paraId="65602F62">
      <w:pPr>
        <w:pStyle w:val="305"/>
        <w:numPr>
          <w:ilvl w:val="0"/>
          <w:numId w:val="62"/>
        </w:numPr>
      </w:pPr>
      <w:r>
        <w:t>所有排气装置在正常运行中与人员可能接触的地方应装防护罩</w:t>
      </w:r>
      <w:r>
        <w:rPr>
          <w:rFonts w:hint="eastAsia"/>
        </w:rPr>
        <w:t>；</w:t>
      </w:r>
    </w:p>
    <w:p w14:paraId="5AEBC3AA">
      <w:pPr>
        <w:pStyle w:val="305"/>
        <w:numPr>
          <w:ilvl w:val="0"/>
          <w:numId w:val="62"/>
        </w:numPr>
      </w:pPr>
      <w:r>
        <w:t>柴油罐应装有加油口盖</w:t>
      </w:r>
      <w:r>
        <w:rPr>
          <w:rFonts w:hint="eastAsia"/>
        </w:rPr>
        <w:t>，</w:t>
      </w:r>
      <w:r>
        <w:t>防止柴油受外部的污染</w:t>
      </w:r>
      <w:r>
        <w:rPr>
          <w:rFonts w:hint="eastAsia"/>
        </w:rPr>
        <w:t>；</w:t>
      </w:r>
    </w:p>
    <w:p w14:paraId="018C9229">
      <w:pPr>
        <w:pStyle w:val="305"/>
        <w:numPr>
          <w:ilvl w:val="0"/>
          <w:numId w:val="62"/>
        </w:numPr>
      </w:pPr>
      <w:r>
        <w:t>柴油罐应装有排污口。</w:t>
      </w:r>
    </w:p>
    <w:p w14:paraId="3B2A2694">
      <w:pPr>
        <w:pStyle w:val="327"/>
        <w:spacing w:before="156" w:beforeLines="50" w:after="156" w:afterLines="50"/>
        <w:outlineLvl w:val="4"/>
        <w:rPr>
          <w:rFonts w:hint="eastAsia" w:ascii="黑体" w:hAnsi="黑体" w:eastAsia="黑体" w:cs="黑体"/>
        </w:rPr>
      </w:pPr>
      <w:r>
        <w:rPr>
          <w:rFonts w:hint="eastAsia" w:ascii="黑体" w:hAnsi="黑体" w:eastAsia="黑体" w:cs="黑体"/>
        </w:rPr>
        <w:t>吊钩</w:t>
      </w:r>
    </w:p>
    <w:p w14:paraId="4C32E947">
      <w:pPr>
        <w:ind w:firstLine="420" w:firstLineChars="200"/>
      </w:pPr>
      <w:r>
        <w:t>吊钩上必须设有防止吊重意外脱钩的保护装置。</w:t>
      </w:r>
    </w:p>
    <w:p w14:paraId="61C79EC2">
      <w:pPr>
        <w:pStyle w:val="327"/>
        <w:spacing w:before="156" w:beforeLines="50" w:after="156" w:afterLines="50"/>
        <w:outlineLvl w:val="4"/>
        <w:rPr>
          <w:rFonts w:hint="eastAsia" w:ascii="黑体" w:hAnsi="黑体" w:eastAsia="黑体" w:cs="黑体"/>
        </w:rPr>
      </w:pPr>
      <w:r>
        <w:rPr>
          <w:rFonts w:ascii="黑体" w:hAnsi="黑体" w:eastAsia="黑体" w:cs="黑体"/>
        </w:rPr>
        <w:t>起重机消防器具</w:t>
      </w:r>
    </w:p>
    <w:p w14:paraId="165DF464">
      <w:pPr>
        <w:ind w:firstLine="420" w:firstLineChars="200"/>
      </w:pPr>
      <w:r>
        <w:t>起重机消防器具的配置应符合本</w:t>
      </w:r>
      <w:r>
        <w:rPr>
          <w:rFonts w:hint="eastAsia"/>
        </w:rPr>
        <w:t>文件</w:t>
      </w:r>
      <w:r>
        <w:rPr>
          <w:rFonts w:hint="eastAsia" w:ascii="宋体" w:hAnsi="宋体" w:eastAsia="宋体" w:cs="宋体"/>
        </w:rPr>
        <w:t>18.8</w:t>
      </w:r>
      <w:r>
        <w:t>的有关规定。</w:t>
      </w:r>
    </w:p>
    <w:p w14:paraId="01CB9043">
      <w:pPr>
        <w:pStyle w:val="327"/>
        <w:spacing w:before="156" w:beforeLines="50" w:after="156" w:afterLines="50"/>
        <w:outlineLvl w:val="4"/>
        <w:rPr>
          <w:rFonts w:hint="eastAsia" w:ascii="黑体" w:hAnsi="黑体" w:eastAsia="黑体" w:cs="黑体"/>
        </w:rPr>
      </w:pPr>
      <w:r>
        <w:rPr>
          <w:rFonts w:hint="eastAsia" w:ascii="黑体" w:hAnsi="黑体" w:eastAsia="黑体" w:cs="黑体"/>
        </w:rPr>
        <w:t>人员吊运</w:t>
      </w:r>
    </w:p>
    <w:p w14:paraId="2729946F">
      <w:pPr>
        <w:pStyle w:val="305"/>
        <w:numPr>
          <w:ilvl w:val="0"/>
          <w:numId w:val="63"/>
        </w:numPr>
      </w:pPr>
      <w:r>
        <w:t>运送人员上下平台用的吊篮</w:t>
      </w:r>
      <w:r>
        <w:rPr>
          <w:rFonts w:hint="eastAsia"/>
        </w:rPr>
        <w:t>，</w:t>
      </w:r>
      <w:r>
        <w:t>应确保有足够的强度和浮力。其结构应为柔性缆索型</w:t>
      </w:r>
      <w:r>
        <w:rPr>
          <w:rFonts w:hint="eastAsia"/>
        </w:rPr>
        <w:t>，</w:t>
      </w:r>
      <w:r>
        <w:t>并应具有鲜明易辨的颜色</w:t>
      </w:r>
      <w:r>
        <w:rPr>
          <w:rFonts w:hint="eastAsia"/>
        </w:rPr>
        <w:t>；</w:t>
      </w:r>
    </w:p>
    <w:p w14:paraId="52B1EE66">
      <w:pPr>
        <w:pStyle w:val="305"/>
        <w:numPr>
          <w:ilvl w:val="0"/>
          <w:numId w:val="63"/>
        </w:numPr>
      </w:pPr>
      <w:r>
        <w:t>登乘吊篮的人员不得超过规定人数</w:t>
      </w:r>
      <w:r>
        <w:rPr>
          <w:rFonts w:hint="eastAsia"/>
        </w:rPr>
        <w:t>，</w:t>
      </w:r>
      <w:r>
        <w:t>登乘时必须遵守有关安全规定，并穿救生衣</w:t>
      </w:r>
      <w:r>
        <w:rPr>
          <w:rFonts w:hint="eastAsia"/>
        </w:rPr>
        <w:t>；</w:t>
      </w:r>
    </w:p>
    <w:p w14:paraId="06D87C5E">
      <w:pPr>
        <w:pStyle w:val="305"/>
        <w:numPr>
          <w:ilvl w:val="0"/>
          <w:numId w:val="63"/>
        </w:numPr>
      </w:pPr>
      <w:r>
        <w:t>吊运人员用的起重机可参照本章的要求设计，且具有安全启停、运行监控、报警、指示、应急照明等安保装置。</w:t>
      </w:r>
    </w:p>
    <w:p w14:paraId="6C5CA8DF">
      <w:pPr>
        <w:pStyle w:val="259"/>
        <w:outlineLvl w:val="0"/>
        <w:rPr>
          <w:rFonts w:ascii="Times New Roman"/>
        </w:rPr>
      </w:pPr>
      <w:bookmarkStart w:id="202" w:name="_Toc27782"/>
      <w:r>
        <w:rPr>
          <w:rFonts w:ascii="Times New Roman"/>
        </w:rPr>
        <w:t>暖通</w:t>
      </w:r>
      <w:bookmarkEnd w:id="202"/>
    </w:p>
    <w:p w14:paraId="2BC721F6">
      <w:pPr>
        <w:pStyle w:val="260"/>
        <w:outlineLvl w:val="1"/>
        <w:rPr>
          <w:rFonts w:ascii="Times New Roman"/>
        </w:rPr>
      </w:pPr>
      <w:bookmarkStart w:id="203" w:name="_Toc25032"/>
      <w:bookmarkStart w:id="204" w:name="_Toc27290"/>
      <w:r>
        <w:rPr>
          <w:rFonts w:ascii="Times New Roman"/>
        </w:rPr>
        <w:t>一般规定</w:t>
      </w:r>
      <w:bookmarkEnd w:id="203"/>
      <w:bookmarkEnd w:id="204"/>
    </w:p>
    <w:p w14:paraId="567C3B00">
      <w:pPr>
        <w:pStyle w:val="326"/>
      </w:pPr>
      <w:r>
        <w:rPr>
          <w:rFonts w:hint="eastAsia"/>
        </w:rPr>
        <w:t>本章的规定</w:t>
      </w:r>
      <w:r>
        <w:t>适用于</w:t>
      </w:r>
      <w:r>
        <w:rPr>
          <w:rFonts w:hint="eastAsia"/>
        </w:rPr>
        <w:t>海洋石油固定平台</w:t>
      </w:r>
      <w:r>
        <w:t>采暖、通风和空气调节</w:t>
      </w:r>
      <w:r>
        <w:rPr>
          <w:rFonts w:hint="eastAsia"/>
        </w:rPr>
        <w:t>系统，</w:t>
      </w:r>
      <w:r>
        <w:t>应能保障人员安全</w:t>
      </w:r>
      <w:r>
        <w:rPr>
          <w:rFonts w:hint="eastAsia"/>
        </w:rPr>
        <w:t>及</w:t>
      </w:r>
      <w:r>
        <w:t>生产正常运行</w:t>
      </w:r>
      <w:r>
        <w:rPr>
          <w:rFonts w:hint="eastAsia"/>
        </w:rPr>
        <w:t>。</w:t>
      </w:r>
    </w:p>
    <w:p w14:paraId="298199D3">
      <w:pPr>
        <w:pStyle w:val="326"/>
      </w:pPr>
      <w:r>
        <w:t>封闭机器区域应有足够的通风，所有存在积聚有害物质或爆炸火灾危险物质的区域均应设置安全、有效的通风。</w:t>
      </w:r>
    </w:p>
    <w:p w14:paraId="641E876B">
      <w:pPr>
        <w:pStyle w:val="326"/>
      </w:pPr>
      <w:r>
        <w:t>通风系统的进风口应位于非危险区。若其进气管线通过一个危险程度更大的区域，其管线内压力应高于该区域</w:t>
      </w:r>
      <w:r>
        <w:rPr>
          <w:rFonts w:hint="eastAsia"/>
        </w:rPr>
        <w:t>压力</w:t>
      </w:r>
      <w:r>
        <w:t>。</w:t>
      </w:r>
    </w:p>
    <w:p w14:paraId="3EDFFA65">
      <w:pPr>
        <w:pStyle w:val="326"/>
      </w:pPr>
      <w:r>
        <w:t>通风系统的排出管</w:t>
      </w:r>
      <w:r>
        <w:rPr>
          <w:rFonts w:hint="eastAsia"/>
        </w:rPr>
        <w:t>线</w:t>
      </w:r>
      <w:r>
        <w:t>应位于危险程度等于或小于该通风区域的露天区域，并应通向开敞空间，防止排出的污浊空气被本系统或其它系统所吸入。</w:t>
      </w:r>
    </w:p>
    <w:p w14:paraId="27819980">
      <w:pPr>
        <w:pStyle w:val="326"/>
      </w:pPr>
      <w:r>
        <w:t>危险区和非危险区的通风系统应彼此独立。</w:t>
      </w:r>
    </w:p>
    <w:p w14:paraId="356FEEC8">
      <w:pPr>
        <w:pStyle w:val="326"/>
      </w:pPr>
      <w:r>
        <w:t>当封闭区域内产生有害物质或爆炸火灾危险物质能造成相邻房间或区域的污染时，该封闭区域应保持负压</w:t>
      </w:r>
      <w:r>
        <w:rPr>
          <w:rFonts w:hint="eastAsia"/>
        </w:rPr>
        <w:t>；</w:t>
      </w:r>
      <w:r>
        <w:t>当</w:t>
      </w:r>
      <w:r>
        <w:rPr>
          <w:rFonts w:hint="eastAsia"/>
        </w:rPr>
        <w:t>封闭区域</w:t>
      </w:r>
      <w:r>
        <w:t>有人员常驻或对空气有清洁要求时，该封闭区域应保持正压；</w:t>
      </w:r>
      <w:r>
        <w:rPr>
          <w:rFonts w:hint="eastAsia"/>
        </w:rPr>
        <w:t>以</w:t>
      </w:r>
      <w:r>
        <w:t>确保气流组织由非危险区流向危险区，由危险等级低的区域流向危险等级高的区域。</w:t>
      </w:r>
    </w:p>
    <w:p w14:paraId="266D22F9">
      <w:pPr>
        <w:pStyle w:val="326"/>
      </w:pPr>
      <w:r>
        <w:t>所有的通风机应在其处所外易于到达的非危险处所设有应急关断设施；所有通风系统的主要进气口和排气口应能在通风区域的外边进行关闭；所有防火风闸应能在该通风处所的内外部进行关闭。</w:t>
      </w:r>
    </w:p>
    <w:p w14:paraId="5AA2821E">
      <w:pPr>
        <w:pStyle w:val="326"/>
      </w:pPr>
      <w:r>
        <w:t>在释放气体灭火剂之前，</w:t>
      </w:r>
      <w:r>
        <w:rPr>
          <w:rFonts w:hint="eastAsia"/>
        </w:rPr>
        <w:t>应确保</w:t>
      </w:r>
      <w:r>
        <w:t>被保护区域的所有通风机自动停止</w:t>
      </w:r>
      <w:r>
        <w:rPr>
          <w:rFonts w:hint="eastAsia"/>
        </w:rPr>
        <w:t>，</w:t>
      </w:r>
      <w:r>
        <w:t>防火风闸自动关闭。</w:t>
      </w:r>
    </w:p>
    <w:p w14:paraId="5B18556D">
      <w:pPr>
        <w:pStyle w:val="326"/>
      </w:pPr>
      <w:r>
        <w:rPr>
          <w:rFonts w:hint="eastAsia"/>
        </w:rPr>
        <w:t>暖通空调系统</w:t>
      </w:r>
      <w:r>
        <w:t>电加热器控制回路中应具备下列安全措施：</w:t>
      </w:r>
    </w:p>
    <w:p w14:paraId="45BA58B2">
      <w:pPr>
        <w:pStyle w:val="305"/>
        <w:numPr>
          <w:ilvl w:val="0"/>
          <w:numId w:val="64"/>
        </w:numPr>
      </w:pPr>
      <w:r>
        <w:t>应与风机连锁，即风机不开时电加热器不开，电加热器关闭后，风机才能关闭（风机延迟关闭）；</w:t>
      </w:r>
    </w:p>
    <w:p w14:paraId="4FCC78FA">
      <w:pPr>
        <w:pStyle w:val="305"/>
        <w:numPr>
          <w:ilvl w:val="0"/>
          <w:numId w:val="64"/>
        </w:numPr>
      </w:pPr>
      <w:r>
        <w:t>应装有风量开关，即无风时电加热器不开；</w:t>
      </w:r>
    </w:p>
    <w:p w14:paraId="60879B76">
      <w:pPr>
        <w:pStyle w:val="305"/>
        <w:numPr>
          <w:ilvl w:val="0"/>
          <w:numId w:val="64"/>
        </w:numPr>
      </w:pPr>
      <w:r>
        <w:t>应设有超温开关，即温度超过设定值时切断加热器电源。</w:t>
      </w:r>
    </w:p>
    <w:p w14:paraId="5798D338">
      <w:pPr>
        <w:pStyle w:val="326"/>
      </w:pPr>
      <w:r>
        <w:t>通风管道及防火风闸的规定应符合本</w:t>
      </w:r>
      <w:r>
        <w:rPr>
          <w:rFonts w:hint="eastAsia"/>
        </w:rPr>
        <w:t>文件</w:t>
      </w:r>
      <w:r>
        <w:t xml:space="preserve">的适用规定。 </w:t>
      </w:r>
    </w:p>
    <w:p w14:paraId="03DDB4F9">
      <w:pPr>
        <w:pStyle w:val="260"/>
        <w:outlineLvl w:val="1"/>
        <w:rPr>
          <w:rFonts w:ascii="Times New Roman"/>
        </w:rPr>
      </w:pPr>
      <w:bookmarkStart w:id="205" w:name="_Toc7420"/>
      <w:bookmarkStart w:id="206" w:name="_Toc19899"/>
      <w:r>
        <w:rPr>
          <w:rFonts w:ascii="Times New Roman"/>
        </w:rPr>
        <w:t>危险区通风要求</w:t>
      </w:r>
      <w:bookmarkEnd w:id="205"/>
      <w:bookmarkEnd w:id="206"/>
    </w:p>
    <w:p w14:paraId="5E4272A7">
      <w:pPr>
        <w:pStyle w:val="326"/>
      </w:pPr>
      <w:r>
        <w:t xml:space="preserve">危险区设置的通风设备必须满足该类危险区防爆等级的要求。 </w:t>
      </w:r>
    </w:p>
    <w:p w14:paraId="6873530A">
      <w:pPr>
        <w:pStyle w:val="326"/>
      </w:pPr>
      <w:r>
        <w:t>封闭的危险区的气压应低于与之相邻但危险程度较小的区域的气压；封闭的非危险区的气压应高于相邻的危险区域的气压。</w:t>
      </w:r>
    </w:p>
    <w:p w14:paraId="5CCB480B">
      <w:pPr>
        <w:pStyle w:val="326"/>
      </w:pPr>
      <w:r>
        <w:t>封闭的危险区应设置有效的通风设备，以使其可燃气体浓度降至安全范围之内。对于1类、2类危险区的处所，</w:t>
      </w:r>
      <w:r>
        <w:rPr>
          <w:rFonts w:hint="eastAsia"/>
        </w:rPr>
        <w:t>其</w:t>
      </w:r>
      <w:r>
        <w:t>换气次数应分别大于每小时更换空气20次、12次。</w:t>
      </w:r>
    </w:p>
    <w:p w14:paraId="702EE42F">
      <w:pPr>
        <w:pStyle w:val="326"/>
      </w:pPr>
      <w:r>
        <w:t>可能积聚毒性气体、使人窒息气体的区域，人员进入这些处所前，应进行有效的排风，</w:t>
      </w:r>
      <w:r>
        <w:rPr>
          <w:rFonts w:hint="eastAsia"/>
        </w:rPr>
        <w:t>其</w:t>
      </w:r>
      <w:r>
        <w:t>换气次数应大于每小时更换空气12次。</w:t>
      </w:r>
    </w:p>
    <w:p w14:paraId="2EFB002C">
      <w:pPr>
        <w:pStyle w:val="326"/>
      </w:pPr>
      <w:r>
        <w:t>通风管线的设计和布置应避免不同程度危险区之间和危险区与非危险区之间的直接相通。如果通风管道通过一个危险程度较高的区域，管</w:t>
      </w:r>
      <w:r>
        <w:rPr>
          <w:rFonts w:hint="eastAsia"/>
        </w:rPr>
        <w:t>道</w:t>
      </w:r>
      <w:r>
        <w:t>内压力应高于该区域</w:t>
      </w:r>
      <w:r>
        <w:rPr>
          <w:rFonts w:hint="eastAsia"/>
        </w:rPr>
        <w:t>压力</w:t>
      </w:r>
      <w:r>
        <w:t>。如果通风管道通过一个危险程度较低的区域，通风管道应具有相对于这一区域较低的压力。</w:t>
      </w:r>
    </w:p>
    <w:p w14:paraId="23006A4D">
      <w:pPr>
        <w:pStyle w:val="326"/>
      </w:pPr>
      <w:r>
        <w:t>危险区的通风机应有100%的备用，且在运行风机发生故障时，在</w:t>
      </w:r>
      <w:r>
        <w:rPr>
          <w:rFonts w:hint="eastAsia"/>
        </w:rPr>
        <w:t>中控室</w:t>
      </w:r>
      <w:r>
        <w:t>能发出报警，备用风机应能自动启动。</w:t>
      </w:r>
    </w:p>
    <w:p w14:paraId="06468673">
      <w:pPr>
        <w:pStyle w:val="326"/>
      </w:pPr>
      <w:r>
        <w:t>天然气发电机房、电池间等具有易燃易爆气体的封闭区域，应按照爆炸性气体的释放量及其爆炸下限计算通风量，根据爆炸性气体释放量及其爆炸下限计算、换气次数计算和排出余热计算通风量取大值。</w:t>
      </w:r>
    </w:p>
    <w:bookmarkEnd w:id="115"/>
    <w:p w14:paraId="34C8FF22">
      <w:pPr>
        <w:pStyle w:val="259"/>
        <w:outlineLvl w:val="0"/>
      </w:pPr>
      <w:bookmarkStart w:id="207" w:name="_Toc7971"/>
      <w:bookmarkStart w:id="208" w:name="_Toc14564"/>
      <w:bookmarkStart w:id="209" w:name="_Toc23046"/>
      <w:r>
        <w:rPr>
          <w:rFonts w:hint="eastAsia"/>
        </w:rPr>
        <w:t>电气</w:t>
      </w:r>
      <w:bookmarkEnd w:id="207"/>
      <w:bookmarkEnd w:id="208"/>
    </w:p>
    <w:p w14:paraId="2AE31A6F">
      <w:pPr>
        <w:pStyle w:val="260"/>
        <w:outlineLvl w:val="1"/>
      </w:pPr>
      <w:bookmarkStart w:id="210" w:name="_Toc27559"/>
      <w:bookmarkStart w:id="211" w:name="_Toc12115"/>
      <w:r>
        <w:rPr>
          <w:rFonts w:hint="eastAsia"/>
        </w:rPr>
        <w:t>一般规定</w:t>
      </w:r>
      <w:bookmarkEnd w:id="210"/>
      <w:bookmarkEnd w:id="211"/>
    </w:p>
    <w:p w14:paraId="3C3DCD54">
      <w:pPr>
        <w:pStyle w:val="326"/>
        <w:numPr>
          <w:ilvl w:val="255"/>
          <w:numId w:val="0"/>
        </w:numPr>
        <w:adjustRightInd w:val="0"/>
        <w:ind w:firstLine="420" w:firstLineChars="200"/>
        <w:rPr>
          <w:rFonts w:ascii="宋体" w:cs="宋体" w:eastAsiaTheme="minorEastAsia"/>
          <w:sz w:val="24"/>
        </w:rPr>
      </w:pPr>
      <w:r>
        <w:rPr>
          <w:rFonts w:hint="eastAsia" w:asciiTheme="minorEastAsia" w:hAnsiTheme="minorEastAsia" w:eastAsiaTheme="minorEastAsia" w:cstheme="minorEastAsia"/>
        </w:rPr>
        <w:t>电气系统的设计和设备的布置应遵循安全、可靠、适用和经济原则，设备布置应便于安装、操作、检修和监测。</w:t>
      </w:r>
    </w:p>
    <w:p w14:paraId="188ADA84">
      <w:pPr>
        <w:pStyle w:val="261"/>
        <w:spacing w:before="156" w:after="156"/>
        <w:outlineLvl w:val="2"/>
      </w:pPr>
      <w:r>
        <w:rPr>
          <w:rFonts w:hint="eastAsia"/>
        </w:rPr>
        <w:t>环境条件</w:t>
      </w:r>
    </w:p>
    <w:p w14:paraId="08FD2F12">
      <w:pPr>
        <w:pStyle w:val="326"/>
        <w:numPr>
          <w:ilvl w:val="255"/>
          <w:numId w:val="0"/>
        </w:numPr>
        <w:adjustRightInd w:val="0"/>
        <w:spacing w:before="120" w:after="120"/>
        <w:ind w:firstLine="420" w:firstLineChars="200"/>
      </w:pPr>
      <w:r>
        <w:rPr>
          <w:rFonts w:hint="eastAsia"/>
        </w:rPr>
        <w:t>所有电气设备均应在下列环境条件下正常工作：</w:t>
      </w:r>
    </w:p>
    <w:p w14:paraId="73295E3B">
      <w:pPr>
        <w:pStyle w:val="305"/>
        <w:numPr>
          <w:ilvl w:val="0"/>
          <w:numId w:val="65"/>
        </w:numPr>
      </w:pPr>
      <w:r>
        <w:rPr>
          <w:rFonts w:hint="eastAsia"/>
        </w:rPr>
        <w:t>平台所在海域最高和最低环境温度；</w:t>
      </w:r>
    </w:p>
    <w:p w14:paraId="0315F6AD">
      <w:pPr>
        <w:pStyle w:val="305"/>
        <w:numPr>
          <w:ilvl w:val="0"/>
          <w:numId w:val="65"/>
        </w:numPr>
      </w:pPr>
      <w:r>
        <w:rPr>
          <w:rFonts w:hint="eastAsia"/>
        </w:rPr>
        <w:t>平台正常作业中所产生的振动和冲击；</w:t>
      </w:r>
    </w:p>
    <w:p w14:paraId="15FAD455">
      <w:pPr>
        <w:pStyle w:val="305"/>
        <w:numPr>
          <w:ilvl w:val="0"/>
          <w:numId w:val="65"/>
        </w:numPr>
      </w:pPr>
      <w:r>
        <w:rPr>
          <w:rFonts w:hint="eastAsia"/>
        </w:rPr>
        <w:t>海上潮湿空气和霉菌；</w:t>
      </w:r>
    </w:p>
    <w:p w14:paraId="1F1617AE">
      <w:pPr>
        <w:pStyle w:val="305"/>
        <w:numPr>
          <w:ilvl w:val="0"/>
          <w:numId w:val="65"/>
        </w:numPr>
      </w:pPr>
      <w:r>
        <w:rPr>
          <w:rFonts w:hint="eastAsia"/>
        </w:rPr>
        <w:t>盐雾、油雾及在特殊情况下还应适用于二氧化硫及硫化氢等化学活性物质；</w:t>
      </w:r>
    </w:p>
    <w:p w14:paraId="1179EF8B">
      <w:pPr>
        <w:pStyle w:val="305"/>
        <w:numPr>
          <w:ilvl w:val="0"/>
          <w:numId w:val="65"/>
        </w:numPr>
      </w:pPr>
      <w:r>
        <w:rPr>
          <w:rFonts w:hint="eastAsia"/>
        </w:rPr>
        <w:t>危险区域中的石油气、天然气。</w:t>
      </w:r>
    </w:p>
    <w:p w14:paraId="14B1A88E">
      <w:pPr>
        <w:pStyle w:val="261"/>
        <w:spacing w:before="156" w:after="156"/>
        <w:outlineLvl w:val="2"/>
      </w:pPr>
      <w:r>
        <w:rPr>
          <w:rFonts w:hint="eastAsia"/>
        </w:rPr>
        <w:t>供电</w:t>
      </w:r>
    </w:p>
    <w:p w14:paraId="2FB12ACB">
      <w:pPr>
        <w:pStyle w:val="258"/>
        <w:ind w:firstLine="420"/>
        <w:rPr>
          <w:rFonts w:ascii="Times New Roman"/>
          <w:sz w:val="24"/>
        </w:rPr>
      </w:pPr>
      <w:r>
        <w:rPr>
          <w:rFonts w:hint="eastAsia"/>
        </w:rPr>
        <w:t>平台供电应满足下述要求：</w:t>
      </w:r>
    </w:p>
    <w:p w14:paraId="45D4D903">
      <w:pPr>
        <w:pStyle w:val="305"/>
        <w:numPr>
          <w:ilvl w:val="0"/>
          <w:numId w:val="66"/>
        </w:numPr>
        <w:rPr>
          <w:rFonts w:ascii="Times New Roman"/>
          <w:sz w:val="24"/>
        </w:rPr>
      </w:pPr>
      <w:r>
        <w:rPr>
          <w:rFonts w:hint="eastAsia"/>
        </w:rPr>
        <w:t>正常情况下保证对生产作业和生活用电的电气设备供电，而不需要求助于应急电源；</w:t>
      </w:r>
    </w:p>
    <w:p w14:paraId="7CA51BF6">
      <w:pPr>
        <w:pStyle w:val="305"/>
        <w:numPr>
          <w:ilvl w:val="0"/>
          <w:numId w:val="66"/>
        </w:numPr>
        <w:rPr>
          <w:rFonts w:ascii="Times New Roman"/>
          <w:szCs w:val="21"/>
        </w:rPr>
      </w:pPr>
      <w:r>
        <w:rPr>
          <w:rFonts w:hint="eastAsia" w:ascii="Times New Roman"/>
          <w:szCs w:val="21"/>
        </w:rPr>
        <w:t>在主电源供电失效情况下，应确保对安全所必需的电气设备供电；</w:t>
      </w:r>
    </w:p>
    <w:p w14:paraId="3A90E200">
      <w:pPr>
        <w:pStyle w:val="305"/>
        <w:numPr>
          <w:ilvl w:val="0"/>
          <w:numId w:val="66"/>
        </w:numPr>
        <w:rPr>
          <w:rFonts w:ascii="Times New Roman"/>
          <w:szCs w:val="21"/>
        </w:rPr>
      </w:pPr>
      <w:r>
        <w:rPr>
          <w:rFonts w:hint="eastAsia" w:ascii="Times New Roman"/>
          <w:szCs w:val="21"/>
        </w:rPr>
        <w:t>不能因电气事故而危及人员和平台的安全。</w:t>
      </w:r>
    </w:p>
    <w:p w14:paraId="3B912D25">
      <w:pPr>
        <w:pStyle w:val="261"/>
        <w:spacing w:before="156" w:after="156"/>
        <w:outlineLvl w:val="2"/>
      </w:pPr>
      <w:r>
        <w:rPr>
          <w:rFonts w:hint="eastAsia"/>
        </w:rPr>
        <w:t>电压和频率</w:t>
      </w:r>
    </w:p>
    <w:p w14:paraId="0829ECCB">
      <w:pPr>
        <w:pStyle w:val="258"/>
        <w:ind w:firstLine="420"/>
        <w:rPr>
          <w:rFonts w:ascii="Times New Roman"/>
          <w:sz w:val="24"/>
        </w:rPr>
      </w:pPr>
      <w:r>
        <w:rPr>
          <w:rFonts w:hint="eastAsia"/>
        </w:rPr>
        <w:t>平台电压和频率应满足下述要求：</w:t>
      </w:r>
    </w:p>
    <w:p w14:paraId="4A036954">
      <w:pPr>
        <w:pStyle w:val="305"/>
        <w:numPr>
          <w:ilvl w:val="0"/>
          <w:numId w:val="67"/>
        </w:numPr>
      </w:pPr>
      <w:r>
        <w:t>推荐</w:t>
      </w:r>
      <w:r>
        <w:rPr>
          <w:rFonts w:hint="eastAsia"/>
        </w:rPr>
        <w:t>按GB/T 156 选择系统标称电压；</w:t>
      </w:r>
    </w:p>
    <w:p w14:paraId="0911FB3C">
      <w:pPr>
        <w:pStyle w:val="305"/>
        <w:numPr>
          <w:ilvl w:val="0"/>
          <w:numId w:val="67"/>
        </w:numPr>
      </w:pPr>
      <w:r>
        <w:t>交流标准频率应为 50Hz</w:t>
      </w:r>
      <w:r>
        <w:rPr>
          <w:rFonts w:hint="eastAsia"/>
        </w:rPr>
        <w:t>；</w:t>
      </w:r>
    </w:p>
    <w:p w14:paraId="43657A0D">
      <w:pPr>
        <w:pStyle w:val="305"/>
        <w:numPr>
          <w:ilvl w:val="0"/>
          <w:numId w:val="67"/>
        </w:numPr>
      </w:pPr>
      <w:r>
        <w:t>正常运行情况下</w:t>
      </w:r>
      <w:r>
        <w:rPr>
          <w:rFonts w:hint="eastAsia"/>
        </w:rPr>
        <w:t>，</w:t>
      </w:r>
      <w:r>
        <w:t>用电设备端子处</w:t>
      </w:r>
      <w:r>
        <w:rPr>
          <w:rFonts w:hint="eastAsia"/>
        </w:rPr>
        <w:t>稳态</w:t>
      </w:r>
      <w:r>
        <w:t>电压</w:t>
      </w:r>
      <w:r>
        <w:rPr>
          <w:rFonts w:hint="eastAsia"/>
        </w:rPr>
        <w:t>波动允许值</w:t>
      </w:r>
      <w:r>
        <w:t xml:space="preserve">（以额定电压的百分数表示） </w:t>
      </w:r>
      <w:r>
        <w:rPr>
          <w:rFonts w:hint="eastAsia"/>
        </w:rPr>
        <w:t>应为+6%至-10%，瞬态电压波动不能超过±20%，恢复时间不超过1.5</w:t>
      </w:r>
      <w:r>
        <w:rPr>
          <w:rFonts w:hint="eastAsia"/>
          <w:sz w:val="10"/>
          <w:szCs w:val="10"/>
        </w:rPr>
        <w:t xml:space="preserve"> </w:t>
      </w:r>
      <w:r>
        <w:rPr>
          <w:rFonts w:hint="eastAsia"/>
        </w:rPr>
        <w:t>s；稳态频率波动应为±5%，瞬态电压波动不能超过±10%，恢复时间不超过5</w:t>
      </w:r>
      <w:r>
        <w:rPr>
          <w:rFonts w:hint="eastAsia"/>
          <w:sz w:val="10"/>
          <w:szCs w:val="10"/>
        </w:rPr>
        <w:t xml:space="preserve"> </w:t>
      </w:r>
      <w:r>
        <w:rPr>
          <w:rFonts w:hint="eastAsia"/>
        </w:rPr>
        <w:t>s。由蓄电池供电的设备电压偏差允许值应为+30%至-25%（充电期间接于蓄电池）或+20%至-25%（不充电接于蓄电池者）。</w:t>
      </w:r>
    </w:p>
    <w:p w14:paraId="499665F4">
      <w:pPr>
        <w:pStyle w:val="305"/>
        <w:numPr>
          <w:ilvl w:val="0"/>
          <w:numId w:val="67"/>
        </w:numPr>
      </w:pPr>
      <w:r>
        <w:rPr>
          <w:rFonts w:hint="eastAsia"/>
        </w:rPr>
        <w:t>交流电气设备应能在供电电源的总谐波电压含有率不大于 8%的情况下正常工作，单次谐波含有率不大于5%的情况下正常工作。接入电网公共连接点处谐波电压含有率应满足GB/T 14549的相关要求。</w:t>
      </w:r>
    </w:p>
    <w:p w14:paraId="76B6C48F">
      <w:pPr>
        <w:pStyle w:val="261"/>
        <w:spacing w:before="156" w:after="156"/>
        <w:outlineLvl w:val="2"/>
      </w:pPr>
      <w:r>
        <w:rPr>
          <w:rFonts w:hint="eastAsia"/>
        </w:rPr>
        <w:t>电气设备的布置和安装</w:t>
      </w:r>
    </w:p>
    <w:p w14:paraId="0FC1EDC0">
      <w:pPr>
        <w:pStyle w:val="305"/>
        <w:numPr>
          <w:ilvl w:val="0"/>
          <w:numId w:val="68"/>
        </w:numPr>
      </w:pPr>
      <w:r>
        <w:t>电气设备的布置和安装应考虑安全和便于检修</w:t>
      </w:r>
      <w:r>
        <w:rPr>
          <w:rFonts w:hint="eastAsia"/>
        </w:rPr>
        <w:t>；</w:t>
      </w:r>
    </w:p>
    <w:p w14:paraId="36B6B209">
      <w:pPr>
        <w:pStyle w:val="305"/>
        <w:numPr>
          <w:ilvl w:val="0"/>
          <w:numId w:val="68"/>
        </w:numPr>
      </w:pPr>
      <w:r>
        <w:rPr>
          <w:rFonts w:hint="eastAsia"/>
        </w:rPr>
        <w:t>电气设备外壳防护型式的选择，应与其安装处所的要求相适应；</w:t>
      </w:r>
    </w:p>
    <w:p w14:paraId="3EAC1D65">
      <w:pPr>
        <w:pStyle w:val="305"/>
        <w:numPr>
          <w:ilvl w:val="0"/>
          <w:numId w:val="68"/>
        </w:numPr>
      </w:pPr>
      <w:bookmarkStart w:id="212" w:name="_Toc14101"/>
      <w:r>
        <w:rPr>
          <w:rFonts w:hint="eastAsia"/>
        </w:rPr>
        <w:t>在可燃气体或蒸气易于积聚的危险场所，应避免设置电气设备。若不可避免，则应按照GB3836.15选用相应级别的防爆电气设备。</w:t>
      </w:r>
    </w:p>
    <w:p w14:paraId="3413CFA3">
      <w:pPr>
        <w:pStyle w:val="260"/>
        <w:outlineLvl w:val="1"/>
      </w:pPr>
      <w:bookmarkStart w:id="213" w:name="_Toc25861"/>
      <w:r>
        <w:rPr>
          <w:rFonts w:hint="eastAsia"/>
        </w:rPr>
        <w:t>主电源</w:t>
      </w:r>
      <w:bookmarkEnd w:id="212"/>
      <w:r>
        <w:rPr>
          <w:rFonts w:hint="eastAsia"/>
        </w:rPr>
        <w:t>系统</w:t>
      </w:r>
      <w:bookmarkEnd w:id="213"/>
    </w:p>
    <w:p w14:paraId="63B49500">
      <w:pPr>
        <w:pStyle w:val="261"/>
        <w:spacing w:before="156" w:after="156"/>
        <w:outlineLvl w:val="2"/>
      </w:pPr>
      <w:r>
        <w:rPr>
          <w:rFonts w:hint="eastAsia"/>
        </w:rPr>
        <w:t>主电源</w:t>
      </w:r>
    </w:p>
    <w:p w14:paraId="050B09D5">
      <w:pPr>
        <w:pStyle w:val="327"/>
      </w:pPr>
      <w:r>
        <w:rPr>
          <w:rFonts w:hint="eastAsia"/>
        </w:rPr>
        <w:t>采用发电机组作主电源时应设置备用发电机，其台数和容量应满足其中最大容量的一台发电机损坏或停止工作时，其余发电机组仍应满足平台安全生产和生活的需要。</w:t>
      </w:r>
    </w:p>
    <w:p w14:paraId="18554487">
      <w:pPr>
        <w:pStyle w:val="327"/>
      </w:pPr>
      <w:r>
        <w:rPr>
          <w:rFonts w:hint="eastAsia"/>
        </w:rPr>
        <w:t>采用岸电作为海上油田群区域性主电源时，接入陆地电网的高压主干网络应由两回及以上线路供电，任一回路应能承受100%的一、二级负荷。</w:t>
      </w:r>
    </w:p>
    <w:p w14:paraId="7219052F">
      <w:pPr>
        <w:pStyle w:val="327"/>
      </w:pPr>
      <w:r>
        <w:rPr>
          <w:rFonts w:hint="eastAsia"/>
        </w:rPr>
        <w:t>海上油气田单一平台采用外部电源作为主电源时，可采用单回路海缆供电。</w:t>
      </w:r>
    </w:p>
    <w:p w14:paraId="0B86A2D9">
      <w:pPr>
        <w:pStyle w:val="327"/>
      </w:pPr>
      <w:r>
        <w:rPr>
          <w:rFonts w:hint="eastAsia"/>
        </w:rPr>
        <w:t>无人驻守平台主电源可根据具体情况不设备用电源。</w:t>
      </w:r>
    </w:p>
    <w:p w14:paraId="42A739A1">
      <w:pPr>
        <w:pStyle w:val="261"/>
        <w:spacing w:before="156" w:after="156"/>
        <w:outlineLvl w:val="2"/>
      </w:pPr>
      <w:r>
        <w:rPr>
          <w:rFonts w:hint="eastAsia"/>
        </w:rPr>
        <w:t>主配电装置布置</w:t>
      </w:r>
    </w:p>
    <w:p w14:paraId="64A520BA">
      <w:pPr>
        <w:pStyle w:val="327"/>
      </w:pPr>
      <w:r>
        <w:rPr>
          <w:rFonts w:hint="eastAsia"/>
        </w:rPr>
        <w:t>主配电装置相对于主发电机组的位置，应尽可能具有正常供电的完整性，使其只有在同一处所发生火灾或其他事故才会受到影响。</w:t>
      </w:r>
    </w:p>
    <w:p w14:paraId="46FED25E">
      <w:pPr>
        <w:pStyle w:val="327"/>
      </w:pPr>
      <w:r>
        <w:rPr>
          <w:rFonts w:hint="eastAsia"/>
        </w:rPr>
        <w:t>35</w:t>
      </w:r>
      <w:r>
        <w:rPr>
          <w:rFonts w:hint="eastAsia"/>
          <w:sz w:val="10"/>
          <w:szCs w:val="10"/>
        </w:rPr>
        <w:t xml:space="preserve"> </w:t>
      </w:r>
      <w:r>
        <w:rPr>
          <w:rFonts w:hint="eastAsia"/>
        </w:rPr>
        <w:t>kV及以上开关柜采用SF6气体柜时应单独设置电气房间。</w:t>
      </w:r>
    </w:p>
    <w:p w14:paraId="7AD55432">
      <w:pPr>
        <w:pStyle w:val="327"/>
      </w:pPr>
      <w:r>
        <w:rPr>
          <w:rFonts w:hint="eastAsia"/>
        </w:rPr>
        <w:t>主配电装置的长度超过6</w:t>
      </w:r>
      <w:r>
        <w:rPr>
          <w:rFonts w:hint="eastAsia"/>
          <w:sz w:val="10"/>
          <w:szCs w:val="10"/>
        </w:rPr>
        <w:t xml:space="preserve"> </w:t>
      </w:r>
      <w:r>
        <w:t>m</w:t>
      </w:r>
      <w:r>
        <w:rPr>
          <w:rFonts w:hint="eastAsia"/>
        </w:rPr>
        <w:t>时，其板后通道的两端均应设出口，且配电室两端应设向外开的门。</w:t>
      </w:r>
    </w:p>
    <w:p w14:paraId="5C116610">
      <w:pPr>
        <w:pStyle w:val="327"/>
      </w:pPr>
      <w:r>
        <w:rPr>
          <w:rFonts w:hint="eastAsia"/>
        </w:rPr>
        <w:t>主配电装置的后方和上方不应设有水管、油管、蒸气管、油柜及其他液体容器。若不能避免时则应有可靠的防护措施。</w:t>
      </w:r>
    </w:p>
    <w:p w14:paraId="6CD27F3D">
      <w:pPr>
        <w:pStyle w:val="327"/>
      </w:pPr>
      <w:r>
        <w:rPr>
          <w:rFonts w:hint="eastAsia"/>
        </w:rPr>
        <w:t>主配电装置的前后均应铺设防滑和耐油的绝缘橡胶板或经绝缘处理的木格栅。</w:t>
      </w:r>
    </w:p>
    <w:p w14:paraId="69836535">
      <w:pPr>
        <w:pStyle w:val="260"/>
        <w:outlineLvl w:val="1"/>
      </w:pPr>
      <w:bookmarkStart w:id="214" w:name="_Toc7127"/>
      <w:bookmarkStart w:id="215" w:name="_Toc21148"/>
      <w:r>
        <w:rPr>
          <w:rFonts w:hint="eastAsia"/>
        </w:rPr>
        <w:t>应急电源</w:t>
      </w:r>
      <w:bookmarkEnd w:id="214"/>
      <w:r>
        <w:rPr>
          <w:rFonts w:hint="eastAsia"/>
        </w:rPr>
        <w:t>系统</w:t>
      </w:r>
      <w:bookmarkEnd w:id="215"/>
    </w:p>
    <w:p w14:paraId="4A6F7F04">
      <w:pPr>
        <w:pStyle w:val="261"/>
        <w:spacing w:before="156" w:after="156"/>
        <w:outlineLvl w:val="2"/>
        <w:rPr>
          <w:rFonts w:ascii="Times New Roman"/>
        </w:rPr>
      </w:pPr>
      <w:r>
        <w:rPr>
          <w:rFonts w:hint="eastAsia" w:ascii="Times New Roman"/>
        </w:rPr>
        <w:t>一般要求</w:t>
      </w:r>
    </w:p>
    <w:p w14:paraId="581722F5">
      <w:pPr>
        <w:ind w:firstLine="420" w:firstLineChars="200"/>
      </w:pPr>
      <w:r>
        <w:rPr>
          <w:rFonts w:hint="eastAsia"/>
        </w:rPr>
        <w:t>平台上应设有独立的应急电源及配套的应急配电系统。</w:t>
      </w:r>
    </w:p>
    <w:p w14:paraId="2A1A7947">
      <w:pPr>
        <w:pStyle w:val="261"/>
        <w:spacing w:before="156" w:after="156"/>
        <w:outlineLvl w:val="2"/>
        <w:rPr>
          <w:rFonts w:ascii="Times New Roman"/>
        </w:rPr>
      </w:pPr>
      <w:r>
        <w:rPr>
          <w:rFonts w:hint="eastAsia" w:ascii="Times New Roman"/>
        </w:rPr>
        <w:t>系统组成</w:t>
      </w:r>
    </w:p>
    <w:p w14:paraId="06129CBC">
      <w:pPr>
        <w:ind w:firstLine="420" w:firstLineChars="200"/>
      </w:pPr>
      <w:r>
        <w:rPr>
          <w:rFonts w:hint="eastAsia"/>
          <w:position w:val="-1"/>
        </w:rPr>
        <w:t>应急</w:t>
      </w:r>
      <w:r>
        <w:rPr>
          <w:rFonts w:hint="eastAsia" w:ascii="宋体" w:cs="宋体"/>
        </w:rPr>
        <w:t>电源可由下列三者中的部分或全部组成：</w:t>
      </w:r>
    </w:p>
    <w:p w14:paraId="5625F9EA">
      <w:pPr>
        <w:pStyle w:val="305"/>
        <w:numPr>
          <w:ilvl w:val="0"/>
          <w:numId w:val="69"/>
        </w:numPr>
      </w:pPr>
      <w:r>
        <w:rPr>
          <w:rFonts w:hint="eastAsia"/>
        </w:rPr>
        <w:t>柴油机发电机组（简称应急发电机）；</w:t>
      </w:r>
      <w:r>
        <w:t xml:space="preserve"> </w:t>
      </w:r>
    </w:p>
    <w:p w14:paraId="1CA804B8">
      <w:pPr>
        <w:pStyle w:val="305"/>
        <w:numPr>
          <w:ilvl w:val="0"/>
          <w:numId w:val="69"/>
        </w:numPr>
      </w:pPr>
      <w:r>
        <w:rPr>
          <w:rFonts w:hint="eastAsia"/>
        </w:rPr>
        <w:t>蓄电池组；</w:t>
      </w:r>
    </w:p>
    <w:p w14:paraId="3483FF9F">
      <w:pPr>
        <w:pStyle w:val="305"/>
        <w:numPr>
          <w:ilvl w:val="0"/>
          <w:numId w:val="69"/>
        </w:numPr>
      </w:pPr>
      <w:r>
        <w:rPr>
          <w:rFonts w:hint="eastAsia"/>
        </w:rPr>
        <w:t>交直流不间断电源。</w:t>
      </w:r>
    </w:p>
    <w:p w14:paraId="562CD0EB">
      <w:pPr>
        <w:pStyle w:val="261"/>
        <w:spacing w:before="156" w:after="156"/>
        <w:outlineLvl w:val="2"/>
        <w:rPr>
          <w:rFonts w:ascii="Times New Roman"/>
        </w:rPr>
      </w:pPr>
      <w:r>
        <w:rPr>
          <w:rFonts w:hint="eastAsia" w:ascii="Times New Roman"/>
        </w:rPr>
        <w:t>供电要求</w:t>
      </w:r>
    </w:p>
    <w:p w14:paraId="64004BF1">
      <w:pPr>
        <w:pStyle w:val="327"/>
      </w:pPr>
      <w:r>
        <w:rPr>
          <w:rFonts w:hint="eastAsia"/>
        </w:rPr>
        <w:t>应急发电机作为应急电源，应在主电源供电失效的情况下，确保在</w:t>
      </w:r>
      <w:r>
        <w:t>45</w:t>
      </w:r>
      <w:r>
        <w:rPr>
          <w:rFonts w:hint="eastAsia"/>
          <w:sz w:val="10"/>
          <w:szCs w:val="10"/>
        </w:rPr>
        <w:t xml:space="preserve"> </w:t>
      </w:r>
      <w:r>
        <w:t>s之</w:t>
      </w:r>
      <w:r>
        <w:rPr>
          <w:rFonts w:hint="eastAsia"/>
        </w:rPr>
        <w:t>内自动启动和供电。应急发电机的容量应能满足由其供电的应急负载要求。</w:t>
      </w:r>
    </w:p>
    <w:p w14:paraId="31473A62">
      <w:pPr>
        <w:pStyle w:val="327"/>
      </w:pPr>
      <w:r>
        <w:rPr>
          <w:rFonts w:hint="eastAsia"/>
        </w:rPr>
        <w:t>蓄电池组作为应急电源，应能在主电源供电失效的情况下自动供电，保证在规定的供电时间内无需再充电就能供给由其供电的所有应急负载正常用电。在整个供电时间内使电压保持在额定值±</w:t>
      </w:r>
      <w:r>
        <w:t>1</w:t>
      </w:r>
      <w:r>
        <w:rPr>
          <w:rFonts w:hint="eastAsia"/>
        </w:rPr>
        <w:t>2</w:t>
      </w:r>
      <w:r>
        <w:t>%</w:t>
      </w:r>
      <w:r>
        <w:rPr>
          <w:rFonts w:hint="eastAsia"/>
        </w:rPr>
        <w:t>的范围内。</w:t>
      </w:r>
    </w:p>
    <w:p w14:paraId="30E9369A">
      <w:pPr>
        <w:pStyle w:val="327"/>
      </w:pPr>
      <w:r>
        <w:rPr>
          <w:rFonts w:hint="eastAsia"/>
        </w:rPr>
        <w:t>交直流不间断电源作为应急电源，应能在主电源供电失效时立即不间断地接替供电。其电压和频率的变化应符合所用规范、标准的要求。</w:t>
      </w:r>
    </w:p>
    <w:p w14:paraId="47C1F552">
      <w:pPr>
        <w:pStyle w:val="327"/>
      </w:pPr>
      <w:r>
        <w:rPr>
          <w:rFonts w:hint="eastAsia"/>
        </w:rPr>
        <w:t>应急电源与正常电源之间，应采取防止并列运行的措施。当有特殊要求，应急电源向正常电源转换需短暂并列运行时，应采取安全运行的措施。</w:t>
      </w:r>
    </w:p>
    <w:p w14:paraId="02289258">
      <w:pPr>
        <w:pStyle w:val="261"/>
        <w:spacing w:before="156" w:after="156"/>
        <w:outlineLvl w:val="2"/>
        <w:rPr>
          <w:rFonts w:ascii="Times New Roman"/>
        </w:rPr>
      </w:pPr>
      <w:r>
        <w:rPr>
          <w:rFonts w:hint="eastAsia" w:ascii="Times New Roman"/>
        </w:rPr>
        <w:t>供电范围和供电时间</w:t>
      </w:r>
    </w:p>
    <w:p w14:paraId="20696A19">
      <w:pPr>
        <w:pStyle w:val="327"/>
      </w:pPr>
      <w:r>
        <w:rPr>
          <w:rFonts w:hint="eastAsia"/>
        </w:rPr>
        <w:t>设有应急发电机的平台，应急发电机应能保证下列各处所的应急照明供电</w:t>
      </w:r>
      <w:r>
        <w:rPr>
          <w:rFonts w:hint="eastAsia" w:ascii="宋体" w:hAnsi="宋体" w:eastAsia="宋体" w:cs="宋体"/>
        </w:rPr>
        <w:t>18</w:t>
      </w:r>
      <w:r>
        <w:rPr>
          <w:rFonts w:hint="eastAsia" w:ascii="宋体" w:hAnsi="宋体" w:eastAsia="宋体" w:cs="宋体"/>
          <w:sz w:val="10"/>
          <w:szCs w:val="10"/>
        </w:rPr>
        <w:t xml:space="preserve"> </w:t>
      </w:r>
      <w:r>
        <w:rPr>
          <w:rFonts w:hint="eastAsia" w:ascii="宋体" w:hAnsi="宋体" w:eastAsia="宋体" w:cs="宋体"/>
        </w:rPr>
        <w:t>h：</w:t>
      </w:r>
    </w:p>
    <w:p w14:paraId="7DF07732">
      <w:pPr>
        <w:pStyle w:val="305"/>
        <w:numPr>
          <w:ilvl w:val="0"/>
          <w:numId w:val="70"/>
        </w:numPr>
      </w:pPr>
      <w:r>
        <w:t>所有救生艇、救生筏等救生设备的登乘处，以及通向这些处所有关的通道、梯道与甲板等处所；</w:t>
      </w:r>
    </w:p>
    <w:p w14:paraId="24870149">
      <w:pPr>
        <w:pStyle w:val="305"/>
        <w:numPr>
          <w:ilvl w:val="0"/>
          <w:numId w:val="70"/>
        </w:numPr>
      </w:pPr>
      <w:r>
        <w:t>所有生产和生活处所的通道、梯道的出入口；</w:t>
      </w:r>
    </w:p>
    <w:p w14:paraId="4D195097">
      <w:pPr>
        <w:pStyle w:val="305"/>
        <w:numPr>
          <w:ilvl w:val="0"/>
          <w:numId w:val="70"/>
        </w:numPr>
      </w:pPr>
      <w:r>
        <w:rPr>
          <w:rFonts w:hint="eastAsia"/>
        </w:rPr>
        <w:t>应急设备、</w:t>
      </w:r>
      <w:r>
        <w:t>主发电</w:t>
      </w:r>
      <w:r>
        <w:rPr>
          <w:rFonts w:hint="eastAsia"/>
        </w:rPr>
        <w:t>机组</w:t>
      </w:r>
      <w:r>
        <w:t>及其控制</w:t>
      </w:r>
      <w:r>
        <w:rPr>
          <w:rFonts w:hint="eastAsia"/>
        </w:rPr>
        <w:t>处所</w:t>
      </w:r>
      <w:r>
        <w:t>；</w:t>
      </w:r>
    </w:p>
    <w:p w14:paraId="4605EDAF">
      <w:pPr>
        <w:pStyle w:val="305"/>
        <w:numPr>
          <w:ilvl w:val="0"/>
          <w:numId w:val="70"/>
        </w:numPr>
      </w:pPr>
      <w:r>
        <w:t>中央控制室及所有的控制站；</w:t>
      </w:r>
    </w:p>
    <w:p w14:paraId="2235CE78">
      <w:pPr>
        <w:pStyle w:val="305"/>
        <w:numPr>
          <w:ilvl w:val="0"/>
          <w:numId w:val="70"/>
        </w:numPr>
      </w:pPr>
      <w:r>
        <w:t>平台</w:t>
      </w:r>
      <w:r>
        <w:rPr>
          <w:rFonts w:hint="eastAsia"/>
        </w:rPr>
        <w:t>所有</w:t>
      </w:r>
      <w:r>
        <w:t>作业的处所和装有对上述作业进行控制所必需的机械控制装置与发电设备</w:t>
      </w:r>
      <w:r>
        <w:rPr>
          <w:rFonts w:hint="eastAsia"/>
        </w:rPr>
        <w:t>和</w:t>
      </w:r>
      <w:r>
        <w:t>应</w:t>
      </w:r>
      <w:r>
        <w:rPr>
          <w:rFonts w:hint="eastAsia"/>
        </w:rPr>
        <w:t>关断</w:t>
      </w:r>
      <w:r>
        <w:t>装置所在的处所；</w:t>
      </w:r>
    </w:p>
    <w:p w14:paraId="6F813573">
      <w:pPr>
        <w:pStyle w:val="305"/>
        <w:numPr>
          <w:ilvl w:val="0"/>
          <w:numId w:val="70"/>
        </w:numPr>
      </w:pPr>
      <w:r>
        <w:t>消防员装备存放的处所；</w:t>
      </w:r>
      <w:r>
        <w:rPr>
          <w:rFonts w:hint="eastAsia"/>
        </w:rPr>
        <w:t xml:space="preserve"> </w:t>
      </w:r>
    </w:p>
    <w:p w14:paraId="2E444792">
      <w:pPr>
        <w:pStyle w:val="305"/>
        <w:numPr>
          <w:ilvl w:val="0"/>
          <w:numId w:val="70"/>
        </w:numPr>
      </w:pPr>
      <w:r>
        <w:t>消防泵处所、喷淋水泵间（如设有时）及</w:t>
      </w:r>
      <w:r>
        <w:rPr>
          <w:rFonts w:hint="eastAsia"/>
        </w:rPr>
        <w:t>其</w:t>
      </w:r>
      <w:r>
        <w:t>启动设备处所；</w:t>
      </w:r>
    </w:p>
    <w:p w14:paraId="7042E97C">
      <w:pPr>
        <w:pStyle w:val="305"/>
        <w:numPr>
          <w:ilvl w:val="0"/>
          <w:numId w:val="70"/>
        </w:numPr>
      </w:pPr>
      <w:r>
        <w:t>直升机甲板</w:t>
      </w:r>
      <w:r>
        <w:rPr>
          <w:rFonts w:hint="eastAsia"/>
        </w:rPr>
        <w:t>，包括周边和直升机甲板状态灯、风向标指示器照明和相关的障碍物标志灯（如设有）</w:t>
      </w:r>
      <w:r>
        <w:t>；</w:t>
      </w:r>
    </w:p>
    <w:p w14:paraId="74017F6C">
      <w:pPr>
        <w:pStyle w:val="305"/>
        <w:numPr>
          <w:ilvl w:val="0"/>
          <w:numId w:val="70"/>
        </w:numPr>
      </w:pPr>
      <w:r>
        <w:t>所有安装灭火设备的站、室；</w:t>
      </w:r>
    </w:p>
    <w:p w14:paraId="11EADAB5">
      <w:pPr>
        <w:pStyle w:val="305"/>
        <w:numPr>
          <w:ilvl w:val="0"/>
          <w:numId w:val="70"/>
        </w:numPr>
      </w:pPr>
      <w:r>
        <w:rPr>
          <w:rFonts w:hint="eastAsia"/>
        </w:rPr>
        <w:t>通信及有关应急设备等处所；</w:t>
      </w:r>
    </w:p>
    <w:p w14:paraId="125222A2">
      <w:pPr>
        <w:pStyle w:val="305"/>
        <w:numPr>
          <w:ilvl w:val="0"/>
          <w:numId w:val="70"/>
        </w:numPr>
      </w:pPr>
      <w:r>
        <w:rPr>
          <w:rFonts w:hint="eastAsia"/>
        </w:rPr>
        <w:t>井控所在位置，包括钻/修井机处和井口盘处。</w:t>
      </w:r>
    </w:p>
    <w:p w14:paraId="2376C8B6">
      <w:pPr>
        <w:pStyle w:val="327"/>
        <w:rPr>
          <w:rFonts w:ascii="Times New Roman"/>
        </w:rPr>
      </w:pPr>
      <w:r>
        <w:rPr>
          <w:rFonts w:hint="eastAsia" w:ascii="宋体" w:cs="宋体"/>
          <w:position w:val="-1"/>
        </w:rPr>
        <w:t>标示平台的</w:t>
      </w:r>
      <w:r>
        <w:rPr>
          <w:rFonts w:ascii="Times New Roman"/>
          <w:position w:val="-1"/>
        </w:rPr>
        <w:t>信号灯（包括障碍灯）和声响信号应</w:t>
      </w:r>
      <w:r>
        <w:rPr>
          <w:rFonts w:hint="eastAsia" w:ascii="Times New Roman"/>
          <w:position w:val="-1"/>
        </w:rPr>
        <w:t>连续</w:t>
      </w:r>
      <w:r>
        <w:rPr>
          <w:rFonts w:ascii="Times New Roman"/>
          <w:position w:val="-1"/>
        </w:rPr>
        <w:t>供电</w:t>
      </w:r>
      <w:r>
        <w:rPr>
          <w:rFonts w:ascii="Times New Roman"/>
          <w:spacing w:val="-60"/>
          <w:position w:val="-1"/>
        </w:rPr>
        <w:t xml:space="preserve"> </w:t>
      </w:r>
      <w:r>
        <w:rPr>
          <w:rFonts w:hint="eastAsia" w:ascii="宋体" w:hAnsi="宋体" w:eastAsia="宋体" w:cs="宋体"/>
          <w:position w:val="-1"/>
        </w:rPr>
        <w:t>96</w:t>
      </w:r>
      <w:r>
        <w:rPr>
          <w:rFonts w:hint="eastAsia" w:ascii="宋体" w:hAnsi="宋体" w:eastAsia="宋体" w:cs="宋体"/>
          <w:sz w:val="10"/>
          <w:szCs w:val="10"/>
        </w:rPr>
        <w:t xml:space="preserve"> </w:t>
      </w:r>
      <w:r>
        <w:rPr>
          <w:rFonts w:hint="eastAsia" w:ascii="宋体" w:hAnsi="宋体" w:eastAsia="宋体" w:cs="宋体"/>
          <w:position w:val="-1"/>
        </w:rPr>
        <w:t>h</w:t>
      </w:r>
      <w:r>
        <w:rPr>
          <w:rFonts w:ascii="Times New Roman"/>
          <w:position w:val="-1"/>
        </w:rPr>
        <w:t>。</w:t>
      </w:r>
    </w:p>
    <w:p w14:paraId="587F26C0">
      <w:pPr>
        <w:pStyle w:val="327"/>
        <w:rPr>
          <w:rFonts w:ascii="Times New Roman"/>
        </w:rPr>
      </w:pPr>
      <w:r>
        <w:rPr>
          <w:rFonts w:hint="eastAsia"/>
        </w:rPr>
        <w:t>设有应急发电机的平台，应急发电机应至少能保证下列</w:t>
      </w:r>
      <w:r>
        <w:rPr>
          <w:rFonts w:ascii="Times New Roman"/>
        </w:rPr>
        <w:t>设备供电</w:t>
      </w:r>
      <w:r>
        <w:rPr>
          <w:rFonts w:hint="eastAsia" w:ascii="宋体" w:hAnsi="宋体" w:eastAsia="宋体" w:cs="宋体"/>
        </w:rPr>
        <w:t>18</w:t>
      </w:r>
      <w:r>
        <w:rPr>
          <w:rFonts w:hint="eastAsia" w:ascii="宋体" w:hAnsi="宋体" w:eastAsia="宋体" w:cs="宋体"/>
          <w:sz w:val="10"/>
          <w:szCs w:val="10"/>
        </w:rPr>
        <w:t xml:space="preserve"> </w:t>
      </w:r>
      <w:r>
        <w:rPr>
          <w:rFonts w:hint="eastAsia" w:ascii="宋体" w:hAnsi="宋体" w:eastAsia="宋体" w:cs="宋体"/>
        </w:rPr>
        <w:t>h</w:t>
      </w:r>
      <w:r>
        <w:rPr>
          <w:rFonts w:ascii="Times New Roman"/>
        </w:rPr>
        <w:t>：</w:t>
      </w:r>
    </w:p>
    <w:p w14:paraId="2D0FC827">
      <w:pPr>
        <w:pStyle w:val="305"/>
        <w:numPr>
          <w:ilvl w:val="0"/>
          <w:numId w:val="71"/>
        </w:numPr>
        <w:rPr>
          <w:rFonts w:ascii="Times New Roman"/>
          <w:szCs w:val="21"/>
        </w:rPr>
      </w:pPr>
      <w:r>
        <w:rPr>
          <w:rFonts w:ascii="Times New Roman"/>
        </w:rPr>
        <w:t>通信</w:t>
      </w:r>
      <w:r>
        <w:rPr>
          <w:rFonts w:hint="eastAsia" w:ascii="Times New Roman"/>
        </w:rPr>
        <w:t>系统</w:t>
      </w:r>
      <w:r>
        <w:rPr>
          <w:rFonts w:ascii="Times New Roman"/>
        </w:rPr>
        <w:t>；</w:t>
      </w:r>
    </w:p>
    <w:p w14:paraId="6B45506D">
      <w:pPr>
        <w:pStyle w:val="305"/>
        <w:numPr>
          <w:ilvl w:val="0"/>
          <w:numId w:val="71"/>
        </w:numPr>
        <w:rPr>
          <w:rFonts w:ascii="Times New Roman"/>
          <w:szCs w:val="21"/>
        </w:rPr>
      </w:pPr>
      <w:r>
        <w:rPr>
          <w:rFonts w:ascii="Times New Roman"/>
          <w:szCs w:val="21"/>
        </w:rPr>
        <w:t>火灾与可燃</w:t>
      </w:r>
      <w:r>
        <w:rPr>
          <w:rFonts w:hint="eastAsia" w:ascii="Times New Roman"/>
          <w:szCs w:val="21"/>
        </w:rPr>
        <w:t>、有毒</w:t>
      </w:r>
      <w:r>
        <w:rPr>
          <w:rFonts w:ascii="Times New Roman"/>
          <w:szCs w:val="21"/>
        </w:rPr>
        <w:t>气体探测报警系统</w:t>
      </w:r>
      <w:r>
        <w:rPr>
          <w:rFonts w:hint="eastAsia" w:ascii="Times New Roman"/>
          <w:szCs w:val="21"/>
        </w:rPr>
        <w:t>；</w:t>
      </w:r>
    </w:p>
    <w:p w14:paraId="125D76B6">
      <w:pPr>
        <w:pStyle w:val="305"/>
        <w:numPr>
          <w:ilvl w:val="0"/>
          <w:numId w:val="71"/>
        </w:numPr>
        <w:rPr>
          <w:rFonts w:ascii="Times New Roman"/>
          <w:szCs w:val="21"/>
        </w:rPr>
      </w:pPr>
      <w:r>
        <w:rPr>
          <w:rFonts w:hint="eastAsia" w:ascii="Times New Roman"/>
          <w:szCs w:val="21"/>
        </w:rPr>
        <w:t>应急关断系统；</w:t>
      </w:r>
    </w:p>
    <w:p w14:paraId="6F9AD210">
      <w:pPr>
        <w:pStyle w:val="305"/>
        <w:numPr>
          <w:ilvl w:val="0"/>
          <w:numId w:val="71"/>
        </w:numPr>
        <w:rPr>
          <w:rFonts w:ascii="Times New Roman"/>
          <w:szCs w:val="21"/>
        </w:rPr>
      </w:pPr>
      <w:r>
        <w:rPr>
          <w:rFonts w:hint="eastAsia" w:ascii="Times New Roman"/>
          <w:szCs w:val="21"/>
        </w:rPr>
        <w:t>过程控制系统；</w:t>
      </w:r>
    </w:p>
    <w:p w14:paraId="35B278F7">
      <w:pPr>
        <w:pStyle w:val="305"/>
        <w:numPr>
          <w:ilvl w:val="0"/>
          <w:numId w:val="71"/>
        </w:numPr>
        <w:rPr>
          <w:rFonts w:ascii="Times New Roman"/>
          <w:szCs w:val="21"/>
        </w:rPr>
      </w:pPr>
      <w:r>
        <w:rPr>
          <w:rFonts w:ascii="Times New Roman"/>
          <w:szCs w:val="21"/>
        </w:rPr>
        <w:t>防喷关闭装置（如系</w:t>
      </w:r>
      <w:r>
        <w:rPr>
          <w:rFonts w:hint="eastAsia" w:ascii="Times New Roman"/>
          <w:szCs w:val="21"/>
        </w:rPr>
        <w:t>电气控制</w:t>
      </w:r>
      <w:r>
        <w:rPr>
          <w:rFonts w:ascii="Times New Roman"/>
          <w:szCs w:val="21"/>
        </w:rPr>
        <w:t>）</w:t>
      </w:r>
      <w:r>
        <w:rPr>
          <w:rFonts w:hint="eastAsia" w:ascii="Times New Roman"/>
          <w:szCs w:val="21"/>
        </w:rPr>
        <w:t>；</w:t>
      </w:r>
    </w:p>
    <w:p w14:paraId="0C3A298F">
      <w:pPr>
        <w:pStyle w:val="305"/>
        <w:numPr>
          <w:ilvl w:val="0"/>
          <w:numId w:val="71"/>
        </w:numPr>
        <w:rPr>
          <w:rFonts w:ascii="Times New Roman"/>
          <w:szCs w:val="21"/>
        </w:rPr>
      </w:pPr>
      <w:r>
        <w:rPr>
          <w:rFonts w:ascii="Times New Roman"/>
          <w:szCs w:val="21"/>
        </w:rPr>
        <w:t>消防泵</w:t>
      </w:r>
      <w:r>
        <w:rPr>
          <w:rFonts w:hint="eastAsia" w:ascii="Times New Roman"/>
          <w:szCs w:val="21"/>
        </w:rPr>
        <w:t xml:space="preserve">及其他消防系统设备； </w:t>
      </w:r>
    </w:p>
    <w:p w14:paraId="28CA9B19">
      <w:pPr>
        <w:pStyle w:val="305"/>
        <w:numPr>
          <w:ilvl w:val="0"/>
          <w:numId w:val="71"/>
        </w:numPr>
        <w:rPr>
          <w:rFonts w:ascii="Times New Roman"/>
          <w:szCs w:val="21"/>
        </w:rPr>
      </w:pPr>
      <w:r>
        <w:rPr>
          <w:rFonts w:hint="eastAsia" w:ascii="Times New Roman"/>
          <w:szCs w:val="21"/>
        </w:rPr>
        <w:t>井口</w:t>
      </w:r>
      <w:r>
        <w:rPr>
          <w:rFonts w:ascii="Times New Roman"/>
          <w:szCs w:val="21"/>
        </w:rPr>
        <w:t>控制盘</w:t>
      </w:r>
      <w:r>
        <w:rPr>
          <w:rFonts w:hint="eastAsia" w:ascii="Times New Roman"/>
          <w:szCs w:val="21"/>
        </w:rPr>
        <w:t>。</w:t>
      </w:r>
    </w:p>
    <w:p w14:paraId="54D53562">
      <w:pPr>
        <w:pStyle w:val="327"/>
        <w:rPr>
          <w:rFonts w:ascii="Times New Roman"/>
        </w:rPr>
      </w:pPr>
      <w:r>
        <w:rPr>
          <w:rFonts w:hint="eastAsia" w:ascii="宋体" w:cs="宋体"/>
        </w:rPr>
        <w:t>火灾与可燃、有毒气体探测报警系统、过程控制系统、应急关断系统、通信等重要用电设备由交流不间断电源</w:t>
      </w:r>
      <w:r>
        <w:rPr>
          <w:rFonts w:ascii="Times New Roman"/>
        </w:rPr>
        <w:t>供电</w:t>
      </w:r>
      <w:r>
        <w:rPr>
          <w:rFonts w:hint="eastAsia" w:ascii="Times New Roman"/>
        </w:rPr>
        <w:t>，供电时间</w:t>
      </w:r>
      <w:r>
        <w:rPr>
          <w:rFonts w:ascii="Times New Roman"/>
        </w:rPr>
        <w:t>应至少为</w:t>
      </w:r>
      <w:r>
        <w:rPr>
          <w:rFonts w:hint="eastAsia" w:ascii="宋体" w:hAnsi="宋体" w:eastAsia="宋体" w:cs="宋体"/>
          <w:spacing w:val="-60"/>
        </w:rPr>
        <w:t xml:space="preserve"> </w:t>
      </w:r>
      <w:r>
        <w:rPr>
          <w:rFonts w:hint="eastAsia" w:ascii="宋体" w:hAnsi="宋体" w:eastAsia="宋体" w:cs="宋体"/>
          <w:spacing w:val="1"/>
        </w:rPr>
        <w:t>30</w:t>
      </w:r>
      <w:r>
        <w:rPr>
          <w:rFonts w:hint="eastAsia" w:ascii="宋体" w:hAnsi="宋体" w:eastAsia="宋体" w:cs="宋体"/>
          <w:sz w:val="10"/>
          <w:szCs w:val="10"/>
        </w:rPr>
        <w:t xml:space="preserve"> </w:t>
      </w:r>
      <w:r>
        <w:rPr>
          <w:rFonts w:hint="eastAsia" w:ascii="宋体" w:hAnsi="宋体" w:eastAsia="宋体" w:cs="宋体"/>
          <w:spacing w:val="-2"/>
        </w:rPr>
        <w:t>m</w:t>
      </w:r>
      <w:r>
        <w:rPr>
          <w:rFonts w:hint="eastAsia" w:ascii="宋体" w:hAnsi="宋体" w:eastAsia="宋体" w:cs="宋体"/>
          <w:spacing w:val="1"/>
        </w:rPr>
        <w:t>i</w:t>
      </w:r>
      <w:r>
        <w:rPr>
          <w:rFonts w:hint="eastAsia" w:ascii="宋体" w:hAnsi="宋体" w:eastAsia="宋体" w:cs="宋体"/>
        </w:rPr>
        <w:t>n。</w:t>
      </w:r>
    </w:p>
    <w:p w14:paraId="53428084">
      <w:pPr>
        <w:pStyle w:val="261"/>
        <w:spacing w:before="156" w:after="156"/>
        <w:outlineLvl w:val="2"/>
        <w:rPr>
          <w:rFonts w:ascii="Times New Roman"/>
        </w:rPr>
      </w:pPr>
      <w:r>
        <w:rPr>
          <w:rFonts w:hint="eastAsia" w:ascii="Times New Roman"/>
        </w:rPr>
        <w:t>应急电源布置</w:t>
      </w:r>
    </w:p>
    <w:p w14:paraId="02D35E32">
      <w:pPr>
        <w:pStyle w:val="327"/>
      </w:pPr>
      <w:r>
        <w:rPr>
          <w:rFonts w:hint="eastAsia"/>
        </w:rPr>
        <w:t>应急电源和应急配电装置的安装处所，应尽量远离主发电机所在的机器处所，</w:t>
      </w:r>
      <w:r>
        <w:t>并应用 A</w:t>
      </w:r>
      <w:r>
        <w:rPr>
          <w:rFonts w:hint="eastAsia"/>
        </w:rPr>
        <w:t>-</w:t>
      </w:r>
      <w:r>
        <w:t>60 级耐火隔壁及甲板将与其相邻的有火灾危险的处所隔开。</w:t>
      </w:r>
    </w:p>
    <w:p w14:paraId="3B883DA1">
      <w:pPr>
        <w:pStyle w:val="327"/>
      </w:pPr>
      <w:r>
        <w:rPr>
          <w:rFonts w:hint="eastAsia"/>
        </w:rPr>
        <w:t>应急电源应保证在主电站所在处所或其他机器处所发生火灾或其它事故时</w:t>
      </w:r>
      <w:r>
        <w:rPr>
          <w:rFonts w:hint="eastAsia"/>
          <w:lang w:eastAsia="zh-CN"/>
        </w:rPr>
        <w:t>，</w:t>
      </w:r>
      <w:r>
        <w:rPr>
          <w:rFonts w:hint="eastAsia"/>
        </w:rPr>
        <w:t>不致妨碍其供电。</w:t>
      </w:r>
    </w:p>
    <w:p w14:paraId="148AD83B">
      <w:pPr>
        <w:pStyle w:val="327"/>
      </w:pPr>
      <w:r>
        <w:rPr>
          <w:rFonts w:hint="eastAsia"/>
        </w:rPr>
        <w:t>安装应急电源和应急配电装置的处所，应易于直接从开敞甲板到达。</w:t>
      </w:r>
    </w:p>
    <w:p w14:paraId="0C8B7634">
      <w:pPr>
        <w:pStyle w:val="327"/>
      </w:pPr>
      <w:r>
        <w:rPr>
          <w:rFonts w:hint="eastAsia"/>
        </w:rPr>
        <w:t>应急配电装置应尽可能靠近应急电源安装，应急配电装置可与应急发电机安装在同一处所，当应急配电装置的工作会因此受到妨碍时应布置在独立房间内，并应符合14.2.2.4和14.2.2.5的要求。</w:t>
      </w:r>
    </w:p>
    <w:p w14:paraId="439BB2E2">
      <w:pPr>
        <w:pStyle w:val="327"/>
      </w:pPr>
      <w:r>
        <w:rPr>
          <w:rFonts w:hint="eastAsia"/>
        </w:rPr>
        <w:t>作为应急电源、交直流不间断电源所用的蓄电池组不可与应急配电装置安装在同一处所。</w:t>
      </w:r>
    </w:p>
    <w:p w14:paraId="5214C407">
      <w:pPr>
        <w:pStyle w:val="327"/>
      </w:pPr>
      <w:r>
        <w:rPr>
          <w:rFonts w:hint="eastAsia"/>
        </w:rPr>
        <w:t>蓄电池组布置应满足下述要求：</w:t>
      </w:r>
    </w:p>
    <w:p w14:paraId="3B300A81">
      <w:pPr>
        <w:pStyle w:val="305"/>
        <w:numPr>
          <w:ilvl w:val="0"/>
          <w:numId w:val="72"/>
        </w:numPr>
      </w:pPr>
      <w:r>
        <w:rPr>
          <w:rFonts w:hint="eastAsia"/>
        </w:rPr>
        <w:t>应急蓄电池组的自动放电装置，应使蓄电池不论是否在充电，均能随时自动向应急电路供电；</w:t>
      </w:r>
    </w:p>
    <w:p w14:paraId="1F5278E7">
      <w:pPr>
        <w:pStyle w:val="305"/>
        <w:numPr>
          <w:ilvl w:val="0"/>
          <w:numId w:val="72"/>
        </w:numPr>
      </w:pPr>
      <w:r>
        <w:rPr>
          <w:rFonts w:hint="eastAsia"/>
        </w:rPr>
        <w:t xml:space="preserve">蓄电池组应配备适当的充电设备，并考虑蓄电池及充电设备的保护； </w:t>
      </w:r>
    </w:p>
    <w:p w14:paraId="4F3768D9">
      <w:pPr>
        <w:pStyle w:val="305"/>
        <w:numPr>
          <w:ilvl w:val="0"/>
          <w:numId w:val="72"/>
        </w:numPr>
      </w:pPr>
      <w:r>
        <w:rPr>
          <w:rFonts w:hint="eastAsia"/>
        </w:rPr>
        <w:t>充电功率①大于 2</w:t>
      </w:r>
      <w:r>
        <w:rPr>
          <w:rFonts w:hint="eastAsia"/>
          <w:sz w:val="10"/>
          <w:szCs w:val="10"/>
        </w:rPr>
        <w:t xml:space="preserve"> </w:t>
      </w:r>
      <w:r>
        <w:rPr>
          <w:rFonts w:hint="eastAsia"/>
        </w:rPr>
        <w:t>kW 的蓄电池组，应安装在专用蓄电池室内，也可安放在敞开甲板上的箱或柜中。</w:t>
      </w:r>
      <w:bookmarkStart w:id="216" w:name="_Hlk177568694"/>
      <w:r>
        <w:rPr>
          <w:rFonts w:hint="eastAsia"/>
        </w:rPr>
        <w:t>蓄电池组不得安装在生活区域内，但对通信用密封式蓄电池可以设置在直接邻近无线电室外，其出气口应直接通向露天甲板。</w:t>
      </w:r>
      <w:bookmarkEnd w:id="216"/>
    </w:p>
    <w:p w14:paraId="2CAA26BE">
      <w:pPr>
        <w:pStyle w:val="305"/>
        <w:numPr>
          <w:ilvl w:val="0"/>
          <w:numId w:val="0"/>
        </w:numPr>
        <w:ind w:left="420" w:firstLine="360" w:firstLineChars="200"/>
        <w:rPr>
          <w:sz w:val="18"/>
          <w:szCs w:val="18"/>
        </w:rPr>
      </w:pPr>
      <w:r>
        <w:rPr>
          <w:rFonts w:hint="eastAsia" w:ascii="黑体" w:hAnsi="黑体" w:eastAsia="黑体" w:cs="黑体"/>
          <w:sz w:val="18"/>
          <w:szCs w:val="18"/>
        </w:rPr>
        <w:t>注：</w:t>
      </w:r>
      <w:r>
        <w:rPr>
          <w:rFonts w:hint="eastAsia"/>
          <w:sz w:val="18"/>
          <w:szCs w:val="18"/>
        </w:rPr>
        <w:t xml:space="preserve"> ① 充电功率系指蓄电池组的标称电压乘以最大充电电流值</w:t>
      </w:r>
      <w:r>
        <w:rPr>
          <w:sz w:val="18"/>
          <w:szCs w:val="18"/>
        </w:rPr>
        <w:t xml:space="preserve"> </w:t>
      </w:r>
    </w:p>
    <w:p w14:paraId="367C2E57">
      <w:pPr>
        <w:pStyle w:val="305"/>
        <w:numPr>
          <w:ilvl w:val="0"/>
          <w:numId w:val="72"/>
        </w:numPr>
      </w:pPr>
      <w:r>
        <w:rPr>
          <w:rFonts w:hint="eastAsia"/>
        </w:rPr>
        <w:t>充电功率为 0.2</w:t>
      </w:r>
      <w:r>
        <w:rPr>
          <w:rFonts w:hint="eastAsia"/>
          <w:sz w:val="10"/>
          <w:szCs w:val="10"/>
        </w:rPr>
        <w:t xml:space="preserve"> </w:t>
      </w:r>
      <w:r>
        <w:rPr>
          <w:rFonts w:hint="eastAsia"/>
        </w:rPr>
        <w:t>kW 至 2</w:t>
      </w:r>
      <w:r>
        <w:rPr>
          <w:rFonts w:hint="eastAsia"/>
          <w:sz w:val="10"/>
          <w:szCs w:val="10"/>
        </w:rPr>
        <w:t xml:space="preserve"> </w:t>
      </w:r>
      <w:r>
        <w:rPr>
          <w:rFonts w:hint="eastAsia"/>
        </w:rPr>
        <w:t>kW 的蓄电池组，可安放在适当处所内的箱或柜中，或者敞开安放在机器处所内通风良好的地方。</w:t>
      </w:r>
    </w:p>
    <w:p w14:paraId="2CA030FE">
      <w:pPr>
        <w:pStyle w:val="305"/>
        <w:numPr>
          <w:ilvl w:val="0"/>
          <w:numId w:val="72"/>
        </w:numPr>
      </w:pPr>
      <w:r>
        <w:rPr>
          <w:rFonts w:hint="eastAsia"/>
        </w:rPr>
        <w:t>充电功率小于 0.2</w:t>
      </w:r>
      <w:r>
        <w:rPr>
          <w:rFonts w:hint="eastAsia"/>
          <w:sz w:val="10"/>
          <w:szCs w:val="10"/>
        </w:rPr>
        <w:t xml:space="preserve"> </w:t>
      </w:r>
      <w:r>
        <w:rPr>
          <w:rFonts w:hint="eastAsia"/>
        </w:rPr>
        <w:t>kW 的蓄电池组，可以安放在任何合适处所中的开敞位置上或者蓄电池箱内。</w:t>
      </w:r>
    </w:p>
    <w:p w14:paraId="78DAFF02">
      <w:pPr>
        <w:pStyle w:val="305"/>
        <w:numPr>
          <w:ilvl w:val="0"/>
          <w:numId w:val="72"/>
        </w:numPr>
      </w:pPr>
      <w:r>
        <w:rPr>
          <w:rFonts w:hint="eastAsia"/>
        </w:rPr>
        <w:t>原动机起动蓄电池组应尽可能接近该原动机安装，用作应急电源和临时应急电源的蓄电池组的安装位置应符合14.3.4.4的规定。</w:t>
      </w:r>
    </w:p>
    <w:p w14:paraId="7C408D37">
      <w:pPr>
        <w:pStyle w:val="305"/>
        <w:numPr>
          <w:ilvl w:val="0"/>
          <w:numId w:val="72"/>
        </w:numPr>
      </w:pPr>
      <w:r>
        <w:rPr>
          <w:rFonts w:hint="eastAsia"/>
        </w:rPr>
        <w:t>蓄电池室的门、箱和柜的外面应有“禁止烟火”的明显标志。</w:t>
      </w:r>
    </w:p>
    <w:p w14:paraId="4AA4D19D">
      <w:pPr>
        <w:pStyle w:val="261"/>
        <w:spacing w:before="156" w:after="156"/>
        <w:outlineLvl w:val="2"/>
        <w:rPr>
          <w:rFonts w:ascii="Times New Roman"/>
        </w:rPr>
      </w:pPr>
      <w:r>
        <w:rPr>
          <w:rFonts w:hint="eastAsia" w:ascii="Times New Roman"/>
        </w:rPr>
        <w:t>无人驻守平台应急电源</w:t>
      </w:r>
    </w:p>
    <w:p w14:paraId="6F11F4DA">
      <w:pPr>
        <w:pStyle w:val="327"/>
        <w:rPr>
          <w:rFonts w:ascii="宋体" w:cs="宋体"/>
          <w:position w:val="-1"/>
        </w:rPr>
      </w:pPr>
      <w:r>
        <w:rPr>
          <w:rFonts w:hint="eastAsia" w:ascii="宋体" w:cs="宋体"/>
          <w:position w:val="-1"/>
        </w:rPr>
        <w:t>无人驻守平台</w:t>
      </w:r>
      <w:r>
        <w:rPr>
          <w:rFonts w:hint="eastAsia"/>
        </w:rPr>
        <w:t>可根据具体情况不设应急发电机。</w:t>
      </w:r>
    </w:p>
    <w:p w14:paraId="32164CA9">
      <w:pPr>
        <w:pStyle w:val="327"/>
        <w:rPr>
          <w:rFonts w:ascii="宋体" w:cs="宋体"/>
          <w:position w:val="-1"/>
        </w:rPr>
      </w:pPr>
      <w:r>
        <w:rPr>
          <w:rFonts w:hint="eastAsia" w:ascii="宋体" w:cs="宋体"/>
          <w:position w:val="-1"/>
        </w:rPr>
        <w:t>无人驻守平台应设交流不间断电源</w:t>
      </w:r>
      <w:r>
        <w:rPr>
          <w:rFonts w:hint="eastAsia"/>
        </w:rPr>
        <w:t>，为</w:t>
      </w:r>
      <w:r>
        <w:rPr>
          <w:rFonts w:hint="eastAsia" w:ascii="宋体" w:cs="宋体"/>
        </w:rPr>
        <w:t>火灾与可燃、有毒气体探测报警系统、过程控制系统应急关断系统、通信设备等重要用电设备供电至少1</w:t>
      </w:r>
      <w:r>
        <w:rPr>
          <w:rFonts w:hint="eastAsia"/>
          <w:sz w:val="10"/>
          <w:szCs w:val="10"/>
        </w:rPr>
        <w:t xml:space="preserve"> </w:t>
      </w:r>
      <w:r>
        <w:rPr>
          <w:rFonts w:hint="eastAsia" w:ascii="宋体" w:cs="宋体"/>
        </w:rPr>
        <w:t>h，</w:t>
      </w:r>
      <w:r>
        <w:rPr>
          <w:rFonts w:hint="eastAsia"/>
        </w:rPr>
        <w:t>如有特殊需求可根据实际情况适当延长</w:t>
      </w:r>
      <w:r>
        <w:rPr>
          <w:rFonts w:hint="eastAsia" w:ascii="宋体" w:cs="宋体"/>
          <w:position w:val="-1"/>
        </w:rPr>
        <w:t>。</w:t>
      </w:r>
    </w:p>
    <w:p w14:paraId="74EF654A">
      <w:pPr>
        <w:pStyle w:val="327"/>
        <w:rPr>
          <w:rFonts w:ascii="宋体" w:cs="宋体"/>
          <w:position w:val="-1"/>
        </w:rPr>
      </w:pPr>
      <w:r>
        <w:rPr>
          <w:rFonts w:hint="eastAsia" w:ascii="宋体" w:cs="宋体"/>
          <w:position w:val="-1"/>
        </w:rPr>
        <w:t>仅设有交流不间断电源的无人驻守平台，其应布置在独立房间或布置在与其同等重要设备的房间内。</w:t>
      </w:r>
    </w:p>
    <w:p w14:paraId="64521ADB">
      <w:pPr>
        <w:pStyle w:val="327"/>
        <w:rPr>
          <w:rFonts w:ascii="宋体" w:cs="宋体"/>
          <w:position w:val="-1"/>
        </w:rPr>
      </w:pPr>
      <w:r>
        <w:rPr>
          <w:rFonts w:hint="eastAsia" w:ascii="宋体" w:cs="宋体"/>
          <w:position w:val="-1"/>
        </w:rPr>
        <w:t>标示</w:t>
      </w:r>
      <w:r>
        <w:rPr>
          <w:rFonts w:hint="eastAsia"/>
        </w:rPr>
        <w:t>无人驻守</w:t>
      </w:r>
      <w:r>
        <w:rPr>
          <w:rFonts w:hint="eastAsia" w:ascii="宋体" w:cs="宋体"/>
          <w:position w:val="-1"/>
        </w:rPr>
        <w:t>平台的信号灯（包括障碍灯）和声响信号应连续供电96</w:t>
      </w:r>
      <w:r>
        <w:rPr>
          <w:rFonts w:hint="eastAsia"/>
          <w:sz w:val="10"/>
          <w:szCs w:val="10"/>
        </w:rPr>
        <w:t xml:space="preserve"> </w:t>
      </w:r>
      <w:r>
        <w:rPr>
          <w:rFonts w:hint="eastAsia" w:ascii="宋体" w:cs="宋体"/>
          <w:position w:val="-1"/>
        </w:rPr>
        <w:t>h。</w:t>
      </w:r>
    </w:p>
    <w:p w14:paraId="1D752F95">
      <w:pPr>
        <w:pStyle w:val="327"/>
        <w:rPr>
          <w:rFonts w:ascii="宋体" w:cs="宋体"/>
          <w:position w:val="-1"/>
        </w:rPr>
      </w:pPr>
      <w:r>
        <w:rPr>
          <w:rFonts w:hint="eastAsia" w:ascii="宋体" w:cs="宋体"/>
          <w:position w:val="-1"/>
        </w:rPr>
        <w:t>蓄电池组布置应符合14.3.4.6的要求。</w:t>
      </w:r>
    </w:p>
    <w:p w14:paraId="0950B2FE">
      <w:pPr>
        <w:pStyle w:val="260"/>
        <w:outlineLvl w:val="1"/>
      </w:pPr>
      <w:bookmarkStart w:id="217" w:name="_Toc22918"/>
      <w:bookmarkStart w:id="218" w:name="_Toc477"/>
      <w:r>
        <w:rPr>
          <w:rFonts w:hint="eastAsia"/>
        </w:rPr>
        <w:t>供配电系统</w:t>
      </w:r>
      <w:bookmarkEnd w:id="217"/>
      <w:bookmarkEnd w:id="218"/>
    </w:p>
    <w:p w14:paraId="5330511C">
      <w:pPr>
        <w:pStyle w:val="326"/>
      </w:pPr>
      <w:r>
        <w:rPr>
          <w:rFonts w:ascii="Times New Roman" w:eastAsia="宋体"/>
        </w:rPr>
        <w:t>平台可采用下列形式的配电系统</w:t>
      </w:r>
      <w:r>
        <w:rPr>
          <w:rFonts w:hint="eastAsia" w:ascii="Times New Roman" w:eastAsia="宋体"/>
        </w:rPr>
        <w:t>：</w:t>
      </w:r>
    </w:p>
    <w:p w14:paraId="56E142A8">
      <w:pPr>
        <w:pStyle w:val="305"/>
        <w:numPr>
          <w:ilvl w:val="0"/>
          <w:numId w:val="73"/>
        </w:numPr>
      </w:pPr>
      <w:r>
        <w:rPr>
          <w:rFonts w:hint="eastAsia"/>
        </w:rPr>
        <w:t>直流：双线绝缘系统；</w:t>
      </w:r>
    </w:p>
    <w:p w14:paraId="352A18C4">
      <w:pPr>
        <w:pStyle w:val="305"/>
        <w:numPr>
          <w:ilvl w:val="0"/>
          <w:numId w:val="73"/>
        </w:numPr>
      </w:pPr>
      <w:r>
        <w:rPr>
          <w:rFonts w:hint="eastAsia"/>
        </w:rPr>
        <w:t>单相交流：双线绝缘系统；</w:t>
      </w:r>
    </w:p>
    <w:p w14:paraId="0694AAF5">
      <w:pPr>
        <w:pStyle w:val="305"/>
        <w:numPr>
          <w:ilvl w:val="0"/>
          <w:numId w:val="73"/>
        </w:numPr>
      </w:pPr>
      <w:r>
        <w:t>三相交流</w:t>
      </w:r>
      <w:r>
        <w:rPr>
          <w:rFonts w:hint="eastAsia"/>
        </w:rPr>
        <w:t>：</w:t>
      </w:r>
      <w:r>
        <w:t>三相三线</w:t>
      </w:r>
      <w:r>
        <w:rPr>
          <w:rFonts w:hint="eastAsia"/>
        </w:rPr>
        <w:t>非直接接地</w:t>
      </w:r>
      <w:r>
        <w:t>系统</w:t>
      </w:r>
      <w:r>
        <w:rPr>
          <w:rFonts w:hint="eastAsia"/>
        </w:rPr>
        <w:t>，</w:t>
      </w:r>
      <w:r>
        <w:t>三相</w:t>
      </w:r>
      <w:r>
        <w:rPr>
          <w:rFonts w:hint="eastAsia"/>
        </w:rPr>
        <w:t>四</w:t>
      </w:r>
      <w:r>
        <w:t>线中性点接地系统。</w:t>
      </w:r>
    </w:p>
    <w:p w14:paraId="43D7B937">
      <w:pPr>
        <w:pStyle w:val="326"/>
      </w:pPr>
      <w:r>
        <w:rPr>
          <w:rFonts w:hint="eastAsia"/>
        </w:rPr>
        <w:t>平台上的动力、电热和照明的</w:t>
      </w:r>
      <w:r>
        <w:rPr>
          <w:rFonts w:ascii="Times New Roman" w:eastAsia="宋体"/>
        </w:rPr>
        <w:t>配电系统</w:t>
      </w:r>
      <w:r>
        <w:rPr>
          <w:rFonts w:hint="eastAsia" w:ascii="Times New Roman" w:eastAsia="宋体"/>
        </w:rPr>
        <w:t>，均</w:t>
      </w:r>
      <w:r>
        <w:rPr>
          <w:rFonts w:ascii="Times New Roman" w:eastAsia="宋体"/>
        </w:rPr>
        <w:t>不</w:t>
      </w:r>
      <w:r>
        <w:rPr>
          <w:rFonts w:hint="eastAsia" w:ascii="Times New Roman" w:eastAsia="宋体"/>
        </w:rPr>
        <w:t>应</w:t>
      </w:r>
      <w:r>
        <w:rPr>
          <w:rFonts w:ascii="Times New Roman" w:eastAsia="宋体"/>
        </w:rPr>
        <w:t>利用平台</w:t>
      </w:r>
      <w:r>
        <w:rPr>
          <w:rFonts w:hint="eastAsia" w:ascii="Times New Roman" w:eastAsia="宋体"/>
        </w:rPr>
        <w:t>钢结构</w:t>
      </w:r>
      <w:r>
        <w:rPr>
          <w:rFonts w:ascii="Times New Roman" w:eastAsia="宋体"/>
        </w:rPr>
        <w:t>作回路</w:t>
      </w:r>
      <w:r>
        <w:rPr>
          <w:rFonts w:hint="eastAsia" w:ascii="Times New Roman" w:eastAsia="宋体"/>
        </w:rPr>
        <w:t>的配电系统，但</w:t>
      </w:r>
      <w:r>
        <w:rPr>
          <w:rFonts w:ascii="Times New Roman" w:eastAsia="宋体"/>
        </w:rPr>
        <w:t>下述情况除外：</w:t>
      </w:r>
    </w:p>
    <w:p w14:paraId="1A6FA77C">
      <w:pPr>
        <w:pStyle w:val="305"/>
        <w:numPr>
          <w:ilvl w:val="0"/>
          <w:numId w:val="74"/>
        </w:numPr>
        <w:rPr>
          <w:rFonts w:ascii="Times New Roman"/>
          <w:szCs w:val="21"/>
        </w:rPr>
      </w:pPr>
      <w:r>
        <w:rPr>
          <w:rFonts w:hint="eastAsia"/>
        </w:rPr>
        <w:t>外加电流型阴极保护系统；</w:t>
      </w:r>
    </w:p>
    <w:p w14:paraId="52394453">
      <w:pPr>
        <w:pStyle w:val="305"/>
        <w:numPr>
          <w:ilvl w:val="0"/>
          <w:numId w:val="74"/>
        </w:numPr>
        <w:rPr>
          <w:rFonts w:ascii="Times New Roman"/>
          <w:szCs w:val="21"/>
        </w:rPr>
      </w:pPr>
      <w:r>
        <w:rPr>
          <w:rFonts w:hint="eastAsia" w:ascii="Times New Roman"/>
          <w:szCs w:val="21"/>
        </w:rPr>
        <w:t>有限和局部地利用平台作回路的系统，如由此可能产生的任何电流不直接流过任何危险区；</w:t>
      </w:r>
    </w:p>
    <w:p w14:paraId="55343A4C">
      <w:pPr>
        <w:pStyle w:val="305"/>
        <w:numPr>
          <w:ilvl w:val="0"/>
          <w:numId w:val="74"/>
        </w:numPr>
        <w:rPr>
          <w:rFonts w:ascii="Times New Roman"/>
          <w:szCs w:val="21"/>
        </w:rPr>
      </w:pPr>
      <w:r>
        <w:rPr>
          <w:rFonts w:hint="eastAsia" w:ascii="Times New Roman"/>
          <w:szCs w:val="21"/>
        </w:rPr>
        <w:t>在最不利的情况下循环电流不超过</w:t>
      </w:r>
      <w:r>
        <w:rPr>
          <w:rFonts w:ascii="Times New Roman"/>
          <w:szCs w:val="21"/>
        </w:rPr>
        <w:t xml:space="preserve"> </w:t>
      </w:r>
      <w:r>
        <w:rPr>
          <w:rFonts w:hint="eastAsia" w:hAnsi="宋体" w:cs="宋体"/>
          <w:szCs w:val="21"/>
        </w:rPr>
        <w:t>30</w:t>
      </w:r>
      <w:r>
        <w:rPr>
          <w:rFonts w:hint="eastAsia" w:hAnsi="宋体" w:cs="宋体"/>
          <w:sz w:val="10"/>
          <w:szCs w:val="10"/>
        </w:rPr>
        <w:t xml:space="preserve"> </w:t>
      </w:r>
      <w:r>
        <w:rPr>
          <w:rFonts w:hint="eastAsia" w:hAnsi="宋体" w:cs="宋体"/>
          <w:szCs w:val="21"/>
        </w:rPr>
        <w:t>mA</w:t>
      </w:r>
      <w:r>
        <w:rPr>
          <w:rFonts w:ascii="Times New Roman"/>
          <w:szCs w:val="21"/>
        </w:rPr>
        <w:t xml:space="preserve"> </w:t>
      </w:r>
      <w:r>
        <w:rPr>
          <w:rFonts w:hint="eastAsia" w:ascii="Times New Roman"/>
          <w:szCs w:val="21"/>
        </w:rPr>
        <w:t>的绝缘电阻监测设备；</w:t>
      </w:r>
    </w:p>
    <w:p w14:paraId="17CBFF58">
      <w:pPr>
        <w:pStyle w:val="305"/>
        <w:numPr>
          <w:ilvl w:val="0"/>
          <w:numId w:val="74"/>
        </w:numPr>
        <w:rPr>
          <w:rFonts w:ascii="Times New Roman"/>
          <w:szCs w:val="21"/>
        </w:rPr>
      </w:pPr>
      <w:r>
        <w:rPr>
          <w:rFonts w:hint="eastAsia" w:ascii="Times New Roman"/>
          <w:szCs w:val="21"/>
        </w:rPr>
        <w:t>本质安全型电路；</w:t>
      </w:r>
    </w:p>
    <w:p w14:paraId="49C2F616">
      <w:pPr>
        <w:pStyle w:val="305"/>
        <w:numPr>
          <w:ilvl w:val="0"/>
          <w:numId w:val="74"/>
        </w:numPr>
        <w:rPr>
          <w:rFonts w:cs="宋体"/>
          <w:szCs w:val="21"/>
        </w:rPr>
      </w:pPr>
      <w:r>
        <w:rPr>
          <w:rFonts w:hint="eastAsia" w:ascii="Times New Roman"/>
          <w:szCs w:val="21"/>
        </w:rPr>
        <w:t>控制和仪表电路，如因技术上或安全上原因需使用接地系统，且在正常和故障情况下可能产生的钢结构电流不超过</w:t>
      </w:r>
      <w:r>
        <w:rPr>
          <w:rFonts w:hint="eastAsia" w:hAnsi="宋体" w:cs="宋体"/>
          <w:szCs w:val="21"/>
        </w:rPr>
        <w:t>5</w:t>
      </w:r>
      <w:r>
        <w:rPr>
          <w:rFonts w:hint="eastAsia" w:hAnsi="宋体" w:cs="宋体"/>
          <w:sz w:val="10"/>
          <w:szCs w:val="10"/>
        </w:rPr>
        <w:t xml:space="preserve"> </w:t>
      </w:r>
      <w:r>
        <w:rPr>
          <w:rFonts w:hint="eastAsia" w:hAnsi="宋体" w:cs="宋体"/>
          <w:szCs w:val="21"/>
        </w:rPr>
        <w:t>A</w:t>
      </w:r>
      <w:r>
        <w:rPr>
          <w:rFonts w:hint="eastAsia" w:ascii="Times New Roman"/>
          <w:szCs w:val="21"/>
        </w:rPr>
        <w:t>。</w:t>
      </w:r>
    </w:p>
    <w:p w14:paraId="46B4063B">
      <w:pPr>
        <w:pStyle w:val="326"/>
        <w:rPr>
          <w:rFonts w:cs="宋体"/>
        </w:rPr>
      </w:pPr>
      <w:r>
        <w:rPr>
          <w:rFonts w:hint="eastAsia" w:cs="宋体"/>
        </w:rPr>
        <w:t>接地配电系统的系统接地应与电气设备的平时不带电部分的接地分开。</w:t>
      </w:r>
    </w:p>
    <w:p w14:paraId="40A3787C">
      <w:pPr>
        <w:pStyle w:val="326"/>
        <w:rPr>
          <w:rFonts w:ascii="Times New Roman" w:eastAsia="宋体"/>
        </w:rPr>
      </w:pPr>
      <w:r>
        <w:rPr>
          <w:rFonts w:hint="eastAsia" w:ascii="宋体" w:cs="宋体"/>
        </w:rPr>
        <w:t>用于电力</w:t>
      </w:r>
      <w:r>
        <w:rPr>
          <w:rFonts w:hint="eastAsia" w:ascii="宋体" w:cs="宋体"/>
          <w:spacing w:val="-13"/>
        </w:rPr>
        <w:t>、</w:t>
      </w:r>
      <w:r>
        <w:rPr>
          <w:rFonts w:hint="eastAsia" w:ascii="宋体" w:cs="宋体"/>
        </w:rPr>
        <w:t>电伴热和照明的绝缘配电系统</w:t>
      </w:r>
      <w:r>
        <w:rPr>
          <w:rFonts w:hint="eastAsia" w:ascii="Times New Roman" w:eastAsia="宋体"/>
        </w:rPr>
        <w:t>，应设有连续监测对地绝缘电阻的装置，此装置能在绝缘电阻异常低时发出声或光的报警信号。</w:t>
      </w:r>
    </w:p>
    <w:p w14:paraId="1ECD6864">
      <w:pPr>
        <w:pStyle w:val="260"/>
        <w:outlineLvl w:val="1"/>
      </w:pPr>
      <w:bookmarkStart w:id="219" w:name="_Toc5780"/>
      <w:bookmarkStart w:id="220" w:name="_Toc8876"/>
      <w:r>
        <w:rPr>
          <w:rFonts w:hint="eastAsia"/>
        </w:rPr>
        <w:t>照明</w:t>
      </w:r>
      <w:bookmarkEnd w:id="219"/>
      <w:bookmarkEnd w:id="220"/>
    </w:p>
    <w:p w14:paraId="384A54C4">
      <w:pPr>
        <w:pStyle w:val="326"/>
      </w:pPr>
      <w:r>
        <w:rPr>
          <w:rFonts w:hint="eastAsia"/>
        </w:rPr>
        <w:t>一般要求</w:t>
      </w:r>
    </w:p>
    <w:p w14:paraId="50D317B9">
      <w:pPr>
        <w:pStyle w:val="305"/>
        <w:numPr>
          <w:ilvl w:val="0"/>
          <w:numId w:val="75"/>
        </w:numPr>
        <w:rPr>
          <w:rFonts w:ascii="Times New Roman"/>
          <w:szCs w:val="21"/>
        </w:rPr>
      </w:pPr>
      <w:r>
        <w:rPr>
          <w:rFonts w:hint="eastAsia" w:ascii="Times New Roman"/>
          <w:szCs w:val="21"/>
        </w:rPr>
        <w:t>照明系统的设计应基于安全性要求，以及人员工作条件下的可视性及视觉满意度。</w:t>
      </w:r>
    </w:p>
    <w:p w14:paraId="4A8A0147">
      <w:pPr>
        <w:pStyle w:val="305"/>
        <w:numPr>
          <w:ilvl w:val="0"/>
          <w:numId w:val="75"/>
        </w:numPr>
        <w:rPr>
          <w:szCs w:val="21"/>
        </w:rPr>
      </w:pPr>
      <w:r>
        <w:rPr>
          <w:rFonts w:hint="eastAsia"/>
        </w:rPr>
        <w:t>照明灯具的选型与安装</w:t>
      </w:r>
      <w:r>
        <w:rPr>
          <w:rFonts w:hint="eastAsia"/>
          <w:lang w:eastAsia="zh-CN"/>
        </w:rPr>
        <w:t>，</w:t>
      </w:r>
      <w:r>
        <w:rPr>
          <w:rFonts w:hint="eastAsia"/>
        </w:rPr>
        <w:t>应与其安装处所的环境条件相适应</w:t>
      </w:r>
      <w:r>
        <w:rPr>
          <w:rFonts w:hint="eastAsia"/>
          <w:lang w:eastAsia="zh-CN"/>
        </w:rPr>
        <w:t>，</w:t>
      </w:r>
      <w:r>
        <w:rPr>
          <w:rFonts w:hint="eastAsia"/>
        </w:rPr>
        <w:t>并应设有相应的保护措施。选用耐腐蚀性强的材料</w:t>
      </w:r>
      <w:r>
        <w:rPr>
          <w:rFonts w:hint="eastAsia" w:ascii="Times New Roman"/>
          <w:szCs w:val="21"/>
        </w:rPr>
        <w:t>。</w:t>
      </w:r>
    </w:p>
    <w:p w14:paraId="2DEF5787">
      <w:pPr>
        <w:pStyle w:val="305"/>
        <w:numPr>
          <w:ilvl w:val="0"/>
          <w:numId w:val="75"/>
        </w:numPr>
        <w:rPr>
          <w:rFonts w:ascii="Times New Roman"/>
          <w:szCs w:val="21"/>
        </w:rPr>
      </w:pPr>
      <w:r>
        <w:rPr>
          <w:rFonts w:hint="eastAsia" w:ascii="Times New Roman"/>
          <w:szCs w:val="21"/>
        </w:rPr>
        <w:t>直接固定在木板或其他易燃材料上的灯具</w:t>
      </w:r>
      <w:r>
        <w:rPr>
          <w:rFonts w:hint="eastAsia" w:ascii="Times New Roman"/>
          <w:szCs w:val="21"/>
          <w:lang w:eastAsia="zh-CN"/>
        </w:rPr>
        <w:t>，</w:t>
      </w:r>
      <w:r>
        <w:rPr>
          <w:rFonts w:hint="eastAsia" w:ascii="Times New Roman"/>
          <w:szCs w:val="21"/>
        </w:rPr>
        <w:t>应采取防火隔热措施。</w:t>
      </w:r>
    </w:p>
    <w:p w14:paraId="05C06631">
      <w:pPr>
        <w:pStyle w:val="326"/>
      </w:pPr>
      <w:r>
        <w:rPr>
          <w:rFonts w:hint="eastAsia"/>
        </w:rPr>
        <w:t>照明系统应分为正常照明系统、应急照明系统以及临时应急照明系统。正常照明系统照度水平应满足GB/T 25444.2标准要求。应急照明系统的照度水平应不低于正常照明系统的30%。照明供电线路一般应由照明及小功率变压器、配电盘和分电箱供电，对于照明和小功率用电需求较小的平台可根据情况不设专用变压器。</w:t>
      </w:r>
    </w:p>
    <w:p w14:paraId="359C0902">
      <w:pPr>
        <w:pStyle w:val="326"/>
      </w:pPr>
      <w:r>
        <w:rPr>
          <w:rFonts w:hint="eastAsia"/>
        </w:rPr>
        <w:t>荧光灯或LED灯安装在有转动部件的场所时</w:t>
      </w:r>
      <w:r>
        <w:rPr>
          <w:rFonts w:hint="eastAsia"/>
          <w:lang w:eastAsia="zh-CN"/>
        </w:rPr>
        <w:t>，</w:t>
      </w:r>
      <w:r>
        <w:rPr>
          <w:rFonts w:hint="eastAsia"/>
        </w:rPr>
        <w:t>应避免产生眩光。</w:t>
      </w:r>
    </w:p>
    <w:p w14:paraId="2E59D97F">
      <w:pPr>
        <w:pStyle w:val="326"/>
      </w:pPr>
      <w:r>
        <w:rPr>
          <w:rFonts w:hint="eastAsia"/>
        </w:rPr>
        <w:t>临时应急照明提供的亮度应足以允许人员在紧急并有烟雾情况下的安全撤离。主电源和应急电源发生故障时，临时应急和逃生照明系统应自动打开。临时应急和逃生照明系统持续时间应不低于60 min。</w:t>
      </w:r>
    </w:p>
    <w:p w14:paraId="4D6E75DD">
      <w:pPr>
        <w:pStyle w:val="326"/>
      </w:pPr>
      <w:r>
        <w:rPr>
          <w:rFonts w:hint="eastAsia"/>
        </w:rPr>
        <w:t>各区域（除冷库和单人卫生间等特殊区域）</w:t>
      </w:r>
      <w:r>
        <w:t>应至少由2个照明回路供电，其中的一个回路</w:t>
      </w:r>
      <w:r>
        <w:rPr>
          <w:rFonts w:hint="eastAsia"/>
        </w:rPr>
        <w:t>应为</w:t>
      </w:r>
      <w:r>
        <w:t>应急照明回路</w:t>
      </w:r>
      <w:r>
        <w:rPr>
          <w:rFonts w:hint="eastAsia"/>
        </w:rPr>
        <w:t>或临时应急照明</w:t>
      </w:r>
      <w:r>
        <w:t>。</w:t>
      </w:r>
    </w:p>
    <w:p w14:paraId="5F97DBF3">
      <w:pPr>
        <w:pStyle w:val="260"/>
        <w:outlineLvl w:val="1"/>
      </w:pPr>
      <w:bookmarkStart w:id="221" w:name="_Toc1724"/>
      <w:bookmarkStart w:id="222" w:name="_Toc14597"/>
      <w:r>
        <w:rPr>
          <w:rFonts w:hint="eastAsia"/>
        </w:rPr>
        <w:t>电伴热设施和电加热设备</w:t>
      </w:r>
      <w:bookmarkEnd w:id="221"/>
      <w:bookmarkEnd w:id="222"/>
    </w:p>
    <w:p w14:paraId="3963604C">
      <w:pPr>
        <w:pStyle w:val="326"/>
      </w:pPr>
      <w:r>
        <w:rPr>
          <w:rFonts w:hint="eastAsia"/>
        </w:rPr>
        <w:t>电伴热设施应满足下述要求：</w:t>
      </w:r>
    </w:p>
    <w:p w14:paraId="4BDE8306">
      <w:pPr>
        <w:pStyle w:val="305"/>
        <w:numPr>
          <w:ilvl w:val="0"/>
          <w:numId w:val="76"/>
        </w:numPr>
        <w:rPr>
          <w:rFonts w:ascii="Times New Roman"/>
          <w:szCs w:val="21"/>
        </w:rPr>
      </w:pPr>
      <w:r>
        <w:rPr>
          <w:rFonts w:hint="eastAsia"/>
        </w:rPr>
        <w:t>在存在腐蚀性气体或介质的条件下，电伴热带的外护套应有适合于该区域的抗腐蚀性能；</w:t>
      </w:r>
    </w:p>
    <w:p w14:paraId="34A8CF5C">
      <w:pPr>
        <w:pStyle w:val="305"/>
        <w:numPr>
          <w:ilvl w:val="0"/>
          <w:numId w:val="76"/>
        </w:numPr>
      </w:pPr>
      <w:r>
        <w:rPr>
          <w:rFonts w:hint="eastAsia"/>
        </w:rPr>
        <w:t>电伴热带及配套使用的控制电气设备应设有过载、短路及漏电流的检测、控制和保护装置。漏电保护动作值应不超过30mA；</w:t>
      </w:r>
    </w:p>
    <w:p w14:paraId="63E9E18E">
      <w:pPr>
        <w:pStyle w:val="305"/>
        <w:numPr>
          <w:ilvl w:val="0"/>
          <w:numId w:val="76"/>
        </w:numPr>
      </w:pPr>
      <w:r>
        <w:rPr>
          <w:rFonts w:hint="eastAsia"/>
        </w:rPr>
        <w:t>电伴热系统一般应由专用的变压器、配电盘和分电箱供电，对于电伴热需求较小的平台可根据情况不设专用变压器。</w:t>
      </w:r>
    </w:p>
    <w:p w14:paraId="2DCBD7EA">
      <w:pPr>
        <w:pStyle w:val="326"/>
      </w:pPr>
      <w:r>
        <w:rPr>
          <w:rFonts w:hint="eastAsia"/>
        </w:rPr>
        <w:t>电加热设备应满足下述要求：</w:t>
      </w:r>
    </w:p>
    <w:p w14:paraId="5CC5B8F3">
      <w:pPr>
        <w:pStyle w:val="305"/>
        <w:numPr>
          <w:ilvl w:val="0"/>
          <w:numId w:val="77"/>
        </w:numPr>
        <w:rPr>
          <w:rFonts w:ascii="Times New Roman"/>
          <w:szCs w:val="21"/>
        </w:rPr>
      </w:pPr>
      <w:r>
        <w:rPr>
          <w:rFonts w:hint="eastAsia"/>
        </w:rPr>
        <w:t>电加热设备应具有适合于该设备中被加热介质要求的抗腐蚀外壳；</w:t>
      </w:r>
    </w:p>
    <w:p w14:paraId="58B575AE">
      <w:pPr>
        <w:pStyle w:val="305"/>
        <w:numPr>
          <w:ilvl w:val="0"/>
          <w:numId w:val="77"/>
        </w:numPr>
        <w:rPr>
          <w:rFonts w:ascii="Times New Roman"/>
          <w:szCs w:val="21"/>
        </w:rPr>
      </w:pPr>
      <w:r>
        <w:rPr>
          <w:rFonts w:hint="eastAsia" w:ascii="Times New Roman"/>
          <w:szCs w:val="21"/>
        </w:rPr>
        <w:t>电加热设备应设控制与保护设备，在温度超过限定值时，能自动将电源切断；</w:t>
      </w:r>
    </w:p>
    <w:p w14:paraId="667924CA">
      <w:pPr>
        <w:pStyle w:val="305"/>
        <w:numPr>
          <w:ilvl w:val="0"/>
          <w:numId w:val="77"/>
        </w:numPr>
        <w:rPr>
          <w:szCs w:val="21"/>
        </w:rPr>
      </w:pPr>
      <w:r>
        <w:rPr>
          <w:rFonts w:hint="eastAsia" w:ascii="Times New Roman"/>
          <w:szCs w:val="21"/>
        </w:rPr>
        <w:t>电加热设备的安装不应对周围设备及物品产生过热的危险。</w:t>
      </w:r>
    </w:p>
    <w:p w14:paraId="2F837A11">
      <w:pPr>
        <w:pStyle w:val="305"/>
        <w:numPr>
          <w:ilvl w:val="0"/>
          <w:numId w:val="77"/>
        </w:numPr>
        <w:rPr>
          <w:rFonts w:ascii="Times New Roman"/>
          <w:szCs w:val="21"/>
        </w:rPr>
      </w:pPr>
      <w:r>
        <w:rPr>
          <w:szCs w:val="21"/>
        </w:rPr>
        <w:t>每个电加热器应由单独的供电回路供电</w:t>
      </w:r>
      <w:r>
        <w:rPr>
          <w:rFonts w:ascii="Times New Roman"/>
          <w:szCs w:val="21"/>
        </w:rPr>
        <w:t>。</w:t>
      </w:r>
    </w:p>
    <w:p w14:paraId="417309B3">
      <w:pPr>
        <w:pStyle w:val="326"/>
      </w:pPr>
      <w:r>
        <w:rPr>
          <w:rFonts w:hint="eastAsia" w:ascii="Times New Roman" w:eastAsia="宋体"/>
        </w:rPr>
        <w:t>电伴热和电加热设备的防护要求和防爆等级必须满足所在处所的要求。</w:t>
      </w:r>
    </w:p>
    <w:p w14:paraId="59E478A9">
      <w:pPr>
        <w:pStyle w:val="260"/>
        <w:outlineLvl w:val="1"/>
      </w:pPr>
      <w:bookmarkStart w:id="223" w:name="_Toc20595"/>
      <w:bookmarkStart w:id="224" w:name="_Toc20767"/>
      <w:r>
        <w:rPr>
          <w:rFonts w:hint="eastAsia"/>
        </w:rPr>
        <w:t>电缆</w:t>
      </w:r>
      <w:bookmarkEnd w:id="223"/>
      <w:bookmarkEnd w:id="224"/>
    </w:p>
    <w:p w14:paraId="44B48164">
      <w:pPr>
        <w:pStyle w:val="326"/>
      </w:pPr>
      <w:bookmarkStart w:id="225" w:name="_Hlk177569180"/>
      <w:r>
        <w:rPr>
          <w:rFonts w:hint="eastAsia"/>
        </w:rPr>
        <w:t>需要在失火状态下工作设备的供电电缆应为耐火型外，其它电缆应为阻燃型。</w:t>
      </w:r>
      <w:bookmarkEnd w:id="225"/>
    </w:p>
    <w:p w14:paraId="21C5C530">
      <w:pPr>
        <w:pStyle w:val="326"/>
      </w:pPr>
      <w:r>
        <w:rPr>
          <w:rFonts w:hint="eastAsia"/>
        </w:rPr>
        <w:t>需在失火状况下维持工作的设备应至少包括：</w:t>
      </w:r>
    </w:p>
    <w:p w14:paraId="4A59BA4C">
      <w:pPr>
        <w:pStyle w:val="305"/>
        <w:numPr>
          <w:ilvl w:val="0"/>
          <w:numId w:val="78"/>
        </w:numPr>
      </w:pPr>
      <w:r>
        <w:rPr>
          <w:rFonts w:hint="eastAsia"/>
        </w:rPr>
        <w:t>通用紧急报警系统；</w:t>
      </w:r>
    </w:p>
    <w:p w14:paraId="128BB5C0">
      <w:pPr>
        <w:pStyle w:val="305"/>
        <w:numPr>
          <w:ilvl w:val="0"/>
          <w:numId w:val="78"/>
        </w:numPr>
      </w:pPr>
      <w:r>
        <w:rPr>
          <w:rFonts w:hint="eastAsia"/>
        </w:rPr>
        <w:t>火灾报警系统；</w:t>
      </w:r>
    </w:p>
    <w:p w14:paraId="56EDBED7">
      <w:pPr>
        <w:pStyle w:val="305"/>
        <w:numPr>
          <w:ilvl w:val="0"/>
          <w:numId w:val="78"/>
        </w:numPr>
      </w:pPr>
      <w:r>
        <w:rPr>
          <w:rFonts w:hint="eastAsia"/>
        </w:rPr>
        <w:t>灭火系统和灭火剂释放报警系统；</w:t>
      </w:r>
    </w:p>
    <w:p w14:paraId="11365EF1">
      <w:pPr>
        <w:pStyle w:val="305"/>
        <w:numPr>
          <w:ilvl w:val="0"/>
          <w:numId w:val="78"/>
        </w:numPr>
      </w:pPr>
      <w:r>
        <w:rPr>
          <w:rFonts w:hint="eastAsia"/>
        </w:rPr>
        <w:t>公共广播系统；</w:t>
      </w:r>
    </w:p>
    <w:p w14:paraId="48412FDE">
      <w:pPr>
        <w:pStyle w:val="305"/>
        <w:numPr>
          <w:ilvl w:val="0"/>
          <w:numId w:val="78"/>
        </w:numPr>
      </w:pPr>
      <w:r>
        <w:rPr>
          <w:rFonts w:hint="eastAsia"/>
        </w:rPr>
        <w:t>应急照明和临时应急照明；</w:t>
      </w:r>
    </w:p>
    <w:p w14:paraId="0FF5D4D5">
      <w:pPr>
        <w:pStyle w:val="305"/>
        <w:numPr>
          <w:ilvl w:val="0"/>
          <w:numId w:val="78"/>
        </w:numPr>
      </w:pPr>
      <w:r>
        <w:rPr>
          <w:rFonts w:hint="eastAsia"/>
        </w:rPr>
        <w:t>可能形成火灾和/或爆炸蔓延系统的遥控停止/关闭设备；</w:t>
      </w:r>
    </w:p>
    <w:p w14:paraId="0BB9A57F">
      <w:pPr>
        <w:pStyle w:val="305"/>
        <w:numPr>
          <w:ilvl w:val="0"/>
          <w:numId w:val="78"/>
        </w:numPr>
      </w:pPr>
      <w:r>
        <w:rPr>
          <w:rFonts w:hint="eastAsia"/>
        </w:rPr>
        <w:t>消防泵。</w:t>
      </w:r>
    </w:p>
    <w:p w14:paraId="3D2C65B9">
      <w:pPr>
        <w:pStyle w:val="326"/>
      </w:pPr>
      <w:r>
        <w:rPr>
          <w:rFonts w:hint="eastAsia"/>
        </w:rPr>
        <w:t>对要求两路供电的重要设备，电缆应尽可能远离敷设。</w:t>
      </w:r>
    </w:p>
    <w:p w14:paraId="360A8D50">
      <w:pPr>
        <w:pStyle w:val="326"/>
      </w:pPr>
      <w:r>
        <w:rPr>
          <w:rFonts w:hint="eastAsia"/>
        </w:rPr>
        <w:t>电缆贯穿有防火要求的墙壁和甲板时，应保证不会削弱甲板和墙壁的防火完整性。</w:t>
      </w:r>
    </w:p>
    <w:p w14:paraId="536AE7D4">
      <w:pPr>
        <w:pStyle w:val="326"/>
      </w:pPr>
      <w:r>
        <w:rPr>
          <w:rFonts w:hint="eastAsia"/>
        </w:rPr>
        <w:t>用作填料函和衬垫的材料，不应对电缆或平台构件有腐蚀危险。</w:t>
      </w:r>
    </w:p>
    <w:p w14:paraId="27CFCF01">
      <w:pPr>
        <w:pStyle w:val="326"/>
        <w:rPr>
          <w:rFonts w:hint="eastAsia"/>
        </w:rPr>
      </w:pPr>
      <w:r>
        <w:rPr>
          <w:rFonts w:hint="eastAsia"/>
        </w:rPr>
        <w:t>电缆的敷设应尽量远离热源。敷设于易受机械损伤的区域时，应对电缆提供防护措施。用于重要设备或应急动力设备、应急照明等电缆应尽可能远离厨房、洗衣间、以及其他较大失火危险处所，但对这些处所中的设备供电的电缆可例外。</w:t>
      </w:r>
    </w:p>
    <w:p w14:paraId="654D564A">
      <w:pPr>
        <w:pStyle w:val="260"/>
        <w:outlineLvl w:val="1"/>
      </w:pPr>
      <w:bookmarkStart w:id="226" w:name="_Toc13380"/>
      <w:bookmarkStart w:id="227" w:name="_Toc26365"/>
      <w:r>
        <w:rPr>
          <w:rFonts w:hint="eastAsia"/>
        </w:rPr>
        <w:t>接地、防雷及防干扰措施</w:t>
      </w:r>
      <w:bookmarkEnd w:id="226"/>
      <w:bookmarkEnd w:id="227"/>
    </w:p>
    <w:p w14:paraId="3B03BEE9">
      <w:pPr>
        <w:pStyle w:val="261"/>
        <w:spacing w:before="156" w:after="156"/>
        <w:outlineLvl w:val="2"/>
      </w:pPr>
      <w:r>
        <w:rPr>
          <w:rFonts w:hint="eastAsia"/>
        </w:rPr>
        <w:t>接地</w:t>
      </w:r>
    </w:p>
    <w:p w14:paraId="22051247">
      <w:pPr>
        <w:pStyle w:val="327"/>
      </w:pPr>
      <w:r>
        <w:rPr>
          <w:rFonts w:hint="eastAsia"/>
        </w:rPr>
        <w:t>平台上除了具有双重绝缘设备的金属外壳和为防止轴电流流通的绝缘轴承座以外，其它所有电气设备的金属外壳、固定安装的机械、井架的金属构件以及直升机甲板均应可靠接地。</w:t>
      </w:r>
    </w:p>
    <w:p w14:paraId="07EBFBA5">
      <w:pPr>
        <w:pStyle w:val="327"/>
      </w:pPr>
      <w:r>
        <w:rPr>
          <w:rFonts w:hint="eastAsia"/>
        </w:rPr>
        <w:t>吊机基座和旋转部分应可靠电气连接并接地。</w:t>
      </w:r>
    </w:p>
    <w:p w14:paraId="69F6BB75">
      <w:pPr>
        <w:pStyle w:val="327"/>
      </w:pPr>
      <w:r>
        <w:rPr>
          <w:rFonts w:hint="eastAsia"/>
        </w:rPr>
        <w:t>在钢筋混凝土结构的平台上应设有专门的接地设施，以保证可靠接地。</w:t>
      </w:r>
    </w:p>
    <w:p w14:paraId="652FDE2F">
      <w:pPr>
        <w:pStyle w:val="327"/>
      </w:pPr>
      <w:r>
        <w:rPr>
          <w:rFonts w:hint="eastAsia"/>
        </w:rPr>
        <w:t>平台上油气工艺管线以及压缩空气、二氧化碳和干粉系统中的金属管线和设备，在它们的每个连接接头处都要有可靠的电气连接，并应至少有两处接地。</w:t>
      </w:r>
    </w:p>
    <w:p w14:paraId="3A23A1BF">
      <w:pPr>
        <w:pStyle w:val="327"/>
        <w:rPr>
          <w:rFonts w:hint="eastAsia" w:ascii="宋体" w:hAnsi="宋体" w:eastAsia="宋体" w:cs="宋体"/>
        </w:rPr>
      </w:pPr>
      <w:r>
        <w:rPr>
          <w:rFonts w:hint="eastAsia"/>
        </w:rPr>
        <w:t>平台上</w:t>
      </w:r>
      <w:r>
        <w:rPr>
          <w:rFonts w:ascii="Times New Roman"/>
        </w:rPr>
        <w:t>平行敷设的管道</w:t>
      </w:r>
      <w:r>
        <w:rPr>
          <w:rFonts w:hint="eastAsia" w:ascii="Times New Roman"/>
        </w:rPr>
        <w:t>，</w:t>
      </w:r>
      <w:r>
        <w:rPr>
          <w:rFonts w:ascii="Times New Roman"/>
        </w:rPr>
        <w:t>当它们之间的距离小于</w:t>
      </w:r>
      <w:r>
        <w:rPr>
          <w:rFonts w:hint="eastAsia" w:ascii="宋体" w:hAnsi="宋体" w:eastAsia="宋体" w:cs="宋体"/>
        </w:rPr>
        <w:t>100</w:t>
      </w:r>
      <w:r>
        <w:rPr>
          <w:rFonts w:hint="eastAsia" w:ascii="宋体" w:hAnsi="宋体" w:eastAsia="宋体" w:cs="宋体"/>
          <w:sz w:val="10"/>
          <w:szCs w:val="10"/>
        </w:rPr>
        <w:t xml:space="preserve"> </w:t>
      </w:r>
      <w:r>
        <w:rPr>
          <w:rFonts w:hint="eastAsia" w:ascii="宋体" w:hAnsi="宋体" w:eastAsia="宋体" w:cs="宋体"/>
        </w:rPr>
        <w:t>mm时，每隔20</w:t>
      </w:r>
      <w:r>
        <w:rPr>
          <w:rFonts w:hint="eastAsia" w:ascii="宋体" w:hAnsi="宋体" w:eastAsia="宋体" w:cs="宋体"/>
          <w:sz w:val="10"/>
          <w:szCs w:val="10"/>
        </w:rPr>
        <w:t xml:space="preserve"> </w:t>
      </w:r>
      <w:r>
        <w:rPr>
          <w:rFonts w:hint="eastAsia" w:ascii="宋体" w:hAnsi="宋体" w:eastAsia="宋体" w:cs="宋体"/>
        </w:rPr>
        <w:t>m应跨接；交叉距离小于100</w:t>
      </w:r>
      <w:r>
        <w:rPr>
          <w:rFonts w:hint="eastAsia" w:ascii="宋体" w:hAnsi="宋体" w:eastAsia="宋体" w:cs="宋体"/>
          <w:sz w:val="10"/>
          <w:szCs w:val="10"/>
        </w:rPr>
        <w:t xml:space="preserve"> </w:t>
      </w:r>
      <w:r>
        <w:rPr>
          <w:rFonts w:hint="eastAsia" w:ascii="宋体" w:hAnsi="宋体" w:eastAsia="宋体" w:cs="宋体"/>
        </w:rPr>
        <w:t>mm时，应做跨接。</w:t>
      </w:r>
    </w:p>
    <w:p w14:paraId="1ED061EE">
      <w:pPr>
        <w:pStyle w:val="327"/>
        <w:rPr>
          <w:rFonts w:hint="eastAsia" w:ascii="宋体" w:hAnsi="宋体" w:eastAsia="宋体" w:cs="宋体"/>
        </w:rPr>
      </w:pPr>
      <w:r>
        <w:rPr>
          <w:rFonts w:hint="eastAsia" w:ascii="宋体" w:hAnsi="宋体" w:eastAsia="宋体" w:cs="宋体"/>
        </w:rPr>
        <w:t>易燃液体和气体输送管系的头、尾部及其分支管系都应可靠地接地。</w:t>
      </w:r>
    </w:p>
    <w:p w14:paraId="47E82FD1">
      <w:pPr>
        <w:pStyle w:val="327"/>
        <w:rPr>
          <w:rFonts w:hint="eastAsia" w:ascii="宋体" w:hAnsi="宋体" w:eastAsia="宋体" w:cs="宋体"/>
        </w:rPr>
      </w:pPr>
      <w:r>
        <w:rPr>
          <w:rFonts w:hint="eastAsia" w:ascii="宋体" w:hAnsi="宋体" w:eastAsia="宋体" w:cs="宋体"/>
        </w:rPr>
        <w:t>贮存易燃液体和气体的贮罐都应接地。容积大于50</w:t>
      </w:r>
      <w:r>
        <w:rPr>
          <w:rFonts w:hint="eastAsia" w:ascii="宋体" w:hAnsi="宋体" w:eastAsia="宋体" w:cs="宋体"/>
          <w:sz w:val="10"/>
          <w:szCs w:val="10"/>
        </w:rPr>
        <w:t xml:space="preserve"> </w:t>
      </w:r>
      <w:r>
        <w:rPr>
          <w:rFonts w:hint="eastAsia" w:ascii="宋体" w:hAnsi="宋体" w:eastAsia="宋体" w:cs="宋体"/>
        </w:rPr>
        <w:t>m</w:t>
      </w:r>
      <w:r>
        <w:rPr>
          <w:rFonts w:hint="eastAsia" w:ascii="宋体" w:hAnsi="宋体" w:eastAsia="宋体" w:cs="宋体"/>
          <w:vertAlign w:val="superscript"/>
        </w:rPr>
        <w:t>3</w:t>
      </w:r>
      <w:r>
        <w:rPr>
          <w:rFonts w:hint="eastAsia" w:ascii="宋体" w:hAnsi="宋体" w:eastAsia="宋体" w:cs="宋体"/>
        </w:rPr>
        <w:t>的贮罐，沿其直径不能少于两处接地。</w:t>
      </w:r>
    </w:p>
    <w:p w14:paraId="1FBD03B9">
      <w:pPr>
        <w:pStyle w:val="327"/>
        <w:rPr>
          <w:rFonts w:ascii="Times New Roman"/>
        </w:rPr>
      </w:pPr>
      <w:r>
        <w:rPr>
          <w:rFonts w:hint="eastAsia" w:ascii="宋体" w:hAnsi="宋体" w:eastAsia="宋体" w:cs="宋体"/>
        </w:rPr>
        <w:t>平台上的架空管道进入建筑物时，应将入口处的管道接地。并在距管道入口处25</w:t>
      </w:r>
      <w:r>
        <w:rPr>
          <w:rFonts w:hint="eastAsia" w:ascii="宋体" w:hAnsi="宋体" w:eastAsia="宋体" w:cs="宋体"/>
          <w:sz w:val="10"/>
          <w:szCs w:val="10"/>
        </w:rPr>
        <w:t xml:space="preserve"> </w:t>
      </w:r>
      <w:r>
        <w:rPr>
          <w:rFonts w:hint="eastAsia" w:ascii="宋体" w:hAnsi="宋体" w:eastAsia="宋体" w:cs="宋体"/>
        </w:rPr>
        <w:t>m</w:t>
      </w:r>
      <w:r>
        <w:rPr>
          <w:rFonts w:ascii="Times New Roman"/>
        </w:rPr>
        <w:t>范围内</w:t>
      </w:r>
      <w:r>
        <w:rPr>
          <w:rFonts w:hint="eastAsia" w:ascii="Times New Roman"/>
        </w:rPr>
        <w:t>，</w:t>
      </w:r>
      <w:r>
        <w:rPr>
          <w:rFonts w:ascii="Times New Roman"/>
        </w:rPr>
        <w:t>应将管道至少重复接地一次。</w:t>
      </w:r>
    </w:p>
    <w:p w14:paraId="0A570D5A">
      <w:pPr>
        <w:pStyle w:val="327"/>
        <w:rPr>
          <w:rFonts w:ascii="Times New Roman"/>
        </w:rPr>
      </w:pPr>
      <w:bookmarkStart w:id="228" w:name="_Hlk177570866"/>
      <w:r>
        <w:rPr>
          <w:rFonts w:hint="eastAsia" w:ascii="Times New Roman"/>
        </w:rPr>
        <w:t>接地电缆截面应符合</w:t>
      </w:r>
      <w:r>
        <w:rPr>
          <w:rFonts w:hint="eastAsia" w:ascii="宋体" w:hAnsi="宋体" w:eastAsia="宋体" w:cs="宋体"/>
        </w:rPr>
        <w:t>GB 50169</w:t>
      </w:r>
      <w:r>
        <w:rPr>
          <w:rFonts w:hint="eastAsia" w:ascii="Times New Roman"/>
        </w:rPr>
        <w:t>的相关要求。</w:t>
      </w:r>
      <w:bookmarkEnd w:id="228"/>
    </w:p>
    <w:p w14:paraId="70E3CBB3">
      <w:pPr>
        <w:pStyle w:val="261"/>
        <w:spacing w:before="156" w:after="156"/>
        <w:outlineLvl w:val="2"/>
      </w:pPr>
      <w:r>
        <w:rPr>
          <w:rFonts w:hint="eastAsia"/>
        </w:rPr>
        <w:t>防雷</w:t>
      </w:r>
    </w:p>
    <w:p w14:paraId="235A29A8">
      <w:pPr>
        <w:pStyle w:val="327"/>
      </w:pPr>
      <w:r>
        <w:rPr>
          <w:rFonts w:hint="eastAsia"/>
        </w:rPr>
        <w:t>若从最高点至接地均通过跨接和焊接提供低阻通路，则钢结构设施无需提供直接保护系统。</w:t>
      </w:r>
    </w:p>
    <w:p w14:paraId="33AE1579">
      <w:pPr>
        <w:pStyle w:val="327"/>
      </w:pPr>
      <w:r>
        <w:rPr>
          <w:rFonts w:hint="eastAsia"/>
        </w:rPr>
        <w:t>对于可能受到电压瞬变影响的控制装置，应考虑安装电涌保护器等设备作保护。</w:t>
      </w:r>
    </w:p>
    <w:p w14:paraId="07FB2758">
      <w:pPr>
        <w:pStyle w:val="261"/>
        <w:spacing w:before="156" w:after="156"/>
        <w:outlineLvl w:val="2"/>
      </w:pPr>
      <w:r>
        <w:rPr>
          <w:rFonts w:hint="eastAsia"/>
        </w:rPr>
        <w:t>防干扰</w:t>
      </w:r>
    </w:p>
    <w:p w14:paraId="0D1FE068">
      <w:pPr>
        <w:ind w:firstLine="420" w:firstLineChars="200"/>
        <w:rPr>
          <w:strike/>
        </w:rPr>
      </w:pPr>
      <w:r>
        <w:rPr>
          <w:rFonts w:hint="eastAsia"/>
        </w:rPr>
        <w:t>电气设备、仪表控制装置和通信设备的安装及各种电缆的敷设应充分考虑防干扰设计。</w:t>
      </w:r>
    </w:p>
    <w:p w14:paraId="7A97AAA5">
      <w:pPr>
        <w:pStyle w:val="261"/>
        <w:spacing w:before="156" w:after="156"/>
        <w:outlineLvl w:val="2"/>
      </w:pPr>
      <w:r>
        <w:rPr>
          <w:rFonts w:hint="eastAsia"/>
        </w:rPr>
        <w:t>防静电</w:t>
      </w:r>
    </w:p>
    <w:p w14:paraId="7F8187A9">
      <w:pPr>
        <w:pStyle w:val="327"/>
      </w:pPr>
      <w:r>
        <w:rPr>
          <w:rFonts w:hint="eastAsia"/>
        </w:rPr>
        <w:t>平台应设有防静电设施，所有设备具有良好的接地。</w:t>
      </w:r>
    </w:p>
    <w:p w14:paraId="13E3B22C">
      <w:pPr>
        <w:pStyle w:val="327"/>
      </w:pPr>
      <w:r>
        <w:rPr>
          <w:rFonts w:hint="eastAsia"/>
        </w:rPr>
        <w:t>进入爆炸危险场所前，应采取措施消除静电。</w:t>
      </w:r>
    </w:p>
    <w:p w14:paraId="3AC88B38">
      <w:pPr>
        <w:pStyle w:val="327"/>
      </w:pPr>
      <w:r>
        <w:rPr>
          <w:rFonts w:hint="eastAsia" w:ascii="宋体" w:eastAsia="宋体" w:cs="宋体"/>
          <w:position w:val="-2"/>
        </w:rPr>
        <w:t>静电防护技术措施和接地电阻应符合</w:t>
      </w:r>
      <w:r>
        <w:rPr>
          <w:rFonts w:hint="eastAsia" w:ascii="宋体" w:hAnsi="宋体" w:eastAsia="宋体" w:cs="宋体"/>
          <w:position w:val="-2"/>
        </w:rPr>
        <w:t>GB 12158</w:t>
      </w:r>
      <w:r>
        <w:rPr>
          <w:rFonts w:hint="eastAsia" w:ascii="Times New Roman" w:eastAsia="宋体"/>
          <w:position w:val="-2"/>
        </w:rPr>
        <w:t>的</w:t>
      </w:r>
      <w:r>
        <w:rPr>
          <w:rFonts w:hint="eastAsia"/>
        </w:rPr>
        <w:t>相关要求</w:t>
      </w:r>
    </w:p>
    <w:p w14:paraId="336225E5">
      <w:pPr>
        <w:pStyle w:val="260"/>
        <w:outlineLvl w:val="1"/>
      </w:pPr>
      <w:bookmarkStart w:id="229" w:name="_Toc13716"/>
      <w:bookmarkStart w:id="230" w:name="_Toc7650"/>
      <w:r>
        <w:rPr>
          <w:rFonts w:hint="eastAsia"/>
        </w:rPr>
        <w:t>危险场所内电气设备</w:t>
      </w:r>
      <w:bookmarkEnd w:id="229"/>
      <w:bookmarkEnd w:id="230"/>
    </w:p>
    <w:p w14:paraId="493F0863">
      <w:pPr>
        <w:pStyle w:val="261"/>
        <w:spacing w:before="156" w:after="156"/>
        <w:outlineLvl w:val="2"/>
      </w:pPr>
      <w:r>
        <w:rPr>
          <w:rFonts w:hint="eastAsia"/>
        </w:rPr>
        <w:t>一般规定</w:t>
      </w:r>
    </w:p>
    <w:p w14:paraId="4DA7D3BC">
      <w:pPr>
        <w:pStyle w:val="327"/>
      </w:pPr>
      <w:r>
        <w:rPr>
          <w:rFonts w:hint="eastAsia"/>
        </w:rPr>
        <w:t>用于危险区的电气设备的制造、测试、标识和安装应符合GB(GB/T) 3836标准。</w:t>
      </w:r>
    </w:p>
    <w:p w14:paraId="27443AB2">
      <w:pPr>
        <w:pStyle w:val="327"/>
      </w:pPr>
      <w:r>
        <w:rPr>
          <w:rFonts w:hint="eastAsia"/>
        </w:rPr>
        <w:t>在任何爆炸危险场所内，应避免安装电气设备，若不可避免，则应按照GB 3836.15选用相应级别的防爆电气设备。</w:t>
      </w:r>
    </w:p>
    <w:p w14:paraId="4025A940">
      <w:pPr>
        <w:pStyle w:val="327"/>
      </w:pPr>
      <w:r>
        <w:rPr>
          <w:rFonts w:hint="eastAsia"/>
        </w:rPr>
        <w:t>在有爆炸危险的区域或处所中一般不应安装插座。必须安装时，其选用的插座应符合14.9.2 的有关要求。</w:t>
      </w:r>
    </w:p>
    <w:p w14:paraId="1BF4E9BB">
      <w:pPr>
        <w:pStyle w:val="327"/>
      </w:pPr>
      <w:r>
        <w:rPr>
          <w:rFonts w:hint="eastAsia"/>
        </w:rPr>
        <w:t>所有的电气设备和电缆应有符合要求的出厂合格证；安装于爆炸危险场所的电气设备必须具有由有资格单位颁发的、符合爆炸危险场所要求的防爆等级证书，其选用与安装应由有资质的单位现场确认并出具检验报告。</w:t>
      </w:r>
      <w:bookmarkStart w:id="231" w:name="_Hlk177573132"/>
      <w:r>
        <w:rPr>
          <w:rFonts w:hint="eastAsia"/>
        </w:rPr>
        <w:t>安装于爆炸危险场所的电气设备应取得中国强制性产品认证（即CCC认证）证书，或按照《强制性产品认证管理规定》取得免予办理强制性产品认证证明文件。</w:t>
      </w:r>
      <w:bookmarkEnd w:id="231"/>
    </w:p>
    <w:p w14:paraId="5C53C42F">
      <w:pPr>
        <w:pStyle w:val="261"/>
        <w:spacing w:before="156" w:after="156"/>
        <w:outlineLvl w:val="2"/>
      </w:pPr>
      <w:r>
        <w:rPr>
          <w:rFonts w:hint="eastAsia"/>
        </w:rPr>
        <w:t>防爆电气设备</w:t>
      </w:r>
    </w:p>
    <w:p w14:paraId="161F399E">
      <w:pPr>
        <w:pStyle w:val="327"/>
      </w:pPr>
      <w:r>
        <w:rPr>
          <w:rFonts w:hint="eastAsia"/>
        </w:rPr>
        <w:t>选择用于危险区内的电气设备时，应考虑如下因素：</w:t>
      </w:r>
    </w:p>
    <w:p w14:paraId="39F23A88">
      <w:pPr>
        <w:pStyle w:val="305"/>
        <w:numPr>
          <w:ilvl w:val="0"/>
          <w:numId w:val="79"/>
        </w:numPr>
      </w:pPr>
      <w:r>
        <w:rPr>
          <w:rFonts w:hint="eastAsia"/>
        </w:rPr>
        <w:t>设备使用的区域；</w:t>
      </w:r>
    </w:p>
    <w:p w14:paraId="50F46F5D">
      <w:pPr>
        <w:pStyle w:val="305"/>
        <w:numPr>
          <w:ilvl w:val="0"/>
          <w:numId w:val="79"/>
        </w:numPr>
      </w:pPr>
      <w:r>
        <w:rPr>
          <w:rFonts w:hint="eastAsia"/>
        </w:rPr>
        <w:t>可能存在气或蒸气的引燃敏感性，用气体级别表示；</w:t>
      </w:r>
    </w:p>
    <w:p w14:paraId="3762ACC3">
      <w:pPr>
        <w:pStyle w:val="305"/>
        <w:numPr>
          <w:ilvl w:val="0"/>
          <w:numId w:val="79"/>
        </w:numPr>
      </w:pPr>
      <w:r>
        <w:rPr>
          <w:rFonts w:hint="eastAsia"/>
        </w:rPr>
        <w:t>可能存在气或蒸气为热表面所引燃的敏感性，用温度组别表示。</w:t>
      </w:r>
    </w:p>
    <w:p w14:paraId="33532E5C">
      <w:pPr>
        <w:pStyle w:val="327"/>
        <w:rPr>
          <w:rFonts w:ascii="宋体" w:cs="宋体"/>
        </w:rPr>
      </w:pPr>
      <w:r>
        <w:rPr>
          <w:rFonts w:hint="eastAsia" w:ascii="宋体" w:cs="宋体"/>
        </w:rPr>
        <w:t>爆炸危险场所内电气设备保护级别（EPL）、防爆型式和设备类别选型应符合GB 3836.15第5章相关要求。</w:t>
      </w:r>
    </w:p>
    <w:p w14:paraId="4F417C42">
      <w:pPr>
        <w:pStyle w:val="261"/>
        <w:spacing w:before="156" w:after="156"/>
        <w:outlineLvl w:val="2"/>
      </w:pPr>
      <w:r>
        <w:rPr>
          <w:rFonts w:hint="eastAsia"/>
        </w:rPr>
        <w:t>电缆类型和敷设</w:t>
      </w:r>
    </w:p>
    <w:p w14:paraId="2524BAFA">
      <w:pPr>
        <w:pStyle w:val="327"/>
      </w:pPr>
      <w:r>
        <w:rPr>
          <w:rFonts w:hint="eastAsia" w:ascii="宋体" w:cs="宋体"/>
        </w:rPr>
        <w:t>除了</w:t>
      </w:r>
      <w:r>
        <w:rPr>
          <w:rFonts w:hint="eastAsia"/>
        </w:rPr>
        <w:t>本安型电路中的电缆外，敷设在危险区域中的电缆，至少应具有下列之一的保护层：</w:t>
      </w:r>
    </w:p>
    <w:p w14:paraId="104C3CFA">
      <w:pPr>
        <w:pStyle w:val="305"/>
        <w:numPr>
          <w:ilvl w:val="0"/>
          <w:numId w:val="80"/>
        </w:numPr>
      </w:pPr>
      <w:r>
        <w:rPr>
          <w:rFonts w:hint="eastAsia"/>
        </w:rPr>
        <w:t>非金属不透性护套，加上金属编织层或其他金属覆盖层；</w:t>
      </w:r>
    </w:p>
    <w:p w14:paraId="772DE073">
      <w:pPr>
        <w:pStyle w:val="305"/>
        <w:numPr>
          <w:ilvl w:val="0"/>
          <w:numId w:val="80"/>
        </w:numPr>
      </w:pPr>
      <w:r>
        <w:rPr>
          <w:rFonts w:hint="eastAsia"/>
        </w:rPr>
        <w:t>矿物绝缘电缆应具有铜或不锈钢护套。对于特殊用途，可以考虑采用具有铝护套的矿物绝缘电缆。</w:t>
      </w:r>
    </w:p>
    <w:p w14:paraId="73D8EB83">
      <w:pPr>
        <w:pStyle w:val="327"/>
      </w:pPr>
      <w:r>
        <w:rPr>
          <w:rFonts w:hint="eastAsia"/>
        </w:rPr>
        <w:t>本质安全型电路的电缆应具有金属屏蔽，并至少加上非金属不透性护套。</w:t>
      </w:r>
    </w:p>
    <w:p w14:paraId="7B3DA51A">
      <w:pPr>
        <w:pStyle w:val="327"/>
      </w:pPr>
      <w:r>
        <w:rPr>
          <w:rFonts w:hint="eastAsia"/>
        </w:rPr>
        <w:t>危险场所内的电缆类型和敷设</w:t>
      </w:r>
      <w:r>
        <w:rPr>
          <w:rFonts w:hint="eastAsia" w:ascii="宋体" w:cs="宋体"/>
        </w:rPr>
        <w:t>应符合GB 3836.15第6章相关要求。</w:t>
      </w:r>
    </w:p>
    <w:p w14:paraId="780E80FD">
      <w:pPr>
        <w:pStyle w:val="327"/>
      </w:pPr>
      <w:r>
        <w:rPr>
          <w:rFonts w:hint="eastAsia" w:ascii="宋体" w:cs="宋体"/>
          <w:position w:val="-1"/>
        </w:rPr>
        <w:t>危险场所内电缆敷设的防爆措施</w:t>
      </w:r>
      <w:r>
        <w:rPr>
          <w:rFonts w:hint="eastAsia"/>
          <w:position w:val="-1"/>
        </w:rPr>
        <w:t>：</w:t>
      </w:r>
    </w:p>
    <w:p w14:paraId="4474A6E9">
      <w:pPr>
        <w:pStyle w:val="305"/>
        <w:numPr>
          <w:ilvl w:val="0"/>
          <w:numId w:val="81"/>
        </w:numPr>
        <w:rPr>
          <w:rFonts w:hint="eastAsia" w:ascii="宋体" w:hAnsi="宋体" w:eastAsia="宋体" w:cs="宋体"/>
        </w:rPr>
      </w:pPr>
      <w:r>
        <w:rPr>
          <w:rFonts w:ascii="Times New Roman"/>
        </w:rPr>
        <w:t>在</w:t>
      </w:r>
      <w:r>
        <w:rPr>
          <w:rFonts w:hint="eastAsia" w:hAnsi="宋体" w:cs="宋体"/>
        </w:rPr>
        <w:t>0</w:t>
      </w:r>
      <w:r>
        <w:rPr>
          <w:rFonts w:ascii="Times New Roman"/>
        </w:rPr>
        <w:t>区</w:t>
      </w:r>
      <w:r>
        <w:rPr>
          <w:rFonts w:hint="eastAsia" w:ascii="Times New Roman"/>
        </w:rPr>
        <w:t>，</w:t>
      </w:r>
      <w:r>
        <w:rPr>
          <w:rFonts w:ascii="Times New Roman"/>
        </w:rPr>
        <w:t>严禁使用接线箱</w:t>
      </w:r>
      <w:r>
        <w:rPr>
          <w:rFonts w:hint="eastAsia" w:ascii="Times New Roman"/>
        </w:rPr>
        <w:t>，</w:t>
      </w:r>
      <w:r>
        <w:rPr>
          <w:rFonts w:ascii="Times New Roman"/>
        </w:rPr>
        <w:t>电缆与电气设备的连接应符合</w:t>
      </w:r>
      <w:r>
        <w:rPr>
          <w:rFonts w:hint="eastAsia" w:ascii="宋体" w:hAnsi="宋体" w:eastAsia="宋体" w:cs="宋体"/>
        </w:rPr>
        <w:t>本质安全型(ia)设备连接的要求；</w:t>
      </w:r>
    </w:p>
    <w:p w14:paraId="713FD995">
      <w:pPr>
        <w:pStyle w:val="305"/>
        <w:numPr>
          <w:ilvl w:val="0"/>
          <w:numId w:val="81"/>
        </w:numPr>
        <w:rPr>
          <w:rFonts w:hint="eastAsia" w:ascii="宋体" w:hAnsi="宋体" w:eastAsia="宋体" w:cs="宋体"/>
        </w:rPr>
      </w:pPr>
      <w:r>
        <w:rPr>
          <w:rFonts w:hint="eastAsia" w:ascii="宋体" w:hAnsi="宋体" w:eastAsia="宋体" w:cs="宋体"/>
        </w:rPr>
        <w:t>在1区，不应有接线箱。若不可避免，则除本质安全型系统外的所有电气设备的接线箱、分线盒、密封接头等都应是防爆型；</w:t>
      </w:r>
    </w:p>
    <w:p w14:paraId="6026E7C3">
      <w:pPr>
        <w:pStyle w:val="305"/>
        <w:numPr>
          <w:ilvl w:val="0"/>
          <w:numId w:val="81"/>
        </w:numPr>
        <w:rPr>
          <w:rFonts w:hint="eastAsia" w:ascii="宋体" w:hAnsi="宋体" w:eastAsia="宋体" w:cs="宋体"/>
        </w:rPr>
      </w:pPr>
      <w:r>
        <w:rPr>
          <w:rFonts w:hint="eastAsia" w:ascii="宋体" w:hAnsi="宋体" w:eastAsia="宋体" w:cs="宋体"/>
        </w:rPr>
        <w:t>在 2 区</w:t>
      </w:r>
      <w:r>
        <w:rPr>
          <w:rFonts w:hint="eastAsia" w:hAnsi="宋体" w:cs="宋体"/>
          <w:lang w:eastAsia="zh-CN"/>
        </w:rPr>
        <w:t>，</w:t>
      </w:r>
      <w:r>
        <w:rPr>
          <w:rFonts w:hint="eastAsia" w:ascii="宋体" w:hAnsi="宋体" w:eastAsia="宋体" w:cs="宋体"/>
        </w:rPr>
        <w:t xml:space="preserve">非铠装电缆或其金属护套不能承受机械损伤的电缆应布设在电缆托架内。离开电缆托架的电缆应用钢管、角铁、槽钢等加以机械防护； </w:t>
      </w:r>
    </w:p>
    <w:p w14:paraId="36F24312">
      <w:pPr>
        <w:pStyle w:val="305"/>
        <w:numPr>
          <w:ilvl w:val="0"/>
          <w:numId w:val="81"/>
        </w:numPr>
        <w:rPr>
          <w:rFonts w:hint="eastAsia" w:ascii="宋体" w:hAnsi="宋体" w:eastAsia="宋体" w:cs="宋体"/>
        </w:rPr>
      </w:pPr>
      <w:r>
        <w:rPr>
          <w:rFonts w:hint="eastAsia" w:ascii="宋体" w:hAnsi="宋体" w:eastAsia="宋体" w:cs="宋体"/>
        </w:rPr>
        <w:t xml:space="preserve">本质安全电路应具有各自的专用电缆，这些电缆应与非本质安全电路电缆分开敷设，且“ib”本质安全电路系统的电缆也应与有部分部件在 0 区的“ia”本质安全电路系统的电缆分开敷设； </w:t>
      </w:r>
    </w:p>
    <w:p w14:paraId="6CD52ACF">
      <w:pPr>
        <w:pStyle w:val="305"/>
        <w:numPr>
          <w:ilvl w:val="0"/>
          <w:numId w:val="81"/>
        </w:numPr>
      </w:pPr>
      <w:r>
        <w:rPr>
          <w:rFonts w:hint="eastAsia"/>
        </w:rPr>
        <w:t xml:space="preserve">穿过危险场所与危险场所中的设备相连的电力或照明电缆的全部金属护套应至少在它们的两端可靠地接地； </w:t>
      </w:r>
    </w:p>
    <w:p w14:paraId="66550337">
      <w:pPr>
        <w:pStyle w:val="305"/>
        <w:numPr>
          <w:ilvl w:val="0"/>
          <w:numId w:val="81"/>
        </w:numPr>
      </w:pPr>
      <w:r>
        <w:rPr>
          <w:rFonts w:hint="eastAsia"/>
        </w:rPr>
        <w:t>危险场所墙壁上穿过电缆的开孔应采用非燃性材料严密封堵</w:t>
      </w:r>
      <w:r>
        <w:rPr>
          <w:rFonts w:hint="eastAsia"/>
          <w:lang w:eastAsia="zh-CN"/>
        </w:rPr>
        <w:t>，</w:t>
      </w:r>
      <w:r>
        <w:rPr>
          <w:rFonts w:hint="eastAsia"/>
        </w:rPr>
        <w:t xml:space="preserve"> 以保持相关的场所分类。</w:t>
      </w:r>
    </w:p>
    <w:p w14:paraId="450D8EE2">
      <w:pPr>
        <w:pStyle w:val="261"/>
        <w:spacing w:before="156" w:after="156"/>
        <w:outlineLvl w:val="2"/>
      </w:pPr>
      <w:r>
        <w:rPr>
          <w:rFonts w:hint="eastAsia"/>
        </w:rPr>
        <w:t>照明设备</w:t>
      </w:r>
    </w:p>
    <w:p w14:paraId="436A542E">
      <w:pPr>
        <w:pStyle w:val="327"/>
      </w:pPr>
      <w:r>
        <w:rPr>
          <w:rFonts w:hint="eastAsia" w:ascii="宋体" w:cs="宋体"/>
          <w:position w:val="-1"/>
        </w:rPr>
        <w:t>危险</w:t>
      </w:r>
      <w:r>
        <w:rPr>
          <w:rFonts w:hint="eastAsia"/>
        </w:rPr>
        <w:t>场所</w:t>
      </w:r>
      <w:r>
        <w:rPr>
          <w:rFonts w:hint="eastAsia" w:ascii="宋体" w:cs="宋体"/>
          <w:position w:val="-1"/>
        </w:rPr>
        <w:t>内安装的照明灯具</w:t>
      </w:r>
      <w:r>
        <w:rPr>
          <w:rFonts w:hint="eastAsia"/>
          <w:position w:val="-1"/>
        </w:rPr>
        <w:t>，</w:t>
      </w:r>
      <w:r>
        <w:rPr>
          <w:rFonts w:hint="eastAsia" w:ascii="宋体" w:cs="宋体"/>
          <w:position w:val="-1"/>
        </w:rPr>
        <w:t>应采用符合该</w:t>
      </w:r>
      <w:r>
        <w:rPr>
          <w:rFonts w:hint="eastAsia"/>
        </w:rPr>
        <w:t>场所</w:t>
      </w:r>
      <w:r>
        <w:rPr>
          <w:rFonts w:hint="eastAsia" w:ascii="宋体" w:cs="宋体"/>
          <w:position w:val="-1"/>
        </w:rPr>
        <w:t>防爆等级的防爆型灯具。</w:t>
      </w:r>
    </w:p>
    <w:p w14:paraId="32204912">
      <w:pPr>
        <w:pStyle w:val="327"/>
        <w:rPr>
          <w:rFonts w:ascii="宋体" w:cs="宋体"/>
        </w:rPr>
      </w:pPr>
      <w:r>
        <w:rPr>
          <w:rFonts w:hint="eastAsia" w:ascii="宋体" w:cs="宋体"/>
          <w:position w:val="-1"/>
        </w:rPr>
        <w:t>危险场所内的照明开关应采用与其所在危险区等级相适应的防爆型开关。</w:t>
      </w:r>
    </w:p>
    <w:p w14:paraId="16B8F592">
      <w:pPr>
        <w:pStyle w:val="327"/>
      </w:pPr>
      <w:r>
        <w:rPr>
          <w:rFonts w:hint="eastAsia" w:ascii="宋体" w:cs="宋体"/>
          <w:position w:val="-1"/>
        </w:rPr>
        <w:t>危险区域或处所内可携式照明应采用带有独立蓄电池的本质安全型、增安型、隔爆型、空气驱动型灯具。危险区内不应使用由电缆供电的可携式照明</w:t>
      </w:r>
      <w:r>
        <w:rPr>
          <w:rFonts w:hint="eastAsia" w:ascii="宋体" w:cs="宋体"/>
        </w:rPr>
        <w:t>。</w:t>
      </w:r>
    </w:p>
    <w:p w14:paraId="2975564B">
      <w:pPr>
        <w:pStyle w:val="327"/>
      </w:pPr>
      <w:r>
        <w:rPr>
          <w:rFonts w:hint="eastAsia"/>
        </w:rPr>
        <w:t>应有照明的危险场所内应安装防爆型灯具，至少应分成两个独立分路供电；两分路的灯点应相互交错布置，以便当其中一个分路检修时，另一个分路仍可保持足够的照明。这些处所内的照明应由安装在非危险区域或处所内的单独控制箱控制。</w:t>
      </w:r>
    </w:p>
    <w:p w14:paraId="1FC39513">
      <w:pPr>
        <w:pStyle w:val="327"/>
      </w:pPr>
      <w:r>
        <w:rPr>
          <w:rFonts w:hint="eastAsia"/>
        </w:rPr>
        <w:t>危险场所内的照明设备选型应符合GB 3836.15的相关要求。</w:t>
      </w:r>
    </w:p>
    <w:bookmarkEnd w:id="209"/>
    <w:p w14:paraId="56BF9D50">
      <w:pPr>
        <w:pStyle w:val="259"/>
        <w:outlineLvl w:val="0"/>
        <w:rPr>
          <w:rFonts w:ascii="Times New Roman"/>
        </w:rPr>
      </w:pPr>
      <w:bookmarkStart w:id="232" w:name="_Toc30914"/>
      <w:bookmarkStart w:id="233" w:name="_Toc9639"/>
      <w:r>
        <w:rPr>
          <w:rFonts w:ascii="Times New Roman"/>
        </w:rPr>
        <w:t>仪表及控制系统</w:t>
      </w:r>
    </w:p>
    <w:p w14:paraId="774C800B">
      <w:pPr>
        <w:pStyle w:val="260"/>
        <w:outlineLvl w:val="1"/>
      </w:pPr>
      <w:bookmarkStart w:id="234" w:name="_Toc21007"/>
      <w:r>
        <w:t>一般规定</w:t>
      </w:r>
      <w:bookmarkEnd w:id="234"/>
    </w:p>
    <w:p w14:paraId="38003BB6">
      <w:pPr>
        <w:pStyle w:val="326"/>
      </w:pPr>
      <w:r>
        <w:t>平台上的仪表和控制系统应能保障人员安全、生产正常运行、平台设施的安全及保护环境不受污染。控制系统的功能至少应具备监控、报警、保证平台作业安全和应急关断等。</w:t>
      </w:r>
    </w:p>
    <w:p w14:paraId="48AF5332">
      <w:pPr>
        <w:pStyle w:val="326"/>
      </w:pPr>
      <w:r>
        <w:t>平台上的仪表和控制系统应适用于含盐雾及高湿度的海洋环境。仪表和控制系统必须具有符合使用环境的防护等级。</w:t>
      </w:r>
    </w:p>
    <w:p w14:paraId="43E1DDA1">
      <w:pPr>
        <w:pStyle w:val="326"/>
      </w:pPr>
      <w:r>
        <w:t>所有的仪表应有合格的出厂证书。安装于危险区的仪表和控制系统应由有资格单位颁发的符合安装处所要求的防爆等级证书。</w:t>
      </w:r>
    </w:p>
    <w:p w14:paraId="31698E19">
      <w:pPr>
        <w:pStyle w:val="326"/>
      </w:pPr>
      <w:r>
        <w:rPr>
          <w:rFonts w:hint="eastAsia"/>
        </w:rPr>
        <w:t>仪表和控制系统的关键工艺参数和火灾、可燃气体、有毒有害气体探测报警数据应能够接入安全风险监测预警系统。</w:t>
      </w:r>
    </w:p>
    <w:p w14:paraId="55383308">
      <w:pPr>
        <w:pStyle w:val="326"/>
      </w:pPr>
      <w:r>
        <w:rPr>
          <w:rFonts w:hint="eastAsia"/>
        </w:rPr>
        <w:t>仪表和控制系统应设置</w:t>
      </w:r>
      <w:r>
        <w:t>仪控设备健康管理应用，通过采集智能仪表诊断数据以及控制系统的实时、诊断、报警数据，实现对仪控设备整体的风险动态感知、故障智能诊断、检修精准施策。</w:t>
      </w:r>
    </w:p>
    <w:p w14:paraId="4223F271">
      <w:pPr>
        <w:pStyle w:val="326"/>
      </w:pPr>
    </w:p>
    <w:p w14:paraId="5B2B5EF5">
      <w:pPr>
        <w:pStyle w:val="260"/>
        <w:outlineLvl w:val="1"/>
      </w:pPr>
      <w:bookmarkStart w:id="235" w:name="_Toc24766"/>
      <w:bookmarkStart w:id="236" w:name="_Toc24140"/>
      <w:r>
        <w:rPr>
          <w:rFonts w:hint="eastAsia"/>
        </w:rPr>
        <w:t>报警通用要求</w:t>
      </w:r>
      <w:bookmarkEnd w:id="235"/>
      <w:bookmarkEnd w:id="236"/>
    </w:p>
    <w:p w14:paraId="3C9F0D5B">
      <w:pPr>
        <w:pStyle w:val="326"/>
      </w:pPr>
      <w:r>
        <w:rPr>
          <w:rFonts w:hint="eastAsia" w:ascii="Times New Roman" w:eastAsia="宋体"/>
        </w:rPr>
        <w:t>控制系统应对生产工艺及公用系统进行监测报警</w:t>
      </w:r>
      <w:r>
        <w:rPr>
          <w:rFonts w:hint="eastAsia" w:ascii="Times New Roman" w:eastAsia="宋体"/>
          <w:lang w:eastAsia="zh-CN"/>
        </w:rPr>
        <w:t>，</w:t>
      </w:r>
      <w:r>
        <w:rPr>
          <w:rFonts w:hint="eastAsia" w:ascii="Times New Roman" w:eastAsia="宋体"/>
        </w:rPr>
        <w:t xml:space="preserve"> 也应对火灾与可燃、有毒气体探测报警。</w:t>
      </w:r>
    </w:p>
    <w:p w14:paraId="238CC982">
      <w:pPr>
        <w:pStyle w:val="326"/>
      </w:pPr>
      <w:r>
        <w:rPr>
          <w:rFonts w:hint="eastAsia" w:ascii="Times New Roman" w:eastAsia="宋体"/>
        </w:rPr>
        <w:t>电源装置应有足够的容量支持报警系统及所有报警点（包括备用报警点）的工作用电。</w:t>
      </w:r>
    </w:p>
    <w:p w14:paraId="69529248">
      <w:pPr>
        <w:pStyle w:val="326"/>
      </w:pPr>
      <w:r>
        <w:rPr>
          <w:rFonts w:hint="eastAsia" w:ascii="Times New Roman" w:eastAsia="宋体"/>
        </w:rPr>
        <w:t>用于生产工艺和公用系统时应具有如下功能：</w:t>
      </w:r>
    </w:p>
    <w:p w14:paraId="64804E2B">
      <w:pPr>
        <w:pStyle w:val="305"/>
        <w:numPr>
          <w:ilvl w:val="0"/>
          <w:numId w:val="82"/>
        </w:numPr>
        <w:rPr>
          <w:rFonts w:ascii="Times New Roman"/>
        </w:rPr>
      </w:pPr>
      <w:r>
        <w:rPr>
          <w:rFonts w:hint="eastAsia"/>
        </w:rPr>
        <w:t>非正常状态的第一事故声、光报警；</w:t>
      </w:r>
    </w:p>
    <w:p w14:paraId="776646EB">
      <w:pPr>
        <w:pStyle w:val="305"/>
        <w:numPr>
          <w:ilvl w:val="0"/>
          <w:numId w:val="82"/>
        </w:numPr>
        <w:rPr>
          <w:rFonts w:ascii="Times New Roman"/>
        </w:rPr>
      </w:pPr>
      <w:r>
        <w:rPr>
          <w:rFonts w:hint="eastAsia" w:ascii="Times New Roman"/>
        </w:rPr>
        <w:t>非正常状态的接续声、光报警；</w:t>
      </w:r>
    </w:p>
    <w:p w14:paraId="2F4DFBAA">
      <w:pPr>
        <w:pStyle w:val="305"/>
        <w:numPr>
          <w:ilvl w:val="0"/>
          <w:numId w:val="82"/>
        </w:numPr>
        <w:rPr>
          <w:rFonts w:ascii="Times New Roman"/>
        </w:rPr>
      </w:pPr>
      <w:r>
        <w:rPr>
          <w:rFonts w:hint="eastAsia" w:ascii="Times New Roman"/>
        </w:rPr>
        <w:t>第一事故报警和接续报警的确认，事故起源点的区分和记录；</w:t>
      </w:r>
    </w:p>
    <w:p w14:paraId="192211C3">
      <w:pPr>
        <w:pStyle w:val="305"/>
        <w:numPr>
          <w:ilvl w:val="0"/>
          <w:numId w:val="82"/>
        </w:numPr>
        <w:rPr>
          <w:rFonts w:ascii="Times New Roman"/>
        </w:rPr>
      </w:pPr>
      <w:r>
        <w:rPr>
          <w:rFonts w:hint="eastAsia" w:ascii="Times New Roman"/>
        </w:rPr>
        <w:t>报警复位，音响和闪光报警停止；</w:t>
      </w:r>
    </w:p>
    <w:p w14:paraId="3EF3F645">
      <w:pPr>
        <w:pStyle w:val="305"/>
        <w:numPr>
          <w:ilvl w:val="0"/>
          <w:numId w:val="82"/>
        </w:numPr>
        <w:rPr>
          <w:rFonts w:ascii="Times New Roman"/>
        </w:rPr>
      </w:pPr>
      <w:r>
        <w:rPr>
          <w:rFonts w:hint="eastAsia" w:ascii="Times New Roman"/>
        </w:rPr>
        <w:t>灯试验和功能试验。</w:t>
      </w:r>
    </w:p>
    <w:p w14:paraId="6AB1A833">
      <w:pPr>
        <w:pStyle w:val="326"/>
      </w:pPr>
      <w:r>
        <w:rPr>
          <w:rFonts w:hint="eastAsia"/>
        </w:rPr>
        <w:t>报警方式至少应采取中控人机界面、中控手操盘、广播告警系统</w:t>
      </w:r>
      <w:r>
        <w:t>、</w:t>
      </w:r>
      <w:r>
        <w:rPr>
          <w:rFonts w:hint="eastAsia"/>
        </w:rPr>
        <w:t>平台状态灯等方式。</w:t>
      </w:r>
    </w:p>
    <w:p w14:paraId="350CD03F">
      <w:pPr>
        <w:pStyle w:val="326"/>
      </w:pPr>
      <w:r>
        <w:rPr>
          <w:rFonts w:hint="eastAsia"/>
        </w:rPr>
        <w:t>中控室或者中控设备间机柜门上应设置中控手操盘。盘面应包含蜂鸣器、ESD主要关断级别报警灯/确认启动按钮、复位按钮、声光测试按钮、报警确认按钮。针对有消防系统和灭火系统的平台还应设置主备设备切换开关及启动按钮。</w:t>
      </w:r>
    </w:p>
    <w:p w14:paraId="1B81B385">
      <w:pPr>
        <w:pStyle w:val="326"/>
      </w:pPr>
      <w:r>
        <w:rPr>
          <w:rFonts w:hint="eastAsia"/>
        </w:rPr>
        <w:t>无人平台设备柜门上应设置蜂鸣器、ESD主要关断级别报警灯/确认启动按钮、复位按钮。</w:t>
      </w:r>
    </w:p>
    <w:p w14:paraId="229BE642">
      <w:pPr>
        <w:pStyle w:val="260"/>
        <w:outlineLvl w:val="1"/>
      </w:pPr>
      <w:bookmarkStart w:id="237" w:name="_Toc12156"/>
      <w:bookmarkStart w:id="238" w:name="_Toc10467"/>
      <w:r>
        <w:rPr>
          <w:rFonts w:hint="eastAsia"/>
        </w:rPr>
        <w:t>井口安全控制系统</w:t>
      </w:r>
      <w:bookmarkEnd w:id="237"/>
      <w:bookmarkEnd w:id="238"/>
    </w:p>
    <w:p w14:paraId="33074D0E">
      <w:pPr>
        <w:pStyle w:val="326"/>
      </w:pPr>
      <w:r>
        <w:rPr>
          <w:rFonts w:hint="eastAsia" w:ascii="Times New Roman" w:eastAsia="宋体"/>
        </w:rPr>
        <w:t>井口安全控制系统包括井口控制盘、控制管线和在井口区内适当地点设置的手动应急关断阀等</w:t>
      </w:r>
      <w:r>
        <w:rPr>
          <w:rFonts w:hint="eastAsia" w:ascii="Times New Roman" w:eastAsia="宋体"/>
          <w:lang w:eastAsia="zh-CN"/>
        </w:rPr>
        <w:t>，</w:t>
      </w:r>
      <w:r>
        <w:rPr>
          <w:rFonts w:hint="eastAsia" w:ascii="Times New Roman" w:eastAsia="宋体"/>
        </w:rPr>
        <w:t xml:space="preserve"> 井口控制盘应设在井口区的敞开环境中。</w:t>
      </w:r>
    </w:p>
    <w:p w14:paraId="4A5ED630">
      <w:pPr>
        <w:pStyle w:val="326"/>
      </w:pPr>
      <w:r>
        <w:rPr>
          <w:rFonts w:hint="eastAsia" w:ascii="Times New Roman" w:eastAsia="宋体"/>
        </w:rPr>
        <w:t>井口控制盘应具有监测、控制井口区所有主安全阀、翼安全阀、井下放气阀和井下安全阀的功能。</w:t>
      </w:r>
    </w:p>
    <w:p w14:paraId="51144AED">
      <w:pPr>
        <w:pStyle w:val="326"/>
      </w:pPr>
      <w:r>
        <w:rPr>
          <w:rFonts w:hint="eastAsia" w:ascii="Times New Roman" w:eastAsia="宋体"/>
        </w:rPr>
        <w:t>与井口控制盘有关的自动与手动控制装置如下：</w:t>
      </w:r>
    </w:p>
    <w:p w14:paraId="4D875B38">
      <w:pPr>
        <w:pStyle w:val="305"/>
        <w:numPr>
          <w:ilvl w:val="0"/>
          <w:numId w:val="83"/>
        </w:numPr>
      </w:pPr>
      <w:r>
        <w:rPr>
          <w:rFonts w:hint="eastAsia"/>
        </w:rPr>
        <w:t>井口出油管线上的高、低压开关或变送器；</w:t>
      </w:r>
    </w:p>
    <w:p w14:paraId="2686CE8A">
      <w:pPr>
        <w:pStyle w:val="305"/>
        <w:numPr>
          <w:ilvl w:val="0"/>
          <w:numId w:val="83"/>
        </w:numPr>
      </w:pPr>
      <w:r>
        <w:rPr>
          <w:rFonts w:hint="eastAsia"/>
        </w:rPr>
        <w:t>井口控制盘上的主、翼安全阀及井下安全阀控制开关；</w:t>
      </w:r>
    </w:p>
    <w:p w14:paraId="65B92680">
      <w:pPr>
        <w:pStyle w:val="305"/>
        <w:numPr>
          <w:ilvl w:val="0"/>
          <w:numId w:val="83"/>
        </w:numPr>
      </w:pPr>
      <w:r>
        <w:rPr>
          <w:rFonts w:hint="eastAsia"/>
        </w:rPr>
        <w:t>井口区设置的易熔塞控制回路；</w:t>
      </w:r>
    </w:p>
    <w:p w14:paraId="47D74025">
      <w:pPr>
        <w:pStyle w:val="305"/>
        <w:numPr>
          <w:ilvl w:val="0"/>
          <w:numId w:val="83"/>
        </w:numPr>
      </w:pPr>
      <w:r>
        <w:rPr>
          <w:rFonts w:hint="eastAsia"/>
        </w:rPr>
        <w:t>接受生产、火气和弃平台关断信号的井口控制盘接口装置。</w:t>
      </w:r>
    </w:p>
    <w:p w14:paraId="0541AA2E">
      <w:pPr>
        <w:pStyle w:val="326"/>
      </w:pPr>
      <w:r>
        <w:rPr>
          <w:rFonts w:hint="eastAsia" w:ascii="Times New Roman" w:eastAsia="宋体"/>
        </w:rPr>
        <w:t xml:space="preserve"> 井口控制盘应能向控制系统传送如下报警和紧急关断信号：</w:t>
      </w:r>
    </w:p>
    <w:p w14:paraId="6ACD30DE">
      <w:pPr>
        <w:pStyle w:val="305"/>
        <w:numPr>
          <w:ilvl w:val="0"/>
          <w:numId w:val="84"/>
        </w:numPr>
        <w:rPr>
          <w:rFonts w:ascii="Times New Roman"/>
        </w:rPr>
      </w:pPr>
      <w:r>
        <w:rPr>
          <w:rFonts w:hint="eastAsia" w:ascii="Times New Roman"/>
        </w:rPr>
        <w:t>液压泵出口压力高高/低低报警；</w:t>
      </w:r>
    </w:p>
    <w:p w14:paraId="3F64727A">
      <w:pPr>
        <w:pStyle w:val="305"/>
        <w:numPr>
          <w:ilvl w:val="0"/>
          <w:numId w:val="84"/>
        </w:numPr>
        <w:rPr>
          <w:rFonts w:ascii="Times New Roman"/>
        </w:rPr>
      </w:pPr>
      <w:r>
        <w:rPr>
          <w:rFonts w:hint="eastAsia" w:ascii="Times New Roman"/>
        </w:rPr>
        <w:t>气驱工况下仪表风压力低低报警；</w:t>
      </w:r>
    </w:p>
    <w:p w14:paraId="46336453">
      <w:pPr>
        <w:pStyle w:val="305"/>
        <w:numPr>
          <w:ilvl w:val="0"/>
          <w:numId w:val="84"/>
        </w:numPr>
        <w:rPr>
          <w:rFonts w:ascii="Times New Roman"/>
        </w:rPr>
      </w:pPr>
      <w:r>
        <w:rPr>
          <w:rFonts w:hint="eastAsia" w:ascii="Times New Roman"/>
        </w:rPr>
        <w:t>液压控制回路低压报警；</w:t>
      </w:r>
    </w:p>
    <w:p w14:paraId="676AF78F">
      <w:pPr>
        <w:pStyle w:val="305"/>
        <w:numPr>
          <w:ilvl w:val="0"/>
          <w:numId w:val="84"/>
        </w:numPr>
        <w:rPr>
          <w:rFonts w:ascii="Times New Roman"/>
        </w:rPr>
      </w:pPr>
      <w:r>
        <w:rPr>
          <w:rFonts w:hint="eastAsia" w:ascii="Times New Roman"/>
        </w:rPr>
        <w:t>易熔塞回路动作报警；</w:t>
      </w:r>
    </w:p>
    <w:p w14:paraId="2065CEC8">
      <w:pPr>
        <w:pStyle w:val="305"/>
        <w:numPr>
          <w:ilvl w:val="0"/>
          <w:numId w:val="84"/>
        </w:numPr>
        <w:rPr>
          <w:rFonts w:ascii="Times New Roman"/>
        </w:rPr>
      </w:pPr>
      <w:r>
        <w:rPr>
          <w:rFonts w:hint="eastAsia" w:ascii="Times New Roman"/>
        </w:rPr>
        <w:t>手动控制回路动作报警；</w:t>
      </w:r>
    </w:p>
    <w:p w14:paraId="357F57D6">
      <w:pPr>
        <w:pStyle w:val="305"/>
        <w:numPr>
          <w:ilvl w:val="0"/>
          <w:numId w:val="84"/>
        </w:numPr>
        <w:rPr>
          <w:rFonts w:ascii="Times New Roman"/>
        </w:rPr>
      </w:pPr>
      <w:r>
        <w:rPr>
          <w:rFonts w:hint="eastAsia" w:ascii="Times New Roman"/>
        </w:rPr>
        <w:t>井口出油管线高低压开关报警；</w:t>
      </w:r>
    </w:p>
    <w:p w14:paraId="1743D7A5">
      <w:pPr>
        <w:pStyle w:val="305"/>
        <w:numPr>
          <w:ilvl w:val="0"/>
          <w:numId w:val="85"/>
        </w:numPr>
        <w:rPr>
          <w:rFonts w:ascii="Times New Roman"/>
        </w:rPr>
      </w:pPr>
      <w:r>
        <w:rPr>
          <w:rFonts w:hint="eastAsia" w:ascii="Times New Roman"/>
        </w:rPr>
        <w:t>单井井上安全阀关断报警；</w:t>
      </w:r>
    </w:p>
    <w:p w14:paraId="154671A7">
      <w:pPr>
        <w:pStyle w:val="305"/>
        <w:numPr>
          <w:ilvl w:val="0"/>
          <w:numId w:val="85"/>
        </w:numPr>
      </w:pPr>
      <w:r>
        <w:rPr>
          <w:rFonts w:hint="eastAsia" w:ascii="Times New Roman"/>
        </w:rPr>
        <w:t>全部井上安全阀/井下安全阀关断报警；</w:t>
      </w:r>
    </w:p>
    <w:p w14:paraId="35AA9351">
      <w:pPr>
        <w:pStyle w:val="305"/>
        <w:numPr>
          <w:ilvl w:val="0"/>
          <w:numId w:val="84"/>
        </w:numPr>
      </w:pPr>
      <w:r>
        <w:rPr>
          <w:rFonts w:hint="eastAsia"/>
        </w:rPr>
        <w:t>液压油箱液位低报警；</w:t>
      </w:r>
    </w:p>
    <w:p w14:paraId="7EAE7F64">
      <w:pPr>
        <w:pStyle w:val="305"/>
        <w:numPr>
          <w:ilvl w:val="0"/>
          <w:numId w:val="84"/>
        </w:numPr>
      </w:pPr>
      <w:r>
        <w:rPr>
          <w:rFonts w:hint="eastAsia" w:ascii="Times New Roman"/>
        </w:rPr>
        <w:t>其它与井口安全和控制系统有关的重要状态参数的报警。</w:t>
      </w:r>
    </w:p>
    <w:p w14:paraId="3D3CBD6D">
      <w:pPr>
        <w:pStyle w:val="326"/>
      </w:pPr>
      <w:r>
        <w:rPr>
          <w:rFonts w:hint="eastAsia" w:ascii="Times New Roman" w:eastAsia="宋体"/>
        </w:rPr>
        <w:t>井口控制盘应具有特定的气动和液动逻辑控制回路和延时回路，以保证井口安全阀能按先开井下安全阀后开井上安全阀的顺序开启和先关井上安全阀后关井下安全阀的顺序关断。</w:t>
      </w:r>
    </w:p>
    <w:p w14:paraId="4E915677">
      <w:pPr>
        <w:pStyle w:val="326"/>
      </w:pPr>
      <w:r>
        <w:rPr>
          <w:rFonts w:hint="eastAsia" w:ascii="Times New Roman" w:eastAsia="宋体"/>
        </w:rPr>
        <w:t>关断后，主、翼安全阀和井下安全阀应保持关断状态，均不应自动开启。只有在确认故障排除后，人工在控制系统或井口控制盘上才能进行关断复位，然后逐一打开井上和井下安全阀。</w:t>
      </w:r>
    </w:p>
    <w:p w14:paraId="1A3C8A86">
      <w:pPr>
        <w:pStyle w:val="260"/>
        <w:outlineLvl w:val="1"/>
      </w:pPr>
      <w:bookmarkStart w:id="239" w:name="_Toc8548"/>
      <w:r>
        <w:rPr>
          <w:rFonts w:hint="eastAsia"/>
        </w:rPr>
        <w:t>应急关断系统</w:t>
      </w:r>
      <w:bookmarkEnd w:id="239"/>
    </w:p>
    <w:p w14:paraId="62924453">
      <w:pPr>
        <w:pStyle w:val="261"/>
        <w:spacing w:before="156" w:after="156"/>
        <w:outlineLvl w:val="2"/>
      </w:pPr>
      <w:r>
        <w:rPr>
          <w:rFonts w:hint="eastAsia"/>
        </w:rPr>
        <w:t>一般规定</w:t>
      </w:r>
    </w:p>
    <w:p w14:paraId="0F7006D1">
      <w:pPr>
        <w:pStyle w:val="327"/>
      </w:pPr>
      <w:r>
        <w:rPr>
          <w:rFonts w:hint="eastAsia"/>
        </w:rPr>
        <w:t>应急关断系统的设计应为失效安全型设计</w:t>
      </w:r>
      <w:r>
        <w:rPr>
          <w:rFonts w:hint="eastAsia"/>
          <w:lang w:eastAsia="zh-CN"/>
        </w:rPr>
        <w:t>，</w:t>
      </w:r>
      <w:r>
        <w:rPr>
          <w:rFonts w:hint="eastAsia"/>
        </w:rPr>
        <w:t xml:space="preserve"> 应不受电磁干扰。</w:t>
      </w:r>
    </w:p>
    <w:p w14:paraId="1B6334DC">
      <w:pPr>
        <w:pStyle w:val="327"/>
      </w:pPr>
      <w:r>
        <w:rPr>
          <w:rFonts w:hint="eastAsia"/>
        </w:rPr>
        <w:t>平台手动应急关断按钮应配以清楚的标记和防止误操作的外壳。</w:t>
      </w:r>
    </w:p>
    <w:p w14:paraId="78CC70E6">
      <w:pPr>
        <w:pStyle w:val="327"/>
      </w:pPr>
      <w:r>
        <w:rPr>
          <w:rFonts w:hint="eastAsia"/>
        </w:rPr>
        <w:t>应急关断系统电缆的选用应按14.7和14.9.3有关条款执行</w:t>
      </w:r>
      <w:r>
        <w:rPr>
          <w:rFonts w:hint="eastAsia"/>
          <w:lang w:eastAsia="zh-CN"/>
        </w:rPr>
        <w:t>，</w:t>
      </w:r>
      <w:r>
        <w:rPr>
          <w:rFonts w:hint="eastAsia"/>
        </w:rPr>
        <w:t>其敷设路径应尽可能远离各种危险源。应急关断系统电缆的接线端子应单独设置，如与其它接线端子安装在一起时，则应有明显的识别标志。</w:t>
      </w:r>
    </w:p>
    <w:p w14:paraId="7832CE87">
      <w:pPr>
        <w:pStyle w:val="327"/>
      </w:pPr>
      <w:r>
        <w:rPr>
          <w:rFonts w:hint="eastAsia"/>
        </w:rPr>
        <w:t>应急关断系统应有手动复位按钮和信号旁路开关。</w:t>
      </w:r>
    </w:p>
    <w:p w14:paraId="19872166">
      <w:pPr>
        <w:pStyle w:val="261"/>
        <w:spacing w:before="156" w:after="156"/>
        <w:outlineLvl w:val="2"/>
      </w:pPr>
      <w:r>
        <w:rPr>
          <w:rFonts w:hint="eastAsia"/>
        </w:rPr>
        <w:t>系统组成</w:t>
      </w:r>
    </w:p>
    <w:p w14:paraId="3D0D00F9">
      <w:pPr>
        <w:pStyle w:val="326"/>
        <w:numPr>
          <w:ilvl w:val="2"/>
          <w:numId w:val="0"/>
        </w:numPr>
        <w:ind w:firstLine="420" w:firstLineChars="200"/>
      </w:pPr>
      <w:r>
        <w:rPr>
          <w:rFonts w:hint="eastAsia"/>
        </w:rPr>
        <w:t>应急关断系统应至少包括以下部分：</w:t>
      </w:r>
    </w:p>
    <w:p w14:paraId="144C5BCD">
      <w:pPr>
        <w:pStyle w:val="305"/>
        <w:numPr>
          <w:ilvl w:val="0"/>
          <w:numId w:val="86"/>
        </w:numPr>
        <w:rPr>
          <w:rFonts w:ascii="Times New Roman"/>
        </w:rPr>
      </w:pPr>
      <w:r>
        <w:rPr>
          <w:rFonts w:hint="eastAsia"/>
        </w:rPr>
        <w:t>应急关断系统硬件和应急关断逻辑；</w:t>
      </w:r>
    </w:p>
    <w:p w14:paraId="7D6AFB5F">
      <w:pPr>
        <w:pStyle w:val="305"/>
        <w:numPr>
          <w:ilvl w:val="0"/>
          <w:numId w:val="86"/>
        </w:numPr>
        <w:rPr>
          <w:rFonts w:ascii="Times New Roman"/>
        </w:rPr>
      </w:pPr>
      <w:r>
        <w:rPr>
          <w:rFonts w:hint="eastAsia" w:ascii="Times New Roman"/>
        </w:rPr>
        <w:t>手动应急关断按钮；</w:t>
      </w:r>
    </w:p>
    <w:p w14:paraId="38227A22">
      <w:pPr>
        <w:pStyle w:val="305"/>
        <w:numPr>
          <w:ilvl w:val="0"/>
          <w:numId w:val="86"/>
        </w:numPr>
        <w:rPr>
          <w:rFonts w:ascii="Times New Roman"/>
        </w:rPr>
      </w:pPr>
      <w:r>
        <w:rPr>
          <w:rFonts w:hint="eastAsia" w:ascii="Times New Roman"/>
        </w:rPr>
        <w:t>安装在重要工艺设备和公用设备上</w:t>
      </w:r>
      <w:r>
        <w:rPr>
          <w:rFonts w:hint="eastAsia" w:ascii="Times New Roman"/>
          <w:lang w:eastAsia="zh-CN"/>
        </w:rPr>
        <w:t>，</w:t>
      </w:r>
      <w:r>
        <w:rPr>
          <w:rFonts w:hint="eastAsia" w:ascii="Times New Roman"/>
        </w:rPr>
        <w:t xml:space="preserve"> 在异常情况下能发出关断信号的自动检测开关或变送器；</w:t>
      </w:r>
    </w:p>
    <w:p w14:paraId="71A1CB84">
      <w:pPr>
        <w:pStyle w:val="305"/>
        <w:numPr>
          <w:ilvl w:val="0"/>
          <w:numId w:val="86"/>
        </w:numPr>
      </w:pPr>
      <w:r>
        <w:rPr>
          <w:rFonts w:hint="eastAsia" w:ascii="Times New Roman"/>
        </w:rPr>
        <w:t>火灾与可燃、有毒气体探测引起的联锁关断信号；</w:t>
      </w:r>
    </w:p>
    <w:p w14:paraId="5E937FD7">
      <w:pPr>
        <w:pStyle w:val="305"/>
        <w:numPr>
          <w:ilvl w:val="0"/>
          <w:numId w:val="86"/>
        </w:numPr>
      </w:pPr>
      <w:r>
        <w:rPr>
          <w:rFonts w:hint="eastAsia" w:ascii="Times New Roman"/>
        </w:rPr>
        <w:t>信号转换及各种执行机构、电磁阀、关断阀等。</w:t>
      </w:r>
    </w:p>
    <w:p w14:paraId="787514C9">
      <w:pPr>
        <w:pStyle w:val="261"/>
        <w:spacing w:before="156" w:after="156"/>
        <w:outlineLvl w:val="2"/>
      </w:pPr>
      <w:r>
        <w:t>手动应急关断按钮</w:t>
      </w:r>
    </w:p>
    <w:p w14:paraId="60803D16">
      <w:pPr>
        <w:pStyle w:val="326"/>
        <w:numPr>
          <w:ilvl w:val="2"/>
          <w:numId w:val="0"/>
        </w:numPr>
        <w:ind w:firstLine="420" w:firstLineChars="200"/>
      </w:pPr>
      <w:r>
        <w:rPr>
          <w:rFonts w:hint="eastAsia"/>
        </w:rPr>
        <w:t>手动应急关断按钮应设置在直升机甲板、救生艇登乘处所、井口区附近等关键地点。中控室手操盘上或中控设备间机柜门上设置手动应急关断按钮。</w:t>
      </w:r>
    </w:p>
    <w:p w14:paraId="7DC59D5F">
      <w:pPr>
        <w:pStyle w:val="261"/>
        <w:spacing w:before="156" w:after="156"/>
        <w:outlineLvl w:val="2"/>
      </w:pPr>
      <w:r>
        <w:t>关断级别</w:t>
      </w:r>
    </w:p>
    <w:p w14:paraId="06B9D152">
      <w:pPr>
        <w:pStyle w:val="327"/>
        <w:spacing w:before="156" w:beforeLines="50" w:after="156" w:afterLines="50"/>
        <w:outlineLvl w:val="4"/>
        <w:rPr>
          <w:rFonts w:hint="eastAsia" w:ascii="黑体" w:hAnsi="黑体" w:eastAsia="黑体" w:cs="黑体"/>
        </w:rPr>
      </w:pPr>
      <w:r>
        <w:rPr>
          <w:rFonts w:hint="eastAsia" w:ascii="黑体" w:hAnsi="黑体" w:eastAsia="黑体" w:cs="黑体"/>
        </w:rPr>
        <w:t>弃平台关断</w:t>
      </w:r>
    </w:p>
    <w:p w14:paraId="68F34B8A">
      <w:pPr>
        <w:pStyle w:val="326"/>
        <w:numPr>
          <w:ilvl w:val="2"/>
          <w:numId w:val="0"/>
        </w:numPr>
        <w:ind w:firstLine="420" w:firstLineChars="200"/>
      </w:pPr>
      <w:r>
        <w:rPr>
          <w:rFonts w:hint="eastAsia"/>
        </w:rPr>
        <w:t>在遇有不可抗拒的情况时</w:t>
      </w:r>
      <w:r>
        <w:rPr>
          <w:rFonts w:hint="eastAsia"/>
          <w:lang w:eastAsia="zh-CN"/>
        </w:rPr>
        <w:t>，</w:t>
      </w:r>
      <w:r>
        <w:rPr>
          <w:rFonts w:hint="eastAsia"/>
        </w:rPr>
        <w:t xml:space="preserve"> 人员撤离平台前</w:t>
      </w:r>
      <w:r>
        <w:rPr>
          <w:rFonts w:hint="eastAsia"/>
          <w:lang w:eastAsia="zh-CN"/>
        </w:rPr>
        <w:t>，</w:t>
      </w:r>
      <w:r>
        <w:rPr>
          <w:rFonts w:hint="eastAsia"/>
        </w:rPr>
        <w:t xml:space="preserve"> 应执行弃平台关断。</w:t>
      </w:r>
    </w:p>
    <w:p w14:paraId="529A1354">
      <w:pPr>
        <w:pStyle w:val="327"/>
        <w:spacing w:before="156" w:beforeLines="50" w:after="156" w:afterLines="50"/>
        <w:outlineLvl w:val="4"/>
        <w:rPr>
          <w:rFonts w:hint="eastAsia" w:ascii="黑体" w:hAnsi="黑体" w:eastAsia="黑体" w:cs="黑体"/>
        </w:rPr>
      </w:pPr>
      <w:r>
        <w:rPr>
          <w:rFonts w:hint="eastAsia" w:ascii="黑体" w:hAnsi="黑体" w:eastAsia="黑体" w:cs="黑体"/>
        </w:rPr>
        <w:t>火气关断</w:t>
      </w:r>
    </w:p>
    <w:p w14:paraId="386EEF98">
      <w:pPr>
        <w:pStyle w:val="328"/>
      </w:pPr>
      <w:r>
        <w:rPr>
          <w:rFonts w:hint="eastAsia"/>
        </w:rPr>
        <w:t>由井口易熔塞回路检测到的火情直接产生平台的火气关断</w:t>
      </w:r>
      <w:r>
        <w:rPr>
          <w:rFonts w:hint="eastAsia"/>
          <w:lang w:eastAsia="zh-CN"/>
        </w:rPr>
        <w:t>，</w:t>
      </w:r>
      <w:r>
        <w:rPr>
          <w:rFonts w:hint="eastAsia"/>
        </w:rPr>
        <w:t xml:space="preserve"> 或由火灾与可燃、有毒气体探测器探测到的异常情况自动地或经人工确认后手动地启动火气关断。</w:t>
      </w:r>
    </w:p>
    <w:p w14:paraId="376A895A">
      <w:pPr>
        <w:pStyle w:val="328"/>
      </w:pPr>
      <w:r>
        <w:rPr>
          <w:rFonts w:hint="eastAsia"/>
        </w:rPr>
        <w:t>火气关断应导致生产关断，关断所有的井下安全阀。打开泄压阀、关断井下安全阀。但消防设施、通信设备、直升机甲板边界灯、障碍灯、雾笛、应急照明及发电和供电设备应保持工作状态。</w:t>
      </w:r>
    </w:p>
    <w:p w14:paraId="3163D855">
      <w:pPr>
        <w:pStyle w:val="327"/>
        <w:spacing w:before="156" w:beforeLines="50" w:after="156" w:afterLines="50"/>
        <w:outlineLvl w:val="4"/>
        <w:rPr>
          <w:rFonts w:hint="eastAsia" w:ascii="黑体" w:hAnsi="黑体" w:eastAsia="黑体" w:cs="黑体"/>
        </w:rPr>
      </w:pPr>
      <w:r>
        <w:rPr>
          <w:rFonts w:hint="eastAsia" w:ascii="黑体" w:hAnsi="黑体" w:eastAsia="黑体" w:cs="黑体"/>
        </w:rPr>
        <w:t>生产关断</w:t>
      </w:r>
    </w:p>
    <w:p w14:paraId="2B525F05">
      <w:pPr>
        <w:pStyle w:val="328"/>
      </w:pPr>
      <w:r>
        <w:rPr>
          <w:rFonts w:hint="eastAsia"/>
        </w:rPr>
        <w:t>生产关断由生产系统的重要监控信号、仪表气压低低信号、海底管线压力高高低低信号、供电系统故障信号以及全部井上安全阀关闭信号等引发完成。</w:t>
      </w:r>
    </w:p>
    <w:p w14:paraId="7A069CE5">
      <w:pPr>
        <w:pStyle w:val="328"/>
      </w:pPr>
      <w:r>
        <w:rPr>
          <w:rFonts w:hint="eastAsia"/>
        </w:rPr>
        <w:t>关断井口采油树的主阀、翼阀；关断生产流程中的相关设备或阀门。</w:t>
      </w:r>
    </w:p>
    <w:p w14:paraId="311E8DF5">
      <w:pPr>
        <w:pStyle w:val="327"/>
        <w:spacing w:before="156" w:beforeLines="50" w:after="156" w:afterLines="50"/>
        <w:outlineLvl w:val="4"/>
        <w:rPr>
          <w:rFonts w:hint="eastAsia" w:ascii="黑体" w:hAnsi="黑体" w:eastAsia="黑体" w:cs="黑体"/>
        </w:rPr>
      </w:pPr>
      <w:r>
        <w:rPr>
          <w:rFonts w:hint="eastAsia" w:ascii="黑体" w:hAnsi="黑体" w:eastAsia="黑体" w:cs="黑体"/>
        </w:rPr>
        <w:t>单元关断</w:t>
      </w:r>
    </w:p>
    <w:p w14:paraId="79FD9841">
      <w:pPr>
        <w:pStyle w:val="326"/>
        <w:numPr>
          <w:ilvl w:val="2"/>
          <w:numId w:val="0"/>
        </w:numPr>
        <w:ind w:firstLine="420" w:firstLineChars="200"/>
      </w:pPr>
      <w:r>
        <w:rPr>
          <w:rFonts w:hint="eastAsia"/>
        </w:rPr>
        <w:t>关断单台设备或单系列设备。</w:t>
      </w:r>
    </w:p>
    <w:p w14:paraId="67287490">
      <w:pPr>
        <w:pStyle w:val="260"/>
        <w:outlineLvl w:val="1"/>
      </w:pPr>
      <w:bookmarkStart w:id="240" w:name="_Toc1460"/>
      <w:r>
        <w:rPr>
          <w:rFonts w:hint="eastAsia"/>
        </w:rPr>
        <w:t>火灾与可燃、有毒气体探测报警系统</w:t>
      </w:r>
      <w:bookmarkEnd w:id="240"/>
    </w:p>
    <w:p w14:paraId="2D1EC769">
      <w:pPr>
        <w:pStyle w:val="261"/>
        <w:spacing w:before="156" w:after="156"/>
        <w:outlineLvl w:val="2"/>
      </w:pPr>
      <w:r>
        <w:rPr>
          <w:rFonts w:hint="eastAsia"/>
        </w:rPr>
        <w:t>一般规定</w:t>
      </w:r>
    </w:p>
    <w:p w14:paraId="661BD25B">
      <w:pPr>
        <w:pStyle w:val="327"/>
      </w:pPr>
      <w:r>
        <w:rPr>
          <w:rFonts w:hint="eastAsia"/>
        </w:rPr>
        <w:t>火灾与可燃、有毒气体探测报警系统（后简称火气系统）通过及时、准确地探测到可能发生或已经发生的火情和气体泄漏事故，并通过火气控制系统根据预设的触发逻辑及时执行相应的安全措施（如报警、关断、消防等），以保护平台人员和设施安全。火气系统包括火气控制系统、火气探测设备和报警系统，以及与应急关断系统、消防系统和暖通系统的接口。</w:t>
      </w:r>
    </w:p>
    <w:p w14:paraId="71B757BF">
      <w:pPr>
        <w:pStyle w:val="327"/>
      </w:pPr>
      <w:r>
        <w:rPr>
          <w:rFonts w:hint="eastAsia"/>
        </w:rPr>
        <w:t>火灾与可燃、有毒气体探测器的选型及设置地点、数量，应能保证对可能发生火灾和可燃、有毒气体泄漏位置进行连续监测。</w:t>
      </w:r>
    </w:p>
    <w:p w14:paraId="1819074B">
      <w:pPr>
        <w:pStyle w:val="327"/>
      </w:pPr>
      <w:r>
        <w:rPr>
          <w:rFonts w:hint="eastAsia"/>
        </w:rPr>
        <w:t>火灾与可燃、有毒气体探测器应按所用规范、标准的规定进行标定试验。火气系统应能进行自检和故障报警。</w:t>
      </w:r>
    </w:p>
    <w:p w14:paraId="1924E550">
      <w:pPr>
        <w:pStyle w:val="327"/>
      </w:pPr>
      <w:r>
        <w:rPr>
          <w:rFonts w:hint="eastAsia"/>
        </w:rPr>
        <w:t>通过广播系统的报警</w:t>
      </w:r>
      <w:r>
        <w:rPr>
          <w:rFonts w:hint="eastAsia"/>
          <w:lang w:eastAsia="zh-CN"/>
        </w:rPr>
        <w:t>，</w:t>
      </w:r>
      <w:r>
        <w:rPr>
          <w:rFonts w:hint="eastAsia"/>
        </w:rPr>
        <w:t xml:space="preserve"> 应符合21.2.2.4的规定。</w:t>
      </w:r>
    </w:p>
    <w:p w14:paraId="7B5B86D0">
      <w:pPr>
        <w:pStyle w:val="327"/>
      </w:pPr>
      <w:r>
        <w:rPr>
          <w:rFonts w:hint="eastAsia"/>
        </w:rPr>
        <w:t>报警要求还应符合15.2的有关规定。</w:t>
      </w:r>
    </w:p>
    <w:p w14:paraId="2EAF61AE">
      <w:pPr>
        <w:pStyle w:val="261"/>
        <w:spacing w:before="156" w:after="156"/>
        <w:outlineLvl w:val="2"/>
      </w:pPr>
      <w:r>
        <w:rPr>
          <w:rFonts w:hint="eastAsia"/>
        </w:rPr>
        <w:t>可燃、有毒气体探测报警系统</w:t>
      </w:r>
    </w:p>
    <w:p w14:paraId="05381714">
      <w:pPr>
        <w:pStyle w:val="327"/>
      </w:pPr>
      <w:r>
        <w:rPr>
          <w:rFonts w:hint="eastAsia" w:ascii="Times New Roman" w:eastAsia="宋体"/>
        </w:rPr>
        <w:t>可燃、有毒气体探测器应安装在泄漏源附近和可燃、有毒气体容易聚积的地方</w:t>
      </w:r>
      <w:r>
        <w:rPr>
          <w:rFonts w:hint="eastAsia" w:ascii="Times New Roman" w:eastAsia="宋体"/>
          <w:lang w:eastAsia="zh-CN"/>
        </w:rPr>
        <w:t>，</w:t>
      </w:r>
      <w:r>
        <w:rPr>
          <w:rFonts w:hint="eastAsia" w:ascii="Times New Roman" w:eastAsia="宋体"/>
        </w:rPr>
        <w:t xml:space="preserve"> 及通风和助燃空气的入口处；以保证能探测到轻于空气和重于空气的可燃、有毒气体并保证其工作不受环境的影响。</w:t>
      </w:r>
    </w:p>
    <w:p w14:paraId="461A6081">
      <w:pPr>
        <w:pStyle w:val="327"/>
        <w:rPr>
          <w:rFonts w:hint="eastAsia" w:ascii="宋体" w:hAnsi="宋体" w:eastAsia="宋体" w:cs="宋体"/>
        </w:rPr>
      </w:pPr>
      <w:r>
        <w:rPr>
          <w:rFonts w:hint="eastAsia" w:ascii="Times New Roman" w:eastAsia="宋体"/>
        </w:rPr>
        <w:t>当探测到的</w:t>
      </w:r>
      <w:r>
        <w:rPr>
          <w:rFonts w:hint="eastAsia" w:ascii="宋体" w:hAnsi="宋体" w:eastAsia="宋体" w:cs="宋体"/>
        </w:rPr>
        <w:t>可燃性气体其浓度达到爆炸下限的20%时，应在火气系统上进行声、光报警；浓度达到爆炸下限的50%时，应在火气系统上进行声、光报警和相应的关断。</w:t>
      </w:r>
    </w:p>
    <w:p w14:paraId="554BD093">
      <w:pPr>
        <w:pStyle w:val="327"/>
        <w:rPr>
          <w:rFonts w:hint="eastAsia" w:ascii="宋体" w:hAnsi="宋体" w:eastAsia="宋体" w:cs="宋体"/>
        </w:rPr>
      </w:pPr>
      <w:r>
        <w:rPr>
          <w:rFonts w:hint="eastAsia" w:ascii="宋体" w:hAnsi="宋体" w:eastAsia="宋体" w:cs="宋体"/>
        </w:rPr>
        <w:t>当探测到的有毒气体其浓度达到职业接触限值的100%时，应在火气系统上进行连续的声、光报警；浓度达到职业接触限值的200%时应在火气系统上进行声、光报警和相应的关断。</w:t>
      </w:r>
    </w:p>
    <w:p w14:paraId="14F29FB5">
      <w:pPr>
        <w:pStyle w:val="327"/>
        <w:rPr>
          <w:rFonts w:hint="eastAsia" w:ascii="宋体" w:hAnsi="宋体" w:eastAsia="宋体" w:cs="宋体"/>
        </w:rPr>
      </w:pPr>
      <w:r>
        <w:rPr>
          <w:rFonts w:hint="eastAsia" w:ascii="宋体" w:hAnsi="宋体" w:eastAsia="宋体" w:cs="宋体"/>
        </w:rPr>
        <w:t>在安全分析认可基础上并获发证检验机构认可，无人驻守简易平台可不设探测报警系统。人员登临未设置探测报警系统的无人驻守平台时，应携带便携式可燃气体探测器。</w:t>
      </w:r>
    </w:p>
    <w:p w14:paraId="6B4F79AD">
      <w:pPr>
        <w:pStyle w:val="261"/>
        <w:spacing w:before="156" w:after="156"/>
        <w:outlineLvl w:val="2"/>
      </w:pPr>
      <w:r>
        <w:rPr>
          <w:rFonts w:hint="eastAsia"/>
        </w:rPr>
        <w:t>火灾探测报警系统</w:t>
      </w:r>
    </w:p>
    <w:p w14:paraId="20B88537">
      <w:pPr>
        <w:pStyle w:val="327"/>
      </w:pPr>
      <w:r>
        <w:rPr>
          <w:rFonts w:hint="eastAsia"/>
        </w:rPr>
        <w:t>在生活区和井口区、设备区和房间应按所用规范、标准的规定安装热探测器、烟探测器或火焰（紫外线、红外线）探测器以及其它类型的探测器、易熔塞回路，以便及早地探测到火灾，并在火气系统和现场进行报警，同时能自动或手动进行相应的关断，以切断火灾区域的油气流和该区域的通风系统和电源以及停止火灾区域机器设备的运转及燃油供应（不包括应急电源及消防泵）。</w:t>
      </w:r>
    </w:p>
    <w:p w14:paraId="25187DDF">
      <w:pPr>
        <w:pStyle w:val="327"/>
      </w:pPr>
      <w:r>
        <w:rPr>
          <w:rFonts w:hint="eastAsia" w:ascii="Times New Roman" w:eastAsia="宋体"/>
        </w:rPr>
        <w:t>平台上还应设有手动火灾报警按钮，其安装地点应在人们易于到达的地方和逃生通道的关键部位。</w:t>
      </w:r>
    </w:p>
    <w:p w14:paraId="0B7BBCE8">
      <w:pPr>
        <w:pStyle w:val="260"/>
        <w:outlineLvl w:val="1"/>
      </w:pPr>
      <w:bookmarkStart w:id="241" w:name="_Toc11099"/>
      <w:bookmarkStart w:id="242" w:name="_Toc9267"/>
      <w:r>
        <w:rPr>
          <w:rFonts w:hint="eastAsia"/>
        </w:rPr>
        <w:t>高完整性压力保护系统（HIPPS）</w:t>
      </w:r>
      <w:bookmarkEnd w:id="241"/>
      <w:bookmarkEnd w:id="242"/>
    </w:p>
    <w:p w14:paraId="41DB5F1B">
      <w:pPr>
        <w:pStyle w:val="326"/>
      </w:pPr>
      <w:r>
        <w:rPr>
          <w:rFonts w:hint="eastAsia"/>
        </w:rPr>
        <w:t>HIPPS应独立于过程控制系统和应急关断系统，独立完成压力安全保护功能。</w:t>
      </w:r>
    </w:p>
    <w:p w14:paraId="3DA1FB33">
      <w:pPr>
        <w:pStyle w:val="326"/>
      </w:pPr>
      <w:r>
        <w:rPr>
          <w:rFonts w:hint="eastAsia"/>
        </w:rPr>
        <w:t>HIPPS应是故障安全型。</w:t>
      </w:r>
    </w:p>
    <w:p w14:paraId="1F68F938">
      <w:pPr>
        <w:pStyle w:val="326"/>
      </w:pPr>
      <w:r>
        <w:rPr>
          <w:rFonts w:hint="eastAsia"/>
        </w:rPr>
        <w:t>HIPPS应具备手动操作功能。</w:t>
      </w:r>
    </w:p>
    <w:p w14:paraId="7CDA3327">
      <w:pPr>
        <w:pStyle w:val="326"/>
      </w:pPr>
      <w:r>
        <w:rPr>
          <w:rFonts w:hint="eastAsia"/>
        </w:rPr>
        <w:t>HIPPS产生关断后应手动复位。</w:t>
      </w:r>
    </w:p>
    <w:p w14:paraId="5D79AAA4">
      <w:pPr>
        <w:pStyle w:val="326"/>
      </w:pPr>
      <w:r>
        <w:rPr>
          <w:rFonts w:hint="eastAsia"/>
        </w:rPr>
        <w:t xml:space="preserve">HIPPS的安全完整性等级应根据SIL评估结果确定。 </w:t>
      </w:r>
    </w:p>
    <w:p w14:paraId="3C4E70E7">
      <w:pPr>
        <w:pStyle w:val="326"/>
      </w:pPr>
      <w:r>
        <w:rPr>
          <w:rFonts w:hint="eastAsia"/>
        </w:rPr>
        <w:t>HIPPS响应时间应根据工艺流程要求确定。</w:t>
      </w:r>
    </w:p>
    <w:p w14:paraId="00957158">
      <w:pPr>
        <w:pStyle w:val="326"/>
      </w:pPr>
      <w:r>
        <w:rPr>
          <w:rFonts w:hint="eastAsia"/>
        </w:rPr>
        <w:t>系统不允许设置旁通功能。</w:t>
      </w:r>
    </w:p>
    <w:p w14:paraId="42AD0BC2">
      <w:pPr>
        <w:pStyle w:val="326"/>
      </w:pPr>
      <w:r>
        <w:rPr>
          <w:rFonts w:hint="eastAsia"/>
        </w:rPr>
        <w:t>HIPPS 应使用不间断电源，供应HIPPS的液压源和气动源应具有冗余性。</w:t>
      </w:r>
    </w:p>
    <w:p w14:paraId="151F15D4">
      <w:pPr>
        <w:pStyle w:val="326"/>
      </w:pPr>
      <w:r>
        <w:rPr>
          <w:rFonts w:hint="eastAsia"/>
        </w:rPr>
        <w:t>压力传感器取源应独立。</w:t>
      </w:r>
    </w:p>
    <w:p w14:paraId="184E4A20">
      <w:pPr>
        <w:pStyle w:val="326"/>
      </w:pPr>
      <w:r>
        <w:rPr>
          <w:rFonts w:hint="eastAsia"/>
        </w:rPr>
        <w:t>压力传感器应独立且应硬线直接连接到HIPPS逻辑控制器。</w:t>
      </w:r>
    </w:p>
    <w:p w14:paraId="3E7A4DF4">
      <w:pPr>
        <w:pStyle w:val="260"/>
        <w:outlineLvl w:val="1"/>
      </w:pPr>
      <w:bookmarkStart w:id="243" w:name="_Toc145"/>
      <w:r>
        <w:rPr>
          <w:rFonts w:hint="eastAsia"/>
        </w:rPr>
        <w:t>控制系统试验要求</w:t>
      </w:r>
      <w:bookmarkEnd w:id="243"/>
    </w:p>
    <w:p w14:paraId="31BBCFF3">
      <w:pPr>
        <w:pStyle w:val="261"/>
        <w:spacing w:before="156" w:after="156"/>
        <w:outlineLvl w:val="2"/>
      </w:pPr>
      <w:r>
        <w:rPr>
          <w:rFonts w:hint="eastAsia"/>
        </w:rPr>
        <w:t>出厂试验</w:t>
      </w:r>
    </w:p>
    <w:p w14:paraId="523DED39">
      <w:pPr>
        <w:ind w:firstLine="420" w:firstLineChars="200"/>
      </w:pPr>
      <w:r>
        <w:rPr>
          <w:rFonts w:hint="eastAsia"/>
        </w:rPr>
        <w:t>承制厂家应对其产品进行严格的试验，逐一确认回路之间的相互关系并逐一确认各个逻辑功能。试验合格证应得到发证检验机构的认可。</w:t>
      </w:r>
    </w:p>
    <w:p w14:paraId="5C725F44">
      <w:pPr>
        <w:pStyle w:val="261"/>
        <w:spacing w:before="156" w:after="156"/>
        <w:outlineLvl w:val="2"/>
      </w:pPr>
      <w:r>
        <w:rPr>
          <w:rFonts w:hint="eastAsia"/>
        </w:rPr>
        <w:t>重复试验（现场试验）</w:t>
      </w:r>
    </w:p>
    <w:p w14:paraId="3E4B1112">
      <w:pPr>
        <w:ind w:firstLine="420" w:firstLineChars="200"/>
      </w:pPr>
      <w:r>
        <w:rPr>
          <w:rFonts w:hint="eastAsia"/>
        </w:rPr>
        <w:t>设备到货并安装好后，应对出厂试验中作过的部分进行联调再试验，以确认其功能是否正确。</w:t>
      </w:r>
    </w:p>
    <w:p w14:paraId="76CF7888">
      <w:pPr>
        <w:pStyle w:val="261"/>
        <w:spacing w:before="156" w:after="156"/>
        <w:outlineLvl w:val="2"/>
      </w:pPr>
      <w:r>
        <w:rPr>
          <w:rFonts w:hint="eastAsia"/>
        </w:rPr>
        <w:t>最终试验</w:t>
      </w:r>
    </w:p>
    <w:p w14:paraId="6CF90BE9">
      <w:pPr>
        <w:ind w:firstLine="420" w:firstLineChars="200"/>
      </w:pPr>
      <w:r>
        <w:rPr>
          <w:rFonts w:hint="eastAsia"/>
        </w:rPr>
        <w:t>海上试运转中，应对控制系统硬件和软件部分进行最终确认试验。试验完成后应作出由发证检验机构签署的试验报告。</w:t>
      </w:r>
    </w:p>
    <w:p w14:paraId="070E7A84">
      <w:pPr>
        <w:pStyle w:val="260"/>
        <w:outlineLvl w:val="1"/>
      </w:pPr>
      <w:bookmarkStart w:id="244" w:name="_Toc13467"/>
      <w:bookmarkStart w:id="245" w:name="_Toc19685"/>
      <w:r>
        <w:rPr>
          <w:rFonts w:hint="eastAsia"/>
        </w:rPr>
        <w:t>无人操作</w:t>
      </w:r>
      <w:bookmarkEnd w:id="244"/>
      <w:bookmarkEnd w:id="245"/>
    </w:p>
    <w:p w14:paraId="25032E8F">
      <w:pPr>
        <w:pStyle w:val="326"/>
      </w:pPr>
      <w:bookmarkStart w:id="246" w:name="_Toc28318"/>
      <w:r>
        <w:rPr>
          <w:rFonts w:hint="eastAsia" w:ascii="Times New Roman" w:eastAsia="宋体"/>
        </w:rPr>
        <w:t>海洋石油固定平台长期或短期处于现场无人操作的情况下应在依托平台或陆地设有远程操作站。</w:t>
      </w:r>
    </w:p>
    <w:p w14:paraId="7D13245D">
      <w:pPr>
        <w:pStyle w:val="326"/>
      </w:pPr>
      <w:r>
        <w:rPr>
          <w:rFonts w:hint="eastAsia" w:ascii="Times New Roman" w:eastAsia="宋体"/>
        </w:rPr>
        <w:t>海洋石油固定平台现场无人操作时消防泵应自动启动，与该泵相连的进出口管线应设遥控阀门。</w:t>
      </w:r>
    </w:p>
    <w:p w14:paraId="0921282B">
      <w:pPr>
        <w:pStyle w:val="326"/>
      </w:pPr>
      <w:r>
        <w:rPr>
          <w:rFonts w:hint="eastAsia"/>
        </w:rPr>
        <w:t>就地中控与远程控制中心应配置工控安全和时钟同步相关软硬件。</w:t>
      </w:r>
    </w:p>
    <w:p w14:paraId="5640B666">
      <w:pPr>
        <w:pStyle w:val="326"/>
      </w:pPr>
      <w:r>
        <w:rPr>
          <w:rFonts w:hint="eastAsia"/>
        </w:rPr>
        <w:t>就地中控应具备与远程控制中心通信中断后自动触发关断的功能。</w:t>
      </w:r>
    </w:p>
    <w:p w14:paraId="39B17D97">
      <w:pPr>
        <w:pStyle w:val="260"/>
        <w:outlineLvl w:val="1"/>
      </w:pPr>
      <w:bookmarkStart w:id="247" w:name="_Toc10985"/>
      <w:r>
        <w:rPr>
          <w:rFonts w:hint="eastAsia"/>
        </w:rPr>
        <w:t>控制电缆</w:t>
      </w:r>
      <w:bookmarkEnd w:id="246"/>
      <w:bookmarkEnd w:id="247"/>
    </w:p>
    <w:p w14:paraId="6BCF29D4">
      <w:pPr>
        <w:ind w:firstLine="420" w:firstLineChars="200"/>
      </w:pPr>
      <w:r>
        <w:rPr>
          <w:rFonts w:hint="eastAsia"/>
        </w:rPr>
        <w:t>按</w:t>
      </w:r>
      <w:r>
        <w:rPr>
          <w:rFonts w:hint="eastAsia" w:ascii="宋体" w:hAnsi="宋体" w:cs="宋体"/>
        </w:rPr>
        <w:t>14.7和14.9.3</w:t>
      </w:r>
      <w:r>
        <w:rPr>
          <w:rFonts w:hint="eastAsia"/>
        </w:rPr>
        <w:t>的有关规定执行。</w:t>
      </w:r>
    </w:p>
    <w:p w14:paraId="0747CDD0">
      <w:pPr>
        <w:pStyle w:val="260"/>
        <w:outlineLvl w:val="1"/>
      </w:pPr>
      <w:bookmarkStart w:id="248" w:name="_Toc18544"/>
      <w:bookmarkStart w:id="249" w:name="_Toc5432"/>
      <w:r>
        <w:rPr>
          <w:rFonts w:hint="eastAsia"/>
        </w:rPr>
        <w:t>电源</w:t>
      </w:r>
      <w:bookmarkEnd w:id="248"/>
      <w:bookmarkEnd w:id="249"/>
    </w:p>
    <w:p w14:paraId="1EC4BDB5">
      <w:pPr>
        <w:pStyle w:val="326"/>
      </w:pPr>
      <w:bookmarkStart w:id="250" w:name="_Toc8327"/>
      <w:r>
        <w:rPr>
          <w:rFonts w:hint="eastAsia" w:ascii="Times New Roman" w:eastAsia="宋体"/>
        </w:rPr>
        <w:t>仪表及控制系统、应急关断系统、火气系统应由主电源和应急电源供电。正常情况下由主电源供电，当主电源失效时，由应急电源不间断地供电。</w:t>
      </w:r>
    </w:p>
    <w:p w14:paraId="51AE6BD4">
      <w:pPr>
        <w:pStyle w:val="326"/>
      </w:pPr>
      <w:r>
        <w:rPr>
          <w:rFonts w:hint="eastAsia" w:ascii="Times New Roman" w:eastAsia="宋体"/>
        </w:rPr>
        <w:t>不间断电源的容量、电压和频率应满足在应急供电时对仪表控制系统、火灾与可燃、有毒气体探测报警系统及应急关断系统供电要求，并应保证至少供电</w:t>
      </w:r>
      <w:r>
        <w:rPr>
          <w:rFonts w:hint="eastAsia" w:ascii="宋体" w:hAnsi="宋体" w:eastAsia="宋体" w:cs="宋体"/>
        </w:rPr>
        <w:t>30 min</w:t>
      </w:r>
      <w:r>
        <w:rPr>
          <w:rFonts w:hint="eastAsia" w:ascii="Times New Roman" w:eastAsia="宋体"/>
        </w:rPr>
        <w:t>。</w:t>
      </w:r>
    </w:p>
    <w:p w14:paraId="6C0B5FE0">
      <w:pPr>
        <w:pStyle w:val="326"/>
      </w:pPr>
      <w:r>
        <w:rPr>
          <w:rFonts w:hint="eastAsia"/>
        </w:rPr>
        <w:t>火气系统应自带电池，应能保证火气系统在UPS断电后仍能正常工作至少30</w:t>
      </w:r>
      <w:r>
        <w:rPr>
          <w:rFonts w:hint="eastAsia"/>
          <w:sz w:val="10"/>
          <w:szCs w:val="10"/>
        </w:rPr>
        <w:t xml:space="preserve"> </w:t>
      </w:r>
      <w:r>
        <w:rPr>
          <w:rFonts w:hint="eastAsia"/>
        </w:rPr>
        <w:t>min。</w:t>
      </w:r>
    </w:p>
    <w:p w14:paraId="4D3E0672">
      <w:pPr>
        <w:pStyle w:val="260"/>
        <w:outlineLvl w:val="1"/>
      </w:pPr>
      <w:bookmarkStart w:id="251" w:name="_Toc1910"/>
      <w:r>
        <w:rPr>
          <w:rFonts w:hint="eastAsia"/>
        </w:rPr>
        <w:t>接地</w:t>
      </w:r>
      <w:bookmarkEnd w:id="250"/>
      <w:bookmarkEnd w:id="251"/>
    </w:p>
    <w:p w14:paraId="5E54A602">
      <w:pPr>
        <w:pStyle w:val="326"/>
      </w:pPr>
      <w:r>
        <w:rPr>
          <w:rFonts w:hint="eastAsia" w:ascii="Times New Roman" w:eastAsia="宋体"/>
        </w:rPr>
        <w:t>电气仪表系统的接地应符合本文</w:t>
      </w:r>
      <w:r>
        <w:rPr>
          <w:rFonts w:hint="eastAsia" w:ascii="宋体" w:hAnsi="宋体" w:eastAsia="宋体" w:cs="宋体"/>
        </w:rPr>
        <w:t>件14.8.1的有</w:t>
      </w:r>
      <w:r>
        <w:rPr>
          <w:rFonts w:hint="eastAsia" w:ascii="Times New Roman" w:eastAsia="宋体"/>
        </w:rPr>
        <w:t>关规定。</w:t>
      </w:r>
    </w:p>
    <w:p w14:paraId="21A80DD6">
      <w:pPr>
        <w:pStyle w:val="326"/>
      </w:pPr>
      <w:r>
        <w:rPr>
          <w:rFonts w:hint="eastAsia"/>
        </w:rPr>
        <w:t>本质安全型仪表电路的接地应与非本质安全型仪表电路的接地分开。</w:t>
      </w:r>
    </w:p>
    <w:p w14:paraId="6040B26A">
      <w:pPr>
        <w:pStyle w:val="259"/>
        <w:outlineLvl w:val="0"/>
        <w:rPr>
          <w:rFonts w:ascii="Times New Roman"/>
        </w:rPr>
      </w:pPr>
      <w:r>
        <w:rPr>
          <w:rFonts w:ascii="Times New Roman"/>
        </w:rPr>
        <w:t>生活区</w:t>
      </w:r>
      <w:bookmarkEnd w:id="232"/>
    </w:p>
    <w:p w14:paraId="2FC8C3B6">
      <w:pPr>
        <w:pStyle w:val="260"/>
        <w:outlineLvl w:val="1"/>
        <w:rPr>
          <w:rFonts w:ascii="Times New Roman"/>
        </w:rPr>
      </w:pPr>
      <w:bookmarkStart w:id="252" w:name="_Toc31286"/>
      <w:r>
        <w:rPr>
          <w:rFonts w:ascii="Times New Roman"/>
        </w:rPr>
        <w:t>一般规定</w:t>
      </w:r>
      <w:bookmarkEnd w:id="252"/>
    </w:p>
    <w:p w14:paraId="2FC15B93">
      <w:pPr>
        <w:pStyle w:val="326"/>
        <w:rPr>
          <w:rFonts w:ascii="Times New Roman"/>
        </w:rPr>
      </w:pPr>
      <w:r>
        <w:rPr>
          <w:rFonts w:ascii="Times New Roman"/>
        </w:rPr>
        <w:t>平台上的生活区包括居住室</w:t>
      </w:r>
      <w:r>
        <w:rPr>
          <w:rFonts w:ascii="Times New Roman"/>
          <w:spacing w:val="-16"/>
        </w:rPr>
        <w:t>、</w:t>
      </w:r>
      <w:r>
        <w:rPr>
          <w:rFonts w:ascii="Times New Roman"/>
        </w:rPr>
        <w:t>餐厅</w:t>
      </w:r>
      <w:r>
        <w:rPr>
          <w:rFonts w:ascii="Times New Roman"/>
          <w:spacing w:val="-16"/>
        </w:rPr>
        <w:t>、</w:t>
      </w:r>
      <w:r>
        <w:rPr>
          <w:rFonts w:ascii="Times New Roman"/>
        </w:rPr>
        <w:t>厨房</w:t>
      </w:r>
      <w:r>
        <w:rPr>
          <w:rFonts w:ascii="Times New Roman"/>
          <w:spacing w:val="-16"/>
        </w:rPr>
        <w:t>、</w:t>
      </w:r>
      <w:r>
        <w:rPr>
          <w:rFonts w:ascii="Times New Roman"/>
        </w:rPr>
        <w:t>办公室</w:t>
      </w:r>
      <w:r>
        <w:rPr>
          <w:rFonts w:ascii="Times New Roman"/>
          <w:spacing w:val="-16"/>
        </w:rPr>
        <w:t>、</w:t>
      </w:r>
      <w:r>
        <w:rPr>
          <w:rFonts w:ascii="Times New Roman"/>
        </w:rPr>
        <w:t>娱乐室</w:t>
      </w:r>
      <w:r>
        <w:rPr>
          <w:rFonts w:ascii="Times New Roman"/>
          <w:spacing w:val="-16"/>
        </w:rPr>
        <w:t>、</w:t>
      </w:r>
      <w:r>
        <w:rPr>
          <w:rFonts w:ascii="Times New Roman"/>
        </w:rPr>
        <w:t>医务室</w:t>
      </w:r>
      <w:r>
        <w:rPr>
          <w:rFonts w:ascii="Times New Roman"/>
          <w:spacing w:val="-16"/>
        </w:rPr>
        <w:t>、</w:t>
      </w:r>
      <w:r>
        <w:rPr>
          <w:rFonts w:ascii="Times New Roman"/>
        </w:rPr>
        <w:t>卫生间等</w:t>
      </w:r>
      <w:r>
        <w:rPr>
          <w:rFonts w:ascii="Times New Roman"/>
          <w:spacing w:val="-31"/>
        </w:rPr>
        <w:t>。</w:t>
      </w:r>
      <w:r>
        <w:rPr>
          <w:rFonts w:ascii="Times New Roman"/>
        </w:rPr>
        <w:t>应根据平台的类型</w:t>
      </w:r>
      <w:r>
        <w:rPr>
          <w:rFonts w:ascii="Times New Roman"/>
          <w:spacing w:val="-31"/>
        </w:rPr>
        <w:t>、</w:t>
      </w:r>
      <w:r>
        <w:rPr>
          <w:rFonts w:hint="eastAsia" w:ascii="Times New Roman"/>
        </w:rPr>
        <w:t>居住人数</w:t>
      </w:r>
      <w:r>
        <w:rPr>
          <w:rFonts w:ascii="Times New Roman"/>
        </w:rPr>
        <w:t>及人员的安全、健康需要配置有关房间及室内设施。</w:t>
      </w:r>
    </w:p>
    <w:p w14:paraId="2B858142">
      <w:pPr>
        <w:pStyle w:val="326"/>
        <w:rPr>
          <w:rFonts w:ascii="Times New Roman"/>
        </w:rPr>
      </w:pPr>
      <w:r>
        <w:rPr>
          <w:rFonts w:ascii="Times New Roman"/>
        </w:rPr>
        <w:t>生活区应符合以下安全要求</w:t>
      </w:r>
      <w:r>
        <w:rPr>
          <w:rFonts w:hint="eastAsia" w:ascii="Times New Roman"/>
        </w:rPr>
        <w:t>：</w:t>
      </w:r>
    </w:p>
    <w:p w14:paraId="41FABA9F">
      <w:pPr>
        <w:pStyle w:val="305"/>
        <w:numPr>
          <w:ilvl w:val="0"/>
          <w:numId w:val="87"/>
        </w:numPr>
      </w:pPr>
      <w:r>
        <w:t>生活区内应设置必要的保温绝缘、防火构造及良好的排气、通风、空调、照明设备，生活区外围壁应为钢质结构</w:t>
      </w:r>
      <w:r>
        <w:rPr>
          <w:rFonts w:hint="eastAsia"/>
        </w:rPr>
        <w:t>；</w:t>
      </w:r>
    </w:p>
    <w:p w14:paraId="4BA4AFE6">
      <w:pPr>
        <w:pStyle w:val="305"/>
        <w:numPr>
          <w:ilvl w:val="0"/>
          <w:numId w:val="87"/>
        </w:numPr>
      </w:pPr>
      <w:r>
        <w:t>室内一切框架式设施</w:t>
      </w:r>
      <w:r>
        <w:rPr>
          <w:rFonts w:hint="eastAsia"/>
          <w:lang w:eastAsia="zh-CN"/>
        </w:rPr>
        <w:t>，</w:t>
      </w:r>
      <w:r>
        <w:t>如书桌、衣柜等，除其表面可有厚度不超过2 mm的可燃镶片外，应完全用不燃材料制成；一切可移动设施，如椅子等，其骨架应由不燃材料制成。室内铺设</w:t>
      </w:r>
      <w:r>
        <w:rPr>
          <w:rFonts w:hint="eastAsia"/>
        </w:rPr>
        <w:t>的地面材料</w:t>
      </w:r>
      <w:r>
        <w:t>，</w:t>
      </w:r>
      <w:r>
        <w:rPr>
          <w:rFonts w:hint="eastAsia"/>
        </w:rPr>
        <w:t>应具备</w:t>
      </w:r>
      <w:r>
        <w:t>低播焰性</w:t>
      </w:r>
      <w:r>
        <w:rPr>
          <w:rFonts w:hint="eastAsia"/>
        </w:rPr>
        <w:t>。</w:t>
      </w:r>
    </w:p>
    <w:p w14:paraId="5B1FDA59">
      <w:pPr>
        <w:pStyle w:val="260"/>
        <w:outlineLvl w:val="1"/>
        <w:rPr>
          <w:rFonts w:ascii="Times New Roman"/>
        </w:rPr>
      </w:pPr>
      <w:bookmarkStart w:id="253" w:name="_Toc5249"/>
      <w:r>
        <w:rPr>
          <w:rFonts w:ascii="Times New Roman"/>
        </w:rPr>
        <w:t>居住室</w:t>
      </w:r>
      <w:bookmarkEnd w:id="253"/>
    </w:p>
    <w:p w14:paraId="341FF06F">
      <w:pPr>
        <w:pStyle w:val="326"/>
        <w:rPr>
          <w:rFonts w:ascii="Times New Roman"/>
        </w:rPr>
      </w:pPr>
      <w:r>
        <w:rPr>
          <w:rFonts w:ascii="Times New Roman"/>
        </w:rPr>
        <w:t>居住室人均</w:t>
      </w:r>
      <w:r>
        <w:rPr>
          <w:rFonts w:hint="eastAsia" w:ascii="Times New Roman"/>
        </w:rPr>
        <w:t>占有的净</w:t>
      </w:r>
      <w:r>
        <w:rPr>
          <w:rFonts w:ascii="Times New Roman"/>
        </w:rPr>
        <w:t>面积</w:t>
      </w:r>
      <w:r>
        <w:rPr>
          <w:rFonts w:hint="eastAsia" w:ascii="Times New Roman"/>
        </w:rPr>
        <w:t>（应包括室内家具所占面积，但不应包括室内附设的卫生间面积）</w:t>
      </w:r>
      <w:r>
        <w:rPr>
          <w:rFonts w:ascii="Times New Roman"/>
        </w:rPr>
        <w:t>不应小于</w:t>
      </w:r>
      <w:r>
        <w:rPr>
          <w:rFonts w:hint="eastAsia" w:ascii="宋体" w:hAnsi="宋体" w:eastAsia="宋体" w:cs="宋体"/>
        </w:rPr>
        <w:t>3</w:t>
      </w:r>
      <w:r>
        <w:rPr>
          <w:rFonts w:hint="eastAsia" w:ascii="宋体" w:hAnsi="宋体" w:eastAsia="宋体" w:cs="宋体"/>
          <w:sz w:val="10"/>
          <w:szCs w:val="10"/>
        </w:rPr>
        <w:t xml:space="preserve"> </w:t>
      </w:r>
      <w:r>
        <w:rPr>
          <w:rFonts w:hint="eastAsia" w:ascii="宋体" w:hAnsi="宋体" w:eastAsia="宋体" w:cs="宋体"/>
        </w:rPr>
        <w:t>m</w:t>
      </w:r>
      <w:r>
        <w:rPr>
          <w:rFonts w:hint="eastAsia" w:ascii="宋体" w:hAnsi="宋体" w:eastAsia="宋体" w:cs="宋体"/>
          <w:vertAlign w:val="superscript"/>
        </w:rPr>
        <w:t>2</w:t>
      </w:r>
      <w:r>
        <w:rPr>
          <w:rFonts w:ascii="Times New Roman"/>
        </w:rPr>
        <w:t>，净高度不应小于</w:t>
      </w:r>
      <w:r>
        <w:rPr>
          <w:rFonts w:hint="eastAsia" w:ascii="宋体" w:hAnsi="宋体" w:eastAsia="宋体" w:cs="宋体"/>
        </w:rPr>
        <w:t>2.3</w:t>
      </w:r>
      <w:r>
        <w:rPr>
          <w:rFonts w:hint="eastAsia" w:ascii="宋体" w:hAnsi="宋体" w:eastAsia="宋体" w:cs="宋体"/>
          <w:sz w:val="10"/>
          <w:szCs w:val="10"/>
        </w:rPr>
        <w:t xml:space="preserve"> </w:t>
      </w:r>
      <w:r>
        <w:rPr>
          <w:rFonts w:hint="eastAsia" w:ascii="宋体" w:hAnsi="宋体" w:eastAsia="宋体" w:cs="宋体"/>
        </w:rPr>
        <w:t>m</w:t>
      </w:r>
      <w:r>
        <w:rPr>
          <w:rFonts w:ascii="Times New Roman"/>
        </w:rPr>
        <w:t>。</w:t>
      </w:r>
    </w:p>
    <w:p w14:paraId="1DBC380E">
      <w:pPr>
        <w:pStyle w:val="326"/>
        <w:rPr>
          <w:rFonts w:ascii="Times New Roman"/>
        </w:rPr>
      </w:pPr>
      <w:r>
        <w:rPr>
          <w:rFonts w:hint="eastAsia" w:ascii="Times New Roman"/>
        </w:rPr>
        <w:t>应为每个居住人员配置一张床铺，</w:t>
      </w:r>
      <w:r>
        <w:rPr>
          <w:rFonts w:ascii="Times New Roman"/>
        </w:rPr>
        <w:t>床铺</w:t>
      </w:r>
      <w:r>
        <w:rPr>
          <w:rFonts w:hint="eastAsia" w:ascii="Times New Roman"/>
        </w:rPr>
        <w:t>应为固定式，且</w:t>
      </w:r>
      <w:r>
        <w:rPr>
          <w:rFonts w:ascii="Times New Roman"/>
        </w:rPr>
        <w:t>不应多于两层。</w:t>
      </w:r>
    </w:p>
    <w:p w14:paraId="556617A5">
      <w:pPr>
        <w:pStyle w:val="326"/>
        <w:rPr>
          <w:rFonts w:ascii="Times New Roman"/>
        </w:rPr>
      </w:pPr>
      <w:r>
        <w:rPr>
          <w:rFonts w:ascii="Times New Roman"/>
        </w:rPr>
        <w:t>应为每</w:t>
      </w:r>
      <w:r>
        <w:rPr>
          <w:rFonts w:hint="eastAsia" w:ascii="Times New Roman"/>
        </w:rPr>
        <w:t>个居住人员</w:t>
      </w:r>
      <w:r>
        <w:rPr>
          <w:rFonts w:ascii="Times New Roman"/>
        </w:rPr>
        <w:t>配置救生衣箱。</w:t>
      </w:r>
    </w:p>
    <w:p w14:paraId="67101482">
      <w:pPr>
        <w:pStyle w:val="260"/>
        <w:outlineLvl w:val="1"/>
      </w:pPr>
      <w:bookmarkStart w:id="254" w:name="_Toc19866"/>
      <w:r>
        <w:rPr>
          <w:rFonts w:hint="eastAsia"/>
        </w:rPr>
        <w:t>餐厅</w:t>
      </w:r>
      <w:bookmarkEnd w:id="254"/>
    </w:p>
    <w:p w14:paraId="76CD2E7C">
      <w:pPr>
        <w:ind w:firstLine="420" w:firstLineChars="200"/>
      </w:pPr>
      <w:r>
        <w:t>餐厅</w:t>
      </w:r>
      <w:r>
        <w:rPr>
          <w:rFonts w:hint="eastAsia"/>
        </w:rPr>
        <w:t>应至少</w:t>
      </w:r>
      <w:r>
        <w:t>能容纳生活区固定床位数的</w:t>
      </w:r>
      <w:r>
        <w:rPr>
          <w:rFonts w:hint="eastAsia"/>
        </w:rPr>
        <w:t>半数人员</w:t>
      </w:r>
      <w:r>
        <w:t>同时进餐。</w:t>
      </w:r>
    </w:p>
    <w:p w14:paraId="7E57C364">
      <w:pPr>
        <w:pStyle w:val="260"/>
        <w:outlineLvl w:val="1"/>
      </w:pPr>
      <w:bookmarkStart w:id="255" w:name="_Toc7833"/>
      <w:r>
        <w:rPr>
          <w:rFonts w:hint="eastAsia"/>
        </w:rPr>
        <w:t>服务处所</w:t>
      </w:r>
      <w:bookmarkEnd w:id="255"/>
    </w:p>
    <w:p w14:paraId="416C347C">
      <w:pPr>
        <w:pStyle w:val="326"/>
        <w:rPr>
          <w:rFonts w:ascii="宋体" w:cs="宋体"/>
        </w:rPr>
      </w:pPr>
      <w:r>
        <w:rPr>
          <w:rFonts w:hint="eastAsia"/>
        </w:rPr>
        <w:t>不应有经过厨房而通向其他处所（食品库房除外）的通道。</w:t>
      </w:r>
    </w:p>
    <w:p w14:paraId="081D3224">
      <w:pPr>
        <w:pStyle w:val="326"/>
        <w:rPr>
          <w:rFonts w:ascii="宋体" w:cs="宋体"/>
        </w:rPr>
      </w:pPr>
      <w:r>
        <w:rPr>
          <w:rFonts w:hint="eastAsia" w:ascii="宋体" w:cs="宋体"/>
        </w:rPr>
        <w:t>厨房设备所用材料均应为</w:t>
      </w:r>
      <w:r>
        <w:rPr>
          <w:rFonts w:ascii="Times New Roman"/>
        </w:rPr>
        <w:t>钢或等效材料</w:t>
      </w:r>
      <w:r>
        <w:rPr>
          <w:rFonts w:hint="eastAsia" w:ascii="宋体" w:cs="宋体"/>
        </w:rPr>
        <w:t>，但砧板表面材料可使用阻燃材料。</w:t>
      </w:r>
    </w:p>
    <w:p w14:paraId="42D5FFB9">
      <w:pPr>
        <w:pStyle w:val="326"/>
        <w:rPr>
          <w:rFonts w:ascii="宋体" w:cs="宋体"/>
        </w:rPr>
      </w:pPr>
      <w:r>
        <w:rPr>
          <w:rFonts w:hint="eastAsia" w:ascii="宋体" w:cs="宋体"/>
        </w:rPr>
        <w:t>厨房内应使用电灶，禁止使用燃气炉灶。</w:t>
      </w:r>
    </w:p>
    <w:p w14:paraId="41EE63E6">
      <w:pPr>
        <w:pStyle w:val="326"/>
        <w:rPr>
          <w:rFonts w:ascii="宋体" w:cs="宋体"/>
        </w:rPr>
      </w:pPr>
      <w:r>
        <w:rPr>
          <w:rFonts w:hint="eastAsia" w:ascii="宋体" w:cs="宋体"/>
        </w:rPr>
        <w:t>冷藏/冷冻室应配备相关的安全措施，以防出现人员被反锁其内的危险。这些安全措施应包括人员向外求救的报警设备，以及必要的使其能从里面打开门的安全设施。</w:t>
      </w:r>
    </w:p>
    <w:p w14:paraId="21D32075">
      <w:pPr>
        <w:pStyle w:val="260"/>
        <w:outlineLvl w:val="1"/>
        <w:rPr>
          <w:rFonts w:ascii="Times New Roman"/>
        </w:rPr>
      </w:pPr>
      <w:bookmarkStart w:id="256" w:name="_Toc14893"/>
      <w:r>
        <w:rPr>
          <w:rFonts w:ascii="Times New Roman"/>
        </w:rPr>
        <w:t>医务室</w:t>
      </w:r>
      <w:bookmarkEnd w:id="256"/>
    </w:p>
    <w:p w14:paraId="551FBBAA">
      <w:pPr>
        <w:pStyle w:val="326"/>
      </w:pPr>
      <w:r>
        <w:t>平台应设置具有基本医疗抢救条件的医务室或备用急救室，并应按平台总人数配备常用药品、简易医疗器械、急救药箱和一副能将伤员抬入直升机的担架等。</w:t>
      </w:r>
    </w:p>
    <w:p w14:paraId="3F090A5B">
      <w:pPr>
        <w:pStyle w:val="326"/>
      </w:pPr>
      <w:r>
        <w:rPr>
          <w:rFonts w:hint="eastAsia"/>
        </w:rPr>
        <w:t>所在海域最低</w:t>
      </w:r>
      <w:r>
        <w:t>水温小于10</w:t>
      </w:r>
      <w:r>
        <w:rPr>
          <w:rFonts w:hint="eastAsia"/>
          <w:sz w:val="10"/>
          <w:szCs w:val="10"/>
        </w:rPr>
        <w:t xml:space="preserve"> </w:t>
      </w:r>
      <w:r>
        <w:t>℃的平台</w:t>
      </w:r>
      <w:r>
        <w:rPr>
          <w:rFonts w:hint="eastAsia"/>
        </w:rPr>
        <w:t>，</w:t>
      </w:r>
      <w:r>
        <w:t>医务室应设有供抢救落水人员用的温水浴盆。</w:t>
      </w:r>
    </w:p>
    <w:p w14:paraId="340660EF">
      <w:pPr>
        <w:pStyle w:val="260"/>
        <w:outlineLvl w:val="1"/>
        <w:rPr>
          <w:rFonts w:ascii="Times New Roman"/>
        </w:rPr>
      </w:pPr>
      <w:bookmarkStart w:id="257" w:name="_Toc29036"/>
      <w:r>
        <w:rPr>
          <w:rFonts w:ascii="Times New Roman"/>
        </w:rPr>
        <w:t>娱乐</w:t>
      </w:r>
      <w:r>
        <w:rPr>
          <w:rFonts w:hint="eastAsia" w:ascii="Times New Roman"/>
        </w:rPr>
        <w:t>室</w:t>
      </w:r>
      <w:bookmarkEnd w:id="257"/>
    </w:p>
    <w:p w14:paraId="27D30AC0">
      <w:pPr>
        <w:ind w:firstLine="420" w:firstLineChars="200"/>
      </w:pPr>
      <w:r>
        <w:t>平台上应设置娱乐室。</w:t>
      </w:r>
      <w:r>
        <w:rPr>
          <w:rFonts w:hint="eastAsia"/>
        </w:rPr>
        <w:t>如设置吸烟室，应满足防火和排烟的要求。</w:t>
      </w:r>
    </w:p>
    <w:p w14:paraId="179819FE">
      <w:pPr>
        <w:pStyle w:val="260"/>
        <w:outlineLvl w:val="1"/>
        <w:rPr>
          <w:rFonts w:ascii="Times New Roman"/>
        </w:rPr>
      </w:pPr>
      <w:bookmarkStart w:id="258" w:name="_Toc19629"/>
      <w:r>
        <w:rPr>
          <w:rFonts w:ascii="Times New Roman"/>
        </w:rPr>
        <w:t>设备间</w:t>
      </w:r>
      <w:bookmarkEnd w:id="258"/>
    </w:p>
    <w:p w14:paraId="41418A87">
      <w:pPr>
        <w:ind w:firstLine="420" w:firstLineChars="200"/>
      </w:pPr>
      <w:r>
        <w:rPr>
          <w:rFonts w:hint="eastAsia"/>
        </w:rPr>
        <w:t>生活区的</w:t>
      </w:r>
      <w:r>
        <w:t>电气房间不应设在卫生间、洗衣房</w:t>
      </w:r>
      <w:r>
        <w:rPr>
          <w:rFonts w:hint="eastAsia"/>
        </w:rPr>
        <w:t>等有排水管道或易</w:t>
      </w:r>
      <w:r>
        <w:t>积水场所的正下方。</w:t>
      </w:r>
    </w:p>
    <w:p w14:paraId="555565D4">
      <w:pPr>
        <w:pStyle w:val="260"/>
        <w:outlineLvl w:val="1"/>
        <w:rPr>
          <w:rFonts w:ascii="Times New Roman"/>
        </w:rPr>
      </w:pPr>
      <w:bookmarkStart w:id="259" w:name="_Toc6940"/>
      <w:bookmarkStart w:id="260" w:name="_Toc24571"/>
      <w:r>
        <w:rPr>
          <w:rFonts w:hint="eastAsia" w:ascii="Times New Roman"/>
        </w:rPr>
        <w:t>通道及出入口</w:t>
      </w:r>
      <w:bookmarkEnd w:id="259"/>
      <w:bookmarkEnd w:id="260"/>
    </w:p>
    <w:p w14:paraId="65703E24">
      <w:pPr>
        <w:pStyle w:val="326"/>
        <w:rPr>
          <w:rFonts w:ascii="Times New Roman"/>
        </w:rPr>
      </w:pPr>
      <w:r>
        <w:rPr>
          <w:rFonts w:hint="eastAsia" w:ascii="宋体" w:cs="宋体"/>
        </w:rPr>
        <w:t>生活区应设置人员通道，各通</w:t>
      </w:r>
      <w:r>
        <w:rPr>
          <w:rFonts w:ascii="Times New Roman"/>
        </w:rPr>
        <w:t>道的最小净宽度不应小于</w:t>
      </w:r>
      <w:r>
        <w:rPr>
          <w:rFonts w:hint="eastAsia" w:ascii="宋体" w:hAnsi="宋体" w:eastAsia="宋体" w:cs="宋体"/>
        </w:rPr>
        <w:t>1</w:t>
      </w:r>
      <w:r>
        <w:rPr>
          <w:rFonts w:hint="eastAsia" w:ascii="宋体" w:hAnsi="宋体" w:eastAsia="宋体" w:cs="宋体"/>
          <w:sz w:val="10"/>
          <w:szCs w:val="10"/>
        </w:rPr>
        <w:t xml:space="preserve"> </w:t>
      </w:r>
      <w:r>
        <w:rPr>
          <w:rFonts w:hint="eastAsia" w:ascii="宋体" w:hAnsi="宋体" w:eastAsia="宋体" w:cs="宋体"/>
        </w:rPr>
        <w:t>m</w:t>
      </w:r>
      <w:r>
        <w:rPr>
          <w:rFonts w:hint="eastAsia" w:ascii="Times New Roman"/>
        </w:rPr>
        <w:t>；</w:t>
      </w:r>
      <w:r>
        <w:rPr>
          <w:rFonts w:ascii="Times New Roman"/>
        </w:rPr>
        <w:t>生活区不应设置长度超过</w:t>
      </w:r>
      <w:r>
        <w:rPr>
          <w:rFonts w:hint="eastAsia" w:ascii="宋体" w:hAnsi="宋体" w:eastAsia="宋体" w:cs="宋体"/>
        </w:rPr>
        <w:t>7</w:t>
      </w:r>
      <w:r>
        <w:rPr>
          <w:rFonts w:hint="eastAsia" w:ascii="宋体" w:hAnsi="宋体" w:eastAsia="宋体" w:cs="宋体"/>
          <w:sz w:val="10"/>
          <w:szCs w:val="10"/>
        </w:rPr>
        <w:t xml:space="preserve"> </w:t>
      </w:r>
      <w:r>
        <w:rPr>
          <w:rFonts w:hint="eastAsia" w:ascii="宋体" w:hAnsi="宋体" w:eastAsia="宋体" w:cs="宋体"/>
        </w:rPr>
        <w:t>m</w:t>
      </w:r>
      <w:r>
        <w:rPr>
          <w:rFonts w:ascii="Times New Roman"/>
        </w:rPr>
        <w:t>而一端不通的走廊。</w:t>
      </w:r>
    </w:p>
    <w:p w14:paraId="22200612">
      <w:pPr>
        <w:pStyle w:val="326"/>
        <w:rPr>
          <w:rFonts w:ascii="宋体" w:cs="宋体"/>
        </w:rPr>
      </w:pPr>
      <w:r>
        <w:t>生活区每层甲板应至少设置</w:t>
      </w:r>
      <w:r>
        <w:rPr>
          <w:rFonts w:hint="eastAsia"/>
        </w:rPr>
        <w:t>2</w:t>
      </w:r>
      <w:r>
        <w:t>个扶梯</w:t>
      </w:r>
      <w:r>
        <w:rPr>
          <w:rFonts w:hint="eastAsia"/>
        </w:rPr>
        <w:t>。</w:t>
      </w:r>
    </w:p>
    <w:p w14:paraId="303BCBED">
      <w:pPr>
        <w:pStyle w:val="326"/>
        <w:rPr>
          <w:rFonts w:hint="eastAsia" w:ascii="宋体" w:hAnsi="宋体" w:eastAsia="宋体" w:cs="宋体"/>
        </w:rPr>
      </w:pPr>
      <w:r>
        <w:rPr>
          <w:rFonts w:hint="eastAsia" w:ascii="宋体" w:hAnsi="宋体" w:eastAsia="宋体" w:cs="宋体"/>
        </w:rPr>
        <w:t>内部扶梯斜度不应大于45°；梯级高度不应大于250</w:t>
      </w:r>
      <w:r>
        <w:rPr>
          <w:rFonts w:hint="eastAsia" w:ascii="宋体" w:hAnsi="宋体" w:eastAsia="宋体" w:cs="宋体"/>
          <w:sz w:val="10"/>
          <w:szCs w:val="10"/>
        </w:rPr>
        <w:t xml:space="preserve"> </w:t>
      </w:r>
      <w:r>
        <w:rPr>
          <w:rFonts w:hint="eastAsia" w:ascii="宋体" w:hAnsi="宋体" w:eastAsia="宋体" w:cs="宋体"/>
        </w:rPr>
        <w:t>mm；宽度不应小于800</w:t>
      </w:r>
      <w:r>
        <w:rPr>
          <w:rFonts w:hint="eastAsia" w:ascii="宋体" w:hAnsi="宋体" w:eastAsia="宋体" w:cs="宋体"/>
          <w:sz w:val="10"/>
          <w:szCs w:val="10"/>
        </w:rPr>
        <w:t xml:space="preserve"> </w:t>
      </w:r>
      <w:r>
        <w:rPr>
          <w:rFonts w:hint="eastAsia" w:ascii="宋体" w:hAnsi="宋体" w:eastAsia="宋体" w:cs="宋体"/>
        </w:rPr>
        <w:t>mm。</w:t>
      </w:r>
    </w:p>
    <w:p w14:paraId="07C60A25">
      <w:pPr>
        <w:pStyle w:val="326"/>
        <w:rPr>
          <w:rFonts w:ascii="Times New Roman"/>
        </w:rPr>
      </w:pPr>
      <w:r>
        <w:rPr>
          <w:rFonts w:ascii="Times New Roman"/>
        </w:rPr>
        <w:t>扶梯踏步板应为防滑型；扶梯两侧应设有安全扶手。</w:t>
      </w:r>
    </w:p>
    <w:p w14:paraId="2775C58A">
      <w:pPr>
        <w:pStyle w:val="326"/>
        <w:rPr>
          <w:rFonts w:hint="eastAsia" w:ascii="宋体" w:hAnsi="宋体" w:eastAsia="宋体" w:cs="宋体"/>
        </w:rPr>
      </w:pPr>
      <w:r>
        <w:rPr>
          <w:rFonts w:ascii="Times New Roman"/>
        </w:rPr>
        <w:t>居住室的门应向内开；</w:t>
      </w:r>
      <w:r>
        <w:rPr>
          <w:rFonts w:hint="eastAsia" w:ascii="Times New Roman"/>
        </w:rPr>
        <w:t>餐厅、候机室和更衣室</w:t>
      </w:r>
      <w:r>
        <w:rPr>
          <w:rFonts w:hint="eastAsia" w:ascii="宋体" w:hAnsi="宋体" w:eastAsia="宋体" w:cs="宋体"/>
        </w:rPr>
        <w:t>等公共处所的门应向外开；超过12人的会议室应设置至少2个门，且向外开。</w:t>
      </w:r>
    </w:p>
    <w:p w14:paraId="1BC1A3FB">
      <w:pPr>
        <w:pStyle w:val="326"/>
        <w:rPr>
          <w:rFonts w:hint="eastAsia" w:ascii="宋体" w:hAnsi="宋体" w:eastAsia="宋体" w:cs="宋体"/>
        </w:rPr>
      </w:pPr>
      <w:r>
        <w:rPr>
          <w:rFonts w:hint="eastAsia" w:ascii="宋体" w:hAnsi="宋体" w:eastAsia="宋体" w:cs="宋体"/>
        </w:rPr>
        <w:t>居住室的门上应设有通风口</w:t>
      </w:r>
      <w:r>
        <w:rPr>
          <w:rFonts w:hint="eastAsia" w:ascii="宋体" w:hAnsi="宋体" w:eastAsia="宋体" w:cs="宋体"/>
          <w:lang w:eastAsia="zh-CN"/>
        </w:rPr>
        <w:t>，</w:t>
      </w:r>
      <w:r>
        <w:rPr>
          <w:rFonts w:hint="eastAsia" w:ascii="宋体" w:hAnsi="宋体" w:eastAsia="宋体" w:cs="宋体"/>
        </w:rPr>
        <w:t>其设置应符合本文件17.2.2.2的规定。</w:t>
      </w:r>
    </w:p>
    <w:p w14:paraId="37B2C338">
      <w:pPr>
        <w:pStyle w:val="326"/>
        <w:rPr>
          <w:rFonts w:hint="eastAsia" w:ascii="宋体" w:hAnsi="宋体" w:eastAsia="宋体" w:cs="宋体"/>
        </w:rPr>
      </w:pPr>
      <w:r>
        <w:rPr>
          <w:rFonts w:hint="eastAsia" w:ascii="宋体" w:hAnsi="宋体" w:eastAsia="宋体" w:cs="宋体"/>
        </w:rPr>
        <w:t>生活区逃生通道应符合本文件19.12的有关规定。</w:t>
      </w:r>
    </w:p>
    <w:p w14:paraId="0F1B898A">
      <w:pPr>
        <w:pStyle w:val="259"/>
        <w:outlineLvl w:val="0"/>
        <w:rPr>
          <w:rFonts w:ascii="Times New Roman"/>
        </w:rPr>
      </w:pPr>
      <w:r>
        <w:rPr>
          <w:rFonts w:ascii="Times New Roman"/>
        </w:rPr>
        <w:t>防火结构</w:t>
      </w:r>
      <w:bookmarkEnd w:id="233"/>
    </w:p>
    <w:p w14:paraId="539078D8">
      <w:pPr>
        <w:pStyle w:val="260"/>
        <w:outlineLvl w:val="1"/>
        <w:rPr>
          <w:rFonts w:ascii="Times New Roman"/>
        </w:rPr>
      </w:pPr>
      <w:bookmarkStart w:id="261" w:name="_Toc8496"/>
      <w:r>
        <w:rPr>
          <w:rFonts w:ascii="Times New Roman"/>
        </w:rPr>
        <w:t>防火分隔</w:t>
      </w:r>
      <w:bookmarkEnd w:id="261"/>
    </w:p>
    <w:p w14:paraId="06B3FCB4">
      <w:pPr>
        <w:pStyle w:val="326"/>
      </w:pPr>
      <w:r>
        <w:rPr>
          <w:rFonts w:hint="eastAsia"/>
        </w:rPr>
        <w:t>“H”级分隔的隔壁与甲板应符合下列要求：</w:t>
      </w:r>
    </w:p>
    <w:p w14:paraId="7FDA4C62">
      <w:pPr>
        <w:pStyle w:val="305"/>
        <w:numPr>
          <w:ilvl w:val="0"/>
          <w:numId w:val="88"/>
        </w:numPr>
        <w:rPr>
          <w:rFonts w:hint="eastAsia" w:hAnsi="宋体" w:cs="宋体"/>
        </w:rPr>
      </w:pPr>
      <w:r>
        <w:rPr>
          <w:rFonts w:hint="eastAsia" w:hAnsi="宋体" w:cs="宋体"/>
        </w:rPr>
        <w:t>应以钢或其它等效材料制造；</w:t>
      </w:r>
    </w:p>
    <w:p w14:paraId="240751D2">
      <w:pPr>
        <w:pStyle w:val="305"/>
        <w:numPr>
          <w:ilvl w:val="0"/>
          <w:numId w:val="88"/>
        </w:numPr>
        <w:rPr>
          <w:rFonts w:hint="eastAsia" w:hAnsi="宋体" w:cs="宋体"/>
        </w:rPr>
      </w:pPr>
      <w:r>
        <w:rPr>
          <w:rFonts w:hint="eastAsia" w:hAnsi="宋体" w:cs="宋体"/>
        </w:rPr>
        <w:t>应有适当的防挠加强；</w:t>
      </w:r>
    </w:p>
    <w:p w14:paraId="645A8680">
      <w:pPr>
        <w:pStyle w:val="305"/>
        <w:numPr>
          <w:ilvl w:val="0"/>
          <w:numId w:val="88"/>
        </w:numPr>
        <w:rPr>
          <w:rFonts w:hint="eastAsia" w:hAnsi="宋体" w:cs="宋体"/>
        </w:rPr>
      </w:pPr>
      <w:r>
        <w:rPr>
          <w:rFonts w:hint="eastAsia" w:hAnsi="宋体" w:cs="宋体"/>
        </w:rPr>
        <w:t>其构造应在2</w:t>
      </w:r>
      <w:r>
        <w:rPr>
          <w:rFonts w:hint="eastAsia" w:hAnsi="宋体" w:cs="宋体"/>
          <w:sz w:val="10"/>
          <w:szCs w:val="10"/>
        </w:rPr>
        <w:t xml:space="preserve"> </w:t>
      </w:r>
      <w:r>
        <w:rPr>
          <w:rFonts w:hint="eastAsia" w:hAnsi="宋体" w:cs="宋体"/>
        </w:rPr>
        <w:t>h的H级标准耐火试验至结束时，能防止烟及火焰通过；</w:t>
      </w:r>
    </w:p>
    <w:p w14:paraId="77213DFB">
      <w:pPr>
        <w:pStyle w:val="305"/>
        <w:numPr>
          <w:ilvl w:val="0"/>
          <w:numId w:val="88"/>
        </w:numPr>
        <w:rPr>
          <w:rFonts w:ascii="Times New Roman"/>
        </w:rPr>
      </w:pPr>
      <w:r>
        <w:rPr>
          <w:rFonts w:hint="eastAsia" w:ascii="Times New Roman"/>
        </w:rPr>
        <w:t>用于隔热的耐火材料，应具备相关的认证，在下列时间内，该分隔背火面的平均温度比原始温度增高应不超</w:t>
      </w:r>
      <w:r>
        <w:rPr>
          <w:rFonts w:hint="eastAsia" w:ascii="宋体" w:hAnsi="宋体" w:eastAsia="宋体" w:cs="宋体"/>
        </w:rPr>
        <w:t>过140</w:t>
      </w:r>
      <w:r>
        <w:rPr>
          <w:rFonts w:hint="eastAsia" w:ascii="宋体" w:hAnsi="宋体" w:eastAsia="宋体" w:cs="宋体"/>
          <w:sz w:val="10"/>
          <w:szCs w:val="10"/>
        </w:rPr>
        <w:t xml:space="preserve"> </w:t>
      </w:r>
      <w:r>
        <w:rPr>
          <w:rFonts w:hint="eastAsia" w:ascii="Times New Roman"/>
        </w:rPr>
        <w:t>℃；且</w:t>
      </w:r>
      <w:r>
        <w:rPr>
          <w:rFonts w:ascii="Times New Roman"/>
        </w:rPr>
        <w:t>在包括接头在内的任何一点的温度增高</w:t>
      </w:r>
      <w:r>
        <w:rPr>
          <w:rFonts w:hint="eastAsia" w:ascii="Times New Roman"/>
        </w:rPr>
        <w:t>应</w:t>
      </w:r>
      <w:r>
        <w:rPr>
          <w:rFonts w:ascii="Times New Roman"/>
        </w:rPr>
        <w:t>不超过</w:t>
      </w:r>
      <w:r>
        <w:rPr>
          <w:rFonts w:hint="eastAsia" w:hAnsi="宋体" w:cs="宋体"/>
        </w:rPr>
        <w:t>180</w:t>
      </w:r>
      <w:r>
        <w:rPr>
          <w:rFonts w:hint="eastAsia" w:hAnsi="宋体" w:cs="宋体"/>
          <w:sz w:val="10"/>
          <w:szCs w:val="10"/>
        </w:rPr>
        <w:t xml:space="preserve"> </w:t>
      </w:r>
      <w:r>
        <w:rPr>
          <w:rFonts w:hint="eastAsia" w:hAnsi="宋体" w:cs="宋体"/>
        </w:rPr>
        <w:t>℃；</w:t>
      </w:r>
    </w:p>
    <w:p w14:paraId="665F352B">
      <w:pPr>
        <w:widowControl/>
        <w:ind w:left="840" w:leftChars="400"/>
        <w:jc w:val="left"/>
        <w:rPr>
          <w:rFonts w:hint="eastAsia" w:ascii="宋体" w:hAnsi="宋体" w:cs="宋体"/>
          <w:kern w:val="0"/>
          <w:szCs w:val="21"/>
        </w:rPr>
      </w:pPr>
      <w:r>
        <w:rPr>
          <w:rFonts w:ascii="宋体" w:hAnsi="宋体" w:cs="宋体"/>
          <w:kern w:val="0"/>
          <w:szCs w:val="21"/>
        </w:rPr>
        <w:t>“H-120级”120</w:t>
      </w:r>
      <w:r>
        <w:rPr>
          <w:rFonts w:ascii="宋体" w:hAnsi="宋体" w:cs="宋体"/>
          <w:kern w:val="0"/>
          <w:sz w:val="10"/>
          <w:szCs w:val="10"/>
        </w:rPr>
        <w:t xml:space="preserve"> </w:t>
      </w:r>
      <w:r>
        <w:rPr>
          <w:rFonts w:ascii="宋体" w:hAnsi="宋体" w:cs="宋体"/>
          <w:kern w:val="0"/>
          <w:szCs w:val="21"/>
        </w:rPr>
        <w:t>min</w:t>
      </w:r>
    </w:p>
    <w:p w14:paraId="11AD0CB7">
      <w:pPr>
        <w:widowControl/>
        <w:ind w:left="840" w:leftChars="400"/>
        <w:jc w:val="left"/>
        <w:rPr>
          <w:rFonts w:hint="eastAsia" w:ascii="宋体" w:hAnsi="宋体" w:cs="宋体"/>
          <w:kern w:val="0"/>
          <w:szCs w:val="21"/>
        </w:rPr>
      </w:pPr>
      <w:r>
        <w:rPr>
          <w:rFonts w:ascii="宋体" w:hAnsi="宋体" w:cs="宋体"/>
          <w:kern w:val="0"/>
          <w:szCs w:val="21"/>
        </w:rPr>
        <w:t>“H-60级”60</w:t>
      </w:r>
      <w:r>
        <w:rPr>
          <w:rFonts w:ascii="宋体" w:hAnsi="宋体" w:cs="宋体"/>
          <w:kern w:val="0"/>
          <w:sz w:val="10"/>
          <w:szCs w:val="10"/>
        </w:rPr>
        <w:t xml:space="preserve"> </w:t>
      </w:r>
      <w:r>
        <w:rPr>
          <w:rFonts w:ascii="宋体" w:hAnsi="宋体" w:cs="宋体"/>
          <w:kern w:val="0"/>
          <w:szCs w:val="21"/>
        </w:rPr>
        <w:t>min</w:t>
      </w:r>
    </w:p>
    <w:p w14:paraId="70738C20">
      <w:pPr>
        <w:widowControl/>
        <w:ind w:left="840" w:leftChars="400"/>
        <w:jc w:val="left"/>
        <w:rPr>
          <w:rFonts w:hint="eastAsia" w:ascii="宋体" w:hAnsi="宋体" w:cs="宋体"/>
          <w:kern w:val="0"/>
          <w:szCs w:val="21"/>
        </w:rPr>
      </w:pPr>
      <w:r>
        <w:rPr>
          <w:rFonts w:ascii="宋体" w:hAnsi="宋体" w:cs="宋体"/>
          <w:kern w:val="0"/>
          <w:szCs w:val="21"/>
        </w:rPr>
        <w:t>“H-0级”0 min</w:t>
      </w:r>
    </w:p>
    <w:p w14:paraId="62811BDA">
      <w:pPr>
        <w:pStyle w:val="305"/>
        <w:numPr>
          <w:ilvl w:val="0"/>
          <w:numId w:val="88"/>
        </w:numPr>
        <w:rPr>
          <w:rFonts w:hint="eastAsia" w:hAnsi="宋体" w:cs="宋体"/>
        </w:rPr>
      </w:pPr>
      <w:r>
        <w:rPr>
          <w:rFonts w:hint="eastAsia" w:hAnsi="宋体" w:cs="宋体"/>
        </w:rPr>
        <w:t>应对用于“H”级分隔的隔壁和甲板试样进行一次性耐火试验，并取得发证检验机构的认可。</w:t>
      </w:r>
    </w:p>
    <w:p w14:paraId="3002C532">
      <w:pPr>
        <w:pStyle w:val="326"/>
        <w:rPr>
          <w:rFonts w:hint="eastAsia" w:ascii="宋体" w:hAnsi="宋体" w:eastAsia="宋体" w:cs="宋体"/>
        </w:rPr>
      </w:pPr>
      <w:r>
        <w:rPr>
          <w:rFonts w:hint="eastAsia" w:ascii="宋体" w:hAnsi="宋体" w:eastAsia="宋体" w:cs="宋体"/>
        </w:rPr>
        <w:t>“A”级分隔的隔壁与甲板应符合下列要求：</w:t>
      </w:r>
    </w:p>
    <w:p w14:paraId="7C92C591">
      <w:pPr>
        <w:pStyle w:val="305"/>
        <w:numPr>
          <w:ilvl w:val="0"/>
          <w:numId w:val="89"/>
        </w:numPr>
        <w:rPr>
          <w:rFonts w:hint="eastAsia" w:hAnsi="宋体" w:cs="宋体"/>
        </w:rPr>
      </w:pPr>
      <w:r>
        <w:rPr>
          <w:rFonts w:hint="eastAsia" w:hAnsi="宋体" w:cs="宋体"/>
        </w:rPr>
        <w:t>应以钢或其它等效材料制造；</w:t>
      </w:r>
    </w:p>
    <w:p w14:paraId="5ED71CC6">
      <w:pPr>
        <w:pStyle w:val="305"/>
        <w:numPr>
          <w:ilvl w:val="0"/>
          <w:numId w:val="89"/>
        </w:numPr>
        <w:rPr>
          <w:rFonts w:hint="eastAsia" w:hAnsi="宋体" w:cs="宋体"/>
        </w:rPr>
      </w:pPr>
      <w:r>
        <w:rPr>
          <w:rFonts w:hint="eastAsia" w:hAnsi="宋体" w:cs="宋体"/>
        </w:rPr>
        <w:t>应有适当的防挠加强；</w:t>
      </w:r>
    </w:p>
    <w:p w14:paraId="44C71E88">
      <w:pPr>
        <w:pStyle w:val="305"/>
        <w:numPr>
          <w:ilvl w:val="0"/>
          <w:numId w:val="89"/>
        </w:numPr>
        <w:rPr>
          <w:rFonts w:hint="eastAsia" w:hAnsi="宋体" w:cs="宋体"/>
        </w:rPr>
      </w:pPr>
      <w:r>
        <w:rPr>
          <w:rFonts w:hint="eastAsia" w:hAnsi="宋体" w:cs="宋体"/>
        </w:rPr>
        <w:t>其构造应在</w:t>
      </w:r>
      <w:r>
        <w:rPr>
          <w:rFonts w:hAnsi="宋体" w:cs="宋体"/>
          <w:szCs w:val="21"/>
        </w:rPr>
        <w:t>1</w:t>
      </w:r>
      <w:r>
        <w:rPr>
          <w:rFonts w:hint="eastAsia" w:hAnsi="宋体" w:cs="宋体"/>
          <w:sz w:val="10"/>
          <w:szCs w:val="10"/>
        </w:rPr>
        <w:t xml:space="preserve"> </w:t>
      </w:r>
      <w:r>
        <w:rPr>
          <w:rFonts w:hAnsi="宋体" w:cs="宋体"/>
          <w:szCs w:val="21"/>
        </w:rPr>
        <w:t>h</w:t>
      </w:r>
      <w:r>
        <w:rPr>
          <w:rFonts w:hint="eastAsia" w:hAnsi="宋体" w:cs="宋体"/>
        </w:rPr>
        <w:t>的标准耐火试验至结束时，能防止烟及火焰通过；</w:t>
      </w:r>
    </w:p>
    <w:p w14:paraId="114F6AE7">
      <w:pPr>
        <w:pStyle w:val="305"/>
        <w:numPr>
          <w:ilvl w:val="0"/>
          <w:numId w:val="89"/>
        </w:numPr>
        <w:rPr>
          <w:rFonts w:hint="eastAsia" w:hAnsi="宋体" w:cs="宋体"/>
        </w:rPr>
      </w:pPr>
      <w:r>
        <w:rPr>
          <w:rFonts w:hAnsi="宋体" w:cs="宋体"/>
        </w:rPr>
        <w:t>用于隔热的耐火材料，应具备相关的认证，在下列时间内，该分隔背火面的平均温度比原始温度增高应不超过140</w:t>
      </w:r>
      <w:r>
        <w:rPr>
          <w:rFonts w:hint="eastAsia" w:hAnsi="宋体" w:cs="宋体"/>
          <w:sz w:val="10"/>
          <w:szCs w:val="10"/>
        </w:rPr>
        <w:t xml:space="preserve"> </w:t>
      </w:r>
      <w:r>
        <w:rPr>
          <w:rFonts w:hAnsi="宋体" w:cs="宋体"/>
        </w:rPr>
        <w:t>℃；且在包括接头在内的任何一点的温度增高应不超过180</w:t>
      </w:r>
      <w:r>
        <w:rPr>
          <w:rFonts w:hint="eastAsia" w:hAnsi="宋体" w:cs="宋体"/>
          <w:sz w:val="10"/>
          <w:szCs w:val="10"/>
        </w:rPr>
        <w:t xml:space="preserve"> </w:t>
      </w:r>
      <w:r>
        <w:rPr>
          <w:rFonts w:hAnsi="宋体" w:cs="宋体"/>
        </w:rPr>
        <w:t>℃；</w:t>
      </w:r>
    </w:p>
    <w:p w14:paraId="640FE93B">
      <w:pPr>
        <w:widowControl/>
        <w:ind w:firstLine="840" w:firstLineChars="400"/>
        <w:jc w:val="left"/>
        <w:rPr>
          <w:rFonts w:hint="eastAsia" w:ascii="宋体" w:hAnsi="宋体" w:cs="宋体"/>
          <w:kern w:val="0"/>
          <w:szCs w:val="21"/>
        </w:rPr>
      </w:pPr>
      <w:r>
        <w:rPr>
          <w:rFonts w:ascii="宋体" w:hAnsi="宋体" w:cs="宋体"/>
          <w:kern w:val="0"/>
          <w:szCs w:val="21"/>
        </w:rPr>
        <w:t>“A-60级”60</w:t>
      </w:r>
      <w:r>
        <w:rPr>
          <w:rFonts w:ascii="宋体" w:hAnsi="宋体" w:cs="宋体"/>
          <w:kern w:val="0"/>
          <w:sz w:val="10"/>
          <w:szCs w:val="10"/>
        </w:rPr>
        <w:t xml:space="preserve"> </w:t>
      </w:r>
      <w:r>
        <w:rPr>
          <w:rFonts w:ascii="宋体" w:hAnsi="宋体" w:cs="宋体"/>
          <w:kern w:val="0"/>
          <w:szCs w:val="21"/>
        </w:rPr>
        <w:t>min</w:t>
      </w:r>
    </w:p>
    <w:p w14:paraId="394A075F">
      <w:pPr>
        <w:widowControl/>
        <w:ind w:firstLine="840" w:firstLineChars="400"/>
        <w:jc w:val="left"/>
        <w:rPr>
          <w:rFonts w:hint="eastAsia" w:ascii="宋体" w:hAnsi="宋体" w:cs="宋体"/>
          <w:kern w:val="0"/>
          <w:szCs w:val="21"/>
        </w:rPr>
      </w:pPr>
      <w:r>
        <w:rPr>
          <w:rFonts w:ascii="宋体" w:hAnsi="宋体" w:cs="宋体"/>
          <w:kern w:val="0"/>
          <w:szCs w:val="21"/>
        </w:rPr>
        <w:t>“A-30级”30</w:t>
      </w:r>
      <w:r>
        <w:rPr>
          <w:rFonts w:ascii="宋体" w:hAnsi="宋体" w:cs="宋体"/>
          <w:kern w:val="0"/>
          <w:sz w:val="10"/>
          <w:szCs w:val="10"/>
        </w:rPr>
        <w:t xml:space="preserve"> </w:t>
      </w:r>
      <w:r>
        <w:rPr>
          <w:rFonts w:ascii="宋体" w:hAnsi="宋体" w:cs="宋体"/>
          <w:kern w:val="0"/>
          <w:szCs w:val="21"/>
        </w:rPr>
        <w:t>min</w:t>
      </w:r>
    </w:p>
    <w:p w14:paraId="7B545E23">
      <w:pPr>
        <w:widowControl/>
        <w:ind w:firstLine="840" w:firstLineChars="400"/>
        <w:jc w:val="left"/>
        <w:rPr>
          <w:rFonts w:hint="eastAsia" w:ascii="宋体" w:hAnsi="宋体" w:cs="宋体"/>
          <w:kern w:val="0"/>
          <w:szCs w:val="21"/>
        </w:rPr>
      </w:pPr>
      <w:r>
        <w:rPr>
          <w:rFonts w:ascii="宋体" w:hAnsi="宋体" w:cs="宋体"/>
          <w:kern w:val="0"/>
          <w:szCs w:val="21"/>
        </w:rPr>
        <w:t>“A-15级”15</w:t>
      </w:r>
      <w:r>
        <w:rPr>
          <w:rFonts w:ascii="宋体" w:hAnsi="宋体" w:cs="宋体"/>
          <w:kern w:val="0"/>
          <w:sz w:val="10"/>
          <w:szCs w:val="10"/>
        </w:rPr>
        <w:t xml:space="preserve"> </w:t>
      </w:r>
      <w:r>
        <w:rPr>
          <w:rFonts w:ascii="宋体" w:hAnsi="宋体" w:cs="宋体"/>
          <w:kern w:val="0"/>
          <w:szCs w:val="21"/>
        </w:rPr>
        <w:t>min</w:t>
      </w:r>
    </w:p>
    <w:p w14:paraId="5233B2D8">
      <w:pPr>
        <w:widowControl/>
        <w:ind w:firstLine="840" w:firstLineChars="400"/>
        <w:jc w:val="left"/>
        <w:rPr>
          <w:rFonts w:hint="eastAsia" w:ascii="宋体" w:hAnsi="宋体" w:cs="宋体"/>
          <w:kern w:val="0"/>
          <w:szCs w:val="21"/>
        </w:rPr>
      </w:pPr>
      <w:r>
        <w:rPr>
          <w:rFonts w:ascii="宋体" w:hAnsi="宋体" w:cs="宋体"/>
          <w:kern w:val="0"/>
          <w:szCs w:val="21"/>
        </w:rPr>
        <w:t>“A-0级”0</w:t>
      </w:r>
      <w:r>
        <w:rPr>
          <w:rFonts w:ascii="宋体" w:hAnsi="宋体" w:cs="宋体"/>
          <w:kern w:val="0"/>
          <w:sz w:val="10"/>
          <w:szCs w:val="10"/>
        </w:rPr>
        <w:t xml:space="preserve"> </w:t>
      </w:r>
      <w:r>
        <w:rPr>
          <w:rFonts w:ascii="宋体" w:hAnsi="宋体" w:cs="宋体"/>
          <w:kern w:val="0"/>
          <w:szCs w:val="21"/>
        </w:rPr>
        <w:t>min</w:t>
      </w:r>
    </w:p>
    <w:p w14:paraId="0C4E0ACA">
      <w:pPr>
        <w:pStyle w:val="305"/>
        <w:numPr>
          <w:ilvl w:val="0"/>
          <w:numId w:val="89"/>
        </w:numPr>
        <w:rPr>
          <w:rFonts w:hint="eastAsia" w:hAnsi="宋体" w:cs="宋体"/>
        </w:rPr>
      </w:pPr>
      <w:r>
        <w:rPr>
          <w:rFonts w:hint="eastAsia" w:hAnsi="宋体" w:cs="宋体"/>
        </w:rPr>
        <w:t>应对用于“A”级分隔的隔壁和甲板试样进行一次性耐火试验，并取得发证检验机构的认可。</w:t>
      </w:r>
    </w:p>
    <w:p w14:paraId="4397A5A9">
      <w:pPr>
        <w:pStyle w:val="326"/>
        <w:rPr>
          <w:rFonts w:hint="eastAsia" w:ascii="宋体" w:hAnsi="宋体" w:eastAsia="宋体" w:cs="宋体"/>
        </w:rPr>
      </w:pPr>
      <w:r>
        <w:rPr>
          <w:rFonts w:hint="eastAsia" w:ascii="宋体" w:hAnsi="宋体" w:eastAsia="宋体" w:cs="宋体"/>
        </w:rPr>
        <w:t>“B”级分隔的隔壁、甲板、天花板或衬板应符合下列要求：</w:t>
      </w:r>
    </w:p>
    <w:p w14:paraId="2F9C1E62">
      <w:pPr>
        <w:pStyle w:val="305"/>
        <w:numPr>
          <w:ilvl w:val="0"/>
          <w:numId w:val="90"/>
        </w:numPr>
        <w:rPr>
          <w:rFonts w:hint="eastAsia" w:hAnsi="宋体" w:cs="宋体"/>
        </w:rPr>
      </w:pPr>
      <w:r>
        <w:rPr>
          <w:rFonts w:hint="eastAsia" w:hAnsi="宋体" w:cs="宋体"/>
        </w:rPr>
        <w:t>在标准耐火试验时，其结构能在最初半小时内防止火焰通过；</w:t>
      </w:r>
    </w:p>
    <w:p w14:paraId="4127195C">
      <w:pPr>
        <w:pStyle w:val="305"/>
        <w:numPr>
          <w:ilvl w:val="0"/>
          <w:numId w:val="90"/>
        </w:numPr>
        <w:rPr>
          <w:rFonts w:hint="eastAsia" w:hAnsi="宋体" w:cs="宋体"/>
        </w:rPr>
      </w:pPr>
      <w:r>
        <w:rPr>
          <w:rFonts w:hint="eastAsia" w:hAnsi="宋体" w:cs="宋体"/>
        </w:rPr>
        <w:t>在下列时间内，该分隔背火面的平均温度比原始温度增高应不超过140</w:t>
      </w:r>
      <w:r>
        <w:rPr>
          <w:rFonts w:hint="eastAsia" w:hAnsi="宋体" w:cs="宋体"/>
          <w:sz w:val="10"/>
          <w:szCs w:val="10"/>
        </w:rPr>
        <w:t xml:space="preserve"> </w:t>
      </w:r>
      <w:r>
        <w:rPr>
          <w:rFonts w:hint="eastAsia" w:hAnsi="宋体" w:cs="宋体"/>
        </w:rPr>
        <w:t>℃；且</w:t>
      </w:r>
      <w:r>
        <w:rPr>
          <w:rFonts w:hAnsi="宋体" w:cs="宋体"/>
        </w:rPr>
        <w:t>在包括接头在内的任何一点的温度增高</w:t>
      </w:r>
      <w:r>
        <w:rPr>
          <w:rFonts w:hint="eastAsia" w:hAnsi="宋体" w:cs="宋体"/>
        </w:rPr>
        <w:t>应</w:t>
      </w:r>
      <w:r>
        <w:rPr>
          <w:rFonts w:hAnsi="宋体" w:cs="宋体"/>
        </w:rPr>
        <w:t>不超过</w:t>
      </w:r>
      <w:r>
        <w:rPr>
          <w:rFonts w:hint="eastAsia" w:hAnsi="宋体" w:cs="宋体"/>
        </w:rPr>
        <w:t>225</w:t>
      </w:r>
      <w:r>
        <w:rPr>
          <w:rFonts w:hint="eastAsia" w:hAnsi="宋体" w:cs="宋体"/>
          <w:sz w:val="10"/>
          <w:szCs w:val="10"/>
        </w:rPr>
        <w:t xml:space="preserve"> </w:t>
      </w:r>
      <w:r>
        <w:rPr>
          <w:rFonts w:hAnsi="宋体" w:cs="宋体"/>
        </w:rPr>
        <w:t>℃；</w:t>
      </w:r>
    </w:p>
    <w:p w14:paraId="72EB0C9F">
      <w:pPr>
        <w:widowControl/>
        <w:ind w:firstLine="840" w:firstLineChars="400"/>
        <w:jc w:val="left"/>
        <w:rPr>
          <w:rFonts w:hint="eastAsia" w:ascii="宋体" w:hAnsi="宋体" w:cs="宋体"/>
          <w:kern w:val="0"/>
          <w:szCs w:val="21"/>
        </w:rPr>
      </w:pPr>
      <w:r>
        <w:rPr>
          <w:rFonts w:ascii="宋体" w:hAnsi="宋体" w:cs="宋体"/>
          <w:kern w:val="0"/>
          <w:szCs w:val="21"/>
        </w:rPr>
        <w:t>“B-15级”15</w:t>
      </w:r>
      <w:r>
        <w:rPr>
          <w:rFonts w:ascii="宋体" w:hAnsi="宋体" w:cs="宋体"/>
          <w:kern w:val="0"/>
          <w:sz w:val="10"/>
          <w:szCs w:val="10"/>
        </w:rPr>
        <w:t xml:space="preserve"> </w:t>
      </w:r>
      <w:r>
        <w:rPr>
          <w:rFonts w:ascii="宋体" w:hAnsi="宋体" w:cs="宋体"/>
          <w:kern w:val="0"/>
          <w:szCs w:val="21"/>
        </w:rPr>
        <w:t>min</w:t>
      </w:r>
    </w:p>
    <w:p w14:paraId="5C683651">
      <w:pPr>
        <w:widowControl/>
        <w:ind w:firstLine="840" w:firstLineChars="400"/>
        <w:jc w:val="left"/>
        <w:rPr>
          <w:rFonts w:hint="eastAsia" w:ascii="宋体" w:hAnsi="宋体" w:cs="宋体"/>
          <w:kern w:val="0"/>
          <w:szCs w:val="21"/>
        </w:rPr>
      </w:pPr>
      <w:r>
        <w:rPr>
          <w:rFonts w:ascii="宋体" w:hAnsi="宋体" w:cs="宋体"/>
          <w:kern w:val="0"/>
          <w:szCs w:val="21"/>
        </w:rPr>
        <w:t>“B-0级”0</w:t>
      </w:r>
      <w:r>
        <w:rPr>
          <w:rFonts w:ascii="宋体" w:hAnsi="宋体" w:cs="宋体"/>
          <w:kern w:val="0"/>
          <w:sz w:val="10"/>
          <w:szCs w:val="10"/>
        </w:rPr>
        <w:t xml:space="preserve"> </w:t>
      </w:r>
      <w:r>
        <w:rPr>
          <w:rFonts w:ascii="宋体" w:hAnsi="宋体" w:cs="宋体"/>
          <w:kern w:val="0"/>
          <w:szCs w:val="21"/>
        </w:rPr>
        <w:t>min</w:t>
      </w:r>
    </w:p>
    <w:p w14:paraId="783052C1">
      <w:pPr>
        <w:pStyle w:val="305"/>
        <w:numPr>
          <w:ilvl w:val="0"/>
          <w:numId w:val="91"/>
        </w:numPr>
        <w:rPr>
          <w:rFonts w:hint="eastAsia" w:hAnsi="宋体" w:cs="宋体"/>
        </w:rPr>
      </w:pPr>
      <w:r>
        <w:rPr>
          <w:rFonts w:hint="eastAsia" w:hAnsi="宋体" w:cs="宋体"/>
        </w:rPr>
        <w:t>制造和装配“B”级分隔的耐火材料应具备相关认证，只要上述材料符合本章的其它要求，不排除使用可燃镶片。</w:t>
      </w:r>
    </w:p>
    <w:p w14:paraId="2DB142F3">
      <w:pPr>
        <w:pStyle w:val="326"/>
        <w:rPr>
          <w:rFonts w:hint="eastAsia" w:ascii="宋体" w:hAnsi="宋体" w:eastAsia="宋体" w:cs="宋体"/>
        </w:rPr>
      </w:pPr>
      <w:r>
        <w:rPr>
          <w:rFonts w:hint="eastAsia" w:ascii="宋体" w:hAnsi="宋体" w:eastAsia="宋体" w:cs="宋体"/>
        </w:rPr>
        <w:t>制造和装配“C”</w:t>
      </w:r>
      <w:r>
        <w:rPr>
          <w:rFonts w:ascii="Times New Roman"/>
        </w:rPr>
        <w:t>级分隔</w:t>
      </w:r>
      <w:r>
        <w:rPr>
          <w:rFonts w:hint="eastAsia" w:ascii="Times New Roman"/>
        </w:rPr>
        <w:t>的</w:t>
      </w:r>
      <w:r>
        <w:rPr>
          <w:rFonts w:ascii="Times New Roman"/>
        </w:rPr>
        <w:t>耐火材料</w:t>
      </w:r>
      <w:r>
        <w:rPr>
          <w:rFonts w:hint="eastAsia" w:ascii="Times New Roman"/>
        </w:rPr>
        <w:t>应具备相关的认证</w:t>
      </w:r>
      <w:r>
        <w:rPr>
          <w:rFonts w:hint="eastAsia" w:ascii="宋体" w:hAnsi="宋体" w:eastAsia="宋体" w:cs="宋体"/>
        </w:rPr>
        <w:t>，无须满足防止烟和火焰通过以及限制温升的要求。只要上述材料符合本章的要求，可使用可燃镶片。</w:t>
      </w:r>
    </w:p>
    <w:p w14:paraId="70B9AB31">
      <w:pPr>
        <w:pStyle w:val="260"/>
        <w:outlineLvl w:val="1"/>
      </w:pPr>
      <w:bookmarkStart w:id="262" w:name="_Toc9992"/>
      <w:r>
        <w:rPr>
          <w:rFonts w:hint="eastAsia"/>
        </w:rPr>
        <w:t>耐火完整性</w:t>
      </w:r>
      <w:bookmarkEnd w:id="262"/>
    </w:p>
    <w:p w14:paraId="7F47794E">
      <w:pPr>
        <w:pStyle w:val="261"/>
        <w:spacing w:before="156" w:after="156"/>
        <w:outlineLvl w:val="2"/>
      </w:pPr>
      <w:r>
        <w:rPr>
          <w:rFonts w:hint="eastAsia"/>
        </w:rPr>
        <w:t>隔壁和甲板</w:t>
      </w:r>
    </w:p>
    <w:p w14:paraId="092FD2E5">
      <w:pPr>
        <w:pStyle w:val="327"/>
        <w:rPr>
          <w:rFonts w:ascii="Times New Roman"/>
        </w:rPr>
      </w:pPr>
      <w:r>
        <w:rPr>
          <w:rFonts w:hint="eastAsia"/>
        </w:rPr>
        <w:t>本节适用于平台上钢质的结构性隔壁、甲板以及房间区和生活区。</w:t>
      </w:r>
    </w:p>
    <w:p w14:paraId="7159500F">
      <w:pPr>
        <w:pStyle w:val="327"/>
        <w:rPr>
          <w:rFonts w:ascii="Times New Roman"/>
        </w:rPr>
      </w:pPr>
      <w:r>
        <w:rPr>
          <w:rFonts w:hint="eastAsia" w:ascii="Times New Roman"/>
        </w:rPr>
        <w:t>房间区和生活区以及支撑生活区的外伸甲板，其面向井口区和油气生产区，并在距钻井转盘中心水平距离</w:t>
      </w:r>
      <w:r>
        <w:rPr>
          <w:rFonts w:hint="eastAsia" w:ascii="宋体" w:hAnsi="宋体" w:eastAsia="宋体" w:cs="宋体"/>
        </w:rPr>
        <w:t>30</w:t>
      </w:r>
      <w:r>
        <w:rPr>
          <w:rFonts w:hint="eastAsia" w:ascii="宋体" w:hAnsi="宋体" w:eastAsia="宋体" w:cs="宋体"/>
          <w:sz w:val="10"/>
          <w:szCs w:val="10"/>
        </w:rPr>
        <w:t xml:space="preserve"> </w:t>
      </w:r>
      <w:r>
        <w:rPr>
          <w:rFonts w:hint="eastAsia" w:ascii="宋体" w:hAnsi="宋体" w:eastAsia="宋体" w:cs="宋体"/>
        </w:rPr>
        <w:t>m之内的所有外表面</w:t>
      </w:r>
      <w:r>
        <w:rPr>
          <w:rFonts w:hint="eastAsia" w:ascii="宋体" w:hAnsi="宋体" w:eastAsia="宋体" w:cs="宋体"/>
          <w:lang w:eastAsia="zh-CN"/>
        </w:rPr>
        <w:t>，</w:t>
      </w:r>
      <w:r>
        <w:rPr>
          <w:rFonts w:hint="eastAsia" w:ascii="宋体" w:hAnsi="宋体" w:eastAsia="宋体" w:cs="宋体"/>
        </w:rPr>
        <w:t xml:space="preserve"> 应至少按“H-60”级标准建造；同时其防火分隔还应满足17.5的相关要求。若钻机坐于可移动式的底座上，30</w:t>
      </w:r>
      <w:r>
        <w:rPr>
          <w:rFonts w:hint="eastAsia" w:ascii="宋体" w:hAnsi="宋体" w:eastAsia="宋体" w:cs="宋体"/>
          <w:sz w:val="10"/>
          <w:szCs w:val="10"/>
        </w:rPr>
        <w:t xml:space="preserve"> </w:t>
      </w:r>
      <w:r>
        <w:rPr>
          <w:rFonts w:hint="eastAsia" w:ascii="宋体" w:hAnsi="宋体" w:eastAsia="宋体" w:cs="宋体"/>
        </w:rPr>
        <w:t>m系指</w:t>
      </w:r>
      <w:r>
        <w:rPr>
          <w:rFonts w:hint="eastAsia" w:ascii="Times New Roman"/>
        </w:rPr>
        <w:t>钻机移至距房间区或生活区最近的钻井位置时，距转盘中心的距离。</w:t>
      </w:r>
    </w:p>
    <w:p w14:paraId="21CEE8EE">
      <w:pPr>
        <w:pStyle w:val="327"/>
        <w:rPr>
          <w:rFonts w:ascii="Times New Roman"/>
        </w:rPr>
      </w:pPr>
      <w:r>
        <w:rPr>
          <w:rFonts w:ascii="Times New Roman"/>
        </w:rPr>
        <w:t>下述要求用于</w:t>
      </w:r>
      <w:r>
        <w:rPr>
          <w:rFonts w:ascii="宋体" w:hAnsi="宋体" w:cs="宋体"/>
        </w:rPr>
        <w:t>表 2和表 3</w:t>
      </w:r>
      <w:r>
        <w:rPr>
          <w:rFonts w:ascii="Times New Roman"/>
        </w:rPr>
        <w:t>：</w:t>
      </w:r>
    </w:p>
    <w:p w14:paraId="6EBEF6BD">
      <w:pPr>
        <w:pStyle w:val="305"/>
        <w:numPr>
          <w:ilvl w:val="0"/>
          <w:numId w:val="92"/>
        </w:numPr>
      </w:pPr>
      <w:r>
        <w:rPr>
          <w:rFonts w:hAnsi="宋体" w:cs="宋体"/>
          <w:szCs w:val="21"/>
        </w:rPr>
        <w:t>表 2和表 3</w:t>
      </w:r>
      <w:r>
        <w:rPr>
          <w:rFonts w:ascii="Times New Roman"/>
        </w:rPr>
        <w:t>分别用于分隔相邻处所的隔壁和甲板</w:t>
      </w:r>
      <w:r>
        <w:rPr>
          <w:rFonts w:hint="eastAsia"/>
        </w:rPr>
        <w:t>；</w:t>
      </w:r>
    </w:p>
    <w:p w14:paraId="67861640">
      <w:pPr>
        <w:pStyle w:val="305"/>
        <w:numPr>
          <w:ilvl w:val="0"/>
          <w:numId w:val="92"/>
        </w:numPr>
        <w:rPr>
          <w:rFonts w:ascii="Times New Roman"/>
        </w:rPr>
      </w:pPr>
      <w:r>
        <w:rPr>
          <w:rFonts w:ascii="Times New Roman"/>
        </w:rPr>
        <w:t>为了确定应用于相邻处所界面的相应的耐火完整性，</w:t>
      </w:r>
      <w:r>
        <w:rPr>
          <w:rFonts w:hint="eastAsia" w:ascii="Times New Roman"/>
        </w:rPr>
        <w:t>以下处所</w:t>
      </w:r>
      <w:r>
        <w:rPr>
          <w:rFonts w:ascii="Times New Roman"/>
        </w:rPr>
        <w:t>按其失火危险程度分为下列的1</w:t>
      </w:r>
      <w:r>
        <w:rPr>
          <w:rFonts w:hint="eastAsia" w:ascii="Times New Roman"/>
        </w:rPr>
        <w:t>）</w:t>
      </w:r>
      <w:r>
        <w:rPr>
          <w:rFonts w:hint="eastAsia" w:hAnsi="宋体" w:cs="宋体"/>
          <w:szCs w:val="21"/>
        </w:rPr>
        <w:t>～</w:t>
      </w:r>
      <w:r>
        <w:rPr>
          <w:rFonts w:ascii="Times New Roman"/>
        </w:rPr>
        <w:t>11</w:t>
      </w:r>
      <w:r>
        <w:rPr>
          <w:rFonts w:hint="eastAsia" w:ascii="Times New Roman"/>
        </w:rPr>
        <w:t>）</w:t>
      </w:r>
      <w:r>
        <w:rPr>
          <w:rFonts w:ascii="Times New Roman"/>
        </w:rPr>
        <w:t>类，每一类前边圆圈内的数字系指表中相应的行或列数。</w:t>
      </w:r>
    </w:p>
    <w:p w14:paraId="5912D5CC">
      <w:pPr>
        <w:pStyle w:val="294"/>
        <w:numPr>
          <w:ilvl w:val="1"/>
          <w:numId w:val="93"/>
        </w:numPr>
        <w:rPr>
          <w:rFonts w:ascii="Times New Roman"/>
        </w:rPr>
      </w:pPr>
      <w:r>
        <w:rPr>
          <w:rFonts w:ascii="Times New Roman"/>
        </w:rPr>
        <w:t>控制站</w:t>
      </w:r>
    </w:p>
    <w:p w14:paraId="470253FB">
      <w:pPr>
        <w:pStyle w:val="294"/>
        <w:numPr>
          <w:ilvl w:val="1"/>
          <w:numId w:val="0"/>
        </w:numPr>
        <w:ind w:left="840" w:firstLine="420" w:firstLineChars="200"/>
        <w:rPr>
          <w:rFonts w:ascii="Times New Roman"/>
        </w:rPr>
      </w:pPr>
      <w:r>
        <w:rPr>
          <w:rFonts w:ascii="Times New Roman"/>
        </w:rPr>
        <w:t>系指设有下列设备的处所：无线电通信设备、应急电源、中央控制盘、应急关断控制盘、火灾盘、集中式的固定消防系统。</w:t>
      </w:r>
    </w:p>
    <w:p w14:paraId="769FAA9C">
      <w:pPr>
        <w:pStyle w:val="294"/>
        <w:numPr>
          <w:ilvl w:val="1"/>
          <w:numId w:val="93"/>
        </w:numPr>
        <w:rPr>
          <w:rFonts w:ascii="Times New Roman"/>
        </w:rPr>
      </w:pPr>
      <w:r>
        <w:rPr>
          <w:rFonts w:ascii="Times New Roman"/>
        </w:rPr>
        <w:t>走廊</w:t>
      </w:r>
    </w:p>
    <w:p w14:paraId="59C0B937">
      <w:pPr>
        <w:pStyle w:val="294"/>
        <w:numPr>
          <w:ilvl w:val="1"/>
          <w:numId w:val="0"/>
        </w:numPr>
        <w:ind w:left="840" w:firstLine="420" w:firstLineChars="200"/>
        <w:rPr>
          <w:rFonts w:ascii="Times New Roman"/>
        </w:rPr>
      </w:pPr>
      <w:r>
        <w:rPr>
          <w:rFonts w:ascii="Times New Roman"/>
        </w:rPr>
        <w:t>系指走廊和门厅。</w:t>
      </w:r>
    </w:p>
    <w:p w14:paraId="53B8F957">
      <w:pPr>
        <w:pStyle w:val="294"/>
        <w:numPr>
          <w:ilvl w:val="1"/>
          <w:numId w:val="93"/>
        </w:numPr>
        <w:rPr>
          <w:rFonts w:ascii="Times New Roman"/>
        </w:rPr>
      </w:pPr>
      <w:r>
        <w:rPr>
          <w:rFonts w:ascii="Times New Roman"/>
        </w:rPr>
        <w:t>起居处所</w:t>
      </w:r>
    </w:p>
    <w:p w14:paraId="6D5E3402">
      <w:pPr>
        <w:pStyle w:val="294"/>
        <w:numPr>
          <w:ilvl w:val="1"/>
          <w:numId w:val="0"/>
        </w:numPr>
        <w:ind w:left="840" w:firstLine="420" w:firstLineChars="200"/>
        <w:rPr>
          <w:rFonts w:hint="eastAsia" w:hAnsi="宋体" w:cs="宋体"/>
        </w:rPr>
      </w:pPr>
      <w:r>
        <w:rPr>
          <w:rFonts w:hint="eastAsia" w:hAnsi="宋体" w:cs="宋体"/>
        </w:rPr>
        <w:t>系指公共处所（大厅、餐厅、休息室以及类似用途的固定围壁处所）、居住室、办公室、医务室、娱乐室及类似处所。</w:t>
      </w:r>
    </w:p>
    <w:p w14:paraId="422761BC">
      <w:pPr>
        <w:pStyle w:val="294"/>
        <w:numPr>
          <w:ilvl w:val="1"/>
          <w:numId w:val="93"/>
        </w:numPr>
        <w:rPr>
          <w:rFonts w:hint="eastAsia" w:hAnsi="宋体" w:cs="宋体"/>
        </w:rPr>
      </w:pPr>
      <w:r>
        <w:rPr>
          <w:rFonts w:hint="eastAsia" w:hAnsi="宋体" w:cs="宋体"/>
        </w:rPr>
        <w:t>梯道</w:t>
      </w:r>
    </w:p>
    <w:p w14:paraId="5C81BCEE">
      <w:pPr>
        <w:pStyle w:val="294"/>
        <w:numPr>
          <w:ilvl w:val="1"/>
          <w:numId w:val="0"/>
        </w:numPr>
        <w:ind w:left="840" w:firstLine="420" w:firstLineChars="200"/>
        <w:rPr>
          <w:rFonts w:hint="eastAsia" w:hAnsi="宋体" w:cs="宋体"/>
        </w:rPr>
      </w:pPr>
      <w:r>
        <w:rPr>
          <w:rFonts w:hint="eastAsia" w:hAnsi="宋体" w:cs="宋体"/>
        </w:rPr>
        <w:t>系指内部梯道、升降机（完全设在“A”类或其它机器处所内部者除外）、管道井以及梯道的围壁。仅在一层甲板设有围壁的梯道，应作为与之没有防火门隔开的处所的一部分。</w:t>
      </w:r>
    </w:p>
    <w:p w14:paraId="34A12199">
      <w:pPr>
        <w:pStyle w:val="294"/>
        <w:numPr>
          <w:ilvl w:val="1"/>
          <w:numId w:val="93"/>
        </w:numPr>
        <w:rPr>
          <w:rFonts w:hint="eastAsia" w:hAnsi="宋体" w:cs="宋体"/>
        </w:rPr>
      </w:pPr>
      <w:r>
        <w:rPr>
          <w:rFonts w:hint="eastAsia" w:hAnsi="宋体" w:cs="宋体"/>
        </w:rPr>
        <w:t>失火危险较小的服务处所</w:t>
      </w:r>
    </w:p>
    <w:p w14:paraId="2D3B6AE1">
      <w:pPr>
        <w:pStyle w:val="294"/>
        <w:numPr>
          <w:ilvl w:val="1"/>
          <w:numId w:val="0"/>
        </w:numPr>
        <w:ind w:left="840" w:firstLine="420" w:firstLineChars="200"/>
        <w:rPr>
          <w:rFonts w:hint="eastAsia" w:hAnsi="宋体" w:cs="宋体"/>
        </w:rPr>
      </w:pPr>
      <w:r>
        <w:rPr>
          <w:rFonts w:hint="eastAsia" w:hAnsi="宋体" w:cs="宋体"/>
        </w:rPr>
        <w:t>系指干燥室、洗衣间和没有储藏易燃材料的橱柜和储藏室。</w:t>
      </w:r>
    </w:p>
    <w:p w14:paraId="4AA0F9D9">
      <w:pPr>
        <w:pStyle w:val="294"/>
        <w:numPr>
          <w:ilvl w:val="1"/>
          <w:numId w:val="93"/>
        </w:numPr>
        <w:rPr>
          <w:rFonts w:hint="eastAsia" w:hAnsi="宋体" w:cs="宋体"/>
        </w:rPr>
      </w:pPr>
      <w:r>
        <w:rPr>
          <w:rFonts w:hint="eastAsia" w:hAnsi="宋体" w:cs="宋体"/>
        </w:rPr>
        <w:t>“A”类机器处所</w:t>
      </w:r>
    </w:p>
    <w:p w14:paraId="3FFC360A">
      <w:pPr>
        <w:pStyle w:val="294"/>
        <w:numPr>
          <w:ilvl w:val="1"/>
          <w:numId w:val="0"/>
        </w:numPr>
        <w:ind w:left="840" w:firstLine="420" w:firstLineChars="200"/>
        <w:rPr>
          <w:rFonts w:hint="eastAsia" w:hAnsi="宋体" w:cs="宋体"/>
        </w:rPr>
      </w:pPr>
      <w:r>
        <w:rPr>
          <w:rFonts w:hint="eastAsia" w:hAnsi="宋体" w:cs="宋体"/>
        </w:rPr>
        <w:t>系指装有下列设备的处所和通往这些处所的围壁通道：合计总输出功率不</w:t>
      </w:r>
      <w:r>
        <w:rPr>
          <w:rFonts w:hint="eastAsia" w:hAnsi="宋体" w:cs="宋体"/>
          <w:szCs w:val="21"/>
        </w:rPr>
        <w:t>小于375</w:t>
      </w:r>
      <w:r>
        <w:rPr>
          <w:rFonts w:hint="eastAsia" w:hAnsi="宋体" w:cs="宋体"/>
          <w:sz w:val="10"/>
          <w:szCs w:val="10"/>
        </w:rPr>
        <w:t xml:space="preserve"> </w:t>
      </w:r>
      <w:r>
        <w:rPr>
          <w:rFonts w:hint="eastAsia" w:hAnsi="宋体" w:cs="宋体"/>
          <w:szCs w:val="21"/>
        </w:rPr>
        <w:t>kw的</w:t>
      </w:r>
      <w:r>
        <w:rPr>
          <w:rFonts w:hint="eastAsia" w:hAnsi="宋体" w:cs="宋体"/>
        </w:rPr>
        <w:t>内燃机或任何燃油锅炉或燃油装置。</w:t>
      </w:r>
    </w:p>
    <w:p w14:paraId="3364AEFD">
      <w:pPr>
        <w:pStyle w:val="294"/>
        <w:numPr>
          <w:ilvl w:val="1"/>
          <w:numId w:val="93"/>
        </w:numPr>
        <w:rPr>
          <w:rFonts w:hint="eastAsia" w:hAnsi="宋体" w:cs="宋体"/>
        </w:rPr>
      </w:pPr>
      <w:r>
        <w:rPr>
          <w:rFonts w:hint="eastAsia" w:hAnsi="宋体" w:cs="宋体"/>
        </w:rPr>
        <w:t>其它机器处所</w:t>
      </w:r>
    </w:p>
    <w:p w14:paraId="745DEA69">
      <w:pPr>
        <w:pStyle w:val="294"/>
        <w:numPr>
          <w:ilvl w:val="1"/>
          <w:numId w:val="0"/>
        </w:numPr>
        <w:ind w:left="840" w:firstLine="420" w:firstLineChars="200"/>
        <w:rPr>
          <w:rFonts w:hint="eastAsia" w:hAnsi="宋体" w:cs="宋体"/>
        </w:rPr>
      </w:pPr>
      <w:r>
        <w:rPr>
          <w:rFonts w:ascii="Times New Roman"/>
        </w:rPr>
        <w:t>系指装有下列设备的处所和通往这些处所的通道：蒸汽机和内燃机，发电机和其它主要电</w:t>
      </w:r>
      <w:r>
        <w:rPr>
          <w:rFonts w:hint="eastAsia" w:hAnsi="宋体" w:cs="宋体"/>
        </w:rPr>
        <w:t>气设备、冷冻机、通风和空调机及类似处所。</w:t>
      </w:r>
    </w:p>
    <w:p w14:paraId="5D1CB9F9">
      <w:pPr>
        <w:pStyle w:val="294"/>
        <w:numPr>
          <w:ilvl w:val="1"/>
          <w:numId w:val="93"/>
        </w:numPr>
        <w:rPr>
          <w:rFonts w:hint="eastAsia" w:hAnsi="宋体" w:cs="宋体"/>
        </w:rPr>
      </w:pPr>
      <w:r>
        <w:rPr>
          <w:rFonts w:hint="eastAsia" w:hAnsi="宋体" w:cs="宋体"/>
        </w:rPr>
        <w:t>危险区</w:t>
      </w:r>
    </w:p>
    <w:p w14:paraId="5B63669E">
      <w:pPr>
        <w:pStyle w:val="294"/>
        <w:numPr>
          <w:ilvl w:val="1"/>
          <w:numId w:val="0"/>
        </w:numPr>
        <w:ind w:left="840" w:firstLine="420" w:firstLineChars="200"/>
        <w:rPr>
          <w:rFonts w:hint="eastAsia" w:hAnsi="宋体" w:cs="宋体"/>
        </w:rPr>
      </w:pPr>
      <w:r>
        <w:rPr>
          <w:rFonts w:hint="eastAsia" w:hAnsi="宋体" w:cs="宋体"/>
        </w:rPr>
        <w:t>系指按本文件17.4.1规定的区域。</w:t>
      </w:r>
    </w:p>
    <w:p w14:paraId="599E3D5E">
      <w:pPr>
        <w:pStyle w:val="294"/>
        <w:numPr>
          <w:ilvl w:val="1"/>
          <w:numId w:val="93"/>
        </w:numPr>
        <w:rPr>
          <w:rFonts w:hint="eastAsia" w:hAnsi="宋体" w:cs="宋体"/>
        </w:rPr>
      </w:pPr>
      <w:r>
        <w:rPr>
          <w:rFonts w:hint="eastAsia" w:hAnsi="宋体" w:cs="宋体"/>
        </w:rPr>
        <w:t>失火危险较大的服务处所</w:t>
      </w:r>
    </w:p>
    <w:p w14:paraId="514CEB64">
      <w:pPr>
        <w:pStyle w:val="294"/>
        <w:numPr>
          <w:ilvl w:val="1"/>
          <w:numId w:val="0"/>
        </w:numPr>
        <w:ind w:left="840" w:firstLine="420" w:firstLineChars="200"/>
        <w:rPr>
          <w:rFonts w:hint="eastAsia" w:hAnsi="宋体" w:cs="宋体"/>
        </w:rPr>
      </w:pPr>
      <w:r>
        <w:rPr>
          <w:rFonts w:hint="eastAsia" w:hAnsi="宋体" w:cs="宋体"/>
        </w:rPr>
        <w:t>系指储藏易燃材料的橱柜、储藏室和工作处所、厨房、带有烹调设备的配餐室、油漆间以及不属于“A”类机器处所和其它机器处所组成部分的修理间。</w:t>
      </w:r>
    </w:p>
    <w:p w14:paraId="558064AE">
      <w:pPr>
        <w:pStyle w:val="294"/>
        <w:numPr>
          <w:ilvl w:val="1"/>
          <w:numId w:val="0"/>
        </w:numPr>
        <w:ind w:left="840" w:firstLine="420" w:firstLineChars="200"/>
        <w:rPr>
          <w:rFonts w:hint="eastAsia" w:hAnsi="宋体" w:cs="宋体"/>
        </w:rPr>
      </w:pPr>
      <w:r>
        <w:rPr>
          <w:rFonts w:hint="eastAsia" w:hAnsi="宋体" w:cs="宋体"/>
        </w:rPr>
        <w:t>工作处所系指装有与钻井或油（气）生产有关的设备的开敞或封闭处所。</w:t>
      </w:r>
    </w:p>
    <w:p w14:paraId="41274393">
      <w:pPr>
        <w:pStyle w:val="294"/>
        <w:numPr>
          <w:ilvl w:val="1"/>
          <w:numId w:val="93"/>
        </w:numPr>
        <w:rPr>
          <w:rFonts w:hint="eastAsia" w:hAnsi="宋体" w:cs="宋体"/>
        </w:rPr>
      </w:pPr>
      <w:r>
        <w:rPr>
          <w:rFonts w:hint="eastAsia" w:hAnsi="宋体" w:cs="宋体"/>
        </w:rPr>
        <w:t>开敞甲板</w:t>
      </w:r>
    </w:p>
    <w:p w14:paraId="3C01EC3A">
      <w:pPr>
        <w:pStyle w:val="294"/>
        <w:numPr>
          <w:ilvl w:val="1"/>
          <w:numId w:val="0"/>
        </w:numPr>
        <w:ind w:left="840" w:firstLine="420" w:firstLineChars="200"/>
        <w:rPr>
          <w:rFonts w:hint="eastAsia" w:hAnsi="宋体" w:cs="宋体"/>
        </w:rPr>
      </w:pPr>
      <w:r>
        <w:rPr>
          <w:rFonts w:hint="eastAsia" w:hAnsi="宋体" w:cs="宋体"/>
        </w:rPr>
        <w:t>系指露天甲板处所，但不包括危险区。</w:t>
      </w:r>
    </w:p>
    <w:p w14:paraId="6E6C5E2A">
      <w:pPr>
        <w:pStyle w:val="294"/>
        <w:numPr>
          <w:ilvl w:val="1"/>
          <w:numId w:val="93"/>
        </w:numPr>
        <w:rPr>
          <w:rFonts w:hint="eastAsia" w:hAnsi="宋体" w:cs="宋体"/>
        </w:rPr>
      </w:pPr>
      <w:r>
        <w:rPr>
          <w:rFonts w:hint="eastAsia" w:hAnsi="宋体" w:cs="宋体"/>
        </w:rPr>
        <w:t>盥洗处所和类似处所</w:t>
      </w:r>
    </w:p>
    <w:p w14:paraId="2242E18E">
      <w:pPr>
        <w:pStyle w:val="294"/>
        <w:numPr>
          <w:ilvl w:val="1"/>
          <w:numId w:val="0"/>
        </w:numPr>
        <w:ind w:left="840" w:firstLine="420" w:firstLineChars="200"/>
        <w:rPr>
          <w:rFonts w:ascii="Times New Roman"/>
        </w:rPr>
      </w:pPr>
      <w:r>
        <w:rPr>
          <w:rFonts w:ascii="Times New Roman"/>
        </w:rPr>
        <w:t>系指共用的设有洗盥设施的卫生用房</w:t>
      </w:r>
      <w:r>
        <w:rPr>
          <w:rFonts w:hint="eastAsia" w:ascii="Times New Roman"/>
        </w:rPr>
        <w:t>，</w:t>
      </w:r>
      <w:r>
        <w:rPr>
          <w:rFonts w:ascii="Times New Roman"/>
        </w:rPr>
        <w:t>如淋浴室、洗手间、卫生间等，以及无烹调设备的隔开的配餐室。服务于一个处所且仅从该处所进出的卫生设施</w:t>
      </w:r>
      <w:r>
        <w:rPr>
          <w:rFonts w:hint="eastAsia" w:ascii="Times New Roman"/>
        </w:rPr>
        <w:t>，</w:t>
      </w:r>
      <w:r>
        <w:rPr>
          <w:rFonts w:ascii="Times New Roman"/>
        </w:rPr>
        <w:t>应看作是其所在处所的一部分。</w:t>
      </w:r>
    </w:p>
    <w:p w14:paraId="4012A380">
      <w:pPr>
        <w:pStyle w:val="327"/>
      </w:pPr>
      <w:r>
        <w:rPr>
          <w:rFonts w:hint="eastAsia"/>
        </w:rPr>
        <w:t>与有关甲板或隔壁相连的连续“B”级天花板或衬板，可以认为全部或部分地起到分隔所要求的绝缘性和完整性作用。</w:t>
      </w:r>
    </w:p>
    <w:p w14:paraId="377FF82B">
      <w:pPr>
        <w:pStyle w:val="327"/>
      </w:pPr>
      <w:r>
        <w:rPr>
          <w:rFonts w:hint="eastAsia"/>
        </w:rPr>
        <w:t>一切要求为“B”级分隔的隔壁应从一层甲板延至另一层甲板</w:t>
      </w:r>
      <w:r>
        <w:rPr>
          <w:rFonts w:hint="eastAsia"/>
          <w:lang w:eastAsia="zh-CN"/>
        </w:rPr>
        <w:t>，</w:t>
      </w:r>
      <w:r>
        <w:rPr>
          <w:rFonts w:hint="eastAsia"/>
        </w:rPr>
        <w:t xml:space="preserve"> 并横延至其它界限面；但在隔壁的两侧装有连续的“B”级天花板或衬板时，则此种隔壁可终止于连续的天花板或衬板。</w:t>
      </w:r>
    </w:p>
    <w:p w14:paraId="4F01B972">
      <w:pPr>
        <w:pStyle w:val="327"/>
      </w:pPr>
      <w:r>
        <w:rPr>
          <w:rFonts w:hint="eastAsia"/>
        </w:rPr>
        <w:t>在确认结构的防火细节时，应考虑所要求的绝缘层在交接点和终止点导热的危险。</w:t>
      </w:r>
    </w:p>
    <w:p w14:paraId="03C6A2CB">
      <w:pPr>
        <w:pStyle w:val="327"/>
      </w:pPr>
      <w:r>
        <w:rPr>
          <w:rFonts w:hint="eastAsia"/>
        </w:rPr>
        <w:t>窗应为永闭型，但经发证检验机构同意，可允许危险区以外的窗为可开启式。</w:t>
      </w:r>
    </w:p>
    <w:p w14:paraId="4607E023">
      <w:pPr>
        <w:pStyle w:val="327"/>
      </w:pPr>
      <w:r>
        <w:rPr>
          <w:rFonts w:hint="eastAsia"/>
        </w:rPr>
        <w:t>面向钻台区域的窗应符合下列要求之一:</w:t>
      </w:r>
    </w:p>
    <w:p w14:paraId="4F840D85">
      <w:pPr>
        <w:pStyle w:val="305"/>
        <w:numPr>
          <w:ilvl w:val="0"/>
          <w:numId w:val="94"/>
        </w:numPr>
        <w:rPr>
          <w:rFonts w:hint="eastAsia" w:hAnsi="宋体" w:cs="宋体"/>
        </w:rPr>
      </w:pPr>
      <w:r>
        <w:rPr>
          <w:rFonts w:hint="eastAsia" w:hAnsi="宋体" w:cs="宋体"/>
        </w:rPr>
        <w:t>其防火耐火的完整性应与该隔壁相等；</w:t>
      </w:r>
    </w:p>
    <w:p w14:paraId="432A6BF2">
      <w:pPr>
        <w:pStyle w:val="305"/>
        <w:numPr>
          <w:ilvl w:val="0"/>
          <w:numId w:val="94"/>
        </w:numPr>
        <w:rPr>
          <w:rFonts w:hint="eastAsia" w:hAnsi="宋体" w:cs="宋体"/>
        </w:rPr>
      </w:pPr>
      <w:r>
        <w:rPr>
          <w:rFonts w:hint="eastAsia" w:hAnsi="宋体" w:cs="宋体"/>
        </w:rPr>
        <w:t>用水幕加以保护；</w:t>
      </w:r>
    </w:p>
    <w:p w14:paraId="7592E58F">
      <w:pPr>
        <w:pStyle w:val="305"/>
        <w:numPr>
          <w:ilvl w:val="0"/>
          <w:numId w:val="94"/>
        </w:numPr>
      </w:pPr>
      <w:r>
        <w:t>装设钢质或等效材料的内盖。</w:t>
      </w:r>
    </w:p>
    <w:p w14:paraId="25174647">
      <w:pPr>
        <w:pStyle w:val="327"/>
      </w:pPr>
      <w:r>
        <w:rPr>
          <w:rFonts w:hint="eastAsia"/>
        </w:rPr>
        <w:t>房间区和生活区</w:t>
      </w:r>
      <w:r>
        <w:t>的外部门应为钢质或等效材料制成</w:t>
      </w:r>
      <w:r>
        <w:rPr>
          <w:rFonts w:hint="eastAsia"/>
        </w:rPr>
        <w:t>，</w:t>
      </w:r>
      <w:r>
        <w:t>尽可能做成自闭式的</w:t>
      </w:r>
      <w:r>
        <w:rPr>
          <w:rFonts w:hint="eastAsia"/>
        </w:rPr>
        <w:t>。</w:t>
      </w:r>
    </w:p>
    <w:p w14:paraId="729C89A0">
      <w:pPr>
        <w:pStyle w:val="327"/>
      </w:pPr>
      <w:r>
        <w:t>其它门的阻火性能应与其安装处的隔壁等效。</w:t>
      </w:r>
    </w:p>
    <w:p w14:paraId="03EB5F09">
      <w:pPr>
        <w:pStyle w:val="327"/>
      </w:pPr>
      <w:r>
        <w:rPr>
          <w:rFonts w:hint="eastAsia"/>
        </w:rPr>
        <w:t>如在</w:t>
      </w:r>
      <w:r>
        <w:t>隔壁、衬板和天花板</w:t>
      </w:r>
      <w:r>
        <w:rPr>
          <w:rFonts w:hint="eastAsia"/>
        </w:rPr>
        <w:t>上</w:t>
      </w:r>
      <w:r>
        <w:t>装有可燃的镶片</w:t>
      </w:r>
      <w:r>
        <w:rPr>
          <w:rFonts w:hint="eastAsia"/>
        </w:rPr>
        <w:t>，</w:t>
      </w:r>
      <w:r>
        <w:t>但此种镶片的厚度不应大于2</w:t>
      </w:r>
      <w:r>
        <w:rPr>
          <w:rFonts w:hint="eastAsia"/>
          <w:sz w:val="10"/>
          <w:szCs w:val="10"/>
        </w:rPr>
        <w:t xml:space="preserve"> </w:t>
      </w:r>
      <w:r>
        <w:t>mm。但在走廊、梯道环围和控制站内镶片的厚度不</w:t>
      </w:r>
      <w:r>
        <w:rPr>
          <w:rFonts w:hint="eastAsia"/>
        </w:rPr>
        <w:t>应大于</w:t>
      </w:r>
      <w:r>
        <w:t>1.5</w:t>
      </w:r>
      <w:r>
        <w:rPr>
          <w:rFonts w:hint="eastAsia"/>
          <w:sz w:val="10"/>
          <w:szCs w:val="10"/>
        </w:rPr>
        <w:t xml:space="preserve"> </w:t>
      </w:r>
      <w:r>
        <w:t>mm。</w:t>
      </w:r>
      <w:r>
        <w:rPr>
          <w:rFonts w:hint="eastAsia"/>
        </w:rPr>
        <w:t>但如果</w:t>
      </w:r>
      <w:r>
        <w:t>镶片的热值低于45</w:t>
      </w:r>
      <w:r>
        <w:rPr>
          <w:rFonts w:hint="eastAsia"/>
          <w:sz w:val="10"/>
          <w:szCs w:val="10"/>
        </w:rPr>
        <w:t xml:space="preserve"> </w:t>
      </w:r>
      <w:r>
        <w:t>mJ/m</w:t>
      </w:r>
      <w:r>
        <w:rPr>
          <w:vertAlign w:val="superscript"/>
        </w:rPr>
        <w:t>2</w:t>
      </w:r>
      <w:r>
        <w:t>时</w:t>
      </w:r>
      <w:r>
        <w:rPr>
          <w:rFonts w:hint="eastAsia"/>
        </w:rPr>
        <w:t>，</w:t>
      </w:r>
      <w:r>
        <w:t>则不</w:t>
      </w:r>
      <w:r>
        <w:rPr>
          <w:rFonts w:hint="eastAsia"/>
        </w:rPr>
        <w:t>限制</w:t>
      </w:r>
      <w:r>
        <w:t>这种镶片</w:t>
      </w:r>
      <w:r>
        <w:rPr>
          <w:rFonts w:hint="eastAsia"/>
        </w:rPr>
        <w:t>的</w:t>
      </w:r>
      <w:r>
        <w:t>厚度。</w:t>
      </w:r>
    </w:p>
    <w:p w14:paraId="0E7D6784">
      <w:pPr>
        <w:pStyle w:val="327"/>
      </w:pPr>
      <w:r>
        <w:t>构架</w:t>
      </w:r>
      <w:r>
        <w:rPr>
          <w:rFonts w:hint="eastAsia"/>
        </w:rPr>
        <w:t>，</w:t>
      </w:r>
      <w:r>
        <w:t>包括地脚及隔壁的连接件、衬板、天花板和</w:t>
      </w:r>
      <w:r>
        <w:rPr>
          <w:rFonts w:hint="eastAsia"/>
        </w:rPr>
        <w:t>挡</w:t>
      </w:r>
      <w:r>
        <w:t>风条应为耐火材料。</w:t>
      </w:r>
    </w:p>
    <w:p w14:paraId="46438CBF">
      <w:pPr>
        <w:pStyle w:val="327"/>
      </w:pPr>
      <w:r>
        <w:rPr>
          <w:rFonts w:ascii="Times New Roman"/>
        </w:rPr>
        <w:t>在起居处所、服务处所和控制站天花板的外露表面</w:t>
      </w:r>
      <w:r>
        <w:rPr>
          <w:rFonts w:hint="eastAsia" w:ascii="Times New Roman"/>
        </w:rPr>
        <w:t>，</w:t>
      </w:r>
      <w:r>
        <w:rPr>
          <w:rFonts w:ascii="Times New Roman"/>
        </w:rPr>
        <w:t>以及在起居处所、服务处所和控制站内隐蔽或不易到达处表面</w:t>
      </w:r>
      <w:r>
        <w:rPr>
          <w:rFonts w:hint="eastAsia" w:ascii="Times New Roman"/>
        </w:rPr>
        <w:t>，</w:t>
      </w:r>
      <w:r>
        <w:rPr>
          <w:rFonts w:ascii="Times New Roman"/>
        </w:rPr>
        <w:t>应具有</w:t>
      </w:r>
      <w:r>
        <w:rPr>
          <w:rFonts w:hint="eastAsia" w:ascii="Times New Roman"/>
        </w:rPr>
        <w:t>低播焰</w:t>
      </w:r>
      <w:r>
        <w:rPr>
          <w:rFonts w:ascii="Times New Roman"/>
        </w:rPr>
        <w:t>性。</w:t>
      </w:r>
    </w:p>
    <w:p w14:paraId="67D99500">
      <w:pPr>
        <w:pStyle w:val="327"/>
      </w:pPr>
      <w:r>
        <w:rPr>
          <w:rFonts w:hint="eastAsia" w:ascii="Times New Roman"/>
        </w:rPr>
        <w:t>如有甲板敷料，其应为</w:t>
      </w:r>
      <w:r>
        <w:rPr>
          <w:rFonts w:ascii="宋体"/>
        </w:rPr>
        <w:t>经过认证的</w:t>
      </w:r>
      <w:r>
        <w:rPr>
          <w:rFonts w:hint="eastAsia" w:ascii="宋体"/>
        </w:rPr>
        <w:t>材料，且</w:t>
      </w:r>
      <w:r>
        <w:rPr>
          <w:rFonts w:ascii="宋体"/>
        </w:rPr>
        <w:t>在高温下</w:t>
      </w:r>
      <w:r>
        <w:rPr>
          <w:rFonts w:hint="eastAsia" w:ascii="宋体"/>
        </w:rPr>
        <w:t>应</w:t>
      </w:r>
      <w:r>
        <w:rPr>
          <w:rFonts w:hint="eastAsia" w:ascii="Times New Roman"/>
        </w:rPr>
        <w:t>满足以下要求：</w:t>
      </w:r>
    </w:p>
    <w:p w14:paraId="7FD9FA01">
      <w:pPr>
        <w:pStyle w:val="305"/>
        <w:numPr>
          <w:ilvl w:val="0"/>
          <w:numId w:val="95"/>
        </w:numPr>
        <w:ind w:left="420" w:firstLine="0"/>
      </w:pPr>
      <w:r>
        <w:t>不燃</w:t>
      </w:r>
      <w:r>
        <w:rPr>
          <w:rFonts w:hint="eastAsia"/>
        </w:rPr>
        <w:t>；</w:t>
      </w:r>
    </w:p>
    <w:p w14:paraId="22188157">
      <w:pPr>
        <w:pStyle w:val="305"/>
        <w:numPr>
          <w:ilvl w:val="0"/>
          <w:numId w:val="95"/>
        </w:numPr>
        <w:ind w:left="420" w:firstLine="0"/>
      </w:pPr>
      <w:r>
        <w:t>不会产生有毒气体</w:t>
      </w:r>
      <w:r>
        <w:rPr>
          <w:rFonts w:hint="eastAsia"/>
        </w:rPr>
        <w:t>；</w:t>
      </w:r>
    </w:p>
    <w:p w14:paraId="77E46052">
      <w:pPr>
        <w:pStyle w:val="305"/>
        <w:numPr>
          <w:ilvl w:val="0"/>
          <w:numId w:val="95"/>
        </w:numPr>
        <w:ind w:left="420" w:firstLine="0"/>
      </w:pPr>
      <w:r>
        <w:rPr>
          <w:rFonts w:hint="eastAsia"/>
        </w:rPr>
        <w:t>没有爆炸危险。</w:t>
      </w:r>
    </w:p>
    <w:p w14:paraId="1D3146B9">
      <w:pPr>
        <w:pStyle w:val="327"/>
        <w:rPr>
          <w:rFonts w:ascii="Times New Roman"/>
        </w:rPr>
      </w:pPr>
      <w:r>
        <w:rPr>
          <w:rFonts w:hint="eastAsia" w:ascii="Times New Roman"/>
        </w:rPr>
        <w:t>除符合本节其他部分所述的耐火完整性外，隔壁和甲板的耐火完整性应按</w:t>
      </w:r>
      <w:r>
        <w:rPr>
          <w:rFonts w:hint="eastAsia" w:ascii="宋体" w:hAnsi="宋体" w:eastAsia="宋体" w:cs="宋体"/>
        </w:rPr>
        <w:t>表2和表3</w:t>
      </w:r>
      <w:r>
        <w:rPr>
          <w:rFonts w:hint="eastAsia" w:ascii="Times New Roman"/>
        </w:rPr>
        <w:t>确定。</w:t>
      </w:r>
    </w:p>
    <w:p w14:paraId="1EE6BEEF">
      <w:pPr>
        <w:pStyle w:val="261"/>
        <w:spacing w:before="156" w:after="156"/>
        <w:outlineLvl w:val="2"/>
      </w:pPr>
      <w:r>
        <w:rPr>
          <w:rFonts w:hint="eastAsia"/>
        </w:rPr>
        <w:t>通道及出入口</w:t>
      </w:r>
    </w:p>
    <w:p w14:paraId="4082291D">
      <w:pPr>
        <w:pStyle w:val="327"/>
      </w:pPr>
      <w:r>
        <w:rPr>
          <w:rFonts w:hint="eastAsia"/>
        </w:rPr>
        <w:t>走廊隔壁上的一切门和门框，应为耐火材料，其防火耐火的完整性应与该隔壁相等。</w:t>
      </w:r>
    </w:p>
    <w:p w14:paraId="79A66B80">
      <w:pPr>
        <w:pStyle w:val="327"/>
      </w:pPr>
      <w:r>
        <w:rPr>
          <w:rFonts w:hint="eastAsia"/>
        </w:rPr>
        <w:t>沿走廊隔壁的居住室、公共用房、办公用房和卫生用房的门，如果其下部开通风口，其总净面积应不大于0.05</w:t>
      </w:r>
      <w:r>
        <w:rPr>
          <w:rFonts w:hint="eastAsia"/>
          <w:sz w:val="10"/>
          <w:szCs w:val="10"/>
        </w:rPr>
        <w:t xml:space="preserve"> </w:t>
      </w:r>
      <w:r>
        <w:rPr>
          <w:rFonts w:hint="eastAsia"/>
        </w:rPr>
        <w:t>m</w:t>
      </w:r>
      <w:r>
        <w:rPr>
          <w:rFonts w:hint="eastAsia"/>
          <w:vertAlign w:val="superscript"/>
        </w:rPr>
        <w:t>2</w:t>
      </w:r>
      <w:r>
        <w:rPr>
          <w:rFonts w:hint="eastAsia"/>
        </w:rPr>
        <w:t>，此开口处应设有用耐火材料制成的格栅。但是在构成梯道间的分隔上面的门不应有这种开口。</w:t>
      </w:r>
    </w:p>
    <w:p w14:paraId="7B6F6628">
      <w:pPr>
        <w:pStyle w:val="327"/>
      </w:pPr>
      <w:r>
        <w:rPr>
          <w:rFonts w:hint="eastAsia"/>
        </w:rPr>
        <w:t>除经发证检验机构同意可使用其它等效材料者外，一切梯道应为钢质结构。穿越一层以上甲板的梯道和载人升降机通道应用“A”级分隔，并应在其一切开口处设置自闭式门</w:t>
      </w:r>
      <w:r>
        <w:rPr>
          <w:rFonts w:hint="eastAsia"/>
          <w:lang w:eastAsia="zh-CN"/>
        </w:rPr>
        <w:t>，</w:t>
      </w:r>
      <w:r>
        <w:rPr>
          <w:rFonts w:hint="eastAsia"/>
        </w:rPr>
        <w:t>如使用门背钩，则应有遥控释放装置。</w:t>
      </w:r>
    </w:p>
    <w:p w14:paraId="4EB5C234">
      <w:pPr>
        <w:pStyle w:val="327"/>
      </w:pPr>
      <w:r>
        <w:rPr>
          <w:rFonts w:hint="eastAsia"/>
        </w:rPr>
        <w:t>仅穿过一层甲板的梯道，应至少在其中一层用“A”级或“B”级隔壁和自闭式门保护，以便限制火焰从一层向另外一层迅速扩展。自闭的门不应设门背钩。</w:t>
      </w:r>
    </w:p>
    <w:p w14:paraId="6FFF495C">
      <w:pPr>
        <w:pStyle w:val="327"/>
      </w:pPr>
      <w:r>
        <w:t>走廊和梯道环围内的所有外露表面</w:t>
      </w:r>
      <w:r>
        <w:rPr>
          <w:rFonts w:hint="eastAsia"/>
        </w:rPr>
        <w:t>应具有低播焰性。</w:t>
      </w:r>
    </w:p>
    <w:p w14:paraId="3EFDD249">
      <w:pPr>
        <w:pStyle w:val="327"/>
      </w:pPr>
      <w:r>
        <w:rPr>
          <w:rFonts w:hint="eastAsia"/>
        </w:rPr>
        <w:t>安全区和危险区，以及不同类别的危险区之间，除操作上的原因外，不应设出入门或其他开口。如设置这类出入口，在与该危险区相连的处所和通道，应视为与其等同的危险区，但符合下列条件者除外：</w:t>
      </w:r>
    </w:p>
    <w:p w14:paraId="2009CA77">
      <w:pPr>
        <w:pStyle w:val="327"/>
        <w:numPr>
          <w:ilvl w:val="0"/>
          <w:numId w:val="96"/>
        </w:numPr>
        <w:rPr>
          <w:rFonts w:ascii="Times New Roman"/>
        </w:rPr>
      </w:pPr>
      <w:r>
        <w:rPr>
          <w:rFonts w:hint="eastAsia" w:ascii="Times New Roman"/>
        </w:rPr>
        <w:t>设置可开启的自闭式气密门；</w:t>
      </w:r>
    </w:p>
    <w:p w14:paraId="030C64B5">
      <w:pPr>
        <w:pStyle w:val="327"/>
        <w:numPr>
          <w:ilvl w:val="0"/>
          <w:numId w:val="96"/>
        </w:numPr>
        <w:rPr>
          <w:rFonts w:hint="eastAsia" w:ascii="宋体" w:hAnsi="宋体" w:eastAsia="宋体" w:cs="宋体"/>
        </w:rPr>
      </w:pPr>
      <w:r>
        <w:rPr>
          <w:rFonts w:hint="eastAsia" w:ascii="宋体" w:hAnsi="宋体" w:eastAsia="宋体" w:cs="宋体"/>
        </w:rPr>
        <w:t>1危险区同安全区之间设置两道自闭式气密门。</w:t>
      </w:r>
    </w:p>
    <w:p w14:paraId="3A308730">
      <w:pPr>
        <w:pStyle w:val="327"/>
        <w:numPr>
          <w:ilvl w:val="0"/>
          <w:numId w:val="96"/>
        </w:numPr>
        <w:rPr>
          <w:rFonts w:ascii="Times New Roman"/>
        </w:rPr>
      </w:pPr>
      <w:r>
        <w:rPr>
          <w:rFonts w:hint="eastAsia" w:ascii="宋体" w:hAnsi="宋体" w:eastAsia="宋体" w:cs="宋体"/>
        </w:rPr>
        <w:t>1和2</w:t>
      </w:r>
      <w:r>
        <w:rPr>
          <w:rFonts w:hint="eastAsia" w:ascii="Times New Roman"/>
        </w:rPr>
        <w:t>危险区之间设置气锁间。</w:t>
      </w:r>
    </w:p>
    <w:p w14:paraId="543FF468">
      <w:pPr>
        <w:pStyle w:val="261"/>
        <w:spacing w:before="156" w:after="156"/>
        <w:outlineLvl w:val="2"/>
      </w:pPr>
      <w:r>
        <w:rPr>
          <w:rFonts w:hint="eastAsia"/>
        </w:rPr>
        <w:t>挡风条</w:t>
      </w:r>
    </w:p>
    <w:p w14:paraId="3A62C9B8">
      <w:pPr>
        <w:pStyle w:val="327"/>
        <w:numPr>
          <w:ilvl w:val="255"/>
          <w:numId w:val="0"/>
        </w:numPr>
        <w:ind w:firstLine="420" w:firstLineChars="200"/>
        <w:rPr>
          <w:rFonts w:ascii="Times New Roman"/>
        </w:rPr>
      </w:pPr>
      <w:r>
        <w:rPr>
          <w:rFonts w:ascii="Times New Roman"/>
        </w:rPr>
        <w:t>封闭在天花板或衬板后面的空间</w:t>
      </w:r>
      <w:r>
        <w:rPr>
          <w:rFonts w:hint="eastAsia" w:ascii="Times New Roman"/>
        </w:rPr>
        <w:t>，</w:t>
      </w:r>
      <w:r>
        <w:rPr>
          <w:rFonts w:ascii="Times New Roman"/>
        </w:rPr>
        <w:t>应以安装紧密的且间距不超过</w:t>
      </w:r>
      <w:r>
        <w:rPr>
          <w:rFonts w:ascii="宋体" w:hAnsi="宋体" w:cs="宋体"/>
        </w:rPr>
        <w:t>14</w:t>
      </w:r>
      <w:r>
        <w:rPr>
          <w:rFonts w:hint="eastAsia" w:ascii="宋体" w:hAnsi="宋体" w:cs="宋体"/>
          <w:sz w:val="10"/>
          <w:szCs w:val="10"/>
        </w:rPr>
        <w:t xml:space="preserve"> </w:t>
      </w:r>
      <w:r>
        <w:rPr>
          <w:rFonts w:ascii="宋体" w:hAnsi="宋体" w:cs="宋体"/>
        </w:rPr>
        <w:t>m</w:t>
      </w:r>
      <w:r>
        <w:rPr>
          <w:rFonts w:ascii="Times New Roman"/>
        </w:rPr>
        <w:t>的挡风条隔开。</w:t>
      </w:r>
    </w:p>
    <w:p w14:paraId="5A68CBBD">
      <w:pPr>
        <w:pStyle w:val="261"/>
        <w:spacing w:before="156" w:after="156"/>
        <w:outlineLvl w:val="2"/>
      </w:pPr>
      <w:r>
        <w:rPr>
          <w:rFonts w:hint="eastAsia"/>
        </w:rPr>
        <w:t>绝缘材料</w:t>
      </w:r>
    </w:p>
    <w:p w14:paraId="42A0B3F8">
      <w:pPr>
        <w:pStyle w:val="327"/>
        <w:rPr>
          <w:rFonts w:ascii="Times New Roman"/>
        </w:rPr>
      </w:pPr>
      <w:r>
        <w:t>除冷冻间外</w:t>
      </w:r>
      <w:r>
        <w:rPr>
          <w:rFonts w:hint="eastAsia"/>
        </w:rPr>
        <w:t>，</w:t>
      </w:r>
      <w:r>
        <w:t>隔壁、衬板、天花板、管子和通风管道的绝缘材料应为耐火材料。</w:t>
      </w:r>
    </w:p>
    <w:p w14:paraId="7D28DEAD">
      <w:pPr>
        <w:pStyle w:val="327"/>
        <w:rPr>
          <w:rFonts w:ascii="Times New Roman"/>
        </w:rPr>
      </w:pPr>
      <w:r>
        <w:rPr>
          <w:rFonts w:ascii="Times New Roman"/>
        </w:rPr>
        <w:t>冷藏系统管件的绝缘层和与绝缘材料一起使用的防潮层和粘结剂则不必为耐火材料</w:t>
      </w:r>
      <w:r>
        <w:rPr>
          <w:rFonts w:hint="eastAsia" w:ascii="Times New Roman"/>
        </w:rPr>
        <w:t>，</w:t>
      </w:r>
      <w:r>
        <w:rPr>
          <w:rFonts w:ascii="Times New Roman"/>
        </w:rPr>
        <w:t>但使用应限制在最低数量</w:t>
      </w:r>
      <w:r>
        <w:rPr>
          <w:rFonts w:hint="eastAsia" w:ascii="Times New Roman"/>
        </w:rPr>
        <w:t>，</w:t>
      </w:r>
      <w:r>
        <w:rPr>
          <w:rFonts w:ascii="Times New Roman"/>
        </w:rPr>
        <w:t>并且它们的外露表面应具有阻燃性。</w:t>
      </w:r>
    </w:p>
    <w:p w14:paraId="720BD15C">
      <w:pPr>
        <w:pStyle w:val="327"/>
        <w:rPr>
          <w:rFonts w:ascii="Times New Roman"/>
        </w:rPr>
      </w:pPr>
      <w:r>
        <w:rPr>
          <w:rFonts w:ascii="Times New Roman"/>
        </w:rPr>
        <w:t>在油类产品可能渗透的处所</w:t>
      </w:r>
      <w:r>
        <w:rPr>
          <w:rFonts w:hint="eastAsia" w:ascii="Times New Roman"/>
        </w:rPr>
        <w:t>，</w:t>
      </w:r>
      <w:r>
        <w:rPr>
          <w:rFonts w:ascii="Times New Roman"/>
        </w:rPr>
        <w:t>绝缘的表面应是不透油的或不透油气的。</w:t>
      </w:r>
    </w:p>
    <w:p w14:paraId="3FC88452">
      <w:pPr>
        <w:pStyle w:val="261"/>
        <w:spacing w:before="156" w:after="156"/>
        <w:outlineLvl w:val="2"/>
      </w:pPr>
      <w:r>
        <w:rPr>
          <w:rFonts w:hint="eastAsia"/>
        </w:rPr>
        <w:t>涂料</w:t>
      </w:r>
    </w:p>
    <w:p w14:paraId="3675DBAD">
      <w:pPr>
        <w:pStyle w:val="327"/>
        <w:rPr>
          <w:rFonts w:ascii="Times New Roman"/>
        </w:rPr>
      </w:pPr>
      <w:r>
        <w:rPr>
          <w:rFonts w:ascii="Times New Roman"/>
        </w:rPr>
        <w:t>用于外露的内部表面上的油漆、清漆及其它表面涂料，应具有不会造成失火危险的性质</w:t>
      </w:r>
      <w:r>
        <w:rPr>
          <w:rFonts w:hint="eastAsia"/>
        </w:rPr>
        <w:t>，</w:t>
      </w:r>
      <w:r>
        <w:rPr>
          <w:rFonts w:ascii="Times New Roman"/>
        </w:rPr>
        <w:t>并应不致产生过量的烟。</w:t>
      </w:r>
    </w:p>
    <w:p w14:paraId="0F583ADD">
      <w:pPr>
        <w:pStyle w:val="327"/>
        <w:rPr>
          <w:rFonts w:ascii="Times New Roman"/>
        </w:rPr>
      </w:pPr>
      <w:r>
        <w:rPr>
          <w:rFonts w:ascii="Times New Roman"/>
        </w:rPr>
        <w:t>甲板涂料应为不易着火的或在高温不致产生有毒气体或爆炸危险的</w:t>
      </w:r>
      <w:r>
        <w:rPr>
          <w:rFonts w:hint="eastAsia" w:ascii="Times New Roman"/>
        </w:rPr>
        <w:t>经船级社认证的材料</w:t>
      </w:r>
      <w:r>
        <w:rPr>
          <w:rFonts w:ascii="Times New Roman"/>
        </w:rPr>
        <w:t>。</w:t>
      </w:r>
    </w:p>
    <w:p w14:paraId="67041EC3">
      <w:pPr>
        <w:pStyle w:val="261"/>
        <w:spacing w:before="156" w:after="156"/>
        <w:outlineLvl w:val="2"/>
      </w:pPr>
      <w:r>
        <w:t>通风管道</w:t>
      </w:r>
    </w:p>
    <w:p w14:paraId="2FF51B72">
      <w:pPr>
        <w:pStyle w:val="327"/>
        <w:autoSpaceDE w:val="0"/>
        <w:autoSpaceDN w:val="0"/>
        <w:jc w:val="both"/>
        <w:rPr>
          <w:rFonts w:hint="eastAsia" w:ascii="宋体" w:hAnsi="宋体" w:eastAsia="宋体" w:cs="宋体"/>
        </w:rPr>
      </w:pPr>
      <w:r>
        <w:rPr>
          <w:rFonts w:hint="eastAsia" w:ascii="宋体" w:hAnsi="宋体" w:eastAsia="宋体" w:cs="宋体"/>
        </w:rPr>
        <w:t>通风管道应为不燃材料制成，但对长度不超过2</w:t>
      </w:r>
      <w:r>
        <w:rPr>
          <w:rFonts w:hint="eastAsia" w:ascii="宋体" w:hAnsi="宋体" w:eastAsia="宋体" w:cs="宋体"/>
          <w:sz w:val="10"/>
          <w:szCs w:val="10"/>
        </w:rPr>
        <w:t xml:space="preserve"> </w:t>
      </w:r>
      <w:r>
        <w:rPr>
          <w:rFonts w:hint="eastAsia" w:ascii="宋体" w:hAnsi="宋体" w:eastAsia="宋体" w:cs="宋体"/>
        </w:rPr>
        <w:t>m，横截面积不超过0.02</w:t>
      </w:r>
      <w:r>
        <w:rPr>
          <w:rFonts w:hint="eastAsia" w:ascii="宋体" w:hAnsi="宋体" w:eastAsia="宋体" w:cs="宋体"/>
          <w:sz w:val="10"/>
          <w:szCs w:val="10"/>
        </w:rPr>
        <w:t xml:space="preserve"> </w:t>
      </w:r>
      <w:r>
        <w:rPr>
          <w:rFonts w:hint="eastAsia" w:ascii="宋体" w:hAnsi="宋体" w:eastAsia="宋体" w:cs="宋体"/>
        </w:rPr>
        <w:t>m</w:t>
      </w:r>
      <w:r>
        <w:rPr>
          <w:rFonts w:hint="eastAsia" w:ascii="宋体" w:hAnsi="宋体" w:eastAsia="宋体" w:cs="宋体"/>
          <w:vertAlign w:val="superscript"/>
        </w:rPr>
        <w:t>2</w:t>
      </w:r>
      <w:r>
        <w:rPr>
          <w:rFonts w:hint="eastAsia" w:ascii="宋体" w:hAnsi="宋体" w:eastAsia="宋体" w:cs="宋体"/>
        </w:rPr>
        <w:t>的短管道</w:t>
      </w:r>
      <w:r>
        <w:rPr>
          <w:rFonts w:hint="eastAsia" w:ascii="宋体" w:hAnsi="宋体" w:eastAsia="宋体" w:cs="宋体"/>
          <w:lang w:eastAsia="zh-CN"/>
        </w:rPr>
        <w:t>，</w:t>
      </w:r>
      <w:r>
        <w:rPr>
          <w:rFonts w:hint="eastAsia" w:ascii="宋体" w:hAnsi="宋体" w:eastAsia="宋体" w:cs="宋体"/>
        </w:rPr>
        <w:t xml:space="preserve"> 如符合下列条件者除外：</w:t>
      </w:r>
    </w:p>
    <w:p w14:paraId="331AF1FE">
      <w:pPr>
        <w:pStyle w:val="305"/>
        <w:numPr>
          <w:ilvl w:val="0"/>
          <w:numId w:val="97"/>
        </w:numPr>
        <w:rPr>
          <w:rFonts w:hint="eastAsia" w:hAnsi="宋体" w:cs="宋体"/>
        </w:rPr>
      </w:pPr>
      <w:r>
        <w:rPr>
          <w:rFonts w:hint="eastAsia" w:hAnsi="宋体" w:cs="宋体"/>
        </w:rPr>
        <w:t>这些管道由具有低着火危险的材料制成；</w:t>
      </w:r>
    </w:p>
    <w:p w14:paraId="07B16088">
      <w:pPr>
        <w:pStyle w:val="305"/>
        <w:numPr>
          <w:ilvl w:val="0"/>
          <w:numId w:val="97"/>
        </w:numPr>
        <w:rPr>
          <w:rFonts w:hint="eastAsia" w:hAnsi="宋体" w:cs="宋体"/>
        </w:rPr>
      </w:pPr>
      <w:r>
        <w:rPr>
          <w:rFonts w:hint="eastAsia" w:hAnsi="宋体" w:cs="宋体"/>
        </w:rPr>
        <w:t>这些管道只用于通风装置的末端；</w:t>
      </w:r>
    </w:p>
    <w:p w14:paraId="16E2C421">
      <w:pPr>
        <w:pStyle w:val="305"/>
        <w:numPr>
          <w:ilvl w:val="0"/>
          <w:numId w:val="97"/>
        </w:numPr>
        <w:rPr>
          <w:rFonts w:hint="eastAsia" w:hAnsi="宋体" w:cs="宋体"/>
        </w:rPr>
      </w:pPr>
      <w:r>
        <w:rPr>
          <w:rFonts w:hint="eastAsia" w:hAnsi="宋体" w:cs="宋体"/>
        </w:rPr>
        <w:t>沿着管道量起，这些管道的敷设位置离开A或B级分隔（包括B级连续天花板）的开口间距不小于</w:t>
      </w:r>
      <w:r>
        <w:rPr>
          <w:rFonts w:hAnsi="宋体" w:cs="宋体"/>
          <w:szCs w:val="21"/>
        </w:rPr>
        <w:t>600</w:t>
      </w:r>
      <w:r>
        <w:rPr>
          <w:rFonts w:hint="eastAsia" w:hAnsi="宋体" w:cs="宋体"/>
          <w:sz w:val="8"/>
          <w:szCs w:val="8"/>
        </w:rPr>
        <w:t xml:space="preserve"> </w:t>
      </w:r>
      <w:r>
        <w:rPr>
          <w:rFonts w:hAnsi="宋体" w:cs="宋体"/>
          <w:szCs w:val="21"/>
        </w:rPr>
        <w:t>mm</w:t>
      </w:r>
      <w:r>
        <w:rPr>
          <w:rFonts w:hint="eastAsia" w:hAnsi="宋体" w:cs="宋体"/>
        </w:rPr>
        <w:t>。</w:t>
      </w:r>
    </w:p>
    <w:p w14:paraId="585C0A9A">
      <w:pPr>
        <w:pStyle w:val="327"/>
        <w:autoSpaceDE w:val="0"/>
        <w:autoSpaceDN w:val="0"/>
        <w:jc w:val="both"/>
        <w:rPr>
          <w:rFonts w:hint="eastAsia" w:ascii="宋体" w:hAnsi="宋体" w:eastAsia="宋体" w:cs="宋体"/>
        </w:rPr>
      </w:pPr>
      <w:r>
        <w:rPr>
          <w:rFonts w:hint="eastAsia" w:ascii="宋体" w:hAnsi="宋体" w:eastAsia="宋体" w:cs="宋体"/>
        </w:rPr>
        <w:t>若净横截面积超过</w:t>
      </w:r>
      <w:r>
        <w:rPr>
          <w:rFonts w:ascii="宋体" w:hAnsi="宋体" w:cs="宋体"/>
        </w:rPr>
        <w:t>0.02</w:t>
      </w:r>
      <w:r>
        <w:rPr>
          <w:rFonts w:hint="eastAsia" w:ascii="宋体" w:hAnsi="宋体" w:cs="宋体"/>
          <w:sz w:val="10"/>
          <w:szCs w:val="10"/>
        </w:rPr>
        <w:t xml:space="preserve"> </w:t>
      </w:r>
      <w:r>
        <w:rPr>
          <w:rFonts w:ascii="宋体" w:hAnsi="宋体" w:cs="宋体"/>
        </w:rPr>
        <w:t>m</w:t>
      </w:r>
      <w:r>
        <w:rPr>
          <w:rFonts w:ascii="宋体" w:hAnsi="宋体" w:cs="宋体"/>
          <w:vertAlign w:val="superscript"/>
        </w:rPr>
        <w:t>2</w:t>
      </w:r>
      <w:r>
        <w:rPr>
          <w:rFonts w:hint="eastAsia" w:ascii="宋体" w:hAnsi="宋体" w:eastAsia="宋体" w:cs="宋体"/>
        </w:rPr>
        <w:t>的通风管道通过A级墙壁和甲板时，除非通过墙壁或甲板的管道在通过甲板或墙壁的邻近处为钢质，否则其开口应装有钢质套管。这里的管道和套管应符合下列要求：</w:t>
      </w:r>
    </w:p>
    <w:p w14:paraId="6A416136">
      <w:pPr>
        <w:pStyle w:val="305"/>
        <w:numPr>
          <w:ilvl w:val="0"/>
          <w:numId w:val="98"/>
        </w:numPr>
        <w:rPr>
          <w:rFonts w:hint="eastAsia" w:hAnsi="宋体" w:cs="宋体"/>
        </w:rPr>
      </w:pPr>
      <w:r>
        <w:rPr>
          <w:rFonts w:hint="eastAsia" w:hAnsi="宋体" w:cs="宋体"/>
        </w:rPr>
        <w:t>套管的壁厚至少为</w:t>
      </w:r>
      <w:r>
        <w:rPr>
          <w:rFonts w:hAnsi="宋体" w:cs="宋体"/>
          <w:szCs w:val="21"/>
        </w:rPr>
        <w:t>3</w:t>
      </w:r>
      <w:r>
        <w:rPr>
          <w:rFonts w:hint="eastAsia" w:hAnsi="宋体" w:cs="宋体"/>
          <w:sz w:val="10"/>
          <w:szCs w:val="10"/>
        </w:rPr>
        <w:t xml:space="preserve"> </w:t>
      </w:r>
      <w:r>
        <w:rPr>
          <w:rFonts w:hAnsi="宋体" w:cs="宋体"/>
          <w:szCs w:val="21"/>
        </w:rPr>
        <w:t>mm</w:t>
      </w:r>
      <w:r>
        <w:rPr>
          <w:rFonts w:hint="eastAsia" w:hAnsi="宋体" w:cs="宋体"/>
        </w:rPr>
        <w:t>，长度至少为</w:t>
      </w:r>
      <w:r>
        <w:rPr>
          <w:rFonts w:hAnsi="宋体" w:cs="宋体"/>
          <w:szCs w:val="21"/>
        </w:rPr>
        <w:t>900</w:t>
      </w:r>
      <w:r>
        <w:rPr>
          <w:rFonts w:hint="eastAsia" w:hAnsi="宋体" w:cs="宋体"/>
          <w:sz w:val="10"/>
          <w:szCs w:val="10"/>
        </w:rPr>
        <w:t xml:space="preserve"> </w:t>
      </w:r>
      <w:r>
        <w:rPr>
          <w:rFonts w:hAnsi="宋体" w:cs="宋体"/>
          <w:szCs w:val="21"/>
        </w:rPr>
        <w:t>mm</w:t>
      </w:r>
      <w:r>
        <w:rPr>
          <w:rFonts w:hint="eastAsia" w:hAnsi="宋体" w:cs="宋体"/>
          <w:lang w:eastAsia="zh-CN"/>
        </w:rPr>
        <w:t>，</w:t>
      </w:r>
      <w:r>
        <w:rPr>
          <w:rFonts w:hint="eastAsia" w:hAnsi="宋体" w:cs="宋体"/>
        </w:rPr>
        <w:t xml:space="preserve"> 当通过隔壁时，该长度应分成在墙壁的两侧各为 </w:t>
      </w:r>
      <w:r>
        <w:rPr>
          <w:rFonts w:hAnsi="宋体" w:cs="宋体"/>
          <w:szCs w:val="21"/>
        </w:rPr>
        <w:t>450</w:t>
      </w:r>
      <w:r>
        <w:rPr>
          <w:rFonts w:hint="eastAsia" w:hAnsi="宋体" w:cs="宋体"/>
          <w:szCs w:val="21"/>
        </w:rPr>
        <w:t xml:space="preserve"> </w:t>
      </w:r>
      <w:r>
        <w:rPr>
          <w:rFonts w:hAnsi="宋体" w:cs="宋体"/>
          <w:szCs w:val="21"/>
        </w:rPr>
        <w:t>mm</w:t>
      </w:r>
      <w:r>
        <w:rPr>
          <w:rFonts w:hint="eastAsia" w:hAnsi="宋体" w:cs="宋体"/>
        </w:rPr>
        <w:t>，管道或装在这些管道上的套管应设有耐火隔热物</w:t>
      </w:r>
      <w:r>
        <w:rPr>
          <w:rFonts w:hint="eastAsia" w:hAnsi="宋体" w:cs="宋体"/>
          <w:lang w:eastAsia="zh-CN"/>
        </w:rPr>
        <w:t>，</w:t>
      </w:r>
      <w:r>
        <w:rPr>
          <w:rFonts w:hint="eastAsia" w:hAnsi="宋体" w:cs="宋体"/>
        </w:rPr>
        <w:t xml:space="preserve"> 此项隔热物应至少与管道通过的墙壁或甲板具有同等的耐火完整性；</w:t>
      </w:r>
    </w:p>
    <w:p w14:paraId="46F03180">
      <w:pPr>
        <w:pStyle w:val="305"/>
        <w:numPr>
          <w:ilvl w:val="0"/>
          <w:numId w:val="98"/>
        </w:numPr>
      </w:pPr>
      <w:r>
        <w:rPr>
          <w:rFonts w:ascii="Times New Roman"/>
        </w:rPr>
        <w:t>净横截面积超过</w:t>
      </w:r>
      <w:r>
        <w:rPr>
          <w:rFonts w:hAnsi="宋体" w:cs="宋体"/>
          <w:szCs w:val="21"/>
        </w:rPr>
        <w:t>0.075</w:t>
      </w:r>
      <w:r>
        <w:rPr>
          <w:rFonts w:hint="eastAsia" w:hAnsi="宋体" w:cs="宋体"/>
          <w:sz w:val="10"/>
          <w:szCs w:val="10"/>
        </w:rPr>
        <w:t xml:space="preserve"> </w:t>
      </w:r>
      <w:r>
        <w:rPr>
          <w:rFonts w:hAnsi="宋体" w:cs="宋体"/>
          <w:szCs w:val="21"/>
        </w:rPr>
        <w:t>m</w:t>
      </w:r>
      <w:r>
        <w:rPr>
          <w:rFonts w:hAnsi="宋体" w:cs="宋体"/>
          <w:szCs w:val="21"/>
          <w:vertAlign w:val="superscript"/>
        </w:rPr>
        <w:t>2</w:t>
      </w:r>
      <w:r>
        <w:rPr>
          <w:rFonts w:ascii="Times New Roman"/>
        </w:rPr>
        <w:t>的管道</w:t>
      </w:r>
      <w:r>
        <w:rPr>
          <w:rFonts w:hint="eastAsia" w:ascii="Times New Roman"/>
          <w:lang w:eastAsia="zh-CN"/>
        </w:rPr>
        <w:t>，</w:t>
      </w:r>
      <w:r>
        <w:rPr>
          <w:rFonts w:ascii="Times New Roman"/>
        </w:rPr>
        <w:t>除应符合上</w:t>
      </w:r>
      <w:r>
        <w:rPr>
          <w:rFonts w:hint="eastAsia" w:ascii="宋体" w:hAnsi="宋体" w:eastAsia="宋体" w:cs="宋体"/>
        </w:rPr>
        <w:t>述a）</w:t>
      </w:r>
      <w:r>
        <w:rPr>
          <w:rFonts w:ascii="Times New Roman"/>
        </w:rPr>
        <w:t>的要求外，还应设置防火风闸。防火风闸应能自动操纵，但也应能在墙壁或甲板的两侧手动关闭。防火风闸上应装有指示器，以指明其开或关的状态，但如管道通过</w:t>
      </w:r>
      <w:r>
        <w:rPr>
          <w:rFonts w:hint="eastAsia" w:hAnsi="宋体" w:cs="宋体"/>
        </w:rPr>
        <w:t>被 A 级分隔包围的处所，而该处所又不使用该管道时，只要那些管道同其穿过的分隔具有同等的耐火完整性，则不必设置防火风闸。经发证检验机构同意</w:t>
      </w:r>
      <w:r>
        <w:rPr>
          <w:rFonts w:hint="eastAsia" w:hAnsi="宋体" w:cs="宋体"/>
          <w:lang w:eastAsia="zh-CN"/>
        </w:rPr>
        <w:t>，</w:t>
      </w:r>
      <w:r>
        <w:rPr>
          <w:rFonts w:hint="eastAsia" w:hAnsi="宋体" w:cs="宋体"/>
        </w:rPr>
        <w:t xml:space="preserve"> 防火风闸也可仅从分隔一侧操作。</w:t>
      </w:r>
    </w:p>
    <w:p w14:paraId="769EA186">
      <w:pPr>
        <w:pStyle w:val="327"/>
        <w:autoSpaceDE w:val="0"/>
        <w:autoSpaceDN w:val="0"/>
        <w:jc w:val="both"/>
      </w:pPr>
      <w:r>
        <w:t>A类机器处所、厨房和危险区的通风系统应相互隔离，并且与用于其他处所的通风系统隔离。用于危险区的通风管道不应通过起居处所、服务处所或控制处所。用于A类机器处所和厨房通风的管道不应通过起居处所、控制处所或服务处所，但下列情况除外：</w:t>
      </w:r>
    </w:p>
    <w:p w14:paraId="3F328969">
      <w:pPr>
        <w:pStyle w:val="305"/>
        <w:numPr>
          <w:ilvl w:val="0"/>
          <w:numId w:val="99"/>
        </w:numPr>
        <w:rPr>
          <w:rFonts w:ascii="Times New Roman"/>
        </w:rPr>
      </w:pPr>
      <w:r>
        <w:rPr>
          <w:rFonts w:ascii="Times New Roman"/>
        </w:rPr>
        <w:t>通风管道应为钢质</w:t>
      </w:r>
      <w:r>
        <w:rPr>
          <w:rFonts w:hint="eastAsia" w:ascii="Times New Roman"/>
          <w:lang w:eastAsia="zh-CN"/>
        </w:rPr>
        <w:t>，</w:t>
      </w:r>
      <w:r>
        <w:rPr>
          <w:rFonts w:ascii="Times New Roman"/>
        </w:rPr>
        <w:t xml:space="preserve"> 且其宽度</w:t>
      </w:r>
      <w:r>
        <w:rPr>
          <w:rFonts w:hint="eastAsia" w:hAnsi="宋体" w:cs="宋体"/>
        </w:rPr>
        <w:t>或直径为</w:t>
      </w:r>
      <w:r>
        <w:rPr>
          <w:rFonts w:hint="eastAsia" w:hAnsi="宋体" w:cs="宋体"/>
          <w:szCs w:val="21"/>
        </w:rPr>
        <w:t>300 mm</w:t>
      </w:r>
      <w:r>
        <w:rPr>
          <w:rFonts w:hint="eastAsia" w:hAnsi="宋体" w:cs="宋体"/>
        </w:rPr>
        <w:t>及以下和</w:t>
      </w:r>
      <w:r>
        <w:rPr>
          <w:rFonts w:hint="eastAsia" w:hAnsi="宋体" w:cs="宋体"/>
          <w:szCs w:val="21"/>
        </w:rPr>
        <w:t>760 mm</w:t>
      </w:r>
      <w:r>
        <w:rPr>
          <w:rFonts w:hint="eastAsia" w:hAnsi="宋体" w:cs="宋体"/>
        </w:rPr>
        <w:t>及以上时，则其厚度分别至少</w:t>
      </w:r>
      <w:r>
        <w:rPr>
          <w:rFonts w:hint="eastAsia" w:hAnsi="宋体" w:cs="宋体"/>
          <w:szCs w:val="21"/>
        </w:rPr>
        <w:t>为3 mm和5 mm</w:t>
      </w:r>
      <w:r>
        <w:rPr>
          <w:rFonts w:hint="eastAsia" w:hAnsi="宋体" w:cs="宋体"/>
        </w:rPr>
        <w:t>；在其宽度或直径在</w:t>
      </w:r>
      <w:r>
        <w:rPr>
          <w:rFonts w:hint="eastAsia" w:hAnsi="宋体" w:cs="宋体"/>
          <w:szCs w:val="21"/>
        </w:rPr>
        <w:t>300 mm和760 mm</w:t>
      </w:r>
      <w:r>
        <w:rPr>
          <w:rFonts w:hint="eastAsia" w:hAnsi="宋体" w:cs="宋体"/>
        </w:rPr>
        <w:t>之间时，则管壁厚度用内插法求得b 通风管道进行了适当的支撑和固定；</w:t>
      </w:r>
    </w:p>
    <w:p w14:paraId="2555185F">
      <w:pPr>
        <w:pStyle w:val="305"/>
        <w:numPr>
          <w:ilvl w:val="0"/>
          <w:numId w:val="99"/>
        </w:numPr>
        <w:rPr>
          <w:rFonts w:ascii="Times New Roman"/>
        </w:rPr>
      </w:pPr>
      <w:r>
        <w:rPr>
          <w:rFonts w:ascii="Times New Roman"/>
        </w:rPr>
        <w:t>在靠近穿过的界限处的通风管道上设有自动防火风闸；</w:t>
      </w:r>
    </w:p>
    <w:p w14:paraId="6AD5D1B3">
      <w:pPr>
        <w:pStyle w:val="305"/>
        <w:numPr>
          <w:ilvl w:val="0"/>
          <w:numId w:val="99"/>
        </w:numPr>
        <w:rPr>
          <w:rFonts w:ascii="Times New Roman"/>
        </w:rPr>
      </w:pPr>
      <w:r>
        <w:rPr>
          <w:rFonts w:ascii="Times New Roman"/>
        </w:rPr>
        <w:t>通风管道从机器处所或厨房到每个防火风闸以</w:t>
      </w:r>
      <w:r>
        <w:rPr>
          <w:rFonts w:hAnsi="宋体" w:cs="宋体"/>
          <w:szCs w:val="21"/>
        </w:rPr>
        <w:t>外至少5</w:t>
      </w:r>
      <w:r>
        <w:rPr>
          <w:rFonts w:hint="eastAsia" w:hAnsi="宋体" w:cs="宋体"/>
          <w:sz w:val="10"/>
          <w:szCs w:val="10"/>
        </w:rPr>
        <w:t xml:space="preserve"> </w:t>
      </w:r>
      <w:r>
        <w:rPr>
          <w:rFonts w:hAnsi="宋体" w:cs="宋体"/>
          <w:szCs w:val="21"/>
        </w:rPr>
        <w:t>m隔热为A-60标准</w:t>
      </w:r>
      <w:r>
        <w:rPr>
          <w:rFonts w:ascii="Times New Roman"/>
        </w:rPr>
        <w:t>；</w:t>
      </w:r>
    </w:p>
    <w:p w14:paraId="0718B907">
      <w:pPr>
        <w:pStyle w:val="305"/>
        <w:numPr>
          <w:ilvl w:val="0"/>
          <w:numId w:val="99"/>
        </w:numPr>
      </w:pPr>
      <w:r>
        <w:rPr>
          <w:rFonts w:ascii="Times New Roman"/>
        </w:rPr>
        <w:t xml:space="preserve">通过起居处所、服务处所或控制站的通风导管隔热为 </w:t>
      </w:r>
      <w:r>
        <w:rPr>
          <w:rFonts w:hint="eastAsia" w:hAnsi="宋体" w:cs="宋体"/>
        </w:rPr>
        <w:t>A-60</w:t>
      </w:r>
      <w:r>
        <w:t xml:space="preserve"> 标准。</w:t>
      </w:r>
    </w:p>
    <w:p w14:paraId="56293013">
      <w:pPr>
        <w:pStyle w:val="327"/>
        <w:autoSpaceDE w:val="0"/>
        <w:autoSpaceDN w:val="0"/>
        <w:jc w:val="both"/>
        <w:rPr>
          <w:rFonts w:hint="eastAsia" w:ascii="宋体" w:hAnsi="宋体" w:eastAsia="宋体" w:cs="宋体"/>
        </w:rPr>
      </w:pPr>
      <w:r>
        <w:rPr>
          <w:rFonts w:hint="eastAsia" w:ascii="宋体" w:hAnsi="宋体" w:eastAsia="宋体" w:cs="宋体"/>
        </w:rPr>
        <w:t>起居处所、服务处所或控制站的通风管道均不应通过“A”类机器处所、厨房和危险区域。如果符合下列规定，该通风管道可以通过 A 类机器处所和厨房。</w:t>
      </w:r>
    </w:p>
    <w:p w14:paraId="5E1149C3">
      <w:pPr>
        <w:autoSpaceDE w:val="0"/>
        <w:autoSpaceDN w:val="0"/>
        <w:ind w:left="420" w:leftChars="200"/>
        <w:rPr>
          <w:rFonts w:hint="eastAsia" w:ascii="宋体" w:hAnsi="宋体" w:cs="宋体"/>
          <w:szCs w:val="21"/>
        </w:rPr>
      </w:pPr>
      <w:r>
        <w:rPr>
          <w:rFonts w:hint="eastAsia" w:ascii="宋体" w:hAnsi="宋体" w:cs="宋体"/>
          <w:szCs w:val="21"/>
        </w:rPr>
        <w:t>a) 在贯穿处保持机器处所或厨房界限的完整性；或者穿过“A”类机器处所、厨房的管道应为钢质</w:t>
      </w:r>
      <w:r>
        <w:rPr>
          <w:rFonts w:hint="eastAsia" w:ascii="宋体" w:hAnsi="宋体" w:cs="宋体"/>
          <w:szCs w:val="21"/>
          <w:lang w:eastAsia="zh-CN"/>
        </w:rPr>
        <w:t>，</w:t>
      </w:r>
      <w:r>
        <w:rPr>
          <w:rFonts w:hint="eastAsia" w:ascii="宋体" w:hAnsi="宋体" w:cs="宋体"/>
          <w:szCs w:val="21"/>
        </w:rPr>
        <w:t xml:space="preserve"> 并符合17.2.6.3 a)和b)的规定；</w:t>
      </w:r>
      <w:r>
        <w:rPr>
          <w:rFonts w:hint="eastAsia" w:ascii="宋体" w:hAnsi="宋体" w:cs="宋体"/>
          <w:szCs w:val="21"/>
        </w:rPr>
        <w:br w:type="textWrapping"/>
      </w:r>
      <w:r>
        <w:rPr>
          <w:rFonts w:hint="eastAsia" w:ascii="宋体" w:hAnsi="宋体" w:cs="宋体"/>
          <w:szCs w:val="21"/>
        </w:rPr>
        <w:t>b) 在机器处所或厨房内的通风管道隔热为 A-60 级标准。</w:t>
      </w:r>
    </w:p>
    <w:p w14:paraId="4B0EF2D0">
      <w:pPr>
        <w:pStyle w:val="327"/>
      </w:pPr>
      <w:r>
        <w:rPr>
          <w:rFonts w:hint="eastAsia"/>
        </w:rPr>
        <w:t>通过B级墙壁流通截面积超</w:t>
      </w:r>
      <w:r>
        <w:t>过0.02</w:t>
      </w:r>
      <w:r>
        <w:rPr>
          <w:rFonts w:hint="eastAsia"/>
        </w:rPr>
        <w:t xml:space="preserve"> </w:t>
      </w:r>
      <w:r>
        <w:t>m</w:t>
      </w:r>
      <w:r>
        <w:rPr>
          <w:vertAlign w:val="superscript"/>
        </w:rPr>
        <w:t>2</w:t>
      </w:r>
      <w:r>
        <w:rPr>
          <w:rFonts w:hint="eastAsia"/>
        </w:rPr>
        <w:t>的通风管道，除非这段管道是钢质的，否则应衬以长度为900 mm的钢板套管，套管在墙壁每侧最好各为</w:t>
      </w:r>
      <w:r>
        <w:t>450</w:t>
      </w:r>
      <w:r>
        <w:rPr>
          <w:rFonts w:hint="eastAsia"/>
        </w:rPr>
        <w:t xml:space="preserve"> </w:t>
      </w:r>
      <w:r>
        <w:t>mm</w:t>
      </w:r>
      <w:r>
        <w:rPr>
          <w:rFonts w:hint="eastAsia"/>
        </w:rPr>
        <w:t>。</w:t>
      </w:r>
    </w:p>
    <w:p w14:paraId="499B41CE">
      <w:pPr>
        <w:pStyle w:val="327"/>
      </w:pPr>
      <w:r>
        <w:t>厨房炉灶的排气管道通过起居处所或含可燃材料的处所时</w:t>
      </w:r>
      <w:r>
        <w:rPr>
          <w:rFonts w:hint="eastAsia"/>
          <w:lang w:eastAsia="zh-CN"/>
        </w:rPr>
        <w:t>，</w:t>
      </w:r>
      <w:r>
        <w:t xml:space="preserve"> 应具有与“A”级分隔相等的耐火完整性。每一排气管道应设有:</w:t>
      </w:r>
    </w:p>
    <w:p w14:paraId="32D52DBD">
      <w:pPr>
        <w:pStyle w:val="327"/>
        <w:numPr>
          <w:ilvl w:val="3"/>
          <w:numId w:val="0"/>
        </w:numPr>
        <w:autoSpaceDE w:val="0"/>
        <w:autoSpaceDN w:val="0"/>
        <w:ind w:left="420"/>
        <w:jc w:val="both"/>
        <w:rPr>
          <w:rFonts w:ascii="Times New Roman"/>
        </w:rPr>
      </w:pPr>
      <w:r>
        <w:rPr>
          <w:rFonts w:hint="eastAsia" w:ascii="Times New Roman" w:eastAsia="宋体"/>
        </w:rPr>
        <w:t>a) 一个易于拆下以便于清洁的集油器；</w:t>
      </w:r>
      <w:r>
        <w:rPr>
          <w:rFonts w:hint="eastAsia" w:ascii="Times New Roman" w:eastAsia="宋体"/>
        </w:rPr>
        <w:br w:type="textWrapping"/>
      </w:r>
      <w:r>
        <w:rPr>
          <w:rFonts w:hint="eastAsia" w:ascii="Times New Roman" w:eastAsia="宋体"/>
        </w:rPr>
        <w:t>b) 一个位于管道下端的防火风闸；</w:t>
      </w:r>
      <w:r>
        <w:rPr>
          <w:rFonts w:hint="eastAsia" w:ascii="Times New Roman" w:eastAsia="宋体"/>
        </w:rPr>
        <w:br w:type="textWrapping"/>
      </w:r>
      <w:r>
        <w:rPr>
          <w:rFonts w:hint="eastAsia" w:ascii="Times New Roman" w:eastAsia="宋体"/>
        </w:rPr>
        <w:t>c) 能在厨房内操纵关闭排风机的装置。</w:t>
      </w:r>
    </w:p>
    <w:p w14:paraId="5CB3896B">
      <w:pPr>
        <w:pStyle w:val="261"/>
        <w:spacing w:before="156" w:after="156"/>
        <w:outlineLvl w:val="2"/>
      </w:pPr>
      <w:r>
        <w:rPr>
          <w:rFonts w:hint="eastAsia"/>
        </w:rPr>
        <w:t>承载结构</w:t>
      </w:r>
    </w:p>
    <w:p w14:paraId="5D3A9AB6">
      <w:pPr>
        <w:pStyle w:val="522"/>
        <w:tabs>
          <w:tab w:val="right" w:leader="dot" w:pos="9354"/>
        </w:tabs>
        <w:ind w:left="420"/>
        <w:rPr>
          <w:sz w:val="21"/>
        </w:rPr>
      </w:pPr>
      <w:r>
        <w:rPr>
          <w:sz w:val="21"/>
        </w:rPr>
        <w:t>凡暴露在火灾中</w:t>
      </w:r>
      <w:r>
        <w:rPr>
          <w:rFonts w:hint="eastAsia"/>
          <w:sz w:val="21"/>
        </w:rPr>
        <w:t>，</w:t>
      </w:r>
      <w:r>
        <w:rPr>
          <w:sz w:val="21"/>
        </w:rPr>
        <w:t>垮塌断裂</w:t>
      </w:r>
      <w:r>
        <w:rPr>
          <w:rFonts w:hint="eastAsia"/>
          <w:sz w:val="21"/>
        </w:rPr>
        <w:t>将</w:t>
      </w:r>
      <w:r>
        <w:rPr>
          <w:sz w:val="21"/>
        </w:rPr>
        <w:t>使火灾危险性升级的结构</w:t>
      </w:r>
      <w:r>
        <w:rPr>
          <w:rFonts w:hint="eastAsia"/>
          <w:sz w:val="21"/>
        </w:rPr>
        <w:t>，</w:t>
      </w:r>
      <w:r>
        <w:rPr>
          <w:sz w:val="21"/>
        </w:rPr>
        <w:t>应</w:t>
      </w:r>
      <w:r>
        <w:rPr>
          <w:rFonts w:hint="eastAsia"/>
          <w:sz w:val="21"/>
        </w:rPr>
        <w:t>采用</w:t>
      </w:r>
      <w:r>
        <w:rPr>
          <w:sz w:val="21"/>
        </w:rPr>
        <w:t>结构防火措施。</w:t>
      </w:r>
    </w:p>
    <w:p w14:paraId="435C8BD6">
      <w:pPr>
        <w:pStyle w:val="522"/>
        <w:tabs>
          <w:tab w:val="right" w:leader="dot" w:pos="9354"/>
        </w:tabs>
        <w:spacing w:before="156" w:beforeLines="50" w:after="156" w:afterLines="50"/>
        <w:ind w:left="420"/>
        <w:jc w:val="center"/>
        <w:rPr>
          <w:sz w:val="21"/>
        </w:rPr>
      </w:pPr>
      <w:r>
        <w:rPr>
          <w:sz w:val="21"/>
        </w:rPr>
        <w:br w:type="page"/>
      </w:r>
      <w:r>
        <w:rPr>
          <w:rFonts w:ascii="黑体" w:hAnsi="黑体" w:eastAsia="黑体" w:cs="宋体"/>
          <w:sz w:val="21"/>
          <w:szCs w:val="21"/>
        </w:rPr>
        <w:t>表2  分隔相邻处所的隔壁的耐火完整性</w:t>
      </w:r>
    </w:p>
    <w:tbl>
      <w:tblPr>
        <w:tblStyle w:val="88"/>
        <w:tblW w:w="97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06"/>
        <w:gridCol w:w="770"/>
        <w:gridCol w:w="778"/>
        <w:gridCol w:w="757"/>
        <w:gridCol w:w="898"/>
        <w:gridCol w:w="820"/>
        <w:gridCol w:w="785"/>
        <w:gridCol w:w="820"/>
        <w:gridCol w:w="857"/>
        <w:gridCol w:w="784"/>
        <w:gridCol w:w="441"/>
        <w:gridCol w:w="678"/>
      </w:tblGrid>
      <w:tr w14:paraId="708B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9" w:hRule="exact"/>
          <w:jc w:val="center"/>
        </w:trPr>
        <w:tc>
          <w:tcPr>
            <w:tcW w:w="1406" w:type="dxa"/>
            <w:vAlign w:val="center"/>
          </w:tcPr>
          <w:p w14:paraId="1037C96F">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处 所</w:t>
            </w:r>
          </w:p>
        </w:tc>
        <w:tc>
          <w:tcPr>
            <w:tcW w:w="770" w:type="dxa"/>
            <w:vAlign w:val="center"/>
          </w:tcPr>
          <w:p w14:paraId="78A1A68F">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1）</w:t>
            </w:r>
          </w:p>
        </w:tc>
        <w:tc>
          <w:tcPr>
            <w:tcW w:w="778" w:type="dxa"/>
            <w:vAlign w:val="center"/>
          </w:tcPr>
          <w:p w14:paraId="0D82277A">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2）</w:t>
            </w:r>
          </w:p>
        </w:tc>
        <w:tc>
          <w:tcPr>
            <w:tcW w:w="757" w:type="dxa"/>
            <w:vAlign w:val="center"/>
          </w:tcPr>
          <w:p w14:paraId="6B6B44EF">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3）</w:t>
            </w:r>
          </w:p>
        </w:tc>
        <w:tc>
          <w:tcPr>
            <w:tcW w:w="898" w:type="dxa"/>
            <w:vAlign w:val="center"/>
          </w:tcPr>
          <w:p w14:paraId="5A400F2B">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4）</w:t>
            </w:r>
          </w:p>
        </w:tc>
        <w:tc>
          <w:tcPr>
            <w:tcW w:w="820" w:type="dxa"/>
            <w:vAlign w:val="center"/>
          </w:tcPr>
          <w:p w14:paraId="0BD176BA">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5）</w:t>
            </w:r>
          </w:p>
        </w:tc>
        <w:tc>
          <w:tcPr>
            <w:tcW w:w="785" w:type="dxa"/>
            <w:vAlign w:val="center"/>
          </w:tcPr>
          <w:p w14:paraId="18EECF9D">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6）</w:t>
            </w:r>
          </w:p>
        </w:tc>
        <w:tc>
          <w:tcPr>
            <w:tcW w:w="820" w:type="dxa"/>
            <w:vAlign w:val="center"/>
          </w:tcPr>
          <w:p w14:paraId="15C0C0FA">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7）</w:t>
            </w:r>
          </w:p>
        </w:tc>
        <w:tc>
          <w:tcPr>
            <w:tcW w:w="857" w:type="dxa"/>
            <w:vAlign w:val="center"/>
          </w:tcPr>
          <w:p w14:paraId="6C0570F8">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8）</w:t>
            </w:r>
          </w:p>
        </w:tc>
        <w:tc>
          <w:tcPr>
            <w:tcW w:w="784" w:type="dxa"/>
            <w:vAlign w:val="center"/>
          </w:tcPr>
          <w:p w14:paraId="5B1DF26F">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9）</w:t>
            </w:r>
          </w:p>
        </w:tc>
        <w:tc>
          <w:tcPr>
            <w:tcW w:w="441" w:type="dxa"/>
            <w:vAlign w:val="center"/>
          </w:tcPr>
          <w:p w14:paraId="73F86E71">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10）</w:t>
            </w:r>
          </w:p>
        </w:tc>
        <w:tc>
          <w:tcPr>
            <w:tcW w:w="678" w:type="dxa"/>
            <w:vAlign w:val="center"/>
          </w:tcPr>
          <w:p w14:paraId="10762B25">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11）</w:t>
            </w:r>
          </w:p>
        </w:tc>
      </w:tr>
      <w:tr w14:paraId="125F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 w:hRule="exact"/>
          <w:jc w:val="center"/>
        </w:trPr>
        <w:tc>
          <w:tcPr>
            <w:tcW w:w="1406" w:type="dxa"/>
            <w:vAlign w:val="center"/>
          </w:tcPr>
          <w:p w14:paraId="76549053">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控制站①</w:t>
            </w:r>
          </w:p>
        </w:tc>
        <w:tc>
          <w:tcPr>
            <w:tcW w:w="770" w:type="dxa"/>
            <w:vAlign w:val="center"/>
          </w:tcPr>
          <w:p w14:paraId="6B0C27E7">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p w14:paraId="5C3B8C9E">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〔4〕</w:t>
            </w:r>
          </w:p>
        </w:tc>
        <w:tc>
          <w:tcPr>
            <w:tcW w:w="778" w:type="dxa"/>
            <w:vAlign w:val="center"/>
          </w:tcPr>
          <w:p w14:paraId="660D930A">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757" w:type="dxa"/>
            <w:vAlign w:val="center"/>
          </w:tcPr>
          <w:p w14:paraId="44971150">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A—60</w:t>
            </w:r>
          </w:p>
        </w:tc>
        <w:tc>
          <w:tcPr>
            <w:tcW w:w="898" w:type="dxa"/>
            <w:vAlign w:val="center"/>
          </w:tcPr>
          <w:p w14:paraId="26E3B4A0">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820" w:type="dxa"/>
            <w:vAlign w:val="center"/>
          </w:tcPr>
          <w:p w14:paraId="36CE28C6">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A—15</w:t>
            </w:r>
          </w:p>
        </w:tc>
        <w:tc>
          <w:tcPr>
            <w:tcW w:w="785" w:type="dxa"/>
            <w:vAlign w:val="center"/>
          </w:tcPr>
          <w:p w14:paraId="410DAFEF">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A—60</w:t>
            </w:r>
          </w:p>
        </w:tc>
        <w:tc>
          <w:tcPr>
            <w:tcW w:w="820" w:type="dxa"/>
            <w:vAlign w:val="center"/>
          </w:tcPr>
          <w:p w14:paraId="69FE64D8">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A—15</w:t>
            </w:r>
          </w:p>
        </w:tc>
        <w:tc>
          <w:tcPr>
            <w:tcW w:w="857" w:type="dxa"/>
            <w:vAlign w:val="center"/>
          </w:tcPr>
          <w:p w14:paraId="79D309BF">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A—60</w:t>
            </w:r>
          </w:p>
        </w:tc>
        <w:tc>
          <w:tcPr>
            <w:tcW w:w="784" w:type="dxa"/>
            <w:vAlign w:val="center"/>
          </w:tcPr>
          <w:p w14:paraId="2AFC6B14">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A—60</w:t>
            </w:r>
          </w:p>
        </w:tc>
        <w:tc>
          <w:tcPr>
            <w:tcW w:w="441" w:type="dxa"/>
            <w:vAlign w:val="center"/>
          </w:tcPr>
          <w:p w14:paraId="0A156BBB">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c>
          <w:tcPr>
            <w:tcW w:w="678" w:type="dxa"/>
            <w:vAlign w:val="center"/>
          </w:tcPr>
          <w:p w14:paraId="44F8C6D0">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r>
      <w:tr w14:paraId="648F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exact"/>
          <w:jc w:val="center"/>
        </w:trPr>
        <w:tc>
          <w:tcPr>
            <w:tcW w:w="1406" w:type="dxa"/>
            <w:vAlign w:val="center"/>
          </w:tcPr>
          <w:p w14:paraId="146FB9A6">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走廊②</w:t>
            </w:r>
          </w:p>
        </w:tc>
        <w:tc>
          <w:tcPr>
            <w:tcW w:w="770" w:type="dxa"/>
            <w:vAlign w:val="center"/>
          </w:tcPr>
          <w:p w14:paraId="467E8FCC">
            <w:pPr>
              <w:pStyle w:val="522"/>
              <w:tabs>
                <w:tab w:val="right" w:leader="dot" w:pos="9354"/>
              </w:tabs>
              <w:ind w:left="0" w:leftChars="0"/>
              <w:jc w:val="center"/>
              <w:rPr>
                <w:rFonts w:hint="eastAsia" w:ascii="宋体" w:hAnsi="宋体" w:cs="宋体"/>
                <w:sz w:val="13"/>
                <w:szCs w:val="13"/>
              </w:rPr>
            </w:pPr>
          </w:p>
          <w:p w14:paraId="5C75CCF7">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
                          <pic:cNvPicPr>
                            <a:picLocks noChangeAspect="1"/>
                          </pic:cNvPicPr>
                        </pic:nvPicPr>
                        <pic:blipFill>
                          <a:blip r:embed="rId26"/>
                          <a:stretch>
                            <a:fillRect/>
                          </a:stretch>
                        </pic:blipFill>
                        <pic:spPr>
                          <a:xfrm>
                            <a:off x="0" y="0"/>
                            <a:ext cx="8255" cy="10160"/>
                          </a:xfrm>
                          <a:prstGeom prst="rect">
                            <a:avLst/>
                          </a:prstGeom>
                          <a:noFill/>
                          <a:ln>
                            <a:noFill/>
                          </a:ln>
                        </pic:spPr>
                      </pic:pic>
                    </a:graphicData>
                  </a:graphic>
                </wp:inline>
              </w:drawing>
            </w:r>
          </w:p>
          <w:p w14:paraId="21408659">
            <w:pPr>
              <w:pStyle w:val="522"/>
              <w:tabs>
                <w:tab w:val="right" w:leader="dot" w:pos="9354"/>
              </w:tabs>
              <w:ind w:left="0" w:leftChars="0"/>
              <w:jc w:val="center"/>
              <w:rPr>
                <w:rFonts w:hint="eastAsia" w:ascii="宋体" w:hAnsi="宋体" w:cs="宋体"/>
                <w:sz w:val="13"/>
                <w:szCs w:val="13"/>
              </w:rPr>
            </w:pPr>
          </w:p>
          <w:p w14:paraId="59387C19">
            <w:pPr>
              <w:pStyle w:val="522"/>
              <w:tabs>
                <w:tab w:val="right" w:leader="dot" w:pos="9354"/>
              </w:tabs>
              <w:ind w:left="0" w:leftChars="0"/>
              <w:jc w:val="center"/>
              <w:rPr>
                <w:rFonts w:hint="eastAsia" w:ascii="宋体" w:hAnsi="宋体" w:cs="宋体"/>
                <w:sz w:val="13"/>
                <w:szCs w:val="13"/>
              </w:rPr>
            </w:pPr>
          </w:p>
          <w:p w14:paraId="77B7C9EF">
            <w:pPr>
              <w:pStyle w:val="522"/>
              <w:tabs>
                <w:tab w:val="right" w:leader="dot" w:pos="9354"/>
              </w:tabs>
              <w:ind w:left="0" w:leftChars="0"/>
              <w:jc w:val="center"/>
              <w:rPr>
                <w:rFonts w:hint="eastAsia" w:ascii="宋体" w:hAnsi="宋体" w:cs="宋体"/>
                <w:sz w:val="13"/>
                <w:szCs w:val="13"/>
              </w:rPr>
            </w:pPr>
          </w:p>
          <w:p w14:paraId="21387C8F">
            <w:pPr>
              <w:pStyle w:val="522"/>
              <w:tabs>
                <w:tab w:val="right" w:leader="dot" w:pos="9354"/>
              </w:tabs>
              <w:ind w:left="0" w:leftChars="0"/>
              <w:jc w:val="center"/>
              <w:rPr>
                <w:rFonts w:hint="eastAsia" w:ascii="宋体" w:hAnsi="宋体" w:cs="宋体"/>
                <w:sz w:val="13"/>
                <w:szCs w:val="13"/>
              </w:rPr>
            </w:pPr>
          </w:p>
        </w:tc>
        <w:tc>
          <w:tcPr>
            <w:tcW w:w="778" w:type="dxa"/>
            <w:vAlign w:val="center"/>
          </w:tcPr>
          <w:p w14:paraId="424F4C3A">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C</w:t>
            </w:r>
          </w:p>
        </w:tc>
        <w:tc>
          <w:tcPr>
            <w:tcW w:w="757" w:type="dxa"/>
            <w:vAlign w:val="center"/>
          </w:tcPr>
          <w:p w14:paraId="1525C781">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B—0</w:t>
            </w:r>
          </w:p>
        </w:tc>
        <w:tc>
          <w:tcPr>
            <w:tcW w:w="898" w:type="dxa"/>
            <w:vAlign w:val="center"/>
          </w:tcPr>
          <w:p w14:paraId="47B314E0">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p w14:paraId="5644103D">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〔2〕</w:t>
            </w:r>
          </w:p>
          <w:p w14:paraId="4EF83B6A">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B—0</w:t>
            </w:r>
          </w:p>
        </w:tc>
        <w:tc>
          <w:tcPr>
            <w:tcW w:w="820" w:type="dxa"/>
            <w:vAlign w:val="center"/>
          </w:tcPr>
          <w:p w14:paraId="567A17C6">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B—0</w:t>
            </w:r>
          </w:p>
        </w:tc>
        <w:tc>
          <w:tcPr>
            <w:tcW w:w="785" w:type="dxa"/>
            <w:vAlign w:val="center"/>
          </w:tcPr>
          <w:p w14:paraId="32834308">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A—60</w:t>
            </w:r>
          </w:p>
        </w:tc>
        <w:tc>
          <w:tcPr>
            <w:tcW w:w="820" w:type="dxa"/>
            <w:vAlign w:val="center"/>
          </w:tcPr>
          <w:p w14:paraId="79A8C513">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857" w:type="dxa"/>
            <w:vAlign w:val="center"/>
          </w:tcPr>
          <w:p w14:paraId="58443C9E">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784" w:type="dxa"/>
            <w:vAlign w:val="center"/>
          </w:tcPr>
          <w:p w14:paraId="6D885E7C">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441" w:type="dxa"/>
            <w:vAlign w:val="center"/>
          </w:tcPr>
          <w:p w14:paraId="50E0E077">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c>
          <w:tcPr>
            <w:tcW w:w="678" w:type="dxa"/>
            <w:vAlign w:val="center"/>
          </w:tcPr>
          <w:p w14:paraId="00BFCBFC">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B—0</w:t>
            </w:r>
          </w:p>
        </w:tc>
      </w:tr>
      <w:tr w14:paraId="670C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7" w:hRule="exact"/>
          <w:jc w:val="center"/>
        </w:trPr>
        <w:tc>
          <w:tcPr>
            <w:tcW w:w="1406" w:type="dxa"/>
            <w:vAlign w:val="center"/>
          </w:tcPr>
          <w:p w14:paraId="0472ECCD">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起居处所③</w:t>
            </w:r>
          </w:p>
        </w:tc>
        <w:tc>
          <w:tcPr>
            <w:tcW w:w="770" w:type="dxa"/>
            <w:vAlign w:val="center"/>
          </w:tcPr>
          <w:p w14:paraId="692BA95F">
            <w:pPr>
              <w:pStyle w:val="522"/>
              <w:tabs>
                <w:tab w:val="right" w:leader="dot" w:pos="9354"/>
              </w:tabs>
              <w:ind w:left="0" w:leftChars="0"/>
              <w:jc w:val="center"/>
              <w:rPr>
                <w:rFonts w:hint="eastAsia" w:ascii="宋体" w:hAnsi="宋体" w:cs="宋体"/>
                <w:sz w:val="13"/>
                <w:szCs w:val="13"/>
              </w:rPr>
            </w:pPr>
          </w:p>
          <w:p w14:paraId="1CD6E15B">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5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1580FEB6">
            <w:pPr>
              <w:pStyle w:val="522"/>
              <w:tabs>
                <w:tab w:val="right" w:leader="dot" w:pos="9354"/>
              </w:tabs>
              <w:ind w:left="0" w:leftChars="0"/>
              <w:jc w:val="center"/>
              <w:rPr>
                <w:rFonts w:hint="eastAsia" w:ascii="宋体" w:hAnsi="宋体" w:cs="宋体"/>
                <w:sz w:val="13"/>
                <w:szCs w:val="13"/>
              </w:rPr>
            </w:pPr>
          </w:p>
          <w:p w14:paraId="123D3CB1">
            <w:pPr>
              <w:pStyle w:val="522"/>
              <w:tabs>
                <w:tab w:val="right" w:leader="dot" w:pos="9354"/>
              </w:tabs>
              <w:ind w:left="0" w:leftChars="0"/>
              <w:jc w:val="center"/>
              <w:rPr>
                <w:rFonts w:hint="eastAsia" w:ascii="宋体" w:hAnsi="宋体" w:cs="宋体"/>
                <w:sz w:val="13"/>
                <w:szCs w:val="13"/>
              </w:rPr>
            </w:pPr>
          </w:p>
          <w:p w14:paraId="37A75952">
            <w:pPr>
              <w:pStyle w:val="522"/>
              <w:tabs>
                <w:tab w:val="right" w:leader="dot" w:pos="9354"/>
              </w:tabs>
              <w:ind w:left="0" w:leftChars="0"/>
              <w:jc w:val="center"/>
              <w:rPr>
                <w:rFonts w:hint="eastAsia" w:ascii="宋体" w:hAnsi="宋体" w:cs="宋体"/>
                <w:sz w:val="13"/>
                <w:szCs w:val="13"/>
              </w:rPr>
            </w:pPr>
          </w:p>
          <w:p w14:paraId="2886B1B3">
            <w:pPr>
              <w:pStyle w:val="522"/>
              <w:tabs>
                <w:tab w:val="right" w:leader="dot" w:pos="9354"/>
              </w:tabs>
              <w:ind w:left="0" w:leftChars="0"/>
              <w:jc w:val="center"/>
              <w:rPr>
                <w:rFonts w:hint="eastAsia" w:ascii="宋体" w:hAnsi="宋体" w:cs="宋体"/>
                <w:sz w:val="13"/>
                <w:szCs w:val="13"/>
              </w:rPr>
            </w:pPr>
          </w:p>
        </w:tc>
        <w:tc>
          <w:tcPr>
            <w:tcW w:w="778" w:type="dxa"/>
            <w:vAlign w:val="center"/>
          </w:tcPr>
          <w:p w14:paraId="6D0FCE58">
            <w:pPr>
              <w:pStyle w:val="522"/>
              <w:tabs>
                <w:tab w:val="right" w:leader="dot" w:pos="9354"/>
              </w:tabs>
              <w:ind w:left="0" w:leftChars="0"/>
              <w:jc w:val="center"/>
              <w:rPr>
                <w:rFonts w:hint="eastAsia" w:ascii="宋体" w:hAnsi="宋体" w:cs="宋体"/>
                <w:sz w:val="13"/>
                <w:szCs w:val="13"/>
              </w:rPr>
            </w:pPr>
          </w:p>
          <w:p w14:paraId="0D0751EC">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5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4F680B35">
            <w:pPr>
              <w:pStyle w:val="522"/>
              <w:tabs>
                <w:tab w:val="right" w:leader="dot" w:pos="9354"/>
              </w:tabs>
              <w:ind w:left="0" w:leftChars="0"/>
              <w:jc w:val="center"/>
              <w:rPr>
                <w:rFonts w:hint="eastAsia" w:ascii="宋体" w:hAnsi="宋体" w:cs="宋体"/>
                <w:sz w:val="13"/>
                <w:szCs w:val="13"/>
              </w:rPr>
            </w:pPr>
          </w:p>
          <w:p w14:paraId="23D37B36">
            <w:pPr>
              <w:pStyle w:val="522"/>
              <w:tabs>
                <w:tab w:val="right" w:leader="dot" w:pos="9354"/>
              </w:tabs>
              <w:ind w:left="0" w:leftChars="0"/>
              <w:jc w:val="center"/>
              <w:rPr>
                <w:rFonts w:hint="eastAsia" w:ascii="宋体" w:hAnsi="宋体" w:cs="宋体"/>
                <w:sz w:val="13"/>
                <w:szCs w:val="13"/>
              </w:rPr>
            </w:pPr>
          </w:p>
          <w:p w14:paraId="63539519">
            <w:pPr>
              <w:pStyle w:val="522"/>
              <w:tabs>
                <w:tab w:val="right" w:leader="dot" w:pos="9354"/>
              </w:tabs>
              <w:ind w:left="0" w:leftChars="0"/>
              <w:jc w:val="center"/>
              <w:rPr>
                <w:rFonts w:hint="eastAsia" w:ascii="宋体" w:hAnsi="宋体" w:cs="宋体"/>
                <w:sz w:val="13"/>
                <w:szCs w:val="13"/>
              </w:rPr>
            </w:pPr>
          </w:p>
          <w:p w14:paraId="7EAE5E0C">
            <w:pPr>
              <w:pStyle w:val="522"/>
              <w:tabs>
                <w:tab w:val="right" w:leader="dot" w:pos="9354"/>
              </w:tabs>
              <w:ind w:left="0" w:leftChars="0"/>
              <w:jc w:val="center"/>
              <w:rPr>
                <w:rFonts w:hint="eastAsia" w:ascii="宋体" w:hAnsi="宋体" w:cs="宋体"/>
                <w:sz w:val="13"/>
                <w:szCs w:val="13"/>
              </w:rPr>
            </w:pPr>
          </w:p>
        </w:tc>
        <w:tc>
          <w:tcPr>
            <w:tcW w:w="757" w:type="dxa"/>
            <w:vAlign w:val="center"/>
          </w:tcPr>
          <w:p w14:paraId="4EAA5588">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C</w:t>
            </w:r>
          </w:p>
        </w:tc>
        <w:tc>
          <w:tcPr>
            <w:tcW w:w="898" w:type="dxa"/>
            <w:vAlign w:val="center"/>
          </w:tcPr>
          <w:p w14:paraId="23E74435">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p w14:paraId="1445045B">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〔2〕</w:t>
            </w:r>
          </w:p>
          <w:p w14:paraId="7BE443FB">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B—0</w:t>
            </w:r>
          </w:p>
        </w:tc>
        <w:tc>
          <w:tcPr>
            <w:tcW w:w="820" w:type="dxa"/>
            <w:vAlign w:val="center"/>
          </w:tcPr>
          <w:p w14:paraId="49C98B2C">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B—0</w:t>
            </w:r>
          </w:p>
        </w:tc>
        <w:tc>
          <w:tcPr>
            <w:tcW w:w="785" w:type="dxa"/>
            <w:vAlign w:val="center"/>
          </w:tcPr>
          <w:p w14:paraId="257DECD3">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A—60</w:t>
            </w:r>
          </w:p>
        </w:tc>
        <w:tc>
          <w:tcPr>
            <w:tcW w:w="820" w:type="dxa"/>
            <w:vAlign w:val="center"/>
          </w:tcPr>
          <w:p w14:paraId="5B6A4303">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857" w:type="dxa"/>
            <w:vAlign w:val="center"/>
          </w:tcPr>
          <w:p w14:paraId="3140E3D3">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784" w:type="dxa"/>
            <w:vAlign w:val="center"/>
          </w:tcPr>
          <w:p w14:paraId="1736BA73">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441" w:type="dxa"/>
            <w:vAlign w:val="center"/>
          </w:tcPr>
          <w:p w14:paraId="4396418B">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c>
          <w:tcPr>
            <w:tcW w:w="678" w:type="dxa"/>
            <w:vAlign w:val="center"/>
          </w:tcPr>
          <w:p w14:paraId="58B1CE11">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C</w:t>
            </w:r>
          </w:p>
        </w:tc>
      </w:tr>
      <w:tr w14:paraId="2520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exact"/>
          <w:jc w:val="center"/>
        </w:trPr>
        <w:tc>
          <w:tcPr>
            <w:tcW w:w="1406" w:type="dxa"/>
            <w:vAlign w:val="center"/>
          </w:tcPr>
          <w:p w14:paraId="4C848925">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梯道④</w:t>
            </w:r>
          </w:p>
        </w:tc>
        <w:tc>
          <w:tcPr>
            <w:tcW w:w="770" w:type="dxa"/>
            <w:vAlign w:val="center"/>
          </w:tcPr>
          <w:p w14:paraId="6526832E">
            <w:pPr>
              <w:pStyle w:val="522"/>
              <w:tabs>
                <w:tab w:val="right" w:leader="dot" w:pos="9354"/>
              </w:tabs>
              <w:ind w:left="0" w:leftChars="0"/>
              <w:jc w:val="center"/>
              <w:rPr>
                <w:rFonts w:hint="eastAsia" w:ascii="宋体" w:hAnsi="宋体" w:cs="宋体"/>
                <w:sz w:val="13"/>
                <w:szCs w:val="13"/>
              </w:rPr>
            </w:pPr>
          </w:p>
          <w:p w14:paraId="19291299">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6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73510B90">
            <w:pPr>
              <w:pStyle w:val="522"/>
              <w:tabs>
                <w:tab w:val="right" w:leader="dot" w:pos="9354"/>
              </w:tabs>
              <w:ind w:left="0" w:leftChars="0"/>
              <w:jc w:val="center"/>
              <w:rPr>
                <w:rFonts w:hint="eastAsia" w:ascii="宋体" w:hAnsi="宋体" w:cs="宋体"/>
                <w:sz w:val="13"/>
                <w:szCs w:val="13"/>
              </w:rPr>
            </w:pPr>
          </w:p>
          <w:p w14:paraId="26141E17">
            <w:pPr>
              <w:pStyle w:val="522"/>
              <w:tabs>
                <w:tab w:val="right" w:leader="dot" w:pos="9354"/>
              </w:tabs>
              <w:ind w:left="0" w:leftChars="0"/>
              <w:jc w:val="center"/>
              <w:rPr>
                <w:rFonts w:hint="eastAsia" w:ascii="宋体" w:hAnsi="宋体" w:cs="宋体"/>
                <w:sz w:val="13"/>
                <w:szCs w:val="13"/>
              </w:rPr>
            </w:pPr>
          </w:p>
          <w:p w14:paraId="15DC46C3">
            <w:pPr>
              <w:pStyle w:val="522"/>
              <w:tabs>
                <w:tab w:val="right" w:leader="dot" w:pos="9354"/>
              </w:tabs>
              <w:ind w:left="0" w:leftChars="0"/>
              <w:jc w:val="center"/>
              <w:rPr>
                <w:rFonts w:hint="eastAsia" w:ascii="宋体" w:hAnsi="宋体" w:cs="宋体"/>
                <w:sz w:val="13"/>
                <w:szCs w:val="13"/>
              </w:rPr>
            </w:pPr>
          </w:p>
          <w:p w14:paraId="3F3D75FB">
            <w:pPr>
              <w:pStyle w:val="522"/>
              <w:tabs>
                <w:tab w:val="right" w:leader="dot" w:pos="9354"/>
              </w:tabs>
              <w:ind w:left="0" w:leftChars="0"/>
              <w:jc w:val="center"/>
              <w:rPr>
                <w:rFonts w:hint="eastAsia" w:ascii="宋体" w:hAnsi="宋体" w:cs="宋体"/>
                <w:sz w:val="13"/>
                <w:szCs w:val="13"/>
              </w:rPr>
            </w:pPr>
          </w:p>
        </w:tc>
        <w:tc>
          <w:tcPr>
            <w:tcW w:w="778" w:type="dxa"/>
            <w:vAlign w:val="center"/>
          </w:tcPr>
          <w:p w14:paraId="01458A19">
            <w:pPr>
              <w:pStyle w:val="522"/>
              <w:tabs>
                <w:tab w:val="right" w:leader="dot" w:pos="9354"/>
              </w:tabs>
              <w:ind w:left="0" w:leftChars="0"/>
              <w:jc w:val="center"/>
              <w:rPr>
                <w:rFonts w:hint="eastAsia" w:ascii="宋体" w:hAnsi="宋体" w:cs="宋体"/>
                <w:sz w:val="13"/>
                <w:szCs w:val="13"/>
              </w:rPr>
            </w:pPr>
          </w:p>
          <w:p w14:paraId="20F15C2E">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6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5"/>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07A77CD1">
            <w:pPr>
              <w:pStyle w:val="522"/>
              <w:tabs>
                <w:tab w:val="right" w:leader="dot" w:pos="9354"/>
              </w:tabs>
              <w:ind w:left="0" w:leftChars="0"/>
              <w:jc w:val="center"/>
              <w:rPr>
                <w:rFonts w:hint="eastAsia" w:ascii="宋体" w:hAnsi="宋体" w:cs="宋体"/>
                <w:sz w:val="13"/>
                <w:szCs w:val="13"/>
              </w:rPr>
            </w:pPr>
          </w:p>
          <w:p w14:paraId="440B3923">
            <w:pPr>
              <w:pStyle w:val="522"/>
              <w:tabs>
                <w:tab w:val="right" w:leader="dot" w:pos="9354"/>
              </w:tabs>
              <w:ind w:left="0" w:leftChars="0"/>
              <w:jc w:val="center"/>
              <w:rPr>
                <w:rFonts w:hint="eastAsia" w:ascii="宋体" w:hAnsi="宋体" w:cs="宋体"/>
                <w:sz w:val="13"/>
                <w:szCs w:val="13"/>
              </w:rPr>
            </w:pPr>
          </w:p>
          <w:p w14:paraId="651591D4">
            <w:pPr>
              <w:pStyle w:val="522"/>
              <w:tabs>
                <w:tab w:val="right" w:leader="dot" w:pos="9354"/>
              </w:tabs>
              <w:ind w:left="0" w:leftChars="0"/>
              <w:jc w:val="center"/>
              <w:rPr>
                <w:rFonts w:hint="eastAsia" w:ascii="宋体" w:hAnsi="宋体" w:cs="宋体"/>
                <w:sz w:val="13"/>
                <w:szCs w:val="13"/>
              </w:rPr>
            </w:pPr>
          </w:p>
          <w:p w14:paraId="699B0791">
            <w:pPr>
              <w:pStyle w:val="522"/>
              <w:tabs>
                <w:tab w:val="right" w:leader="dot" w:pos="9354"/>
              </w:tabs>
              <w:ind w:left="0" w:leftChars="0"/>
              <w:jc w:val="center"/>
              <w:rPr>
                <w:rFonts w:hint="eastAsia" w:ascii="宋体" w:hAnsi="宋体" w:cs="宋体"/>
                <w:sz w:val="13"/>
                <w:szCs w:val="13"/>
              </w:rPr>
            </w:pPr>
          </w:p>
        </w:tc>
        <w:tc>
          <w:tcPr>
            <w:tcW w:w="757" w:type="dxa"/>
            <w:vAlign w:val="center"/>
          </w:tcPr>
          <w:p w14:paraId="31B9FCE1">
            <w:pPr>
              <w:pStyle w:val="522"/>
              <w:tabs>
                <w:tab w:val="right" w:leader="dot" w:pos="9354"/>
              </w:tabs>
              <w:ind w:left="0" w:leftChars="0"/>
              <w:jc w:val="center"/>
              <w:rPr>
                <w:rFonts w:hint="eastAsia" w:ascii="宋体" w:hAnsi="宋体" w:cs="宋体"/>
                <w:sz w:val="13"/>
                <w:szCs w:val="13"/>
              </w:rPr>
            </w:pPr>
          </w:p>
          <w:p w14:paraId="01921F55">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6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38BD4E52">
            <w:pPr>
              <w:pStyle w:val="522"/>
              <w:tabs>
                <w:tab w:val="right" w:leader="dot" w:pos="9354"/>
              </w:tabs>
              <w:ind w:left="0" w:leftChars="0"/>
              <w:jc w:val="center"/>
              <w:rPr>
                <w:rFonts w:hint="eastAsia" w:ascii="宋体" w:hAnsi="宋体" w:cs="宋体"/>
                <w:sz w:val="13"/>
                <w:szCs w:val="13"/>
              </w:rPr>
            </w:pPr>
          </w:p>
          <w:p w14:paraId="4F9CDA94">
            <w:pPr>
              <w:pStyle w:val="522"/>
              <w:tabs>
                <w:tab w:val="right" w:leader="dot" w:pos="9354"/>
              </w:tabs>
              <w:ind w:left="0" w:leftChars="0"/>
              <w:jc w:val="center"/>
              <w:rPr>
                <w:rFonts w:hint="eastAsia" w:ascii="宋体" w:hAnsi="宋体" w:cs="宋体"/>
                <w:sz w:val="13"/>
                <w:szCs w:val="13"/>
              </w:rPr>
            </w:pPr>
          </w:p>
          <w:p w14:paraId="3CFC8223">
            <w:pPr>
              <w:pStyle w:val="522"/>
              <w:tabs>
                <w:tab w:val="right" w:leader="dot" w:pos="9354"/>
              </w:tabs>
              <w:ind w:left="0" w:leftChars="0"/>
              <w:jc w:val="center"/>
              <w:rPr>
                <w:rFonts w:hint="eastAsia" w:ascii="宋体" w:hAnsi="宋体" w:cs="宋体"/>
                <w:sz w:val="13"/>
                <w:szCs w:val="13"/>
              </w:rPr>
            </w:pPr>
          </w:p>
          <w:p w14:paraId="47A0F523">
            <w:pPr>
              <w:pStyle w:val="522"/>
              <w:tabs>
                <w:tab w:val="right" w:leader="dot" w:pos="9354"/>
              </w:tabs>
              <w:ind w:left="0" w:leftChars="0"/>
              <w:jc w:val="center"/>
              <w:rPr>
                <w:rFonts w:hint="eastAsia" w:ascii="宋体" w:hAnsi="宋体" w:cs="宋体"/>
                <w:sz w:val="13"/>
                <w:szCs w:val="13"/>
              </w:rPr>
            </w:pPr>
          </w:p>
        </w:tc>
        <w:tc>
          <w:tcPr>
            <w:tcW w:w="898" w:type="dxa"/>
            <w:vAlign w:val="center"/>
          </w:tcPr>
          <w:p w14:paraId="1309FD99">
            <w:pPr>
              <w:pStyle w:val="522"/>
              <w:tabs>
                <w:tab w:val="right" w:leader="dot" w:pos="9354"/>
              </w:tabs>
              <w:spacing w:line="280" w:lineRule="exact"/>
              <w:ind w:left="0" w:leftChars="0"/>
              <w:jc w:val="center"/>
              <w:rPr>
                <w:rFonts w:hint="eastAsia" w:ascii="宋体" w:hAnsi="宋体" w:cs="宋体"/>
                <w:sz w:val="13"/>
                <w:szCs w:val="13"/>
              </w:rPr>
            </w:pPr>
            <w:r>
              <w:rPr>
                <w:rFonts w:hint="eastAsia" w:ascii="宋体" w:hAnsi="宋体" w:cs="宋体"/>
                <w:sz w:val="13"/>
                <w:szCs w:val="13"/>
              </w:rPr>
              <w:t>A—0</w:t>
            </w:r>
          </w:p>
          <w:p w14:paraId="3B51CF9A">
            <w:pPr>
              <w:pStyle w:val="522"/>
              <w:tabs>
                <w:tab w:val="right" w:leader="dot" w:pos="9354"/>
              </w:tabs>
              <w:spacing w:line="280" w:lineRule="exact"/>
              <w:ind w:left="0" w:leftChars="0"/>
              <w:jc w:val="center"/>
              <w:rPr>
                <w:rFonts w:hint="eastAsia" w:ascii="宋体" w:hAnsi="宋体" w:cs="宋体"/>
                <w:sz w:val="13"/>
                <w:szCs w:val="13"/>
              </w:rPr>
            </w:pPr>
            <w:r>
              <w:rPr>
                <w:rFonts w:hint="eastAsia" w:ascii="宋体" w:hAnsi="宋体" w:cs="宋体"/>
                <w:sz w:val="13"/>
                <w:szCs w:val="13"/>
              </w:rPr>
              <w:t>〔2〕</w:t>
            </w:r>
          </w:p>
          <w:p w14:paraId="0968D842">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B—0</w:t>
            </w:r>
          </w:p>
        </w:tc>
        <w:tc>
          <w:tcPr>
            <w:tcW w:w="820" w:type="dxa"/>
            <w:vAlign w:val="center"/>
          </w:tcPr>
          <w:p w14:paraId="007641ED">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p w14:paraId="412FF454">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〔2〕</w:t>
            </w:r>
          </w:p>
          <w:p w14:paraId="28F2FC1C">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B—0</w:t>
            </w:r>
          </w:p>
        </w:tc>
        <w:tc>
          <w:tcPr>
            <w:tcW w:w="785" w:type="dxa"/>
            <w:vAlign w:val="center"/>
          </w:tcPr>
          <w:p w14:paraId="5029510A">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A—60</w:t>
            </w:r>
          </w:p>
        </w:tc>
        <w:tc>
          <w:tcPr>
            <w:tcW w:w="820" w:type="dxa"/>
            <w:vAlign w:val="center"/>
          </w:tcPr>
          <w:p w14:paraId="304DABBA">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857" w:type="dxa"/>
            <w:vAlign w:val="center"/>
          </w:tcPr>
          <w:p w14:paraId="6D52B7B0">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784" w:type="dxa"/>
            <w:vAlign w:val="center"/>
          </w:tcPr>
          <w:p w14:paraId="72DCEF59">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441" w:type="dxa"/>
            <w:vAlign w:val="center"/>
          </w:tcPr>
          <w:p w14:paraId="183A16ED">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c>
          <w:tcPr>
            <w:tcW w:w="678" w:type="dxa"/>
            <w:vAlign w:val="center"/>
          </w:tcPr>
          <w:p w14:paraId="51738D3F">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p w14:paraId="1BCF523C">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〔2〕</w:t>
            </w:r>
          </w:p>
          <w:p w14:paraId="0602D196">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B-0</w:t>
            </w:r>
          </w:p>
        </w:tc>
      </w:tr>
      <w:tr w14:paraId="00B50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exact"/>
          <w:jc w:val="center"/>
        </w:trPr>
        <w:tc>
          <w:tcPr>
            <w:tcW w:w="1406" w:type="dxa"/>
            <w:vAlign w:val="center"/>
          </w:tcPr>
          <w:p w14:paraId="6123AD42">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失火危险较小的服务处所⑤</w:t>
            </w:r>
          </w:p>
        </w:tc>
        <w:tc>
          <w:tcPr>
            <w:tcW w:w="770" w:type="dxa"/>
            <w:vAlign w:val="center"/>
          </w:tcPr>
          <w:p w14:paraId="148BDDE7">
            <w:pPr>
              <w:pStyle w:val="522"/>
              <w:tabs>
                <w:tab w:val="right" w:leader="dot" w:pos="9354"/>
              </w:tabs>
              <w:ind w:left="0" w:leftChars="0"/>
              <w:jc w:val="center"/>
              <w:rPr>
                <w:rFonts w:hint="eastAsia" w:ascii="宋体" w:hAnsi="宋体" w:cs="宋体"/>
                <w:sz w:val="13"/>
                <w:szCs w:val="13"/>
              </w:rPr>
            </w:pPr>
          </w:p>
          <w:p w14:paraId="6635C060">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6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7"/>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21412CAA">
            <w:pPr>
              <w:pStyle w:val="522"/>
              <w:tabs>
                <w:tab w:val="right" w:leader="dot" w:pos="9354"/>
              </w:tabs>
              <w:ind w:left="0" w:leftChars="0"/>
              <w:jc w:val="center"/>
              <w:rPr>
                <w:rFonts w:hint="eastAsia" w:ascii="宋体" w:hAnsi="宋体" w:cs="宋体"/>
                <w:sz w:val="13"/>
                <w:szCs w:val="13"/>
              </w:rPr>
            </w:pPr>
          </w:p>
          <w:p w14:paraId="6B1B330C">
            <w:pPr>
              <w:pStyle w:val="522"/>
              <w:tabs>
                <w:tab w:val="right" w:leader="dot" w:pos="9354"/>
              </w:tabs>
              <w:ind w:left="0" w:leftChars="0"/>
              <w:jc w:val="center"/>
              <w:rPr>
                <w:rFonts w:hint="eastAsia" w:ascii="宋体" w:hAnsi="宋体" w:cs="宋体"/>
                <w:sz w:val="13"/>
                <w:szCs w:val="13"/>
              </w:rPr>
            </w:pPr>
          </w:p>
          <w:p w14:paraId="36B54A57">
            <w:pPr>
              <w:pStyle w:val="522"/>
              <w:tabs>
                <w:tab w:val="right" w:leader="dot" w:pos="9354"/>
              </w:tabs>
              <w:ind w:left="0" w:leftChars="0"/>
              <w:jc w:val="center"/>
              <w:rPr>
                <w:rFonts w:hint="eastAsia" w:ascii="宋体" w:hAnsi="宋体" w:cs="宋体"/>
                <w:sz w:val="13"/>
                <w:szCs w:val="13"/>
              </w:rPr>
            </w:pPr>
          </w:p>
          <w:p w14:paraId="6E121E56">
            <w:pPr>
              <w:pStyle w:val="522"/>
              <w:tabs>
                <w:tab w:val="right" w:leader="dot" w:pos="9354"/>
              </w:tabs>
              <w:ind w:left="0" w:leftChars="0"/>
              <w:jc w:val="center"/>
              <w:rPr>
                <w:rFonts w:hint="eastAsia" w:ascii="宋体" w:hAnsi="宋体" w:cs="宋体"/>
                <w:sz w:val="13"/>
                <w:szCs w:val="13"/>
              </w:rPr>
            </w:pPr>
          </w:p>
          <w:p w14:paraId="1212152F">
            <w:pPr>
              <w:pStyle w:val="522"/>
              <w:tabs>
                <w:tab w:val="right" w:leader="dot" w:pos="9354"/>
              </w:tabs>
              <w:ind w:left="0" w:leftChars="0"/>
              <w:jc w:val="center"/>
              <w:rPr>
                <w:rFonts w:hint="eastAsia" w:ascii="宋体" w:hAnsi="宋体" w:cs="宋体"/>
                <w:sz w:val="13"/>
                <w:szCs w:val="13"/>
              </w:rPr>
            </w:pPr>
          </w:p>
          <w:p w14:paraId="2114511A">
            <w:pPr>
              <w:pStyle w:val="522"/>
              <w:tabs>
                <w:tab w:val="right" w:leader="dot" w:pos="9354"/>
              </w:tabs>
              <w:ind w:left="0" w:leftChars="0"/>
              <w:jc w:val="center"/>
              <w:rPr>
                <w:rFonts w:hint="eastAsia" w:ascii="宋体" w:hAnsi="宋体" w:cs="宋体"/>
                <w:sz w:val="13"/>
                <w:szCs w:val="13"/>
              </w:rPr>
            </w:pPr>
          </w:p>
          <w:p w14:paraId="59A7ED0D">
            <w:pPr>
              <w:pStyle w:val="522"/>
              <w:tabs>
                <w:tab w:val="right" w:leader="dot" w:pos="9354"/>
              </w:tabs>
              <w:ind w:left="0" w:leftChars="0"/>
              <w:jc w:val="center"/>
              <w:rPr>
                <w:rFonts w:hint="eastAsia" w:ascii="宋体" w:hAnsi="宋体" w:cs="宋体"/>
                <w:sz w:val="13"/>
                <w:szCs w:val="13"/>
              </w:rPr>
            </w:pPr>
          </w:p>
          <w:p w14:paraId="3931375B">
            <w:pPr>
              <w:pStyle w:val="522"/>
              <w:tabs>
                <w:tab w:val="right" w:leader="dot" w:pos="9354"/>
              </w:tabs>
              <w:ind w:left="0" w:leftChars="0"/>
              <w:jc w:val="center"/>
              <w:rPr>
                <w:rFonts w:hint="eastAsia" w:ascii="宋体" w:hAnsi="宋体" w:cs="宋体"/>
                <w:sz w:val="13"/>
                <w:szCs w:val="13"/>
              </w:rPr>
            </w:pPr>
          </w:p>
          <w:p w14:paraId="23EA1874">
            <w:pPr>
              <w:pStyle w:val="522"/>
              <w:tabs>
                <w:tab w:val="right" w:leader="dot" w:pos="9354"/>
              </w:tabs>
              <w:ind w:left="0" w:leftChars="0"/>
              <w:jc w:val="center"/>
              <w:rPr>
                <w:rFonts w:hint="eastAsia" w:ascii="宋体" w:hAnsi="宋体" w:cs="宋体"/>
                <w:sz w:val="13"/>
                <w:szCs w:val="13"/>
              </w:rPr>
            </w:pPr>
          </w:p>
        </w:tc>
        <w:tc>
          <w:tcPr>
            <w:tcW w:w="778" w:type="dxa"/>
            <w:vAlign w:val="center"/>
          </w:tcPr>
          <w:p w14:paraId="2246ABB8">
            <w:pPr>
              <w:pStyle w:val="522"/>
              <w:tabs>
                <w:tab w:val="right" w:leader="dot" w:pos="9354"/>
              </w:tabs>
              <w:ind w:left="0" w:leftChars="0"/>
              <w:jc w:val="center"/>
              <w:rPr>
                <w:rFonts w:hint="eastAsia" w:ascii="宋体" w:hAnsi="宋体" w:cs="宋体"/>
                <w:sz w:val="13"/>
                <w:szCs w:val="13"/>
              </w:rPr>
            </w:pPr>
          </w:p>
          <w:p w14:paraId="1E66A946">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6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8"/>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4879D0F2">
            <w:pPr>
              <w:pStyle w:val="522"/>
              <w:tabs>
                <w:tab w:val="right" w:leader="dot" w:pos="9354"/>
              </w:tabs>
              <w:ind w:left="0" w:leftChars="0"/>
              <w:jc w:val="center"/>
              <w:rPr>
                <w:rFonts w:hint="eastAsia" w:ascii="宋体" w:hAnsi="宋体" w:cs="宋体"/>
                <w:sz w:val="13"/>
                <w:szCs w:val="13"/>
              </w:rPr>
            </w:pPr>
          </w:p>
          <w:p w14:paraId="4B9FD97D">
            <w:pPr>
              <w:pStyle w:val="522"/>
              <w:tabs>
                <w:tab w:val="right" w:leader="dot" w:pos="9354"/>
              </w:tabs>
              <w:ind w:left="0" w:leftChars="0"/>
              <w:jc w:val="center"/>
              <w:rPr>
                <w:rFonts w:hint="eastAsia" w:ascii="宋体" w:hAnsi="宋体" w:cs="宋体"/>
                <w:sz w:val="13"/>
                <w:szCs w:val="13"/>
              </w:rPr>
            </w:pPr>
          </w:p>
          <w:p w14:paraId="7D5167F7">
            <w:pPr>
              <w:pStyle w:val="522"/>
              <w:tabs>
                <w:tab w:val="right" w:leader="dot" w:pos="9354"/>
              </w:tabs>
              <w:ind w:left="0" w:leftChars="0"/>
              <w:jc w:val="center"/>
              <w:rPr>
                <w:rFonts w:hint="eastAsia" w:ascii="宋体" w:hAnsi="宋体" w:cs="宋体"/>
                <w:sz w:val="13"/>
                <w:szCs w:val="13"/>
              </w:rPr>
            </w:pPr>
          </w:p>
          <w:p w14:paraId="5E5970F5">
            <w:pPr>
              <w:pStyle w:val="522"/>
              <w:tabs>
                <w:tab w:val="right" w:leader="dot" w:pos="9354"/>
              </w:tabs>
              <w:ind w:left="0" w:leftChars="0"/>
              <w:jc w:val="center"/>
              <w:rPr>
                <w:rFonts w:hint="eastAsia" w:ascii="宋体" w:hAnsi="宋体" w:cs="宋体"/>
                <w:sz w:val="13"/>
                <w:szCs w:val="13"/>
              </w:rPr>
            </w:pPr>
          </w:p>
          <w:p w14:paraId="32B0BE2D">
            <w:pPr>
              <w:pStyle w:val="522"/>
              <w:tabs>
                <w:tab w:val="right" w:leader="dot" w:pos="9354"/>
              </w:tabs>
              <w:ind w:left="0" w:leftChars="0"/>
              <w:jc w:val="center"/>
              <w:rPr>
                <w:rFonts w:hint="eastAsia" w:ascii="宋体" w:hAnsi="宋体" w:cs="宋体"/>
                <w:sz w:val="13"/>
                <w:szCs w:val="13"/>
              </w:rPr>
            </w:pPr>
          </w:p>
          <w:p w14:paraId="6DA27B55">
            <w:pPr>
              <w:pStyle w:val="522"/>
              <w:tabs>
                <w:tab w:val="right" w:leader="dot" w:pos="9354"/>
              </w:tabs>
              <w:ind w:left="0" w:leftChars="0"/>
              <w:jc w:val="center"/>
              <w:rPr>
                <w:rFonts w:hint="eastAsia" w:ascii="宋体" w:hAnsi="宋体" w:cs="宋体"/>
                <w:sz w:val="13"/>
                <w:szCs w:val="13"/>
              </w:rPr>
            </w:pPr>
          </w:p>
          <w:p w14:paraId="60939182">
            <w:pPr>
              <w:pStyle w:val="522"/>
              <w:tabs>
                <w:tab w:val="right" w:leader="dot" w:pos="9354"/>
              </w:tabs>
              <w:ind w:left="0" w:leftChars="0"/>
              <w:jc w:val="center"/>
              <w:rPr>
                <w:rFonts w:hint="eastAsia" w:ascii="宋体" w:hAnsi="宋体" w:cs="宋体"/>
                <w:sz w:val="13"/>
                <w:szCs w:val="13"/>
              </w:rPr>
            </w:pPr>
          </w:p>
          <w:p w14:paraId="71222C28">
            <w:pPr>
              <w:pStyle w:val="522"/>
              <w:tabs>
                <w:tab w:val="right" w:leader="dot" w:pos="9354"/>
              </w:tabs>
              <w:ind w:left="0" w:leftChars="0"/>
              <w:jc w:val="center"/>
              <w:rPr>
                <w:rFonts w:hint="eastAsia" w:ascii="宋体" w:hAnsi="宋体" w:cs="宋体"/>
                <w:sz w:val="13"/>
                <w:szCs w:val="13"/>
              </w:rPr>
            </w:pPr>
          </w:p>
          <w:p w14:paraId="7BD7C2C1">
            <w:pPr>
              <w:pStyle w:val="522"/>
              <w:tabs>
                <w:tab w:val="right" w:leader="dot" w:pos="9354"/>
              </w:tabs>
              <w:ind w:left="0" w:leftChars="0"/>
              <w:jc w:val="center"/>
              <w:rPr>
                <w:rFonts w:hint="eastAsia" w:ascii="宋体" w:hAnsi="宋体" w:cs="宋体"/>
                <w:sz w:val="13"/>
                <w:szCs w:val="13"/>
              </w:rPr>
            </w:pPr>
          </w:p>
        </w:tc>
        <w:tc>
          <w:tcPr>
            <w:tcW w:w="757" w:type="dxa"/>
            <w:vAlign w:val="center"/>
          </w:tcPr>
          <w:p w14:paraId="0A75304A">
            <w:pPr>
              <w:pStyle w:val="522"/>
              <w:tabs>
                <w:tab w:val="right" w:leader="dot" w:pos="9354"/>
              </w:tabs>
              <w:ind w:left="0" w:leftChars="0"/>
              <w:jc w:val="center"/>
              <w:rPr>
                <w:rFonts w:hint="eastAsia" w:ascii="宋体" w:hAnsi="宋体" w:cs="宋体"/>
                <w:sz w:val="13"/>
                <w:szCs w:val="13"/>
              </w:rPr>
            </w:pPr>
          </w:p>
          <w:p w14:paraId="696B8C11">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6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9"/>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69D4FA7B">
            <w:pPr>
              <w:pStyle w:val="522"/>
              <w:tabs>
                <w:tab w:val="right" w:leader="dot" w:pos="9354"/>
              </w:tabs>
              <w:ind w:left="0" w:leftChars="0"/>
              <w:jc w:val="center"/>
              <w:rPr>
                <w:rFonts w:hint="eastAsia" w:ascii="宋体" w:hAnsi="宋体" w:cs="宋体"/>
                <w:sz w:val="13"/>
                <w:szCs w:val="13"/>
              </w:rPr>
            </w:pPr>
          </w:p>
          <w:p w14:paraId="1A4FA828">
            <w:pPr>
              <w:pStyle w:val="522"/>
              <w:tabs>
                <w:tab w:val="right" w:leader="dot" w:pos="9354"/>
              </w:tabs>
              <w:ind w:left="0" w:leftChars="0"/>
              <w:jc w:val="center"/>
              <w:rPr>
                <w:rFonts w:hint="eastAsia" w:ascii="宋体" w:hAnsi="宋体" w:cs="宋体"/>
                <w:sz w:val="13"/>
                <w:szCs w:val="13"/>
              </w:rPr>
            </w:pPr>
          </w:p>
          <w:p w14:paraId="713DE5FC">
            <w:pPr>
              <w:pStyle w:val="522"/>
              <w:tabs>
                <w:tab w:val="right" w:leader="dot" w:pos="9354"/>
              </w:tabs>
              <w:ind w:left="0" w:leftChars="0"/>
              <w:jc w:val="center"/>
              <w:rPr>
                <w:rFonts w:hint="eastAsia" w:ascii="宋体" w:hAnsi="宋体" w:cs="宋体"/>
                <w:sz w:val="13"/>
                <w:szCs w:val="13"/>
              </w:rPr>
            </w:pPr>
          </w:p>
          <w:p w14:paraId="28BDC4D1">
            <w:pPr>
              <w:pStyle w:val="522"/>
              <w:tabs>
                <w:tab w:val="right" w:leader="dot" w:pos="9354"/>
              </w:tabs>
              <w:ind w:left="0" w:leftChars="0"/>
              <w:jc w:val="center"/>
              <w:rPr>
                <w:rFonts w:hint="eastAsia" w:ascii="宋体" w:hAnsi="宋体" w:cs="宋体"/>
                <w:sz w:val="13"/>
                <w:szCs w:val="13"/>
              </w:rPr>
            </w:pPr>
          </w:p>
          <w:p w14:paraId="1E266023">
            <w:pPr>
              <w:pStyle w:val="522"/>
              <w:tabs>
                <w:tab w:val="right" w:leader="dot" w:pos="9354"/>
              </w:tabs>
              <w:ind w:left="0" w:leftChars="0"/>
              <w:jc w:val="center"/>
              <w:rPr>
                <w:rFonts w:hint="eastAsia" w:ascii="宋体" w:hAnsi="宋体" w:cs="宋体"/>
                <w:sz w:val="13"/>
                <w:szCs w:val="13"/>
              </w:rPr>
            </w:pPr>
          </w:p>
          <w:p w14:paraId="40DA7BAE">
            <w:pPr>
              <w:pStyle w:val="522"/>
              <w:tabs>
                <w:tab w:val="right" w:leader="dot" w:pos="9354"/>
              </w:tabs>
              <w:ind w:left="0" w:leftChars="0"/>
              <w:jc w:val="center"/>
              <w:rPr>
                <w:rFonts w:hint="eastAsia" w:ascii="宋体" w:hAnsi="宋体" w:cs="宋体"/>
                <w:sz w:val="13"/>
                <w:szCs w:val="13"/>
              </w:rPr>
            </w:pPr>
          </w:p>
          <w:p w14:paraId="4B0D14C6">
            <w:pPr>
              <w:pStyle w:val="522"/>
              <w:tabs>
                <w:tab w:val="right" w:leader="dot" w:pos="9354"/>
              </w:tabs>
              <w:ind w:left="0" w:leftChars="0"/>
              <w:jc w:val="center"/>
              <w:rPr>
                <w:rFonts w:hint="eastAsia" w:ascii="宋体" w:hAnsi="宋体" w:cs="宋体"/>
                <w:sz w:val="13"/>
                <w:szCs w:val="13"/>
              </w:rPr>
            </w:pPr>
          </w:p>
          <w:p w14:paraId="26DFE7FB">
            <w:pPr>
              <w:pStyle w:val="522"/>
              <w:tabs>
                <w:tab w:val="right" w:leader="dot" w:pos="9354"/>
              </w:tabs>
              <w:ind w:left="0" w:leftChars="0"/>
              <w:jc w:val="center"/>
              <w:rPr>
                <w:rFonts w:hint="eastAsia" w:ascii="宋体" w:hAnsi="宋体" w:cs="宋体"/>
                <w:sz w:val="13"/>
                <w:szCs w:val="13"/>
              </w:rPr>
            </w:pPr>
          </w:p>
          <w:p w14:paraId="447DB8AC">
            <w:pPr>
              <w:pStyle w:val="522"/>
              <w:tabs>
                <w:tab w:val="right" w:leader="dot" w:pos="9354"/>
              </w:tabs>
              <w:ind w:left="0" w:leftChars="0"/>
              <w:jc w:val="center"/>
              <w:rPr>
                <w:rFonts w:hint="eastAsia" w:ascii="宋体" w:hAnsi="宋体" w:cs="宋体"/>
                <w:sz w:val="13"/>
                <w:szCs w:val="13"/>
              </w:rPr>
            </w:pPr>
          </w:p>
        </w:tc>
        <w:tc>
          <w:tcPr>
            <w:tcW w:w="898" w:type="dxa"/>
            <w:vAlign w:val="center"/>
          </w:tcPr>
          <w:p w14:paraId="662EE713">
            <w:pPr>
              <w:pStyle w:val="522"/>
              <w:tabs>
                <w:tab w:val="right" w:leader="dot" w:pos="9354"/>
              </w:tabs>
              <w:ind w:left="0" w:leftChars="0"/>
              <w:jc w:val="center"/>
              <w:rPr>
                <w:rFonts w:hint="eastAsia" w:ascii="宋体" w:hAnsi="宋体" w:cs="宋体"/>
                <w:sz w:val="13"/>
                <w:szCs w:val="13"/>
              </w:rPr>
            </w:pPr>
          </w:p>
          <w:p w14:paraId="6E7B42DF">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6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0"/>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6CA6AD66">
            <w:pPr>
              <w:pStyle w:val="522"/>
              <w:tabs>
                <w:tab w:val="right" w:leader="dot" w:pos="9354"/>
              </w:tabs>
              <w:ind w:left="0" w:leftChars="0"/>
              <w:jc w:val="center"/>
              <w:rPr>
                <w:rFonts w:hint="eastAsia" w:ascii="宋体" w:hAnsi="宋体" w:cs="宋体"/>
                <w:sz w:val="13"/>
                <w:szCs w:val="13"/>
              </w:rPr>
            </w:pPr>
          </w:p>
          <w:p w14:paraId="447EAD46">
            <w:pPr>
              <w:pStyle w:val="522"/>
              <w:tabs>
                <w:tab w:val="right" w:leader="dot" w:pos="9354"/>
              </w:tabs>
              <w:ind w:left="0" w:leftChars="0"/>
              <w:jc w:val="center"/>
              <w:rPr>
                <w:rFonts w:hint="eastAsia" w:ascii="宋体" w:hAnsi="宋体" w:cs="宋体"/>
                <w:sz w:val="13"/>
                <w:szCs w:val="13"/>
              </w:rPr>
            </w:pPr>
          </w:p>
          <w:p w14:paraId="5914BCC8">
            <w:pPr>
              <w:pStyle w:val="522"/>
              <w:tabs>
                <w:tab w:val="right" w:leader="dot" w:pos="9354"/>
              </w:tabs>
              <w:ind w:left="0" w:leftChars="0"/>
              <w:jc w:val="center"/>
              <w:rPr>
                <w:rFonts w:hint="eastAsia" w:ascii="宋体" w:hAnsi="宋体" w:cs="宋体"/>
                <w:sz w:val="13"/>
                <w:szCs w:val="13"/>
              </w:rPr>
            </w:pPr>
          </w:p>
          <w:p w14:paraId="5C17F174">
            <w:pPr>
              <w:pStyle w:val="522"/>
              <w:tabs>
                <w:tab w:val="right" w:leader="dot" w:pos="9354"/>
              </w:tabs>
              <w:ind w:left="0" w:leftChars="0"/>
              <w:jc w:val="center"/>
              <w:rPr>
                <w:rFonts w:hint="eastAsia" w:ascii="宋体" w:hAnsi="宋体" w:cs="宋体"/>
                <w:sz w:val="13"/>
                <w:szCs w:val="13"/>
              </w:rPr>
            </w:pPr>
          </w:p>
          <w:p w14:paraId="7D96A0A9">
            <w:pPr>
              <w:pStyle w:val="522"/>
              <w:tabs>
                <w:tab w:val="right" w:leader="dot" w:pos="9354"/>
              </w:tabs>
              <w:ind w:left="0" w:leftChars="0"/>
              <w:jc w:val="center"/>
              <w:rPr>
                <w:rFonts w:hint="eastAsia" w:ascii="宋体" w:hAnsi="宋体" w:cs="宋体"/>
                <w:sz w:val="13"/>
                <w:szCs w:val="13"/>
              </w:rPr>
            </w:pPr>
          </w:p>
          <w:p w14:paraId="0C3B5CC0">
            <w:pPr>
              <w:pStyle w:val="522"/>
              <w:tabs>
                <w:tab w:val="right" w:leader="dot" w:pos="9354"/>
              </w:tabs>
              <w:ind w:left="0" w:leftChars="0"/>
              <w:jc w:val="center"/>
              <w:rPr>
                <w:rFonts w:hint="eastAsia" w:ascii="宋体" w:hAnsi="宋体" w:cs="宋体"/>
                <w:sz w:val="13"/>
                <w:szCs w:val="13"/>
              </w:rPr>
            </w:pPr>
          </w:p>
          <w:p w14:paraId="231F9FA4">
            <w:pPr>
              <w:pStyle w:val="522"/>
              <w:tabs>
                <w:tab w:val="right" w:leader="dot" w:pos="9354"/>
              </w:tabs>
              <w:ind w:left="0" w:leftChars="0"/>
              <w:jc w:val="center"/>
              <w:rPr>
                <w:rFonts w:hint="eastAsia" w:ascii="宋体" w:hAnsi="宋体" w:cs="宋体"/>
                <w:sz w:val="13"/>
                <w:szCs w:val="13"/>
              </w:rPr>
            </w:pPr>
          </w:p>
          <w:p w14:paraId="5B572DF6">
            <w:pPr>
              <w:pStyle w:val="522"/>
              <w:tabs>
                <w:tab w:val="right" w:leader="dot" w:pos="9354"/>
              </w:tabs>
              <w:ind w:left="0" w:leftChars="0"/>
              <w:jc w:val="center"/>
              <w:rPr>
                <w:rFonts w:hint="eastAsia" w:ascii="宋体" w:hAnsi="宋体" w:cs="宋体"/>
                <w:sz w:val="13"/>
                <w:szCs w:val="13"/>
              </w:rPr>
            </w:pPr>
          </w:p>
          <w:p w14:paraId="3FEDA32F">
            <w:pPr>
              <w:pStyle w:val="522"/>
              <w:tabs>
                <w:tab w:val="right" w:leader="dot" w:pos="9354"/>
              </w:tabs>
              <w:ind w:left="0" w:leftChars="0"/>
              <w:jc w:val="center"/>
              <w:rPr>
                <w:rFonts w:hint="eastAsia" w:ascii="宋体" w:hAnsi="宋体" w:cs="宋体"/>
                <w:sz w:val="13"/>
                <w:szCs w:val="13"/>
              </w:rPr>
            </w:pPr>
          </w:p>
        </w:tc>
        <w:tc>
          <w:tcPr>
            <w:tcW w:w="820" w:type="dxa"/>
            <w:vAlign w:val="center"/>
          </w:tcPr>
          <w:p w14:paraId="70B85D8A">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C</w:t>
            </w:r>
          </w:p>
        </w:tc>
        <w:tc>
          <w:tcPr>
            <w:tcW w:w="785" w:type="dxa"/>
            <w:vAlign w:val="center"/>
          </w:tcPr>
          <w:p w14:paraId="3F9C19CF">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A—60</w:t>
            </w:r>
          </w:p>
        </w:tc>
        <w:tc>
          <w:tcPr>
            <w:tcW w:w="820" w:type="dxa"/>
            <w:vAlign w:val="center"/>
          </w:tcPr>
          <w:p w14:paraId="21D9DE18">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857" w:type="dxa"/>
            <w:vAlign w:val="center"/>
          </w:tcPr>
          <w:p w14:paraId="6413DC84">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784" w:type="dxa"/>
            <w:vAlign w:val="center"/>
          </w:tcPr>
          <w:p w14:paraId="58435D2B">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441" w:type="dxa"/>
            <w:vAlign w:val="center"/>
          </w:tcPr>
          <w:p w14:paraId="319FB0B8">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c>
          <w:tcPr>
            <w:tcW w:w="678" w:type="dxa"/>
            <w:vAlign w:val="center"/>
          </w:tcPr>
          <w:p w14:paraId="5B42404C">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r>
      <w:tr w14:paraId="2C318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exact"/>
          <w:jc w:val="center"/>
        </w:trPr>
        <w:tc>
          <w:tcPr>
            <w:tcW w:w="1406" w:type="dxa"/>
            <w:vAlign w:val="center"/>
          </w:tcPr>
          <w:p w14:paraId="46B57EE0">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A类机器处所⑥</w:t>
            </w:r>
          </w:p>
        </w:tc>
        <w:tc>
          <w:tcPr>
            <w:tcW w:w="770" w:type="dxa"/>
            <w:vAlign w:val="center"/>
          </w:tcPr>
          <w:p w14:paraId="3E3E2EE9">
            <w:pPr>
              <w:pStyle w:val="522"/>
              <w:tabs>
                <w:tab w:val="right" w:leader="dot" w:pos="9354"/>
              </w:tabs>
              <w:ind w:left="0" w:leftChars="0"/>
              <w:jc w:val="center"/>
              <w:rPr>
                <w:rFonts w:hint="eastAsia" w:ascii="宋体" w:hAnsi="宋体" w:cs="宋体"/>
                <w:sz w:val="13"/>
                <w:szCs w:val="13"/>
              </w:rPr>
            </w:pPr>
          </w:p>
          <w:p w14:paraId="66B00316">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6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1"/>
                          <pic:cNvPicPr>
                            <a:picLocks noChangeAspect="1"/>
                          </pic:cNvPicPr>
                        </pic:nvPicPr>
                        <pic:blipFill>
                          <a:blip r:embed="rId26"/>
                          <a:stretch>
                            <a:fillRect/>
                          </a:stretch>
                        </pic:blipFill>
                        <pic:spPr>
                          <a:xfrm>
                            <a:off x="0" y="0"/>
                            <a:ext cx="8255" cy="10160"/>
                          </a:xfrm>
                          <a:prstGeom prst="rect">
                            <a:avLst/>
                          </a:prstGeom>
                          <a:noFill/>
                          <a:ln>
                            <a:noFill/>
                          </a:ln>
                        </pic:spPr>
                      </pic:pic>
                    </a:graphicData>
                  </a:graphic>
                </wp:inline>
              </w:drawing>
            </w:r>
          </w:p>
          <w:p w14:paraId="79A73469">
            <w:pPr>
              <w:pStyle w:val="522"/>
              <w:tabs>
                <w:tab w:val="right" w:leader="dot" w:pos="9354"/>
              </w:tabs>
              <w:ind w:left="0" w:leftChars="0"/>
              <w:jc w:val="center"/>
              <w:rPr>
                <w:rFonts w:hint="eastAsia" w:ascii="宋体" w:hAnsi="宋体" w:cs="宋体"/>
                <w:sz w:val="13"/>
                <w:szCs w:val="13"/>
              </w:rPr>
            </w:pPr>
          </w:p>
          <w:p w14:paraId="491D01B4">
            <w:pPr>
              <w:pStyle w:val="522"/>
              <w:tabs>
                <w:tab w:val="right" w:leader="dot" w:pos="9354"/>
              </w:tabs>
              <w:ind w:left="0" w:leftChars="0"/>
              <w:jc w:val="center"/>
              <w:rPr>
                <w:rFonts w:hint="eastAsia" w:ascii="宋体" w:hAnsi="宋体" w:cs="宋体"/>
                <w:sz w:val="13"/>
                <w:szCs w:val="13"/>
              </w:rPr>
            </w:pPr>
          </w:p>
          <w:p w14:paraId="7E39FB14">
            <w:pPr>
              <w:pStyle w:val="522"/>
              <w:tabs>
                <w:tab w:val="right" w:leader="dot" w:pos="9354"/>
              </w:tabs>
              <w:ind w:left="0" w:leftChars="0"/>
              <w:jc w:val="center"/>
              <w:rPr>
                <w:rFonts w:hint="eastAsia" w:ascii="宋体" w:hAnsi="宋体" w:cs="宋体"/>
                <w:sz w:val="13"/>
                <w:szCs w:val="13"/>
              </w:rPr>
            </w:pPr>
          </w:p>
          <w:p w14:paraId="6E4967BB">
            <w:pPr>
              <w:pStyle w:val="522"/>
              <w:tabs>
                <w:tab w:val="right" w:leader="dot" w:pos="9354"/>
              </w:tabs>
              <w:ind w:left="0" w:leftChars="0"/>
              <w:jc w:val="center"/>
              <w:rPr>
                <w:rFonts w:hint="eastAsia" w:ascii="宋体" w:hAnsi="宋体" w:cs="宋体"/>
                <w:sz w:val="13"/>
                <w:szCs w:val="13"/>
              </w:rPr>
            </w:pPr>
          </w:p>
          <w:p w14:paraId="50B1DACB">
            <w:pPr>
              <w:pStyle w:val="522"/>
              <w:tabs>
                <w:tab w:val="right" w:leader="dot" w:pos="9354"/>
              </w:tabs>
              <w:ind w:left="0" w:leftChars="0"/>
              <w:jc w:val="center"/>
              <w:rPr>
                <w:rFonts w:hint="eastAsia" w:ascii="宋体" w:hAnsi="宋体" w:cs="宋体"/>
                <w:sz w:val="13"/>
                <w:szCs w:val="13"/>
              </w:rPr>
            </w:pPr>
          </w:p>
          <w:p w14:paraId="4DC45122">
            <w:pPr>
              <w:pStyle w:val="522"/>
              <w:tabs>
                <w:tab w:val="right" w:leader="dot" w:pos="9354"/>
              </w:tabs>
              <w:ind w:left="0" w:leftChars="0"/>
              <w:jc w:val="center"/>
              <w:rPr>
                <w:rFonts w:hint="eastAsia" w:ascii="宋体" w:hAnsi="宋体" w:cs="宋体"/>
                <w:sz w:val="13"/>
                <w:szCs w:val="13"/>
              </w:rPr>
            </w:pPr>
          </w:p>
        </w:tc>
        <w:tc>
          <w:tcPr>
            <w:tcW w:w="778" w:type="dxa"/>
            <w:vAlign w:val="center"/>
          </w:tcPr>
          <w:p w14:paraId="6CDAD9A4">
            <w:pPr>
              <w:pStyle w:val="522"/>
              <w:tabs>
                <w:tab w:val="right" w:leader="dot" w:pos="9354"/>
              </w:tabs>
              <w:ind w:left="0" w:leftChars="0"/>
              <w:jc w:val="center"/>
              <w:rPr>
                <w:rFonts w:hint="eastAsia" w:ascii="宋体" w:hAnsi="宋体" w:cs="宋体"/>
                <w:sz w:val="13"/>
                <w:szCs w:val="13"/>
              </w:rPr>
            </w:pPr>
          </w:p>
          <w:p w14:paraId="2448BC45">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6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2"/>
                          <pic:cNvPicPr>
                            <a:picLocks noChangeAspect="1"/>
                          </pic:cNvPicPr>
                        </pic:nvPicPr>
                        <pic:blipFill>
                          <a:blip r:embed="rId26"/>
                          <a:stretch>
                            <a:fillRect/>
                          </a:stretch>
                        </pic:blipFill>
                        <pic:spPr>
                          <a:xfrm>
                            <a:off x="0" y="0"/>
                            <a:ext cx="8255" cy="10160"/>
                          </a:xfrm>
                          <a:prstGeom prst="rect">
                            <a:avLst/>
                          </a:prstGeom>
                          <a:noFill/>
                          <a:ln>
                            <a:noFill/>
                          </a:ln>
                        </pic:spPr>
                      </pic:pic>
                    </a:graphicData>
                  </a:graphic>
                </wp:inline>
              </w:drawing>
            </w:r>
          </w:p>
          <w:p w14:paraId="6BEF622A">
            <w:pPr>
              <w:pStyle w:val="522"/>
              <w:tabs>
                <w:tab w:val="right" w:leader="dot" w:pos="9354"/>
              </w:tabs>
              <w:ind w:left="0" w:leftChars="0"/>
              <w:jc w:val="center"/>
              <w:rPr>
                <w:rFonts w:hint="eastAsia" w:ascii="宋体" w:hAnsi="宋体" w:cs="宋体"/>
                <w:sz w:val="13"/>
                <w:szCs w:val="13"/>
              </w:rPr>
            </w:pPr>
          </w:p>
          <w:p w14:paraId="3EF43E2B">
            <w:pPr>
              <w:pStyle w:val="522"/>
              <w:tabs>
                <w:tab w:val="right" w:leader="dot" w:pos="9354"/>
              </w:tabs>
              <w:ind w:left="0" w:leftChars="0"/>
              <w:jc w:val="center"/>
              <w:rPr>
                <w:rFonts w:hint="eastAsia" w:ascii="宋体" w:hAnsi="宋体" w:cs="宋体"/>
                <w:sz w:val="13"/>
                <w:szCs w:val="13"/>
              </w:rPr>
            </w:pPr>
          </w:p>
          <w:p w14:paraId="2FC962F6">
            <w:pPr>
              <w:pStyle w:val="522"/>
              <w:tabs>
                <w:tab w:val="right" w:leader="dot" w:pos="9354"/>
              </w:tabs>
              <w:ind w:left="0" w:leftChars="0"/>
              <w:jc w:val="center"/>
              <w:rPr>
                <w:rFonts w:hint="eastAsia" w:ascii="宋体" w:hAnsi="宋体" w:cs="宋体"/>
                <w:sz w:val="13"/>
                <w:szCs w:val="13"/>
              </w:rPr>
            </w:pPr>
          </w:p>
          <w:p w14:paraId="30E04389">
            <w:pPr>
              <w:pStyle w:val="522"/>
              <w:tabs>
                <w:tab w:val="right" w:leader="dot" w:pos="9354"/>
              </w:tabs>
              <w:ind w:left="0" w:leftChars="0"/>
              <w:jc w:val="center"/>
              <w:rPr>
                <w:rFonts w:hint="eastAsia" w:ascii="宋体" w:hAnsi="宋体" w:cs="宋体"/>
                <w:sz w:val="13"/>
                <w:szCs w:val="13"/>
              </w:rPr>
            </w:pPr>
          </w:p>
          <w:p w14:paraId="60099599">
            <w:pPr>
              <w:pStyle w:val="522"/>
              <w:tabs>
                <w:tab w:val="right" w:leader="dot" w:pos="9354"/>
              </w:tabs>
              <w:ind w:left="0" w:leftChars="0"/>
              <w:jc w:val="center"/>
              <w:rPr>
                <w:rFonts w:hint="eastAsia" w:ascii="宋体" w:hAnsi="宋体" w:cs="宋体"/>
                <w:sz w:val="13"/>
                <w:szCs w:val="13"/>
              </w:rPr>
            </w:pPr>
          </w:p>
          <w:p w14:paraId="706BCE7B">
            <w:pPr>
              <w:pStyle w:val="522"/>
              <w:tabs>
                <w:tab w:val="right" w:leader="dot" w:pos="9354"/>
              </w:tabs>
              <w:ind w:left="0" w:leftChars="0"/>
              <w:jc w:val="center"/>
              <w:rPr>
                <w:rFonts w:hint="eastAsia" w:ascii="宋体" w:hAnsi="宋体" w:cs="宋体"/>
                <w:sz w:val="13"/>
                <w:szCs w:val="13"/>
              </w:rPr>
            </w:pPr>
          </w:p>
        </w:tc>
        <w:tc>
          <w:tcPr>
            <w:tcW w:w="757" w:type="dxa"/>
            <w:vAlign w:val="center"/>
          </w:tcPr>
          <w:p w14:paraId="3AB45164">
            <w:pPr>
              <w:pStyle w:val="522"/>
              <w:tabs>
                <w:tab w:val="right" w:leader="dot" w:pos="9354"/>
              </w:tabs>
              <w:ind w:left="0" w:leftChars="0"/>
              <w:jc w:val="center"/>
              <w:rPr>
                <w:rFonts w:hint="eastAsia" w:ascii="宋体" w:hAnsi="宋体" w:cs="宋体"/>
                <w:sz w:val="13"/>
                <w:szCs w:val="13"/>
              </w:rPr>
            </w:pPr>
          </w:p>
          <w:p w14:paraId="737F714C">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6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3"/>
                          <pic:cNvPicPr>
                            <a:picLocks noChangeAspect="1"/>
                          </pic:cNvPicPr>
                        </pic:nvPicPr>
                        <pic:blipFill>
                          <a:blip r:embed="rId26"/>
                          <a:stretch>
                            <a:fillRect/>
                          </a:stretch>
                        </pic:blipFill>
                        <pic:spPr>
                          <a:xfrm>
                            <a:off x="0" y="0"/>
                            <a:ext cx="8255" cy="10160"/>
                          </a:xfrm>
                          <a:prstGeom prst="rect">
                            <a:avLst/>
                          </a:prstGeom>
                          <a:noFill/>
                          <a:ln>
                            <a:noFill/>
                          </a:ln>
                        </pic:spPr>
                      </pic:pic>
                    </a:graphicData>
                  </a:graphic>
                </wp:inline>
              </w:drawing>
            </w:r>
          </w:p>
          <w:p w14:paraId="03AA4CA3">
            <w:pPr>
              <w:pStyle w:val="522"/>
              <w:tabs>
                <w:tab w:val="right" w:leader="dot" w:pos="9354"/>
              </w:tabs>
              <w:ind w:left="0" w:leftChars="0"/>
              <w:jc w:val="center"/>
              <w:rPr>
                <w:rFonts w:hint="eastAsia" w:ascii="宋体" w:hAnsi="宋体" w:cs="宋体"/>
                <w:sz w:val="13"/>
                <w:szCs w:val="13"/>
              </w:rPr>
            </w:pPr>
          </w:p>
          <w:p w14:paraId="7803F7C7">
            <w:pPr>
              <w:pStyle w:val="522"/>
              <w:tabs>
                <w:tab w:val="right" w:leader="dot" w:pos="9354"/>
              </w:tabs>
              <w:ind w:left="0" w:leftChars="0"/>
              <w:jc w:val="center"/>
              <w:rPr>
                <w:rFonts w:hint="eastAsia" w:ascii="宋体" w:hAnsi="宋体" w:cs="宋体"/>
                <w:sz w:val="13"/>
                <w:szCs w:val="13"/>
              </w:rPr>
            </w:pPr>
          </w:p>
          <w:p w14:paraId="11290C64">
            <w:pPr>
              <w:pStyle w:val="522"/>
              <w:tabs>
                <w:tab w:val="right" w:leader="dot" w:pos="9354"/>
              </w:tabs>
              <w:ind w:left="0" w:leftChars="0"/>
              <w:jc w:val="center"/>
              <w:rPr>
                <w:rFonts w:hint="eastAsia" w:ascii="宋体" w:hAnsi="宋体" w:cs="宋体"/>
                <w:sz w:val="13"/>
                <w:szCs w:val="13"/>
              </w:rPr>
            </w:pPr>
          </w:p>
          <w:p w14:paraId="21CFD7EB">
            <w:pPr>
              <w:pStyle w:val="522"/>
              <w:tabs>
                <w:tab w:val="right" w:leader="dot" w:pos="9354"/>
              </w:tabs>
              <w:ind w:left="0" w:leftChars="0"/>
              <w:jc w:val="center"/>
              <w:rPr>
                <w:rFonts w:hint="eastAsia" w:ascii="宋体" w:hAnsi="宋体" w:cs="宋体"/>
                <w:sz w:val="13"/>
                <w:szCs w:val="13"/>
              </w:rPr>
            </w:pPr>
          </w:p>
          <w:p w14:paraId="2981DBC9">
            <w:pPr>
              <w:pStyle w:val="522"/>
              <w:tabs>
                <w:tab w:val="right" w:leader="dot" w:pos="9354"/>
              </w:tabs>
              <w:ind w:left="0" w:leftChars="0"/>
              <w:jc w:val="center"/>
              <w:rPr>
                <w:rFonts w:hint="eastAsia" w:ascii="宋体" w:hAnsi="宋体" w:cs="宋体"/>
                <w:sz w:val="13"/>
                <w:szCs w:val="13"/>
              </w:rPr>
            </w:pPr>
          </w:p>
          <w:p w14:paraId="7A3F0387">
            <w:pPr>
              <w:pStyle w:val="522"/>
              <w:tabs>
                <w:tab w:val="right" w:leader="dot" w:pos="9354"/>
              </w:tabs>
              <w:ind w:left="0" w:leftChars="0"/>
              <w:jc w:val="center"/>
              <w:rPr>
                <w:rFonts w:hint="eastAsia" w:ascii="宋体" w:hAnsi="宋体" w:cs="宋体"/>
                <w:sz w:val="13"/>
                <w:szCs w:val="13"/>
              </w:rPr>
            </w:pPr>
          </w:p>
        </w:tc>
        <w:tc>
          <w:tcPr>
            <w:tcW w:w="898" w:type="dxa"/>
            <w:vAlign w:val="center"/>
          </w:tcPr>
          <w:p w14:paraId="1DE14D7F">
            <w:pPr>
              <w:pStyle w:val="522"/>
              <w:tabs>
                <w:tab w:val="right" w:leader="dot" w:pos="9354"/>
              </w:tabs>
              <w:ind w:left="0" w:leftChars="0"/>
              <w:jc w:val="center"/>
              <w:rPr>
                <w:rFonts w:hint="eastAsia" w:ascii="宋体" w:hAnsi="宋体" w:cs="宋体"/>
                <w:sz w:val="13"/>
                <w:szCs w:val="13"/>
              </w:rPr>
            </w:pPr>
          </w:p>
          <w:p w14:paraId="180E2C3E">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7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4"/>
                          <pic:cNvPicPr>
                            <a:picLocks noChangeAspect="1"/>
                          </pic:cNvPicPr>
                        </pic:nvPicPr>
                        <pic:blipFill>
                          <a:blip r:embed="rId26"/>
                          <a:stretch>
                            <a:fillRect/>
                          </a:stretch>
                        </pic:blipFill>
                        <pic:spPr>
                          <a:xfrm>
                            <a:off x="0" y="0"/>
                            <a:ext cx="8255" cy="10160"/>
                          </a:xfrm>
                          <a:prstGeom prst="rect">
                            <a:avLst/>
                          </a:prstGeom>
                          <a:noFill/>
                          <a:ln>
                            <a:noFill/>
                          </a:ln>
                        </pic:spPr>
                      </pic:pic>
                    </a:graphicData>
                  </a:graphic>
                </wp:inline>
              </w:drawing>
            </w:r>
          </w:p>
          <w:p w14:paraId="5DFA25D7">
            <w:pPr>
              <w:pStyle w:val="522"/>
              <w:tabs>
                <w:tab w:val="right" w:leader="dot" w:pos="9354"/>
              </w:tabs>
              <w:ind w:left="0" w:leftChars="0"/>
              <w:jc w:val="center"/>
              <w:rPr>
                <w:rFonts w:hint="eastAsia" w:ascii="宋体" w:hAnsi="宋体" w:cs="宋体"/>
                <w:sz w:val="13"/>
                <w:szCs w:val="13"/>
              </w:rPr>
            </w:pPr>
          </w:p>
          <w:p w14:paraId="475E0B52">
            <w:pPr>
              <w:pStyle w:val="522"/>
              <w:tabs>
                <w:tab w:val="right" w:leader="dot" w:pos="9354"/>
              </w:tabs>
              <w:ind w:left="0" w:leftChars="0"/>
              <w:jc w:val="center"/>
              <w:rPr>
                <w:rFonts w:hint="eastAsia" w:ascii="宋体" w:hAnsi="宋体" w:cs="宋体"/>
                <w:sz w:val="13"/>
                <w:szCs w:val="13"/>
              </w:rPr>
            </w:pPr>
          </w:p>
          <w:p w14:paraId="2540607A">
            <w:pPr>
              <w:pStyle w:val="522"/>
              <w:tabs>
                <w:tab w:val="right" w:leader="dot" w:pos="9354"/>
              </w:tabs>
              <w:ind w:left="0" w:leftChars="0"/>
              <w:jc w:val="center"/>
              <w:rPr>
                <w:rFonts w:hint="eastAsia" w:ascii="宋体" w:hAnsi="宋体" w:cs="宋体"/>
                <w:sz w:val="13"/>
                <w:szCs w:val="13"/>
              </w:rPr>
            </w:pPr>
          </w:p>
          <w:p w14:paraId="536C734E">
            <w:pPr>
              <w:pStyle w:val="522"/>
              <w:tabs>
                <w:tab w:val="right" w:leader="dot" w:pos="9354"/>
              </w:tabs>
              <w:ind w:left="0" w:leftChars="0"/>
              <w:jc w:val="center"/>
              <w:rPr>
                <w:rFonts w:hint="eastAsia" w:ascii="宋体" w:hAnsi="宋体" w:cs="宋体"/>
                <w:sz w:val="13"/>
                <w:szCs w:val="13"/>
              </w:rPr>
            </w:pPr>
          </w:p>
          <w:p w14:paraId="2E63D8C5">
            <w:pPr>
              <w:pStyle w:val="522"/>
              <w:tabs>
                <w:tab w:val="right" w:leader="dot" w:pos="9354"/>
              </w:tabs>
              <w:ind w:left="0" w:leftChars="0"/>
              <w:jc w:val="center"/>
              <w:rPr>
                <w:rFonts w:hint="eastAsia" w:ascii="宋体" w:hAnsi="宋体" w:cs="宋体"/>
                <w:sz w:val="13"/>
                <w:szCs w:val="13"/>
              </w:rPr>
            </w:pPr>
          </w:p>
          <w:p w14:paraId="7821C426">
            <w:pPr>
              <w:pStyle w:val="522"/>
              <w:tabs>
                <w:tab w:val="right" w:leader="dot" w:pos="9354"/>
              </w:tabs>
              <w:ind w:left="0" w:leftChars="0"/>
              <w:jc w:val="center"/>
              <w:rPr>
                <w:rFonts w:hint="eastAsia" w:ascii="宋体" w:hAnsi="宋体" w:cs="宋体"/>
                <w:sz w:val="13"/>
                <w:szCs w:val="13"/>
              </w:rPr>
            </w:pPr>
          </w:p>
        </w:tc>
        <w:tc>
          <w:tcPr>
            <w:tcW w:w="820" w:type="dxa"/>
            <w:vAlign w:val="center"/>
          </w:tcPr>
          <w:p w14:paraId="3A590B6D">
            <w:pPr>
              <w:pStyle w:val="522"/>
              <w:tabs>
                <w:tab w:val="right" w:leader="dot" w:pos="9354"/>
              </w:tabs>
              <w:ind w:left="0" w:leftChars="0"/>
              <w:jc w:val="center"/>
              <w:rPr>
                <w:rFonts w:hint="eastAsia" w:ascii="宋体" w:hAnsi="宋体" w:cs="宋体"/>
                <w:sz w:val="13"/>
                <w:szCs w:val="13"/>
              </w:rPr>
            </w:pPr>
          </w:p>
          <w:p w14:paraId="6933868E">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7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5"/>
                          <pic:cNvPicPr>
                            <a:picLocks noChangeAspect="1"/>
                          </pic:cNvPicPr>
                        </pic:nvPicPr>
                        <pic:blipFill>
                          <a:blip r:embed="rId26"/>
                          <a:stretch>
                            <a:fillRect/>
                          </a:stretch>
                        </pic:blipFill>
                        <pic:spPr>
                          <a:xfrm>
                            <a:off x="0" y="0"/>
                            <a:ext cx="8255" cy="10160"/>
                          </a:xfrm>
                          <a:prstGeom prst="rect">
                            <a:avLst/>
                          </a:prstGeom>
                          <a:noFill/>
                          <a:ln>
                            <a:noFill/>
                          </a:ln>
                        </pic:spPr>
                      </pic:pic>
                    </a:graphicData>
                  </a:graphic>
                </wp:inline>
              </w:drawing>
            </w:r>
          </w:p>
          <w:p w14:paraId="23AF3564">
            <w:pPr>
              <w:pStyle w:val="522"/>
              <w:tabs>
                <w:tab w:val="right" w:leader="dot" w:pos="9354"/>
              </w:tabs>
              <w:ind w:left="0" w:leftChars="0"/>
              <w:jc w:val="center"/>
              <w:rPr>
                <w:rFonts w:hint="eastAsia" w:ascii="宋体" w:hAnsi="宋体" w:cs="宋体"/>
                <w:sz w:val="13"/>
                <w:szCs w:val="13"/>
              </w:rPr>
            </w:pPr>
          </w:p>
          <w:p w14:paraId="30C2C3E6">
            <w:pPr>
              <w:pStyle w:val="522"/>
              <w:tabs>
                <w:tab w:val="right" w:leader="dot" w:pos="9354"/>
              </w:tabs>
              <w:ind w:left="0" w:leftChars="0"/>
              <w:jc w:val="center"/>
              <w:rPr>
                <w:rFonts w:hint="eastAsia" w:ascii="宋体" w:hAnsi="宋体" w:cs="宋体"/>
                <w:sz w:val="13"/>
                <w:szCs w:val="13"/>
              </w:rPr>
            </w:pPr>
          </w:p>
          <w:p w14:paraId="3B9F827E">
            <w:pPr>
              <w:pStyle w:val="522"/>
              <w:tabs>
                <w:tab w:val="right" w:leader="dot" w:pos="9354"/>
              </w:tabs>
              <w:ind w:left="0" w:leftChars="0"/>
              <w:jc w:val="center"/>
              <w:rPr>
                <w:rFonts w:hint="eastAsia" w:ascii="宋体" w:hAnsi="宋体" w:cs="宋体"/>
                <w:sz w:val="13"/>
                <w:szCs w:val="13"/>
              </w:rPr>
            </w:pPr>
          </w:p>
          <w:p w14:paraId="66282C87">
            <w:pPr>
              <w:pStyle w:val="522"/>
              <w:tabs>
                <w:tab w:val="right" w:leader="dot" w:pos="9354"/>
              </w:tabs>
              <w:ind w:left="0" w:leftChars="0"/>
              <w:jc w:val="center"/>
              <w:rPr>
                <w:rFonts w:hint="eastAsia" w:ascii="宋体" w:hAnsi="宋体" w:cs="宋体"/>
                <w:sz w:val="13"/>
                <w:szCs w:val="13"/>
              </w:rPr>
            </w:pPr>
          </w:p>
          <w:p w14:paraId="530AEB44">
            <w:pPr>
              <w:pStyle w:val="522"/>
              <w:tabs>
                <w:tab w:val="right" w:leader="dot" w:pos="9354"/>
              </w:tabs>
              <w:ind w:left="0" w:leftChars="0"/>
              <w:jc w:val="center"/>
              <w:rPr>
                <w:rFonts w:hint="eastAsia" w:ascii="宋体" w:hAnsi="宋体" w:cs="宋体"/>
                <w:sz w:val="13"/>
                <w:szCs w:val="13"/>
              </w:rPr>
            </w:pPr>
          </w:p>
          <w:p w14:paraId="33740FAA">
            <w:pPr>
              <w:pStyle w:val="522"/>
              <w:tabs>
                <w:tab w:val="right" w:leader="dot" w:pos="9354"/>
              </w:tabs>
              <w:ind w:left="0" w:leftChars="0"/>
              <w:jc w:val="center"/>
              <w:rPr>
                <w:rFonts w:hint="eastAsia" w:ascii="宋体" w:hAnsi="宋体" w:cs="宋体"/>
                <w:sz w:val="13"/>
                <w:szCs w:val="13"/>
              </w:rPr>
            </w:pPr>
          </w:p>
        </w:tc>
        <w:tc>
          <w:tcPr>
            <w:tcW w:w="785" w:type="dxa"/>
            <w:vAlign w:val="center"/>
          </w:tcPr>
          <w:p w14:paraId="53B45643">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*〔1〕</w:t>
            </w:r>
          </w:p>
        </w:tc>
        <w:tc>
          <w:tcPr>
            <w:tcW w:w="820" w:type="dxa"/>
            <w:vAlign w:val="center"/>
          </w:tcPr>
          <w:p w14:paraId="3D7B7D87">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p w14:paraId="059F8F44">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〔1〕</w:t>
            </w:r>
          </w:p>
        </w:tc>
        <w:tc>
          <w:tcPr>
            <w:tcW w:w="857" w:type="dxa"/>
            <w:vAlign w:val="center"/>
          </w:tcPr>
          <w:p w14:paraId="2EB658D5">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784" w:type="dxa"/>
            <w:vAlign w:val="center"/>
          </w:tcPr>
          <w:p w14:paraId="6F433640">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A—60</w:t>
            </w:r>
          </w:p>
        </w:tc>
        <w:tc>
          <w:tcPr>
            <w:tcW w:w="441" w:type="dxa"/>
            <w:vAlign w:val="center"/>
          </w:tcPr>
          <w:p w14:paraId="1D74284D">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c>
          <w:tcPr>
            <w:tcW w:w="678" w:type="dxa"/>
            <w:vAlign w:val="center"/>
          </w:tcPr>
          <w:p w14:paraId="4434D9F6">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r>
      <w:tr w14:paraId="533F2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exact"/>
          <w:jc w:val="center"/>
        </w:trPr>
        <w:tc>
          <w:tcPr>
            <w:tcW w:w="1406" w:type="dxa"/>
            <w:vAlign w:val="center"/>
          </w:tcPr>
          <w:p w14:paraId="66F91038">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其他机器处所⑦</w:t>
            </w:r>
          </w:p>
        </w:tc>
        <w:tc>
          <w:tcPr>
            <w:tcW w:w="770" w:type="dxa"/>
            <w:vAlign w:val="center"/>
          </w:tcPr>
          <w:p w14:paraId="4C19E6BF">
            <w:pPr>
              <w:pStyle w:val="522"/>
              <w:tabs>
                <w:tab w:val="right" w:leader="dot" w:pos="9354"/>
              </w:tabs>
              <w:ind w:left="0" w:leftChars="0"/>
              <w:jc w:val="center"/>
              <w:rPr>
                <w:rFonts w:hint="eastAsia" w:ascii="宋体" w:hAnsi="宋体" w:cs="宋体"/>
                <w:sz w:val="13"/>
                <w:szCs w:val="13"/>
              </w:rPr>
            </w:pPr>
          </w:p>
          <w:p w14:paraId="357CE36B">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7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6"/>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0411681E">
            <w:pPr>
              <w:pStyle w:val="522"/>
              <w:tabs>
                <w:tab w:val="right" w:leader="dot" w:pos="9354"/>
              </w:tabs>
              <w:ind w:left="0" w:leftChars="0"/>
              <w:jc w:val="center"/>
              <w:rPr>
                <w:rFonts w:hint="eastAsia" w:ascii="宋体" w:hAnsi="宋体" w:cs="宋体"/>
                <w:sz w:val="13"/>
                <w:szCs w:val="13"/>
              </w:rPr>
            </w:pPr>
          </w:p>
          <w:p w14:paraId="607C60E7">
            <w:pPr>
              <w:pStyle w:val="522"/>
              <w:tabs>
                <w:tab w:val="right" w:leader="dot" w:pos="9354"/>
              </w:tabs>
              <w:ind w:left="0" w:leftChars="0"/>
              <w:jc w:val="center"/>
              <w:rPr>
                <w:rFonts w:hint="eastAsia" w:ascii="宋体" w:hAnsi="宋体" w:cs="宋体"/>
                <w:sz w:val="13"/>
                <w:szCs w:val="13"/>
              </w:rPr>
            </w:pPr>
          </w:p>
          <w:p w14:paraId="47DE0B58">
            <w:pPr>
              <w:pStyle w:val="522"/>
              <w:tabs>
                <w:tab w:val="right" w:leader="dot" w:pos="9354"/>
              </w:tabs>
              <w:ind w:left="0" w:leftChars="0"/>
              <w:jc w:val="center"/>
              <w:rPr>
                <w:rFonts w:hint="eastAsia" w:ascii="宋体" w:hAnsi="宋体" w:cs="宋体"/>
                <w:sz w:val="13"/>
                <w:szCs w:val="13"/>
              </w:rPr>
            </w:pPr>
          </w:p>
          <w:p w14:paraId="582860F7">
            <w:pPr>
              <w:pStyle w:val="522"/>
              <w:tabs>
                <w:tab w:val="right" w:leader="dot" w:pos="9354"/>
              </w:tabs>
              <w:ind w:left="0" w:leftChars="0"/>
              <w:jc w:val="center"/>
              <w:rPr>
                <w:rFonts w:hint="eastAsia" w:ascii="宋体" w:hAnsi="宋体" w:cs="宋体"/>
                <w:sz w:val="13"/>
                <w:szCs w:val="13"/>
              </w:rPr>
            </w:pPr>
          </w:p>
          <w:p w14:paraId="5E23C4C9">
            <w:pPr>
              <w:pStyle w:val="522"/>
              <w:tabs>
                <w:tab w:val="right" w:leader="dot" w:pos="9354"/>
              </w:tabs>
              <w:ind w:left="0" w:leftChars="0"/>
              <w:jc w:val="center"/>
              <w:rPr>
                <w:rFonts w:hint="eastAsia" w:ascii="宋体" w:hAnsi="宋体" w:cs="宋体"/>
                <w:sz w:val="13"/>
                <w:szCs w:val="13"/>
              </w:rPr>
            </w:pPr>
          </w:p>
          <w:p w14:paraId="3E487EEE">
            <w:pPr>
              <w:pStyle w:val="522"/>
              <w:tabs>
                <w:tab w:val="right" w:leader="dot" w:pos="9354"/>
              </w:tabs>
              <w:ind w:left="0" w:leftChars="0"/>
              <w:jc w:val="center"/>
              <w:rPr>
                <w:rFonts w:hint="eastAsia" w:ascii="宋体" w:hAnsi="宋体" w:cs="宋体"/>
                <w:sz w:val="13"/>
                <w:szCs w:val="13"/>
              </w:rPr>
            </w:pPr>
          </w:p>
        </w:tc>
        <w:tc>
          <w:tcPr>
            <w:tcW w:w="778" w:type="dxa"/>
            <w:vAlign w:val="center"/>
          </w:tcPr>
          <w:p w14:paraId="310B4BC6">
            <w:pPr>
              <w:pStyle w:val="522"/>
              <w:tabs>
                <w:tab w:val="right" w:leader="dot" w:pos="9354"/>
              </w:tabs>
              <w:ind w:left="0" w:leftChars="0"/>
              <w:jc w:val="center"/>
              <w:rPr>
                <w:rFonts w:hint="eastAsia" w:ascii="宋体" w:hAnsi="宋体" w:cs="宋体"/>
                <w:sz w:val="13"/>
                <w:szCs w:val="13"/>
              </w:rPr>
            </w:pPr>
          </w:p>
          <w:p w14:paraId="7ABB24DD">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7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7"/>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6BE81C6D">
            <w:pPr>
              <w:pStyle w:val="522"/>
              <w:tabs>
                <w:tab w:val="right" w:leader="dot" w:pos="9354"/>
              </w:tabs>
              <w:ind w:left="0" w:leftChars="0"/>
              <w:jc w:val="center"/>
              <w:rPr>
                <w:rFonts w:hint="eastAsia" w:ascii="宋体" w:hAnsi="宋体" w:cs="宋体"/>
                <w:sz w:val="13"/>
                <w:szCs w:val="13"/>
              </w:rPr>
            </w:pPr>
          </w:p>
          <w:p w14:paraId="280D4895">
            <w:pPr>
              <w:pStyle w:val="522"/>
              <w:tabs>
                <w:tab w:val="right" w:leader="dot" w:pos="9354"/>
              </w:tabs>
              <w:ind w:left="0" w:leftChars="0"/>
              <w:jc w:val="center"/>
              <w:rPr>
                <w:rFonts w:hint="eastAsia" w:ascii="宋体" w:hAnsi="宋体" w:cs="宋体"/>
                <w:sz w:val="13"/>
                <w:szCs w:val="13"/>
              </w:rPr>
            </w:pPr>
          </w:p>
          <w:p w14:paraId="54C26A97">
            <w:pPr>
              <w:pStyle w:val="522"/>
              <w:tabs>
                <w:tab w:val="right" w:leader="dot" w:pos="9354"/>
              </w:tabs>
              <w:ind w:left="0" w:leftChars="0"/>
              <w:jc w:val="center"/>
              <w:rPr>
                <w:rFonts w:hint="eastAsia" w:ascii="宋体" w:hAnsi="宋体" w:cs="宋体"/>
                <w:sz w:val="13"/>
                <w:szCs w:val="13"/>
              </w:rPr>
            </w:pPr>
          </w:p>
          <w:p w14:paraId="2C403BDE">
            <w:pPr>
              <w:pStyle w:val="522"/>
              <w:tabs>
                <w:tab w:val="right" w:leader="dot" w:pos="9354"/>
              </w:tabs>
              <w:ind w:left="0" w:leftChars="0"/>
              <w:jc w:val="center"/>
              <w:rPr>
                <w:rFonts w:hint="eastAsia" w:ascii="宋体" w:hAnsi="宋体" w:cs="宋体"/>
                <w:sz w:val="13"/>
                <w:szCs w:val="13"/>
              </w:rPr>
            </w:pPr>
          </w:p>
          <w:p w14:paraId="30192E87">
            <w:pPr>
              <w:pStyle w:val="522"/>
              <w:tabs>
                <w:tab w:val="right" w:leader="dot" w:pos="9354"/>
              </w:tabs>
              <w:ind w:left="0" w:leftChars="0"/>
              <w:jc w:val="center"/>
              <w:rPr>
                <w:rFonts w:hint="eastAsia" w:ascii="宋体" w:hAnsi="宋体" w:cs="宋体"/>
                <w:sz w:val="13"/>
                <w:szCs w:val="13"/>
              </w:rPr>
            </w:pPr>
          </w:p>
          <w:p w14:paraId="129B7CD6">
            <w:pPr>
              <w:pStyle w:val="522"/>
              <w:tabs>
                <w:tab w:val="right" w:leader="dot" w:pos="9354"/>
              </w:tabs>
              <w:ind w:left="0" w:leftChars="0"/>
              <w:jc w:val="center"/>
              <w:rPr>
                <w:rFonts w:hint="eastAsia" w:ascii="宋体" w:hAnsi="宋体" w:cs="宋体"/>
                <w:sz w:val="13"/>
                <w:szCs w:val="13"/>
              </w:rPr>
            </w:pPr>
          </w:p>
        </w:tc>
        <w:tc>
          <w:tcPr>
            <w:tcW w:w="757" w:type="dxa"/>
            <w:vAlign w:val="center"/>
          </w:tcPr>
          <w:p w14:paraId="15F4EEDB">
            <w:pPr>
              <w:pStyle w:val="522"/>
              <w:tabs>
                <w:tab w:val="right" w:leader="dot" w:pos="9354"/>
              </w:tabs>
              <w:ind w:left="0" w:leftChars="0"/>
              <w:jc w:val="center"/>
              <w:rPr>
                <w:rFonts w:hint="eastAsia" w:ascii="宋体" w:hAnsi="宋体" w:cs="宋体"/>
                <w:sz w:val="13"/>
                <w:szCs w:val="13"/>
              </w:rPr>
            </w:pPr>
          </w:p>
          <w:p w14:paraId="6D1F9BE0">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7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8"/>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55169DE0">
            <w:pPr>
              <w:pStyle w:val="522"/>
              <w:tabs>
                <w:tab w:val="right" w:leader="dot" w:pos="9354"/>
              </w:tabs>
              <w:ind w:left="0" w:leftChars="0"/>
              <w:jc w:val="center"/>
              <w:rPr>
                <w:rFonts w:hint="eastAsia" w:ascii="宋体" w:hAnsi="宋体" w:cs="宋体"/>
                <w:sz w:val="13"/>
                <w:szCs w:val="13"/>
              </w:rPr>
            </w:pPr>
          </w:p>
          <w:p w14:paraId="3C3D8598">
            <w:pPr>
              <w:pStyle w:val="522"/>
              <w:tabs>
                <w:tab w:val="right" w:leader="dot" w:pos="9354"/>
              </w:tabs>
              <w:ind w:left="0" w:leftChars="0"/>
              <w:jc w:val="center"/>
              <w:rPr>
                <w:rFonts w:hint="eastAsia" w:ascii="宋体" w:hAnsi="宋体" w:cs="宋体"/>
                <w:sz w:val="13"/>
                <w:szCs w:val="13"/>
              </w:rPr>
            </w:pPr>
          </w:p>
          <w:p w14:paraId="36009A0E">
            <w:pPr>
              <w:pStyle w:val="522"/>
              <w:tabs>
                <w:tab w:val="right" w:leader="dot" w:pos="9354"/>
              </w:tabs>
              <w:ind w:left="0" w:leftChars="0"/>
              <w:jc w:val="center"/>
              <w:rPr>
                <w:rFonts w:hint="eastAsia" w:ascii="宋体" w:hAnsi="宋体" w:cs="宋体"/>
                <w:sz w:val="13"/>
                <w:szCs w:val="13"/>
              </w:rPr>
            </w:pPr>
          </w:p>
          <w:p w14:paraId="40BA405E">
            <w:pPr>
              <w:pStyle w:val="522"/>
              <w:tabs>
                <w:tab w:val="right" w:leader="dot" w:pos="9354"/>
              </w:tabs>
              <w:ind w:left="0" w:leftChars="0"/>
              <w:jc w:val="center"/>
              <w:rPr>
                <w:rFonts w:hint="eastAsia" w:ascii="宋体" w:hAnsi="宋体" w:cs="宋体"/>
                <w:sz w:val="13"/>
                <w:szCs w:val="13"/>
              </w:rPr>
            </w:pPr>
          </w:p>
          <w:p w14:paraId="73592F11">
            <w:pPr>
              <w:pStyle w:val="522"/>
              <w:tabs>
                <w:tab w:val="right" w:leader="dot" w:pos="9354"/>
              </w:tabs>
              <w:ind w:left="0" w:leftChars="0"/>
              <w:jc w:val="center"/>
              <w:rPr>
                <w:rFonts w:hint="eastAsia" w:ascii="宋体" w:hAnsi="宋体" w:cs="宋体"/>
                <w:sz w:val="13"/>
                <w:szCs w:val="13"/>
              </w:rPr>
            </w:pPr>
          </w:p>
          <w:p w14:paraId="51754C5B">
            <w:pPr>
              <w:pStyle w:val="522"/>
              <w:tabs>
                <w:tab w:val="right" w:leader="dot" w:pos="9354"/>
              </w:tabs>
              <w:ind w:left="0" w:leftChars="0"/>
              <w:jc w:val="center"/>
              <w:rPr>
                <w:rFonts w:hint="eastAsia" w:ascii="宋体" w:hAnsi="宋体" w:cs="宋体"/>
                <w:sz w:val="13"/>
                <w:szCs w:val="13"/>
              </w:rPr>
            </w:pPr>
          </w:p>
        </w:tc>
        <w:tc>
          <w:tcPr>
            <w:tcW w:w="898" w:type="dxa"/>
            <w:vAlign w:val="center"/>
          </w:tcPr>
          <w:p w14:paraId="6EC2DB6A">
            <w:pPr>
              <w:pStyle w:val="522"/>
              <w:tabs>
                <w:tab w:val="right" w:leader="dot" w:pos="9354"/>
              </w:tabs>
              <w:ind w:left="0" w:leftChars="0"/>
              <w:jc w:val="center"/>
              <w:rPr>
                <w:rFonts w:hint="eastAsia" w:ascii="宋体" w:hAnsi="宋体" w:cs="宋体"/>
                <w:sz w:val="13"/>
                <w:szCs w:val="13"/>
              </w:rPr>
            </w:pPr>
          </w:p>
          <w:p w14:paraId="724C680C">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7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9"/>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1F7F6A86">
            <w:pPr>
              <w:pStyle w:val="522"/>
              <w:tabs>
                <w:tab w:val="right" w:leader="dot" w:pos="9354"/>
              </w:tabs>
              <w:ind w:left="0" w:leftChars="0"/>
              <w:jc w:val="center"/>
              <w:rPr>
                <w:rFonts w:hint="eastAsia" w:ascii="宋体" w:hAnsi="宋体" w:cs="宋体"/>
                <w:sz w:val="13"/>
                <w:szCs w:val="13"/>
              </w:rPr>
            </w:pPr>
          </w:p>
          <w:p w14:paraId="74E706E5">
            <w:pPr>
              <w:pStyle w:val="522"/>
              <w:tabs>
                <w:tab w:val="right" w:leader="dot" w:pos="9354"/>
              </w:tabs>
              <w:ind w:left="0" w:leftChars="0"/>
              <w:jc w:val="center"/>
              <w:rPr>
                <w:rFonts w:hint="eastAsia" w:ascii="宋体" w:hAnsi="宋体" w:cs="宋体"/>
                <w:sz w:val="13"/>
                <w:szCs w:val="13"/>
              </w:rPr>
            </w:pPr>
          </w:p>
          <w:p w14:paraId="0553697A">
            <w:pPr>
              <w:pStyle w:val="522"/>
              <w:tabs>
                <w:tab w:val="right" w:leader="dot" w:pos="9354"/>
              </w:tabs>
              <w:ind w:left="0" w:leftChars="0"/>
              <w:jc w:val="center"/>
              <w:rPr>
                <w:rFonts w:hint="eastAsia" w:ascii="宋体" w:hAnsi="宋体" w:cs="宋体"/>
                <w:sz w:val="13"/>
                <w:szCs w:val="13"/>
              </w:rPr>
            </w:pPr>
          </w:p>
          <w:p w14:paraId="367D44A0">
            <w:pPr>
              <w:pStyle w:val="522"/>
              <w:tabs>
                <w:tab w:val="right" w:leader="dot" w:pos="9354"/>
              </w:tabs>
              <w:ind w:left="0" w:leftChars="0"/>
              <w:jc w:val="center"/>
              <w:rPr>
                <w:rFonts w:hint="eastAsia" w:ascii="宋体" w:hAnsi="宋体" w:cs="宋体"/>
                <w:sz w:val="13"/>
                <w:szCs w:val="13"/>
              </w:rPr>
            </w:pPr>
          </w:p>
          <w:p w14:paraId="1408B659">
            <w:pPr>
              <w:pStyle w:val="522"/>
              <w:tabs>
                <w:tab w:val="right" w:leader="dot" w:pos="9354"/>
              </w:tabs>
              <w:ind w:left="0" w:leftChars="0"/>
              <w:jc w:val="center"/>
              <w:rPr>
                <w:rFonts w:hint="eastAsia" w:ascii="宋体" w:hAnsi="宋体" w:cs="宋体"/>
                <w:sz w:val="13"/>
                <w:szCs w:val="13"/>
              </w:rPr>
            </w:pPr>
          </w:p>
          <w:p w14:paraId="3D25E46C">
            <w:pPr>
              <w:pStyle w:val="522"/>
              <w:tabs>
                <w:tab w:val="right" w:leader="dot" w:pos="9354"/>
              </w:tabs>
              <w:ind w:left="0" w:leftChars="0"/>
              <w:jc w:val="center"/>
              <w:rPr>
                <w:rFonts w:hint="eastAsia" w:ascii="宋体" w:hAnsi="宋体" w:cs="宋体"/>
                <w:sz w:val="13"/>
                <w:szCs w:val="13"/>
              </w:rPr>
            </w:pPr>
          </w:p>
        </w:tc>
        <w:tc>
          <w:tcPr>
            <w:tcW w:w="820" w:type="dxa"/>
            <w:vAlign w:val="center"/>
          </w:tcPr>
          <w:p w14:paraId="72D7DBFC">
            <w:pPr>
              <w:pStyle w:val="522"/>
              <w:tabs>
                <w:tab w:val="right" w:leader="dot" w:pos="9354"/>
              </w:tabs>
              <w:ind w:left="0" w:leftChars="0"/>
              <w:jc w:val="center"/>
              <w:rPr>
                <w:rFonts w:hint="eastAsia" w:ascii="宋体" w:hAnsi="宋体" w:cs="宋体"/>
                <w:sz w:val="13"/>
                <w:szCs w:val="13"/>
              </w:rPr>
            </w:pPr>
          </w:p>
          <w:p w14:paraId="488EE411">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7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0"/>
                          <pic:cNvPicPr>
                            <a:picLocks noChangeAspect="1"/>
                          </pic:cNvPicPr>
                        </pic:nvPicPr>
                        <pic:blipFill>
                          <a:blip r:embed="rId28"/>
                          <a:stretch>
                            <a:fillRect/>
                          </a:stretch>
                        </pic:blipFill>
                        <pic:spPr>
                          <a:xfrm>
                            <a:off x="0" y="0"/>
                            <a:ext cx="8255" cy="10160"/>
                          </a:xfrm>
                          <a:prstGeom prst="rect">
                            <a:avLst/>
                          </a:prstGeom>
                          <a:noFill/>
                          <a:ln>
                            <a:noFill/>
                          </a:ln>
                        </pic:spPr>
                      </pic:pic>
                    </a:graphicData>
                  </a:graphic>
                </wp:inline>
              </w:drawing>
            </w:r>
          </w:p>
          <w:p w14:paraId="31F2DB73">
            <w:pPr>
              <w:pStyle w:val="522"/>
              <w:tabs>
                <w:tab w:val="right" w:leader="dot" w:pos="9354"/>
              </w:tabs>
              <w:ind w:left="0" w:leftChars="0"/>
              <w:jc w:val="center"/>
              <w:rPr>
                <w:rFonts w:hint="eastAsia" w:ascii="宋体" w:hAnsi="宋体" w:cs="宋体"/>
                <w:sz w:val="13"/>
                <w:szCs w:val="13"/>
              </w:rPr>
            </w:pPr>
          </w:p>
          <w:p w14:paraId="01BC7BD0">
            <w:pPr>
              <w:pStyle w:val="522"/>
              <w:tabs>
                <w:tab w:val="right" w:leader="dot" w:pos="9354"/>
              </w:tabs>
              <w:ind w:left="0" w:leftChars="0"/>
              <w:jc w:val="center"/>
              <w:rPr>
                <w:rFonts w:hint="eastAsia" w:ascii="宋体" w:hAnsi="宋体" w:cs="宋体"/>
                <w:sz w:val="13"/>
                <w:szCs w:val="13"/>
              </w:rPr>
            </w:pPr>
          </w:p>
          <w:p w14:paraId="39B27878">
            <w:pPr>
              <w:pStyle w:val="522"/>
              <w:tabs>
                <w:tab w:val="right" w:leader="dot" w:pos="9354"/>
              </w:tabs>
              <w:ind w:left="0" w:leftChars="0"/>
              <w:jc w:val="center"/>
              <w:rPr>
                <w:rFonts w:hint="eastAsia" w:ascii="宋体" w:hAnsi="宋体" w:cs="宋体"/>
                <w:sz w:val="13"/>
                <w:szCs w:val="13"/>
              </w:rPr>
            </w:pPr>
          </w:p>
          <w:p w14:paraId="1CF936CB">
            <w:pPr>
              <w:pStyle w:val="522"/>
              <w:tabs>
                <w:tab w:val="right" w:leader="dot" w:pos="9354"/>
              </w:tabs>
              <w:ind w:left="0" w:leftChars="0"/>
              <w:jc w:val="center"/>
              <w:rPr>
                <w:rFonts w:hint="eastAsia" w:ascii="宋体" w:hAnsi="宋体" w:cs="宋体"/>
                <w:sz w:val="13"/>
                <w:szCs w:val="13"/>
              </w:rPr>
            </w:pPr>
          </w:p>
          <w:p w14:paraId="182D80FC">
            <w:pPr>
              <w:pStyle w:val="522"/>
              <w:tabs>
                <w:tab w:val="right" w:leader="dot" w:pos="9354"/>
              </w:tabs>
              <w:ind w:left="0" w:leftChars="0"/>
              <w:jc w:val="center"/>
              <w:rPr>
                <w:rFonts w:hint="eastAsia" w:ascii="宋体" w:hAnsi="宋体" w:cs="宋体"/>
                <w:sz w:val="13"/>
                <w:szCs w:val="13"/>
              </w:rPr>
            </w:pPr>
          </w:p>
          <w:p w14:paraId="6BA9F96D">
            <w:pPr>
              <w:pStyle w:val="522"/>
              <w:tabs>
                <w:tab w:val="right" w:leader="dot" w:pos="9354"/>
              </w:tabs>
              <w:ind w:left="0" w:leftChars="0"/>
              <w:jc w:val="center"/>
              <w:rPr>
                <w:rFonts w:hint="eastAsia" w:ascii="宋体" w:hAnsi="宋体" w:cs="宋体"/>
                <w:sz w:val="13"/>
                <w:szCs w:val="13"/>
              </w:rPr>
            </w:pPr>
          </w:p>
        </w:tc>
        <w:tc>
          <w:tcPr>
            <w:tcW w:w="785" w:type="dxa"/>
            <w:vAlign w:val="center"/>
          </w:tcPr>
          <w:p w14:paraId="00059F69">
            <w:pPr>
              <w:pStyle w:val="522"/>
              <w:tabs>
                <w:tab w:val="right" w:leader="dot" w:pos="9354"/>
              </w:tabs>
              <w:ind w:left="0" w:leftChars="0"/>
              <w:jc w:val="center"/>
              <w:rPr>
                <w:rFonts w:hint="eastAsia" w:ascii="宋体" w:hAnsi="宋体" w:cs="宋体"/>
                <w:sz w:val="13"/>
                <w:szCs w:val="13"/>
              </w:rPr>
            </w:pPr>
          </w:p>
          <w:p w14:paraId="0733C12D">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7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1"/>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6850280D">
            <w:pPr>
              <w:pStyle w:val="522"/>
              <w:tabs>
                <w:tab w:val="right" w:leader="dot" w:pos="9354"/>
              </w:tabs>
              <w:ind w:left="0" w:leftChars="0"/>
              <w:jc w:val="center"/>
              <w:rPr>
                <w:rFonts w:hint="eastAsia" w:ascii="宋体" w:hAnsi="宋体" w:cs="宋体"/>
                <w:sz w:val="13"/>
                <w:szCs w:val="13"/>
              </w:rPr>
            </w:pPr>
          </w:p>
          <w:p w14:paraId="279B8868">
            <w:pPr>
              <w:pStyle w:val="522"/>
              <w:tabs>
                <w:tab w:val="right" w:leader="dot" w:pos="9354"/>
              </w:tabs>
              <w:ind w:left="0" w:leftChars="0"/>
              <w:jc w:val="center"/>
              <w:rPr>
                <w:rFonts w:hint="eastAsia" w:ascii="宋体" w:hAnsi="宋体" w:cs="宋体"/>
                <w:sz w:val="13"/>
                <w:szCs w:val="13"/>
              </w:rPr>
            </w:pPr>
          </w:p>
          <w:p w14:paraId="04F0E61E">
            <w:pPr>
              <w:pStyle w:val="522"/>
              <w:tabs>
                <w:tab w:val="right" w:leader="dot" w:pos="9354"/>
              </w:tabs>
              <w:ind w:left="0" w:leftChars="0"/>
              <w:jc w:val="center"/>
              <w:rPr>
                <w:rFonts w:hint="eastAsia" w:ascii="宋体" w:hAnsi="宋体" w:cs="宋体"/>
                <w:sz w:val="13"/>
                <w:szCs w:val="13"/>
              </w:rPr>
            </w:pPr>
          </w:p>
          <w:p w14:paraId="0FB1912B">
            <w:pPr>
              <w:pStyle w:val="522"/>
              <w:tabs>
                <w:tab w:val="right" w:leader="dot" w:pos="9354"/>
              </w:tabs>
              <w:ind w:left="0" w:leftChars="0"/>
              <w:jc w:val="center"/>
              <w:rPr>
                <w:rFonts w:hint="eastAsia" w:ascii="宋体" w:hAnsi="宋体" w:cs="宋体"/>
                <w:sz w:val="13"/>
                <w:szCs w:val="13"/>
              </w:rPr>
            </w:pPr>
          </w:p>
          <w:p w14:paraId="7724D335">
            <w:pPr>
              <w:pStyle w:val="522"/>
              <w:tabs>
                <w:tab w:val="right" w:leader="dot" w:pos="9354"/>
              </w:tabs>
              <w:ind w:left="0" w:leftChars="0"/>
              <w:jc w:val="center"/>
              <w:rPr>
                <w:rFonts w:hint="eastAsia" w:ascii="宋体" w:hAnsi="宋体" w:cs="宋体"/>
                <w:sz w:val="13"/>
                <w:szCs w:val="13"/>
              </w:rPr>
            </w:pPr>
          </w:p>
          <w:p w14:paraId="300ED82F">
            <w:pPr>
              <w:pStyle w:val="522"/>
              <w:tabs>
                <w:tab w:val="right" w:leader="dot" w:pos="9354"/>
              </w:tabs>
              <w:ind w:left="0" w:leftChars="0"/>
              <w:jc w:val="center"/>
              <w:rPr>
                <w:rFonts w:hint="eastAsia" w:ascii="宋体" w:hAnsi="宋体" w:cs="宋体"/>
                <w:sz w:val="13"/>
                <w:szCs w:val="13"/>
              </w:rPr>
            </w:pPr>
          </w:p>
        </w:tc>
        <w:tc>
          <w:tcPr>
            <w:tcW w:w="820" w:type="dxa"/>
            <w:vAlign w:val="center"/>
          </w:tcPr>
          <w:p w14:paraId="7242EAA0">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p w14:paraId="16107B8F">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〔1〕〔3〕</w:t>
            </w:r>
          </w:p>
        </w:tc>
        <w:tc>
          <w:tcPr>
            <w:tcW w:w="857" w:type="dxa"/>
            <w:vAlign w:val="center"/>
          </w:tcPr>
          <w:p w14:paraId="09F86805">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784" w:type="dxa"/>
            <w:vAlign w:val="center"/>
          </w:tcPr>
          <w:p w14:paraId="7FF63EB7">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441" w:type="dxa"/>
            <w:vAlign w:val="center"/>
          </w:tcPr>
          <w:p w14:paraId="482EDD7D">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c>
          <w:tcPr>
            <w:tcW w:w="678" w:type="dxa"/>
            <w:vAlign w:val="center"/>
          </w:tcPr>
          <w:p w14:paraId="77DEF694">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r>
      <w:tr w14:paraId="58295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exact"/>
          <w:jc w:val="center"/>
        </w:trPr>
        <w:tc>
          <w:tcPr>
            <w:tcW w:w="1406" w:type="dxa"/>
            <w:vAlign w:val="center"/>
          </w:tcPr>
          <w:p w14:paraId="23EF723E">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危险区⑧</w:t>
            </w:r>
          </w:p>
        </w:tc>
        <w:tc>
          <w:tcPr>
            <w:tcW w:w="770" w:type="dxa"/>
            <w:vAlign w:val="center"/>
          </w:tcPr>
          <w:p w14:paraId="238E4C00">
            <w:pPr>
              <w:pStyle w:val="522"/>
              <w:tabs>
                <w:tab w:val="right" w:leader="dot" w:pos="9354"/>
              </w:tabs>
              <w:ind w:left="0" w:leftChars="0"/>
              <w:jc w:val="center"/>
              <w:rPr>
                <w:rFonts w:hint="eastAsia" w:ascii="宋体" w:hAnsi="宋体" w:cs="宋体"/>
                <w:sz w:val="13"/>
                <w:szCs w:val="13"/>
              </w:rPr>
            </w:pPr>
          </w:p>
          <w:p w14:paraId="747F7B24">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7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2"/>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1A9AA5DF">
            <w:pPr>
              <w:pStyle w:val="522"/>
              <w:tabs>
                <w:tab w:val="right" w:leader="dot" w:pos="9354"/>
              </w:tabs>
              <w:ind w:left="0" w:leftChars="0"/>
              <w:jc w:val="center"/>
              <w:rPr>
                <w:rFonts w:hint="eastAsia" w:ascii="宋体" w:hAnsi="宋体" w:cs="宋体"/>
                <w:sz w:val="13"/>
                <w:szCs w:val="13"/>
              </w:rPr>
            </w:pPr>
          </w:p>
          <w:p w14:paraId="5D1017CE">
            <w:pPr>
              <w:pStyle w:val="522"/>
              <w:tabs>
                <w:tab w:val="right" w:leader="dot" w:pos="9354"/>
              </w:tabs>
              <w:ind w:left="0" w:leftChars="0"/>
              <w:jc w:val="center"/>
              <w:rPr>
                <w:rFonts w:hint="eastAsia" w:ascii="宋体" w:hAnsi="宋体" w:cs="宋体"/>
                <w:sz w:val="13"/>
                <w:szCs w:val="13"/>
              </w:rPr>
            </w:pPr>
          </w:p>
        </w:tc>
        <w:tc>
          <w:tcPr>
            <w:tcW w:w="778" w:type="dxa"/>
            <w:vAlign w:val="center"/>
          </w:tcPr>
          <w:p w14:paraId="6E76AE70">
            <w:pPr>
              <w:pStyle w:val="522"/>
              <w:tabs>
                <w:tab w:val="right" w:leader="dot" w:pos="9354"/>
              </w:tabs>
              <w:ind w:left="0" w:leftChars="0"/>
              <w:jc w:val="center"/>
              <w:rPr>
                <w:rFonts w:hint="eastAsia" w:ascii="宋体" w:hAnsi="宋体" w:cs="宋体"/>
                <w:sz w:val="13"/>
                <w:szCs w:val="13"/>
              </w:rPr>
            </w:pPr>
          </w:p>
          <w:p w14:paraId="54920B4D">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7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3"/>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0B538EB2">
            <w:pPr>
              <w:pStyle w:val="522"/>
              <w:tabs>
                <w:tab w:val="right" w:leader="dot" w:pos="9354"/>
              </w:tabs>
              <w:ind w:left="0" w:leftChars="0"/>
              <w:jc w:val="center"/>
              <w:rPr>
                <w:rFonts w:hint="eastAsia" w:ascii="宋体" w:hAnsi="宋体" w:cs="宋体"/>
                <w:sz w:val="13"/>
                <w:szCs w:val="13"/>
              </w:rPr>
            </w:pPr>
          </w:p>
          <w:p w14:paraId="783CF765">
            <w:pPr>
              <w:pStyle w:val="522"/>
              <w:tabs>
                <w:tab w:val="right" w:leader="dot" w:pos="9354"/>
              </w:tabs>
              <w:ind w:left="0" w:leftChars="0"/>
              <w:jc w:val="center"/>
              <w:rPr>
                <w:rFonts w:hint="eastAsia" w:ascii="宋体" w:hAnsi="宋体" w:cs="宋体"/>
                <w:sz w:val="13"/>
                <w:szCs w:val="13"/>
              </w:rPr>
            </w:pPr>
          </w:p>
        </w:tc>
        <w:tc>
          <w:tcPr>
            <w:tcW w:w="757" w:type="dxa"/>
            <w:vAlign w:val="center"/>
          </w:tcPr>
          <w:p w14:paraId="4FF16551">
            <w:pPr>
              <w:pStyle w:val="522"/>
              <w:tabs>
                <w:tab w:val="right" w:leader="dot" w:pos="9354"/>
              </w:tabs>
              <w:ind w:left="0" w:leftChars="0"/>
              <w:jc w:val="center"/>
              <w:rPr>
                <w:rFonts w:hint="eastAsia" w:ascii="宋体" w:hAnsi="宋体" w:cs="宋体"/>
                <w:sz w:val="13"/>
                <w:szCs w:val="13"/>
              </w:rPr>
            </w:pPr>
          </w:p>
          <w:p w14:paraId="643DBA96">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8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4"/>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46DED3D0">
            <w:pPr>
              <w:pStyle w:val="522"/>
              <w:tabs>
                <w:tab w:val="right" w:leader="dot" w:pos="9354"/>
              </w:tabs>
              <w:ind w:left="0" w:leftChars="0"/>
              <w:jc w:val="center"/>
              <w:rPr>
                <w:rFonts w:hint="eastAsia" w:ascii="宋体" w:hAnsi="宋体" w:cs="宋体"/>
                <w:sz w:val="13"/>
                <w:szCs w:val="13"/>
              </w:rPr>
            </w:pPr>
          </w:p>
          <w:p w14:paraId="08AA0534">
            <w:pPr>
              <w:pStyle w:val="522"/>
              <w:tabs>
                <w:tab w:val="right" w:leader="dot" w:pos="9354"/>
              </w:tabs>
              <w:ind w:left="0" w:leftChars="0"/>
              <w:jc w:val="center"/>
              <w:rPr>
                <w:rFonts w:hint="eastAsia" w:ascii="宋体" w:hAnsi="宋体" w:cs="宋体"/>
                <w:sz w:val="13"/>
                <w:szCs w:val="13"/>
              </w:rPr>
            </w:pPr>
          </w:p>
        </w:tc>
        <w:tc>
          <w:tcPr>
            <w:tcW w:w="898" w:type="dxa"/>
            <w:vAlign w:val="center"/>
          </w:tcPr>
          <w:p w14:paraId="4D1A3F0A">
            <w:pPr>
              <w:pStyle w:val="522"/>
              <w:tabs>
                <w:tab w:val="right" w:leader="dot" w:pos="9354"/>
              </w:tabs>
              <w:ind w:left="0" w:leftChars="0"/>
              <w:jc w:val="center"/>
              <w:rPr>
                <w:rFonts w:hint="eastAsia" w:ascii="宋体" w:hAnsi="宋体" w:cs="宋体"/>
                <w:sz w:val="13"/>
                <w:szCs w:val="13"/>
              </w:rPr>
            </w:pPr>
          </w:p>
          <w:p w14:paraId="6513D6EA">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8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25"/>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5F126FF5">
            <w:pPr>
              <w:pStyle w:val="522"/>
              <w:tabs>
                <w:tab w:val="right" w:leader="dot" w:pos="9354"/>
              </w:tabs>
              <w:ind w:left="0" w:leftChars="0"/>
              <w:jc w:val="center"/>
              <w:rPr>
                <w:rFonts w:hint="eastAsia" w:ascii="宋体" w:hAnsi="宋体" w:cs="宋体"/>
                <w:sz w:val="13"/>
                <w:szCs w:val="13"/>
              </w:rPr>
            </w:pPr>
          </w:p>
          <w:p w14:paraId="30C4E399">
            <w:pPr>
              <w:pStyle w:val="522"/>
              <w:tabs>
                <w:tab w:val="right" w:leader="dot" w:pos="9354"/>
              </w:tabs>
              <w:ind w:left="0" w:leftChars="0"/>
              <w:jc w:val="center"/>
              <w:rPr>
                <w:rFonts w:hint="eastAsia" w:ascii="宋体" w:hAnsi="宋体" w:cs="宋体"/>
                <w:sz w:val="13"/>
                <w:szCs w:val="13"/>
              </w:rPr>
            </w:pPr>
          </w:p>
        </w:tc>
        <w:tc>
          <w:tcPr>
            <w:tcW w:w="820" w:type="dxa"/>
            <w:vAlign w:val="center"/>
          </w:tcPr>
          <w:p w14:paraId="3BC2370C">
            <w:pPr>
              <w:pStyle w:val="522"/>
              <w:tabs>
                <w:tab w:val="right" w:leader="dot" w:pos="9354"/>
              </w:tabs>
              <w:ind w:left="0" w:leftChars="0"/>
              <w:jc w:val="center"/>
              <w:rPr>
                <w:rFonts w:hint="eastAsia" w:ascii="宋体" w:hAnsi="宋体" w:cs="宋体"/>
                <w:sz w:val="13"/>
                <w:szCs w:val="13"/>
              </w:rPr>
            </w:pPr>
          </w:p>
          <w:p w14:paraId="62BD70E2">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8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26"/>
                          <pic:cNvPicPr>
                            <a:picLocks noChangeAspect="1"/>
                          </pic:cNvPicPr>
                        </pic:nvPicPr>
                        <pic:blipFill>
                          <a:blip r:embed="rId28"/>
                          <a:stretch>
                            <a:fillRect/>
                          </a:stretch>
                        </pic:blipFill>
                        <pic:spPr>
                          <a:xfrm>
                            <a:off x="0" y="0"/>
                            <a:ext cx="8255" cy="10160"/>
                          </a:xfrm>
                          <a:prstGeom prst="rect">
                            <a:avLst/>
                          </a:prstGeom>
                          <a:noFill/>
                          <a:ln>
                            <a:noFill/>
                          </a:ln>
                        </pic:spPr>
                      </pic:pic>
                    </a:graphicData>
                  </a:graphic>
                </wp:inline>
              </w:drawing>
            </w:r>
          </w:p>
          <w:p w14:paraId="42821967">
            <w:pPr>
              <w:pStyle w:val="522"/>
              <w:tabs>
                <w:tab w:val="right" w:leader="dot" w:pos="9354"/>
              </w:tabs>
              <w:ind w:left="0" w:leftChars="0"/>
              <w:jc w:val="center"/>
              <w:rPr>
                <w:rFonts w:hint="eastAsia" w:ascii="宋体" w:hAnsi="宋体" w:cs="宋体"/>
                <w:sz w:val="13"/>
                <w:szCs w:val="13"/>
              </w:rPr>
            </w:pPr>
          </w:p>
          <w:p w14:paraId="320F89FB">
            <w:pPr>
              <w:pStyle w:val="522"/>
              <w:tabs>
                <w:tab w:val="right" w:leader="dot" w:pos="9354"/>
              </w:tabs>
              <w:ind w:left="0" w:leftChars="0"/>
              <w:jc w:val="center"/>
              <w:rPr>
                <w:rFonts w:hint="eastAsia" w:ascii="宋体" w:hAnsi="宋体" w:cs="宋体"/>
                <w:sz w:val="13"/>
                <w:szCs w:val="13"/>
              </w:rPr>
            </w:pPr>
          </w:p>
        </w:tc>
        <w:tc>
          <w:tcPr>
            <w:tcW w:w="785" w:type="dxa"/>
            <w:vAlign w:val="center"/>
          </w:tcPr>
          <w:p w14:paraId="71776455">
            <w:pPr>
              <w:pStyle w:val="522"/>
              <w:tabs>
                <w:tab w:val="right" w:leader="dot" w:pos="9354"/>
              </w:tabs>
              <w:ind w:left="0" w:leftChars="0"/>
              <w:jc w:val="center"/>
              <w:rPr>
                <w:rFonts w:hint="eastAsia" w:ascii="宋体" w:hAnsi="宋体" w:cs="宋体"/>
                <w:sz w:val="13"/>
                <w:szCs w:val="13"/>
              </w:rPr>
            </w:pPr>
          </w:p>
          <w:p w14:paraId="43D45BE7">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8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7"/>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6CD4ED40">
            <w:pPr>
              <w:pStyle w:val="522"/>
              <w:tabs>
                <w:tab w:val="right" w:leader="dot" w:pos="9354"/>
              </w:tabs>
              <w:ind w:left="0" w:leftChars="0"/>
              <w:jc w:val="center"/>
              <w:rPr>
                <w:rFonts w:hint="eastAsia" w:ascii="宋体" w:hAnsi="宋体" w:cs="宋体"/>
                <w:sz w:val="13"/>
                <w:szCs w:val="13"/>
              </w:rPr>
            </w:pPr>
          </w:p>
          <w:p w14:paraId="1ED529D2">
            <w:pPr>
              <w:pStyle w:val="522"/>
              <w:tabs>
                <w:tab w:val="right" w:leader="dot" w:pos="9354"/>
              </w:tabs>
              <w:ind w:left="0" w:leftChars="0"/>
              <w:jc w:val="center"/>
              <w:rPr>
                <w:rFonts w:hint="eastAsia" w:ascii="宋体" w:hAnsi="宋体" w:cs="宋体"/>
                <w:sz w:val="13"/>
                <w:szCs w:val="13"/>
              </w:rPr>
            </w:pPr>
          </w:p>
        </w:tc>
        <w:tc>
          <w:tcPr>
            <w:tcW w:w="820" w:type="dxa"/>
            <w:vAlign w:val="center"/>
          </w:tcPr>
          <w:p w14:paraId="18D16543">
            <w:pPr>
              <w:pStyle w:val="522"/>
              <w:tabs>
                <w:tab w:val="right" w:leader="dot" w:pos="9354"/>
              </w:tabs>
              <w:ind w:left="0" w:leftChars="0"/>
              <w:jc w:val="center"/>
              <w:rPr>
                <w:rFonts w:hint="eastAsia" w:ascii="宋体" w:hAnsi="宋体" w:cs="宋体"/>
                <w:sz w:val="13"/>
                <w:szCs w:val="13"/>
              </w:rPr>
            </w:pPr>
          </w:p>
          <w:p w14:paraId="19481154">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8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28"/>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070FF621">
            <w:pPr>
              <w:pStyle w:val="522"/>
              <w:tabs>
                <w:tab w:val="right" w:leader="dot" w:pos="9354"/>
              </w:tabs>
              <w:ind w:left="0" w:leftChars="0"/>
              <w:jc w:val="center"/>
              <w:rPr>
                <w:rFonts w:hint="eastAsia" w:ascii="宋体" w:hAnsi="宋体" w:cs="宋体"/>
                <w:sz w:val="13"/>
                <w:szCs w:val="13"/>
              </w:rPr>
            </w:pPr>
          </w:p>
          <w:p w14:paraId="2DEBBAED">
            <w:pPr>
              <w:pStyle w:val="522"/>
              <w:tabs>
                <w:tab w:val="right" w:leader="dot" w:pos="9354"/>
              </w:tabs>
              <w:ind w:left="0" w:leftChars="0"/>
              <w:jc w:val="center"/>
              <w:rPr>
                <w:rFonts w:hint="eastAsia" w:ascii="宋体" w:hAnsi="宋体" w:cs="宋体"/>
                <w:sz w:val="13"/>
                <w:szCs w:val="13"/>
              </w:rPr>
            </w:pPr>
          </w:p>
        </w:tc>
        <w:tc>
          <w:tcPr>
            <w:tcW w:w="857" w:type="dxa"/>
            <w:vAlign w:val="center"/>
          </w:tcPr>
          <w:p w14:paraId="770C96B8">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c>
          <w:tcPr>
            <w:tcW w:w="784" w:type="dxa"/>
            <w:vAlign w:val="center"/>
          </w:tcPr>
          <w:p w14:paraId="26DBED91">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441" w:type="dxa"/>
            <w:vAlign w:val="center"/>
          </w:tcPr>
          <w:p w14:paraId="087A0FDB">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c>
          <w:tcPr>
            <w:tcW w:w="678" w:type="dxa"/>
            <w:vAlign w:val="center"/>
          </w:tcPr>
          <w:p w14:paraId="5DFCE96A">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r>
      <w:tr w14:paraId="6AE46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exact"/>
          <w:jc w:val="center"/>
        </w:trPr>
        <w:tc>
          <w:tcPr>
            <w:tcW w:w="1406" w:type="dxa"/>
            <w:vAlign w:val="center"/>
          </w:tcPr>
          <w:p w14:paraId="405AD324">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失火危险较大的服务处所⑨</w:t>
            </w:r>
          </w:p>
        </w:tc>
        <w:tc>
          <w:tcPr>
            <w:tcW w:w="770" w:type="dxa"/>
            <w:vAlign w:val="center"/>
          </w:tcPr>
          <w:p w14:paraId="61F7554A">
            <w:pPr>
              <w:pStyle w:val="522"/>
              <w:tabs>
                <w:tab w:val="right" w:leader="dot" w:pos="9354"/>
              </w:tabs>
              <w:ind w:left="0" w:leftChars="0"/>
              <w:jc w:val="center"/>
              <w:rPr>
                <w:rFonts w:hint="eastAsia" w:ascii="宋体" w:hAnsi="宋体" w:cs="宋体"/>
                <w:sz w:val="13"/>
                <w:szCs w:val="13"/>
              </w:rPr>
            </w:pPr>
          </w:p>
          <w:p w14:paraId="5349EA8E">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8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29"/>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4A9E90EE">
            <w:pPr>
              <w:pStyle w:val="522"/>
              <w:tabs>
                <w:tab w:val="right" w:leader="dot" w:pos="9354"/>
              </w:tabs>
              <w:ind w:left="0" w:leftChars="0"/>
              <w:jc w:val="center"/>
              <w:rPr>
                <w:rFonts w:hint="eastAsia" w:ascii="宋体" w:hAnsi="宋体" w:cs="宋体"/>
                <w:sz w:val="13"/>
                <w:szCs w:val="13"/>
              </w:rPr>
            </w:pPr>
          </w:p>
          <w:p w14:paraId="16559580">
            <w:pPr>
              <w:pStyle w:val="522"/>
              <w:tabs>
                <w:tab w:val="right" w:leader="dot" w:pos="9354"/>
              </w:tabs>
              <w:ind w:left="0" w:leftChars="0"/>
              <w:jc w:val="center"/>
              <w:rPr>
                <w:rFonts w:hint="eastAsia" w:ascii="宋体" w:hAnsi="宋体" w:cs="宋体"/>
                <w:sz w:val="13"/>
                <w:szCs w:val="13"/>
              </w:rPr>
            </w:pPr>
          </w:p>
          <w:p w14:paraId="135AAEA0">
            <w:pPr>
              <w:pStyle w:val="522"/>
              <w:tabs>
                <w:tab w:val="right" w:leader="dot" w:pos="9354"/>
              </w:tabs>
              <w:ind w:left="0" w:leftChars="0"/>
              <w:jc w:val="center"/>
              <w:rPr>
                <w:rFonts w:hint="eastAsia" w:ascii="宋体" w:hAnsi="宋体" w:cs="宋体"/>
                <w:sz w:val="13"/>
                <w:szCs w:val="13"/>
              </w:rPr>
            </w:pPr>
          </w:p>
          <w:p w14:paraId="33BFA8DC">
            <w:pPr>
              <w:pStyle w:val="522"/>
              <w:tabs>
                <w:tab w:val="right" w:leader="dot" w:pos="9354"/>
              </w:tabs>
              <w:ind w:left="0" w:leftChars="0"/>
              <w:jc w:val="center"/>
              <w:rPr>
                <w:rFonts w:hint="eastAsia" w:ascii="宋体" w:hAnsi="宋体" w:cs="宋体"/>
                <w:sz w:val="13"/>
                <w:szCs w:val="13"/>
              </w:rPr>
            </w:pPr>
          </w:p>
          <w:p w14:paraId="6AA6D2AC">
            <w:pPr>
              <w:pStyle w:val="522"/>
              <w:tabs>
                <w:tab w:val="right" w:leader="dot" w:pos="9354"/>
              </w:tabs>
              <w:ind w:left="0" w:leftChars="0"/>
              <w:jc w:val="center"/>
              <w:rPr>
                <w:rFonts w:hint="eastAsia" w:ascii="宋体" w:hAnsi="宋体" w:cs="宋体"/>
                <w:sz w:val="13"/>
                <w:szCs w:val="13"/>
              </w:rPr>
            </w:pPr>
          </w:p>
          <w:p w14:paraId="6F6DA9E8">
            <w:pPr>
              <w:pStyle w:val="522"/>
              <w:tabs>
                <w:tab w:val="right" w:leader="dot" w:pos="9354"/>
              </w:tabs>
              <w:ind w:left="0" w:leftChars="0"/>
              <w:jc w:val="center"/>
              <w:rPr>
                <w:rFonts w:hint="eastAsia" w:ascii="宋体" w:hAnsi="宋体" w:cs="宋体"/>
                <w:sz w:val="13"/>
                <w:szCs w:val="13"/>
              </w:rPr>
            </w:pPr>
          </w:p>
          <w:p w14:paraId="05464B1E">
            <w:pPr>
              <w:pStyle w:val="522"/>
              <w:tabs>
                <w:tab w:val="right" w:leader="dot" w:pos="9354"/>
              </w:tabs>
              <w:ind w:left="0" w:leftChars="0"/>
              <w:jc w:val="center"/>
              <w:rPr>
                <w:rFonts w:hint="eastAsia" w:ascii="宋体" w:hAnsi="宋体" w:cs="宋体"/>
                <w:sz w:val="13"/>
                <w:szCs w:val="13"/>
              </w:rPr>
            </w:pPr>
          </w:p>
        </w:tc>
        <w:tc>
          <w:tcPr>
            <w:tcW w:w="778" w:type="dxa"/>
            <w:vAlign w:val="center"/>
          </w:tcPr>
          <w:p w14:paraId="34FCD47F">
            <w:pPr>
              <w:pStyle w:val="522"/>
              <w:tabs>
                <w:tab w:val="right" w:leader="dot" w:pos="9354"/>
              </w:tabs>
              <w:ind w:left="0" w:leftChars="0"/>
              <w:jc w:val="center"/>
              <w:rPr>
                <w:rFonts w:hint="eastAsia" w:ascii="宋体" w:hAnsi="宋体" w:cs="宋体"/>
                <w:sz w:val="13"/>
                <w:szCs w:val="13"/>
              </w:rPr>
            </w:pPr>
          </w:p>
          <w:p w14:paraId="3C0AE867">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8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0"/>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46D890F1">
            <w:pPr>
              <w:pStyle w:val="522"/>
              <w:tabs>
                <w:tab w:val="right" w:leader="dot" w:pos="9354"/>
              </w:tabs>
              <w:ind w:left="0" w:leftChars="0"/>
              <w:jc w:val="center"/>
              <w:rPr>
                <w:rFonts w:hint="eastAsia" w:ascii="宋体" w:hAnsi="宋体" w:cs="宋体"/>
                <w:sz w:val="13"/>
                <w:szCs w:val="13"/>
              </w:rPr>
            </w:pPr>
          </w:p>
          <w:p w14:paraId="4104F396">
            <w:pPr>
              <w:pStyle w:val="522"/>
              <w:tabs>
                <w:tab w:val="right" w:leader="dot" w:pos="9354"/>
              </w:tabs>
              <w:ind w:left="0" w:leftChars="0"/>
              <w:jc w:val="center"/>
              <w:rPr>
                <w:rFonts w:hint="eastAsia" w:ascii="宋体" w:hAnsi="宋体" w:cs="宋体"/>
                <w:sz w:val="13"/>
                <w:szCs w:val="13"/>
              </w:rPr>
            </w:pPr>
          </w:p>
          <w:p w14:paraId="3AAF238E">
            <w:pPr>
              <w:pStyle w:val="522"/>
              <w:tabs>
                <w:tab w:val="right" w:leader="dot" w:pos="9354"/>
              </w:tabs>
              <w:ind w:left="0" w:leftChars="0"/>
              <w:jc w:val="center"/>
              <w:rPr>
                <w:rFonts w:hint="eastAsia" w:ascii="宋体" w:hAnsi="宋体" w:cs="宋体"/>
                <w:sz w:val="13"/>
                <w:szCs w:val="13"/>
              </w:rPr>
            </w:pPr>
          </w:p>
          <w:p w14:paraId="5D69B565">
            <w:pPr>
              <w:pStyle w:val="522"/>
              <w:tabs>
                <w:tab w:val="right" w:leader="dot" w:pos="9354"/>
              </w:tabs>
              <w:ind w:left="0" w:leftChars="0"/>
              <w:jc w:val="center"/>
              <w:rPr>
                <w:rFonts w:hint="eastAsia" w:ascii="宋体" w:hAnsi="宋体" w:cs="宋体"/>
                <w:sz w:val="13"/>
                <w:szCs w:val="13"/>
              </w:rPr>
            </w:pPr>
          </w:p>
          <w:p w14:paraId="5EB56522">
            <w:pPr>
              <w:pStyle w:val="522"/>
              <w:tabs>
                <w:tab w:val="right" w:leader="dot" w:pos="9354"/>
              </w:tabs>
              <w:ind w:left="0" w:leftChars="0"/>
              <w:jc w:val="center"/>
              <w:rPr>
                <w:rFonts w:hint="eastAsia" w:ascii="宋体" w:hAnsi="宋体" w:cs="宋体"/>
                <w:sz w:val="13"/>
                <w:szCs w:val="13"/>
              </w:rPr>
            </w:pPr>
          </w:p>
          <w:p w14:paraId="211AEF85">
            <w:pPr>
              <w:pStyle w:val="522"/>
              <w:tabs>
                <w:tab w:val="right" w:leader="dot" w:pos="9354"/>
              </w:tabs>
              <w:ind w:left="0" w:leftChars="0"/>
              <w:jc w:val="center"/>
              <w:rPr>
                <w:rFonts w:hint="eastAsia" w:ascii="宋体" w:hAnsi="宋体" w:cs="宋体"/>
                <w:sz w:val="13"/>
                <w:szCs w:val="13"/>
              </w:rPr>
            </w:pPr>
          </w:p>
          <w:p w14:paraId="0305F679">
            <w:pPr>
              <w:pStyle w:val="522"/>
              <w:tabs>
                <w:tab w:val="right" w:leader="dot" w:pos="9354"/>
              </w:tabs>
              <w:ind w:left="0" w:leftChars="0"/>
              <w:jc w:val="center"/>
              <w:rPr>
                <w:rFonts w:hint="eastAsia" w:ascii="宋体" w:hAnsi="宋体" w:cs="宋体"/>
                <w:sz w:val="13"/>
                <w:szCs w:val="13"/>
              </w:rPr>
            </w:pPr>
          </w:p>
        </w:tc>
        <w:tc>
          <w:tcPr>
            <w:tcW w:w="757" w:type="dxa"/>
            <w:vAlign w:val="center"/>
          </w:tcPr>
          <w:p w14:paraId="50B7B504">
            <w:pPr>
              <w:pStyle w:val="522"/>
              <w:tabs>
                <w:tab w:val="right" w:leader="dot" w:pos="9354"/>
              </w:tabs>
              <w:ind w:left="0" w:leftChars="0"/>
              <w:jc w:val="center"/>
              <w:rPr>
                <w:rFonts w:hint="eastAsia" w:ascii="宋体" w:hAnsi="宋体" w:cs="宋体"/>
                <w:sz w:val="13"/>
                <w:szCs w:val="13"/>
              </w:rPr>
            </w:pPr>
          </w:p>
          <w:p w14:paraId="03FE660B">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8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31"/>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6CBECA2F">
            <w:pPr>
              <w:pStyle w:val="522"/>
              <w:tabs>
                <w:tab w:val="right" w:leader="dot" w:pos="9354"/>
              </w:tabs>
              <w:ind w:left="0" w:leftChars="0"/>
              <w:jc w:val="center"/>
              <w:rPr>
                <w:rFonts w:hint="eastAsia" w:ascii="宋体" w:hAnsi="宋体" w:cs="宋体"/>
                <w:sz w:val="13"/>
                <w:szCs w:val="13"/>
              </w:rPr>
            </w:pPr>
          </w:p>
          <w:p w14:paraId="52E6D034">
            <w:pPr>
              <w:pStyle w:val="522"/>
              <w:tabs>
                <w:tab w:val="right" w:leader="dot" w:pos="9354"/>
              </w:tabs>
              <w:ind w:left="0" w:leftChars="0"/>
              <w:jc w:val="center"/>
              <w:rPr>
                <w:rFonts w:hint="eastAsia" w:ascii="宋体" w:hAnsi="宋体" w:cs="宋体"/>
                <w:sz w:val="13"/>
                <w:szCs w:val="13"/>
              </w:rPr>
            </w:pPr>
          </w:p>
          <w:p w14:paraId="31CC22BA">
            <w:pPr>
              <w:pStyle w:val="522"/>
              <w:tabs>
                <w:tab w:val="right" w:leader="dot" w:pos="9354"/>
              </w:tabs>
              <w:ind w:left="0" w:leftChars="0"/>
              <w:jc w:val="center"/>
              <w:rPr>
                <w:rFonts w:hint="eastAsia" w:ascii="宋体" w:hAnsi="宋体" w:cs="宋体"/>
                <w:sz w:val="13"/>
                <w:szCs w:val="13"/>
              </w:rPr>
            </w:pPr>
          </w:p>
          <w:p w14:paraId="77D7692C">
            <w:pPr>
              <w:pStyle w:val="522"/>
              <w:tabs>
                <w:tab w:val="right" w:leader="dot" w:pos="9354"/>
              </w:tabs>
              <w:ind w:left="0" w:leftChars="0"/>
              <w:jc w:val="center"/>
              <w:rPr>
                <w:rFonts w:hint="eastAsia" w:ascii="宋体" w:hAnsi="宋体" w:cs="宋体"/>
                <w:sz w:val="13"/>
                <w:szCs w:val="13"/>
              </w:rPr>
            </w:pPr>
          </w:p>
          <w:p w14:paraId="0D2281D0">
            <w:pPr>
              <w:pStyle w:val="522"/>
              <w:tabs>
                <w:tab w:val="right" w:leader="dot" w:pos="9354"/>
              </w:tabs>
              <w:ind w:left="0" w:leftChars="0"/>
              <w:jc w:val="center"/>
              <w:rPr>
                <w:rFonts w:hint="eastAsia" w:ascii="宋体" w:hAnsi="宋体" w:cs="宋体"/>
                <w:sz w:val="13"/>
                <w:szCs w:val="13"/>
              </w:rPr>
            </w:pPr>
          </w:p>
          <w:p w14:paraId="791FCEEF">
            <w:pPr>
              <w:pStyle w:val="522"/>
              <w:tabs>
                <w:tab w:val="right" w:leader="dot" w:pos="9354"/>
              </w:tabs>
              <w:ind w:left="0" w:leftChars="0"/>
              <w:jc w:val="center"/>
              <w:rPr>
                <w:rFonts w:hint="eastAsia" w:ascii="宋体" w:hAnsi="宋体" w:cs="宋体"/>
                <w:sz w:val="13"/>
                <w:szCs w:val="13"/>
              </w:rPr>
            </w:pPr>
          </w:p>
          <w:p w14:paraId="20149A5D">
            <w:pPr>
              <w:pStyle w:val="522"/>
              <w:tabs>
                <w:tab w:val="right" w:leader="dot" w:pos="9354"/>
              </w:tabs>
              <w:ind w:left="0" w:leftChars="0"/>
              <w:jc w:val="center"/>
              <w:rPr>
                <w:rFonts w:hint="eastAsia" w:ascii="宋体" w:hAnsi="宋体" w:cs="宋体"/>
                <w:sz w:val="13"/>
                <w:szCs w:val="13"/>
              </w:rPr>
            </w:pPr>
          </w:p>
        </w:tc>
        <w:tc>
          <w:tcPr>
            <w:tcW w:w="898" w:type="dxa"/>
            <w:vAlign w:val="center"/>
          </w:tcPr>
          <w:p w14:paraId="41213F78">
            <w:pPr>
              <w:pStyle w:val="522"/>
              <w:tabs>
                <w:tab w:val="right" w:leader="dot" w:pos="9354"/>
              </w:tabs>
              <w:ind w:left="0" w:leftChars="0"/>
              <w:jc w:val="center"/>
              <w:rPr>
                <w:rFonts w:hint="eastAsia" w:ascii="宋体" w:hAnsi="宋体" w:cs="宋体"/>
                <w:sz w:val="13"/>
                <w:szCs w:val="13"/>
              </w:rPr>
            </w:pPr>
          </w:p>
          <w:p w14:paraId="3DFC7F4E">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8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2"/>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4CCD690D">
            <w:pPr>
              <w:pStyle w:val="522"/>
              <w:tabs>
                <w:tab w:val="right" w:leader="dot" w:pos="9354"/>
              </w:tabs>
              <w:ind w:left="0" w:leftChars="0"/>
              <w:jc w:val="center"/>
              <w:rPr>
                <w:rFonts w:hint="eastAsia" w:ascii="宋体" w:hAnsi="宋体" w:cs="宋体"/>
                <w:sz w:val="13"/>
                <w:szCs w:val="13"/>
              </w:rPr>
            </w:pPr>
          </w:p>
          <w:p w14:paraId="44D1C1E3">
            <w:pPr>
              <w:pStyle w:val="522"/>
              <w:tabs>
                <w:tab w:val="right" w:leader="dot" w:pos="9354"/>
              </w:tabs>
              <w:ind w:left="0" w:leftChars="0"/>
              <w:jc w:val="center"/>
              <w:rPr>
                <w:rFonts w:hint="eastAsia" w:ascii="宋体" w:hAnsi="宋体" w:cs="宋体"/>
                <w:sz w:val="13"/>
                <w:szCs w:val="13"/>
              </w:rPr>
            </w:pPr>
          </w:p>
          <w:p w14:paraId="0A4BE771">
            <w:pPr>
              <w:pStyle w:val="522"/>
              <w:tabs>
                <w:tab w:val="right" w:leader="dot" w:pos="9354"/>
              </w:tabs>
              <w:ind w:left="0" w:leftChars="0"/>
              <w:jc w:val="center"/>
              <w:rPr>
                <w:rFonts w:hint="eastAsia" w:ascii="宋体" w:hAnsi="宋体" w:cs="宋体"/>
                <w:sz w:val="13"/>
                <w:szCs w:val="13"/>
              </w:rPr>
            </w:pPr>
          </w:p>
          <w:p w14:paraId="6BC3C208">
            <w:pPr>
              <w:pStyle w:val="522"/>
              <w:tabs>
                <w:tab w:val="right" w:leader="dot" w:pos="9354"/>
              </w:tabs>
              <w:ind w:left="0" w:leftChars="0"/>
              <w:jc w:val="center"/>
              <w:rPr>
                <w:rFonts w:hint="eastAsia" w:ascii="宋体" w:hAnsi="宋体" w:cs="宋体"/>
                <w:sz w:val="13"/>
                <w:szCs w:val="13"/>
              </w:rPr>
            </w:pPr>
          </w:p>
          <w:p w14:paraId="07E92555">
            <w:pPr>
              <w:pStyle w:val="522"/>
              <w:tabs>
                <w:tab w:val="right" w:leader="dot" w:pos="9354"/>
              </w:tabs>
              <w:ind w:left="0" w:leftChars="0"/>
              <w:jc w:val="center"/>
              <w:rPr>
                <w:rFonts w:hint="eastAsia" w:ascii="宋体" w:hAnsi="宋体" w:cs="宋体"/>
                <w:sz w:val="13"/>
                <w:szCs w:val="13"/>
              </w:rPr>
            </w:pPr>
          </w:p>
          <w:p w14:paraId="1671C472">
            <w:pPr>
              <w:pStyle w:val="522"/>
              <w:tabs>
                <w:tab w:val="right" w:leader="dot" w:pos="9354"/>
              </w:tabs>
              <w:ind w:left="0" w:leftChars="0"/>
              <w:jc w:val="center"/>
              <w:rPr>
                <w:rFonts w:hint="eastAsia" w:ascii="宋体" w:hAnsi="宋体" w:cs="宋体"/>
                <w:sz w:val="13"/>
                <w:szCs w:val="13"/>
              </w:rPr>
            </w:pPr>
          </w:p>
          <w:p w14:paraId="1B9DB540">
            <w:pPr>
              <w:pStyle w:val="522"/>
              <w:tabs>
                <w:tab w:val="right" w:leader="dot" w:pos="9354"/>
              </w:tabs>
              <w:ind w:left="0" w:leftChars="0"/>
              <w:jc w:val="center"/>
              <w:rPr>
                <w:rFonts w:hint="eastAsia" w:ascii="宋体" w:hAnsi="宋体" w:cs="宋体"/>
                <w:sz w:val="13"/>
                <w:szCs w:val="13"/>
              </w:rPr>
            </w:pPr>
          </w:p>
        </w:tc>
        <w:tc>
          <w:tcPr>
            <w:tcW w:w="820" w:type="dxa"/>
            <w:vAlign w:val="center"/>
          </w:tcPr>
          <w:p w14:paraId="0B64D97B">
            <w:pPr>
              <w:pStyle w:val="522"/>
              <w:tabs>
                <w:tab w:val="right" w:leader="dot" w:pos="9354"/>
              </w:tabs>
              <w:ind w:left="0" w:leftChars="0"/>
              <w:jc w:val="center"/>
              <w:rPr>
                <w:rFonts w:hint="eastAsia" w:ascii="宋体" w:hAnsi="宋体" w:cs="宋体"/>
                <w:sz w:val="13"/>
                <w:szCs w:val="13"/>
              </w:rPr>
            </w:pPr>
          </w:p>
          <w:p w14:paraId="6A18E754">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8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33"/>
                          <pic:cNvPicPr>
                            <a:picLocks noChangeAspect="1"/>
                          </pic:cNvPicPr>
                        </pic:nvPicPr>
                        <pic:blipFill>
                          <a:blip r:embed="rId28"/>
                          <a:stretch>
                            <a:fillRect/>
                          </a:stretch>
                        </pic:blipFill>
                        <pic:spPr>
                          <a:xfrm>
                            <a:off x="0" y="0"/>
                            <a:ext cx="8255" cy="10160"/>
                          </a:xfrm>
                          <a:prstGeom prst="rect">
                            <a:avLst/>
                          </a:prstGeom>
                          <a:noFill/>
                          <a:ln>
                            <a:noFill/>
                          </a:ln>
                        </pic:spPr>
                      </pic:pic>
                    </a:graphicData>
                  </a:graphic>
                </wp:inline>
              </w:drawing>
            </w:r>
          </w:p>
          <w:p w14:paraId="58163932">
            <w:pPr>
              <w:pStyle w:val="522"/>
              <w:tabs>
                <w:tab w:val="right" w:leader="dot" w:pos="9354"/>
              </w:tabs>
              <w:ind w:left="0" w:leftChars="0"/>
              <w:jc w:val="center"/>
              <w:rPr>
                <w:rFonts w:hint="eastAsia" w:ascii="宋体" w:hAnsi="宋体" w:cs="宋体"/>
                <w:sz w:val="13"/>
                <w:szCs w:val="13"/>
              </w:rPr>
            </w:pPr>
          </w:p>
          <w:p w14:paraId="48C7273D">
            <w:pPr>
              <w:pStyle w:val="522"/>
              <w:tabs>
                <w:tab w:val="right" w:leader="dot" w:pos="9354"/>
              </w:tabs>
              <w:ind w:left="0" w:leftChars="0"/>
              <w:jc w:val="center"/>
              <w:rPr>
                <w:rFonts w:hint="eastAsia" w:ascii="宋体" w:hAnsi="宋体" w:cs="宋体"/>
                <w:sz w:val="13"/>
                <w:szCs w:val="13"/>
              </w:rPr>
            </w:pPr>
          </w:p>
          <w:p w14:paraId="56E23CC3">
            <w:pPr>
              <w:pStyle w:val="522"/>
              <w:tabs>
                <w:tab w:val="right" w:leader="dot" w:pos="9354"/>
              </w:tabs>
              <w:ind w:left="0" w:leftChars="0"/>
              <w:jc w:val="center"/>
              <w:rPr>
                <w:rFonts w:hint="eastAsia" w:ascii="宋体" w:hAnsi="宋体" w:cs="宋体"/>
                <w:sz w:val="13"/>
                <w:szCs w:val="13"/>
              </w:rPr>
            </w:pPr>
          </w:p>
          <w:p w14:paraId="2A298EE1">
            <w:pPr>
              <w:pStyle w:val="522"/>
              <w:tabs>
                <w:tab w:val="right" w:leader="dot" w:pos="9354"/>
              </w:tabs>
              <w:ind w:left="0" w:leftChars="0"/>
              <w:jc w:val="center"/>
              <w:rPr>
                <w:rFonts w:hint="eastAsia" w:ascii="宋体" w:hAnsi="宋体" w:cs="宋体"/>
                <w:sz w:val="13"/>
                <w:szCs w:val="13"/>
              </w:rPr>
            </w:pPr>
          </w:p>
          <w:p w14:paraId="4AB83085">
            <w:pPr>
              <w:pStyle w:val="522"/>
              <w:tabs>
                <w:tab w:val="right" w:leader="dot" w:pos="9354"/>
              </w:tabs>
              <w:ind w:left="0" w:leftChars="0"/>
              <w:jc w:val="center"/>
              <w:rPr>
                <w:rFonts w:hint="eastAsia" w:ascii="宋体" w:hAnsi="宋体" w:cs="宋体"/>
                <w:sz w:val="13"/>
                <w:szCs w:val="13"/>
              </w:rPr>
            </w:pPr>
          </w:p>
          <w:p w14:paraId="5EC67AC9">
            <w:pPr>
              <w:pStyle w:val="522"/>
              <w:tabs>
                <w:tab w:val="right" w:leader="dot" w:pos="9354"/>
              </w:tabs>
              <w:ind w:left="0" w:leftChars="0"/>
              <w:jc w:val="center"/>
              <w:rPr>
                <w:rFonts w:hint="eastAsia" w:ascii="宋体" w:hAnsi="宋体" w:cs="宋体"/>
                <w:sz w:val="13"/>
                <w:szCs w:val="13"/>
              </w:rPr>
            </w:pPr>
          </w:p>
          <w:p w14:paraId="2962356F">
            <w:pPr>
              <w:pStyle w:val="522"/>
              <w:tabs>
                <w:tab w:val="right" w:leader="dot" w:pos="9354"/>
              </w:tabs>
              <w:ind w:left="0" w:leftChars="0"/>
              <w:jc w:val="center"/>
              <w:rPr>
                <w:rFonts w:hint="eastAsia" w:ascii="宋体" w:hAnsi="宋体" w:cs="宋体"/>
                <w:sz w:val="13"/>
                <w:szCs w:val="13"/>
              </w:rPr>
            </w:pPr>
          </w:p>
        </w:tc>
        <w:tc>
          <w:tcPr>
            <w:tcW w:w="785" w:type="dxa"/>
            <w:vAlign w:val="center"/>
          </w:tcPr>
          <w:p w14:paraId="4EAB5109">
            <w:pPr>
              <w:pStyle w:val="522"/>
              <w:tabs>
                <w:tab w:val="right" w:leader="dot" w:pos="9354"/>
              </w:tabs>
              <w:ind w:left="0" w:leftChars="0"/>
              <w:jc w:val="center"/>
              <w:rPr>
                <w:rFonts w:hint="eastAsia" w:ascii="宋体" w:hAnsi="宋体" w:cs="宋体"/>
                <w:sz w:val="13"/>
                <w:szCs w:val="13"/>
              </w:rPr>
            </w:pPr>
          </w:p>
          <w:p w14:paraId="6822036C">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7BCBC3D4">
            <w:pPr>
              <w:pStyle w:val="522"/>
              <w:tabs>
                <w:tab w:val="right" w:leader="dot" w:pos="9354"/>
              </w:tabs>
              <w:ind w:left="0" w:leftChars="0"/>
              <w:jc w:val="center"/>
              <w:rPr>
                <w:rFonts w:hint="eastAsia" w:ascii="宋体" w:hAnsi="宋体" w:cs="宋体"/>
                <w:sz w:val="13"/>
                <w:szCs w:val="13"/>
              </w:rPr>
            </w:pPr>
          </w:p>
          <w:p w14:paraId="06A253F4">
            <w:pPr>
              <w:pStyle w:val="522"/>
              <w:tabs>
                <w:tab w:val="right" w:leader="dot" w:pos="9354"/>
              </w:tabs>
              <w:ind w:left="0" w:leftChars="0"/>
              <w:jc w:val="center"/>
              <w:rPr>
                <w:rFonts w:hint="eastAsia" w:ascii="宋体" w:hAnsi="宋体" w:cs="宋体"/>
                <w:sz w:val="13"/>
                <w:szCs w:val="13"/>
              </w:rPr>
            </w:pPr>
          </w:p>
          <w:p w14:paraId="307BE2B7">
            <w:pPr>
              <w:pStyle w:val="522"/>
              <w:tabs>
                <w:tab w:val="right" w:leader="dot" w:pos="9354"/>
              </w:tabs>
              <w:ind w:left="0" w:leftChars="0"/>
              <w:jc w:val="center"/>
              <w:rPr>
                <w:rFonts w:hint="eastAsia" w:ascii="宋体" w:hAnsi="宋体" w:cs="宋体"/>
                <w:sz w:val="13"/>
                <w:szCs w:val="13"/>
              </w:rPr>
            </w:pPr>
          </w:p>
          <w:p w14:paraId="40879D45">
            <w:pPr>
              <w:pStyle w:val="522"/>
              <w:tabs>
                <w:tab w:val="right" w:leader="dot" w:pos="9354"/>
              </w:tabs>
              <w:ind w:left="0" w:leftChars="0"/>
              <w:jc w:val="center"/>
              <w:rPr>
                <w:rFonts w:hint="eastAsia" w:ascii="宋体" w:hAnsi="宋体" w:cs="宋体"/>
                <w:sz w:val="13"/>
                <w:szCs w:val="13"/>
              </w:rPr>
            </w:pPr>
          </w:p>
          <w:p w14:paraId="7A5C31CA">
            <w:pPr>
              <w:pStyle w:val="522"/>
              <w:tabs>
                <w:tab w:val="right" w:leader="dot" w:pos="9354"/>
              </w:tabs>
              <w:ind w:left="0" w:leftChars="0"/>
              <w:jc w:val="center"/>
              <w:rPr>
                <w:rFonts w:hint="eastAsia" w:ascii="宋体" w:hAnsi="宋体" w:cs="宋体"/>
                <w:sz w:val="13"/>
                <w:szCs w:val="13"/>
              </w:rPr>
            </w:pPr>
          </w:p>
          <w:p w14:paraId="51360174">
            <w:pPr>
              <w:pStyle w:val="522"/>
              <w:tabs>
                <w:tab w:val="right" w:leader="dot" w:pos="9354"/>
              </w:tabs>
              <w:ind w:left="0" w:leftChars="0"/>
              <w:jc w:val="center"/>
              <w:rPr>
                <w:rFonts w:hint="eastAsia" w:ascii="宋体" w:hAnsi="宋体" w:cs="宋体"/>
                <w:sz w:val="13"/>
                <w:szCs w:val="13"/>
              </w:rPr>
            </w:pPr>
          </w:p>
          <w:p w14:paraId="2A30E1E5">
            <w:pPr>
              <w:pStyle w:val="522"/>
              <w:tabs>
                <w:tab w:val="right" w:leader="dot" w:pos="9354"/>
              </w:tabs>
              <w:ind w:left="0" w:leftChars="0"/>
              <w:jc w:val="center"/>
              <w:rPr>
                <w:rFonts w:hint="eastAsia" w:ascii="宋体" w:hAnsi="宋体" w:cs="宋体"/>
                <w:sz w:val="13"/>
                <w:szCs w:val="13"/>
              </w:rPr>
            </w:pPr>
          </w:p>
        </w:tc>
        <w:tc>
          <w:tcPr>
            <w:tcW w:w="820" w:type="dxa"/>
            <w:vAlign w:val="center"/>
          </w:tcPr>
          <w:p w14:paraId="2807FC25">
            <w:pPr>
              <w:pStyle w:val="522"/>
              <w:tabs>
                <w:tab w:val="right" w:leader="dot" w:pos="9354"/>
              </w:tabs>
              <w:ind w:left="0" w:leftChars="0"/>
              <w:jc w:val="center"/>
              <w:rPr>
                <w:rFonts w:hint="eastAsia" w:ascii="宋体" w:hAnsi="宋体" w:cs="宋体"/>
                <w:sz w:val="13"/>
                <w:szCs w:val="13"/>
              </w:rPr>
            </w:pPr>
          </w:p>
          <w:p w14:paraId="74FF0B1E">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10160"/>
                  <wp:effectExtent l="0" t="0" r="0" b="0"/>
                  <wp:docPr id="9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35"/>
                          <pic:cNvPicPr>
                            <a:picLocks noChangeAspect="1"/>
                          </pic:cNvPicPr>
                        </pic:nvPicPr>
                        <pic:blipFill>
                          <a:blip r:embed="rId27"/>
                          <a:stretch>
                            <a:fillRect/>
                          </a:stretch>
                        </pic:blipFill>
                        <pic:spPr>
                          <a:xfrm>
                            <a:off x="0" y="0"/>
                            <a:ext cx="8255" cy="10160"/>
                          </a:xfrm>
                          <a:prstGeom prst="rect">
                            <a:avLst/>
                          </a:prstGeom>
                          <a:noFill/>
                          <a:ln>
                            <a:noFill/>
                          </a:ln>
                        </pic:spPr>
                      </pic:pic>
                    </a:graphicData>
                  </a:graphic>
                </wp:inline>
              </w:drawing>
            </w:r>
          </w:p>
          <w:p w14:paraId="7C7AD922">
            <w:pPr>
              <w:pStyle w:val="522"/>
              <w:tabs>
                <w:tab w:val="right" w:leader="dot" w:pos="9354"/>
              </w:tabs>
              <w:ind w:left="0" w:leftChars="0"/>
              <w:jc w:val="center"/>
              <w:rPr>
                <w:rFonts w:hint="eastAsia" w:ascii="宋体" w:hAnsi="宋体" w:cs="宋体"/>
                <w:sz w:val="13"/>
                <w:szCs w:val="13"/>
              </w:rPr>
            </w:pPr>
          </w:p>
          <w:p w14:paraId="1EDAB2A3">
            <w:pPr>
              <w:pStyle w:val="522"/>
              <w:tabs>
                <w:tab w:val="right" w:leader="dot" w:pos="9354"/>
              </w:tabs>
              <w:ind w:left="0" w:leftChars="0"/>
              <w:jc w:val="center"/>
              <w:rPr>
                <w:rFonts w:hint="eastAsia" w:ascii="宋体" w:hAnsi="宋体" w:cs="宋体"/>
                <w:sz w:val="13"/>
                <w:szCs w:val="13"/>
              </w:rPr>
            </w:pPr>
          </w:p>
          <w:p w14:paraId="134867F2">
            <w:pPr>
              <w:pStyle w:val="522"/>
              <w:tabs>
                <w:tab w:val="right" w:leader="dot" w:pos="9354"/>
              </w:tabs>
              <w:ind w:left="0" w:leftChars="0"/>
              <w:jc w:val="center"/>
              <w:rPr>
                <w:rFonts w:hint="eastAsia" w:ascii="宋体" w:hAnsi="宋体" w:cs="宋体"/>
                <w:sz w:val="13"/>
                <w:szCs w:val="13"/>
              </w:rPr>
            </w:pPr>
          </w:p>
          <w:p w14:paraId="3490D8CB">
            <w:pPr>
              <w:pStyle w:val="522"/>
              <w:tabs>
                <w:tab w:val="right" w:leader="dot" w:pos="9354"/>
              </w:tabs>
              <w:ind w:left="0" w:leftChars="0"/>
              <w:jc w:val="center"/>
              <w:rPr>
                <w:rFonts w:hint="eastAsia" w:ascii="宋体" w:hAnsi="宋体" w:cs="宋体"/>
                <w:sz w:val="13"/>
                <w:szCs w:val="13"/>
              </w:rPr>
            </w:pPr>
          </w:p>
          <w:p w14:paraId="14A28581">
            <w:pPr>
              <w:pStyle w:val="522"/>
              <w:tabs>
                <w:tab w:val="right" w:leader="dot" w:pos="9354"/>
              </w:tabs>
              <w:ind w:left="0" w:leftChars="0"/>
              <w:jc w:val="center"/>
              <w:rPr>
                <w:rFonts w:hint="eastAsia" w:ascii="宋体" w:hAnsi="宋体" w:cs="宋体"/>
                <w:sz w:val="13"/>
                <w:szCs w:val="13"/>
              </w:rPr>
            </w:pPr>
          </w:p>
          <w:p w14:paraId="0FCAC20B">
            <w:pPr>
              <w:pStyle w:val="522"/>
              <w:tabs>
                <w:tab w:val="right" w:leader="dot" w:pos="9354"/>
              </w:tabs>
              <w:ind w:left="0" w:leftChars="0"/>
              <w:jc w:val="center"/>
              <w:rPr>
                <w:rFonts w:hint="eastAsia" w:ascii="宋体" w:hAnsi="宋体" w:cs="宋体"/>
                <w:sz w:val="13"/>
                <w:szCs w:val="13"/>
              </w:rPr>
            </w:pPr>
          </w:p>
          <w:p w14:paraId="35FB8A48">
            <w:pPr>
              <w:pStyle w:val="522"/>
              <w:tabs>
                <w:tab w:val="right" w:leader="dot" w:pos="9354"/>
              </w:tabs>
              <w:ind w:left="0" w:leftChars="0"/>
              <w:jc w:val="center"/>
              <w:rPr>
                <w:rFonts w:hint="eastAsia" w:ascii="宋体" w:hAnsi="宋体" w:cs="宋体"/>
                <w:sz w:val="13"/>
                <w:szCs w:val="13"/>
              </w:rPr>
            </w:pPr>
          </w:p>
        </w:tc>
        <w:tc>
          <w:tcPr>
            <w:tcW w:w="857" w:type="dxa"/>
            <w:vAlign w:val="center"/>
          </w:tcPr>
          <w:p w14:paraId="5091DB9D">
            <w:pPr>
              <w:pStyle w:val="522"/>
              <w:tabs>
                <w:tab w:val="right" w:leader="dot" w:pos="9354"/>
              </w:tabs>
              <w:ind w:left="0" w:leftChars="0"/>
              <w:jc w:val="center"/>
              <w:rPr>
                <w:rFonts w:hint="eastAsia" w:ascii="宋体" w:hAnsi="宋体" w:cs="宋体"/>
                <w:sz w:val="13"/>
                <w:szCs w:val="13"/>
              </w:rPr>
            </w:pPr>
          </w:p>
          <w:p w14:paraId="1A78A03F">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890" cy="10160"/>
                  <wp:effectExtent l="0" t="0" r="0" b="0"/>
                  <wp:docPr id="9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36"/>
                          <pic:cNvPicPr>
                            <a:picLocks noChangeAspect="1"/>
                          </pic:cNvPicPr>
                        </pic:nvPicPr>
                        <pic:blipFill>
                          <a:blip r:embed="rId29"/>
                          <a:stretch>
                            <a:fillRect/>
                          </a:stretch>
                        </pic:blipFill>
                        <pic:spPr>
                          <a:xfrm>
                            <a:off x="0" y="0"/>
                            <a:ext cx="8890" cy="10160"/>
                          </a:xfrm>
                          <a:prstGeom prst="rect">
                            <a:avLst/>
                          </a:prstGeom>
                          <a:noFill/>
                          <a:ln>
                            <a:noFill/>
                          </a:ln>
                        </pic:spPr>
                      </pic:pic>
                    </a:graphicData>
                  </a:graphic>
                </wp:inline>
              </w:drawing>
            </w:r>
          </w:p>
          <w:p w14:paraId="6516179D">
            <w:pPr>
              <w:pStyle w:val="522"/>
              <w:tabs>
                <w:tab w:val="right" w:leader="dot" w:pos="9354"/>
              </w:tabs>
              <w:ind w:left="0" w:leftChars="0"/>
              <w:jc w:val="center"/>
              <w:rPr>
                <w:rFonts w:hint="eastAsia" w:ascii="宋体" w:hAnsi="宋体" w:cs="宋体"/>
                <w:sz w:val="13"/>
                <w:szCs w:val="13"/>
              </w:rPr>
            </w:pPr>
          </w:p>
          <w:p w14:paraId="0566861B">
            <w:pPr>
              <w:pStyle w:val="522"/>
              <w:tabs>
                <w:tab w:val="right" w:leader="dot" w:pos="9354"/>
              </w:tabs>
              <w:ind w:left="0" w:leftChars="0"/>
              <w:jc w:val="center"/>
              <w:rPr>
                <w:rFonts w:hint="eastAsia" w:ascii="宋体" w:hAnsi="宋体" w:cs="宋体"/>
                <w:sz w:val="13"/>
                <w:szCs w:val="13"/>
              </w:rPr>
            </w:pPr>
          </w:p>
          <w:p w14:paraId="70F0A1DC">
            <w:pPr>
              <w:pStyle w:val="522"/>
              <w:tabs>
                <w:tab w:val="right" w:leader="dot" w:pos="9354"/>
              </w:tabs>
              <w:ind w:left="0" w:leftChars="0"/>
              <w:jc w:val="center"/>
              <w:rPr>
                <w:rFonts w:hint="eastAsia" w:ascii="宋体" w:hAnsi="宋体" w:cs="宋体"/>
                <w:sz w:val="13"/>
                <w:szCs w:val="13"/>
              </w:rPr>
            </w:pPr>
          </w:p>
          <w:p w14:paraId="46FD05AC">
            <w:pPr>
              <w:pStyle w:val="522"/>
              <w:tabs>
                <w:tab w:val="right" w:leader="dot" w:pos="9354"/>
              </w:tabs>
              <w:ind w:left="0" w:leftChars="0"/>
              <w:jc w:val="center"/>
              <w:rPr>
                <w:rFonts w:hint="eastAsia" w:ascii="宋体" w:hAnsi="宋体" w:cs="宋体"/>
                <w:sz w:val="13"/>
                <w:szCs w:val="13"/>
              </w:rPr>
            </w:pPr>
          </w:p>
          <w:p w14:paraId="08F5315B">
            <w:pPr>
              <w:pStyle w:val="522"/>
              <w:tabs>
                <w:tab w:val="right" w:leader="dot" w:pos="9354"/>
              </w:tabs>
              <w:ind w:left="0" w:leftChars="0"/>
              <w:jc w:val="center"/>
              <w:rPr>
                <w:rFonts w:hint="eastAsia" w:ascii="宋体" w:hAnsi="宋体" w:cs="宋体"/>
                <w:sz w:val="13"/>
                <w:szCs w:val="13"/>
              </w:rPr>
            </w:pPr>
          </w:p>
          <w:p w14:paraId="48CD3E0B">
            <w:pPr>
              <w:pStyle w:val="522"/>
              <w:tabs>
                <w:tab w:val="right" w:leader="dot" w:pos="9354"/>
              </w:tabs>
              <w:ind w:left="0" w:leftChars="0"/>
              <w:jc w:val="center"/>
              <w:rPr>
                <w:rFonts w:hint="eastAsia" w:ascii="宋体" w:hAnsi="宋体" w:cs="宋体"/>
                <w:sz w:val="13"/>
                <w:szCs w:val="13"/>
              </w:rPr>
            </w:pPr>
          </w:p>
          <w:p w14:paraId="16467021">
            <w:pPr>
              <w:pStyle w:val="522"/>
              <w:tabs>
                <w:tab w:val="right" w:leader="dot" w:pos="9354"/>
              </w:tabs>
              <w:ind w:left="0" w:leftChars="0"/>
              <w:jc w:val="center"/>
              <w:rPr>
                <w:rFonts w:hint="eastAsia" w:ascii="宋体" w:hAnsi="宋体" w:cs="宋体"/>
                <w:sz w:val="13"/>
                <w:szCs w:val="13"/>
              </w:rPr>
            </w:pPr>
          </w:p>
        </w:tc>
        <w:tc>
          <w:tcPr>
            <w:tcW w:w="784" w:type="dxa"/>
            <w:vAlign w:val="center"/>
          </w:tcPr>
          <w:p w14:paraId="1E989960">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p w14:paraId="6F72D2B4">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〔3〕</w:t>
            </w:r>
          </w:p>
        </w:tc>
        <w:tc>
          <w:tcPr>
            <w:tcW w:w="441" w:type="dxa"/>
            <w:vAlign w:val="center"/>
          </w:tcPr>
          <w:p w14:paraId="149B18A1">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c>
          <w:tcPr>
            <w:tcW w:w="678" w:type="dxa"/>
            <w:vAlign w:val="center"/>
          </w:tcPr>
          <w:p w14:paraId="07D517F4">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r>
      <w:tr w14:paraId="6161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exact"/>
          <w:jc w:val="center"/>
        </w:trPr>
        <w:tc>
          <w:tcPr>
            <w:tcW w:w="1406" w:type="dxa"/>
            <w:vAlign w:val="center"/>
          </w:tcPr>
          <w:p w14:paraId="31823795">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开敞甲板处所⑩</w:t>
            </w:r>
          </w:p>
        </w:tc>
        <w:tc>
          <w:tcPr>
            <w:tcW w:w="770" w:type="dxa"/>
            <w:vAlign w:val="center"/>
          </w:tcPr>
          <w:p w14:paraId="2E031189">
            <w:pPr>
              <w:pStyle w:val="522"/>
              <w:tabs>
                <w:tab w:val="right" w:leader="dot" w:pos="9354"/>
              </w:tabs>
              <w:ind w:left="0" w:leftChars="0"/>
              <w:jc w:val="center"/>
              <w:rPr>
                <w:rFonts w:hint="eastAsia" w:ascii="宋体" w:hAnsi="宋体" w:cs="宋体"/>
                <w:sz w:val="13"/>
                <w:szCs w:val="13"/>
              </w:rPr>
            </w:pPr>
          </w:p>
          <w:p w14:paraId="61ECD109">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8890"/>
                  <wp:effectExtent l="0" t="0" r="0" b="0"/>
                  <wp:docPr id="9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37"/>
                          <pic:cNvPicPr>
                            <a:picLocks noChangeAspect="1"/>
                          </pic:cNvPicPr>
                        </pic:nvPicPr>
                        <pic:blipFill>
                          <a:blip r:embed="rId27"/>
                          <a:stretch>
                            <a:fillRect/>
                          </a:stretch>
                        </pic:blipFill>
                        <pic:spPr>
                          <a:xfrm>
                            <a:off x="0" y="0"/>
                            <a:ext cx="8255" cy="8890"/>
                          </a:xfrm>
                          <a:prstGeom prst="rect">
                            <a:avLst/>
                          </a:prstGeom>
                          <a:noFill/>
                          <a:ln>
                            <a:noFill/>
                          </a:ln>
                        </pic:spPr>
                      </pic:pic>
                    </a:graphicData>
                  </a:graphic>
                </wp:inline>
              </w:drawing>
            </w:r>
          </w:p>
          <w:p w14:paraId="509A47E5">
            <w:pPr>
              <w:pStyle w:val="522"/>
              <w:tabs>
                <w:tab w:val="right" w:leader="dot" w:pos="9354"/>
              </w:tabs>
              <w:ind w:left="0" w:leftChars="0"/>
              <w:jc w:val="center"/>
              <w:rPr>
                <w:rFonts w:hint="eastAsia" w:ascii="宋体" w:hAnsi="宋体" w:cs="宋体"/>
                <w:sz w:val="13"/>
                <w:szCs w:val="13"/>
              </w:rPr>
            </w:pPr>
          </w:p>
          <w:p w14:paraId="1D4C0295">
            <w:pPr>
              <w:pStyle w:val="522"/>
              <w:tabs>
                <w:tab w:val="right" w:leader="dot" w:pos="9354"/>
              </w:tabs>
              <w:ind w:left="0" w:leftChars="0"/>
              <w:jc w:val="center"/>
              <w:rPr>
                <w:rFonts w:hint="eastAsia" w:ascii="宋体" w:hAnsi="宋体" w:cs="宋体"/>
                <w:sz w:val="13"/>
                <w:szCs w:val="13"/>
              </w:rPr>
            </w:pPr>
          </w:p>
          <w:p w14:paraId="39B373B7">
            <w:pPr>
              <w:pStyle w:val="522"/>
              <w:tabs>
                <w:tab w:val="right" w:leader="dot" w:pos="9354"/>
              </w:tabs>
              <w:ind w:left="0" w:leftChars="0"/>
              <w:jc w:val="center"/>
              <w:rPr>
                <w:rFonts w:hint="eastAsia" w:ascii="宋体" w:hAnsi="宋体" w:cs="宋体"/>
                <w:sz w:val="13"/>
                <w:szCs w:val="13"/>
              </w:rPr>
            </w:pPr>
          </w:p>
          <w:p w14:paraId="1C8ECC04">
            <w:pPr>
              <w:pStyle w:val="522"/>
              <w:tabs>
                <w:tab w:val="right" w:leader="dot" w:pos="9354"/>
              </w:tabs>
              <w:ind w:left="0" w:leftChars="0"/>
              <w:jc w:val="center"/>
              <w:rPr>
                <w:rFonts w:hint="eastAsia" w:ascii="宋体" w:hAnsi="宋体" w:cs="宋体"/>
                <w:sz w:val="13"/>
                <w:szCs w:val="13"/>
              </w:rPr>
            </w:pPr>
          </w:p>
          <w:p w14:paraId="299FEBED">
            <w:pPr>
              <w:pStyle w:val="522"/>
              <w:tabs>
                <w:tab w:val="right" w:leader="dot" w:pos="9354"/>
              </w:tabs>
              <w:ind w:left="0" w:leftChars="0"/>
              <w:jc w:val="center"/>
              <w:rPr>
                <w:rFonts w:hint="eastAsia" w:ascii="宋体" w:hAnsi="宋体" w:cs="宋体"/>
                <w:sz w:val="13"/>
                <w:szCs w:val="13"/>
              </w:rPr>
            </w:pPr>
          </w:p>
          <w:p w14:paraId="32802EF1">
            <w:pPr>
              <w:pStyle w:val="522"/>
              <w:tabs>
                <w:tab w:val="right" w:leader="dot" w:pos="9354"/>
              </w:tabs>
              <w:ind w:left="0" w:leftChars="0"/>
              <w:jc w:val="center"/>
              <w:rPr>
                <w:rFonts w:hint="eastAsia" w:ascii="宋体" w:hAnsi="宋体" w:cs="宋体"/>
                <w:sz w:val="13"/>
                <w:szCs w:val="13"/>
              </w:rPr>
            </w:pPr>
          </w:p>
        </w:tc>
        <w:tc>
          <w:tcPr>
            <w:tcW w:w="778" w:type="dxa"/>
            <w:vAlign w:val="center"/>
          </w:tcPr>
          <w:p w14:paraId="719C9188">
            <w:pPr>
              <w:pStyle w:val="522"/>
              <w:tabs>
                <w:tab w:val="right" w:leader="dot" w:pos="9354"/>
              </w:tabs>
              <w:ind w:left="0" w:leftChars="0"/>
              <w:jc w:val="center"/>
              <w:rPr>
                <w:rFonts w:hint="eastAsia" w:ascii="宋体" w:hAnsi="宋体" w:cs="宋体"/>
                <w:sz w:val="13"/>
                <w:szCs w:val="13"/>
              </w:rPr>
            </w:pPr>
          </w:p>
          <w:p w14:paraId="180E577B">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8890"/>
                  <wp:effectExtent l="0" t="0" r="0" b="0"/>
                  <wp:docPr id="9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38"/>
                          <pic:cNvPicPr>
                            <a:picLocks noChangeAspect="1"/>
                          </pic:cNvPicPr>
                        </pic:nvPicPr>
                        <pic:blipFill>
                          <a:blip r:embed="rId27"/>
                          <a:stretch>
                            <a:fillRect/>
                          </a:stretch>
                        </pic:blipFill>
                        <pic:spPr>
                          <a:xfrm>
                            <a:off x="0" y="0"/>
                            <a:ext cx="8255" cy="8890"/>
                          </a:xfrm>
                          <a:prstGeom prst="rect">
                            <a:avLst/>
                          </a:prstGeom>
                          <a:noFill/>
                          <a:ln>
                            <a:noFill/>
                          </a:ln>
                        </pic:spPr>
                      </pic:pic>
                    </a:graphicData>
                  </a:graphic>
                </wp:inline>
              </w:drawing>
            </w:r>
          </w:p>
          <w:p w14:paraId="03FFB742">
            <w:pPr>
              <w:pStyle w:val="522"/>
              <w:tabs>
                <w:tab w:val="right" w:leader="dot" w:pos="9354"/>
              </w:tabs>
              <w:ind w:left="0" w:leftChars="0"/>
              <w:jc w:val="center"/>
              <w:rPr>
                <w:rFonts w:hint="eastAsia" w:ascii="宋体" w:hAnsi="宋体" w:cs="宋体"/>
                <w:sz w:val="13"/>
                <w:szCs w:val="13"/>
              </w:rPr>
            </w:pPr>
          </w:p>
          <w:p w14:paraId="4A6E0882">
            <w:pPr>
              <w:pStyle w:val="522"/>
              <w:tabs>
                <w:tab w:val="right" w:leader="dot" w:pos="9354"/>
              </w:tabs>
              <w:ind w:left="0" w:leftChars="0"/>
              <w:jc w:val="center"/>
              <w:rPr>
                <w:rFonts w:hint="eastAsia" w:ascii="宋体" w:hAnsi="宋体" w:cs="宋体"/>
                <w:sz w:val="13"/>
                <w:szCs w:val="13"/>
              </w:rPr>
            </w:pPr>
          </w:p>
          <w:p w14:paraId="1087D5F3">
            <w:pPr>
              <w:pStyle w:val="522"/>
              <w:tabs>
                <w:tab w:val="right" w:leader="dot" w:pos="9354"/>
              </w:tabs>
              <w:ind w:left="0" w:leftChars="0"/>
              <w:jc w:val="center"/>
              <w:rPr>
                <w:rFonts w:hint="eastAsia" w:ascii="宋体" w:hAnsi="宋体" w:cs="宋体"/>
                <w:sz w:val="13"/>
                <w:szCs w:val="13"/>
              </w:rPr>
            </w:pPr>
          </w:p>
          <w:p w14:paraId="380E8AEC">
            <w:pPr>
              <w:pStyle w:val="522"/>
              <w:tabs>
                <w:tab w:val="right" w:leader="dot" w:pos="9354"/>
              </w:tabs>
              <w:ind w:left="0" w:leftChars="0"/>
              <w:jc w:val="center"/>
              <w:rPr>
                <w:rFonts w:hint="eastAsia" w:ascii="宋体" w:hAnsi="宋体" w:cs="宋体"/>
                <w:sz w:val="13"/>
                <w:szCs w:val="13"/>
              </w:rPr>
            </w:pPr>
          </w:p>
          <w:p w14:paraId="3A874FD4">
            <w:pPr>
              <w:pStyle w:val="522"/>
              <w:tabs>
                <w:tab w:val="right" w:leader="dot" w:pos="9354"/>
              </w:tabs>
              <w:ind w:left="0" w:leftChars="0"/>
              <w:jc w:val="center"/>
              <w:rPr>
                <w:rFonts w:hint="eastAsia" w:ascii="宋体" w:hAnsi="宋体" w:cs="宋体"/>
                <w:sz w:val="13"/>
                <w:szCs w:val="13"/>
              </w:rPr>
            </w:pPr>
          </w:p>
          <w:p w14:paraId="26CF0C34">
            <w:pPr>
              <w:pStyle w:val="522"/>
              <w:tabs>
                <w:tab w:val="right" w:leader="dot" w:pos="9354"/>
              </w:tabs>
              <w:ind w:left="0" w:leftChars="0"/>
              <w:jc w:val="center"/>
              <w:rPr>
                <w:rFonts w:hint="eastAsia" w:ascii="宋体" w:hAnsi="宋体" w:cs="宋体"/>
                <w:sz w:val="13"/>
                <w:szCs w:val="13"/>
              </w:rPr>
            </w:pPr>
          </w:p>
        </w:tc>
        <w:tc>
          <w:tcPr>
            <w:tcW w:w="757" w:type="dxa"/>
            <w:vAlign w:val="center"/>
          </w:tcPr>
          <w:p w14:paraId="704A72CE">
            <w:pPr>
              <w:pStyle w:val="522"/>
              <w:tabs>
                <w:tab w:val="right" w:leader="dot" w:pos="9354"/>
              </w:tabs>
              <w:ind w:left="0" w:leftChars="0"/>
              <w:jc w:val="center"/>
              <w:rPr>
                <w:rFonts w:hint="eastAsia" w:ascii="宋体" w:hAnsi="宋体" w:cs="宋体"/>
                <w:sz w:val="13"/>
                <w:szCs w:val="13"/>
              </w:rPr>
            </w:pPr>
          </w:p>
          <w:p w14:paraId="6F98B07C">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8890"/>
                  <wp:effectExtent l="0" t="0" r="0" b="0"/>
                  <wp:docPr id="9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39"/>
                          <pic:cNvPicPr>
                            <a:picLocks noChangeAspect="1"/>
                          </pic:cNvPicPr>
                        </pic:nvPicPr>
                        <pic:blipFill>
                          <a:blip r:embed="rId27"/>
                          <a:stretch>
                            <a:fillRect/>
                          </a:stretch>
                        </pic:blipFill>
                        <pic:spPr>
                          <a:xfrm>
                            <a:off x="0" y="0"/>
                            <a:ext cx="8255" cy="8890"/>
                          </a:xfrm>
                          <a:prstGeom prst="rect">
                            <a:avLst/>
                          </a:prstGeom>
                          <a:noFill/>
                          <a:ln>
                            <a:noFill/>
                          </a:ln>
                        </pic:spPr>
                      </pic:pic>
                    </a:graphicData>
                  </a:graphic>
                </wp:inline>
              </w:drawing>
            </w:r>
          </w:p>
          <w:p w14:paraId="62112B6B">
            <w:pPr>
              <w:pStyle w:val="522"/>
              <w:tabs>
                <w:tab w:val="right" w:leader="dot" w:pos="9354"/>
              </w:tabs>
              <w:ind w:left="0" w:leftChars="0"/>
              <w:jc w:val="center"/>
              <w:rPr>
                <w:rFonts w:hint="eastAsia" w:ascii="宋体" w:hAnsi="宋体" w:cs="宋体"/>
                <w:sz w:val="13"/>
                <w:szCs w:val="13"/>
              </w:rPr>
            </w:pPr>
          </w:p>
          <w:p w14:paraId="6D53ABE1">
            <w:pPr>
              <w:pStyle w:val="522"/>
              <w:tabs>
                <w:tab w:val="right" w:leader="dot" w:pos="9354"/>
              </w:tabs>
              <w:ind w:left="0" w:leftChars="0"/>
              <w:jc w:val="center"/>
              <w:rPr>
                <w:rFonts w:hint="eastAsia" w:ascii="宋体" w:hAnsi="宋体" w:cs="宋体"/>
                <w:sz w:val="13"/>
                <w:szCs w:val="13"/>
              </w:rPr>
            </w:pPr>
          </w:p>
          <w:p w14:paraId="212BE803">
            <w:pPr>
              <w:pStyle w:val="522"/>
              <w:tabs>
                <w:tab w:val="right" w:leader="dot" w:pos="9354"/>
              </w:tabs>
              <w:ind w:left="0" w:leftChars="0"/>
              <w:jc w:val="center"/>
              <w:rPr>
                <w:rFonts w:hint="eastAsia" w:ascii="宋体" w:hAnsi="宋体" w:cs="宋体"/>
                <w:sz w:val="13"/>
                <w:szCs w:val="13"/>
              </w:rPr>
            </w:pPr>
          </w:p>
          <w:p w14:paraId="71C30E2F">
            <w:pPr>
              <w:pStyle w:val="522"/>
              <w:tabs>
                <w:tab w:val="right" w:leader="dot" w:pos="9354"/>
              </w:tabs>
              <w:ind w:left="0" w:leftChars="0"/>
              <w:jc w:val="center"/>
              <w:rPr>
                <w:rFonts w:hint="eastAsia" w:ascii="宋体" w:hAnsi="宋体" w:cs="宋体"/>
                <w:sz w:val="13"/>
                <w:szCs w:val="13"/>
              </w:rPr>
            </w:pPr>
          </w:p>
          <w:p w14:paraId="74B136C6">
            <w:pPr>
              <w:pStyle w:val="522"/>
              <w:tabs>
                <w:tab w:val="right" w:leader="dot" w:pos="9354"/>
              </w:tabs>
              <w:ind w:left="0" w:leftChars="0"/>
              <w:jc w:val="center"/>
              <w:rPr>
                <w:rFonts w:hint="eastAsia" w:ascii="宋体" w:hAnsi="宋体" w:cs="宋体"/>
                <w:sz w:val="13"/>
                <w:szCs w:val="13"/>
              </w:rPr>
            </w:pPr>
          </w:p>
          <w:p w14:paraId="5C035690">
            <w:pPr>
              <w:pStyle w:val="522"/>
              <w:tabs>
                <w:tab w:val="right" w:leader="dot" w:pos="9354"/>
              </w:tabs>
              <w:ind w:left="0" w:leftChars="0"/>
              <w:jc w:val="center"/>
              <w:rPr>
                <w:rFonts w:hint="eastAsia" w:ascii="宋体" w:hAnsi="宋体" w:cs="宋体"/>
                <w:sz w:val="13"/>
                <w:szCs w:val="13"/>
              </w:rPr>
            </w:pPr>
          </w:p>
        </w:tc>
        <w:tc>
          <w:tcPr>
            <w:tcW w:w="898" w:type="dxa"/>
            <w:vAlign w:val="center"/>
          </w:tcPr>
          <w:p w14:paraId="3E93651F">
            <w:pPr>
              <w:pStyle w:val="522"/>
              <w:tabs>
                <w:tab w:val="right" w:leader="dot" w:pos="9354"/>
              </w:tabs>
              <w:ind w:left="0" w:leftChars="0"/>
              <w:jc w:val="center"/>
              <w:rPr>
                <w:rFonts w:hint="eastAsia" w:ascii="宋体" w:hAnsi="宋体" w:cs="宋体"/>
                <w:sz w:val="13"/>
                <w:szCs w:val="13"/>
              </w:rPr>
            </w:pPr>
          </w:p>
          <w:p w14:paraId="563021F2">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8890"/>
                  <wp:effectExtent l="0" t="0" r="0" b="0"/>
                  <wp:docPr id="9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40"/>
                          <pic:cNvPicPr>
                            <a:picLocks noChangeAspect="1"/>
                          </pic:cNvPicPr>
                        </pic:nvPicPr>
                        <pic:blipFill>
                          <a:blip r:embed="rId27"/>
                          <a:stretch>
                            <a:fillRect/>
                          </a:stretch>
                        </pic:blipFill>
                        <pic:spPr>
                          <a:xfrm>
                            <a:off x="0" y="0"/>
                            <a:ext cx="8255" cy="8890"/>
                          </a:xfrm>
                          <a:prstGeom prst="rect">
                            <a:avLst/>
                          </a:prstGeom>
                          <a:noFill/>
                          <a:ln>
                            <a:noFill/>
                          </a:ln>
                        </pic:spPr>
                      </pic:pic>
                    </a:graphicData>
                  </a:graphic>
                </wp:inline>
              </w:drawing>
            </w:r>
          </w:p>
          <w:p w14:paraId="4285B31A">
            <w:pPr>
              <w:pStyle w:val="522"/>
              <w:tabs>
                <w:tab w:val="right" w:leader="dot" w:pos="9354"/>
              </w:tabs>
              <w:ind w:left="0" w:leftChars="0"/>
              <w:jc w:val="center"/>
              <w:rPr>
                <w:rFonts w:hint="eastAsia" w:ascii="宋体" w:hAnsi="宋体" w:cs="宋体"/>
                <w:sz w:val="13"/>
                <w:szCs w:val="13"/>
              </w:rPr>
            </w:pPr>
          </w:p>
          <w:p w14:paraId="202BD4BE">
            <w:pPr>
              <w:pStyle w:val="522"/>
              <w:tabs>
                <w:tab w:val="right" w:leader="dot" w:pos="9354"/>
              </w:tabs>
              <w:ind w:left="0" w:leftChars="0"/>
              <w:jc w:val="center"/>
              <w:rPr>
                <w:rFonts w:hint="eastAsia" w:ascii="宋体" w:hAnsi="宋体" w:cs="宋体"/>
                <w:sz w:val="13"/>
                <w:szCs w:val="13"/>
              </w:rPr>
            </w:pPr>
          </w:p>
          <w:p w14:paraId="08C2E2CA">
            <w:pPr>
              <w:pStyle w:val="522"/>
              <w:tabs>
                <w:tab w:val="right" w:leader="dot" w:pos="9354"/>
              </w:tabs>
              <w:ind w:left="0" w:leftChars="0"/>
              <w:jc w:val="center"/>
              <w:rPr>
                <w:rFonts w:hint="eastAsia" w:ascii="宋体" w:hAnsi="宋体" w:cs="宋体"/>
                <w:sz w:val="13"/>
                <w:szCs w:val="13"/>
              </w:rPr>
            </w:pPr>
          </w:p>
          <w:p w14:paraId="005833CC">
            <w:pPr>
              <w:pStyle w:val="522"/>
              <w:tabs>
                <w:tab w:val="right" w:leader="dot" w:pos="9354"/>
              </w:tabs>
              <w:ind w:left="0" w:leftChars="0"/>
              <w:jc w:val="center"/>
              <w:rPr>
                <w:rFonts w:hint="eastAsia" w:ascii="宋体" w:hAnsi="宋体" w:cs="宋体"/>
                <w:sz w:val="13"/>
                <w:szCs w:val="13"/>
              </w:rPr>
            </w:pPr>
          </w:p>
          <w:p w14:paraId="547F84C3">
            <w:pPr>
              <w:pStyle w:val="522"/>
              <w:tabs>
                <w:tab w:val="right" w:leader="dot" w:pos="9354"/>
              </w:tabs>
              <w:ind w:left="0" w:leftChars="0"/>
              <w:jc w:val="center"/>
              <w:rPr>
                <w:rFonts w:hint="eastAsia" w:ascii="宋体" w:hAnsi="宋体" w:cs="宋体"/>
                <w:sz w:val="13"/>
                <w:szCs w:val="13"/>
              </w:rPr>
            </w:pPr>
          </w:p>
          <w:p w14:paraId="319F67D8">
            <w:pPr>
              <w:pStyle w:val="522"/>
              <w:tabs>
                <w:tab w:val="right" w:leader="dot" w:pos="9354"/>
              </w:tabs>
              <w:ind w:left="0" w:leftChars="0"/>
              <w:jc w:val="center"/>
              <w:rPr>
                <w:rFonts w:hint="eastAsia" w:ascii="宋体" w:hAnsi="宋体" w:cs="宋体"/>
                <w:sz w:val="13"/>
                <w:szCs w:val="13"/>
              </w:rPr>
            </w:pPr>
          </w:p>
        </w:tc>
        <w:tc>
          <w:tcPr>
            <w:tcW w:w="820" w:type="dxa"/>
            <w:vAlign w:val="center"/>
          </w:tcPr>
          <w:p w14:paraId="5FF60367">
            <w:pPr>
              <w:pStyle w:val="522"/>
              <w:tabs>
                <w:tab w:val="right" w:leader="dot" w:pos="9354"/>
              </w:tabs>
              <w:ind w:left="0" w:leftChars="0"/>
              <w:jc w:val="center"/>
              <w:rPr>
                <w:rFonts w:hint="eastAsia" w:ascii="宋体" w:hAnsi="宋体" w:cs="宋体"/>
                <w:sz w:val="13"/>
                <w:szCs w:val="13"/>
              </w:rPr>
            </w:pPr>
          </w:p>
          <w:p w14:paraId="1E674159">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8890"/>
                  <wp:effectExtent l="0" t="0" r="0" b="0"/>
                  <wp:docPr id="9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41"/>
                          <pic:cNvPicPr>
                            <a:picLocks noChangeAspect="1"/>
                          </pic:cNvPicPr>
                        </pic:nvPicPr>
                        <pic:blipFill>
                          <a:blip r:embed="rId28"/>
                          <a:stretch>
                            <a:fillRect/>
                          </a:stretch>
                        </pic:blipFill>
                        <pic:spPr>
                          <a:xfrm>
                            <a:off x="0" y="0"/>
                            <a:ext cx="8255" cy="8890"/>
                          </a:xfrm>
                          <a:prstGeom prst="rect">
                            <a:avLst/>
                          </a:prstGeom>
                          <a:noFill/>
                          <a:ln>
                            <a:noFill/>
                          </a:ln>
                        </pic:spPr>
                      </pic:pic>
                    </a:graphicData>
                  </a:graphic>
                </wp:inline>
              </w:drawing>
            </w:r>
          </w:p>
          <w:p w14:paraId="6B84AD4B">
            <w:pPr>
              <w:pStyle w:val="522"/>
              <w:tabs>
                <w:tab w:val="right" w:leader="dot" w:pos="9354"/>
              </w:tabs>
              <w:ind w:left="0" w:leftChars="0"/>
              <w:jc w:val="center"/>
              <w:rPr>
                <w:rFonts w:hint="eastAsia" w:ascii="宋体" w:hAnsi="宋体" w:cs="宋体"/>
                <w:sz w:val="13"/>
                <w:szCs w:val="13"/>
              </w:rPr>
            </w:pPr>
          </w:p>
          <w:p w14:paraId="32DA80A0">
            <w:pPr>
              <w:pStyle w:val="522"/>
              <w:tabs>
                <w:tab w:val="right" w:leader="dot" w:pos="9354"/>
              </w:tabs>
              <w:ind w:left="0" w:leftChars="0"/>
              <w:jc w:val="center"/>
              <w:rPr>
                <w:rFonts w:hint="eastAsia" w:ascii="宋体" w:hAnsi="宋体" w:cs="宋体"/>
                <w:sz w:val="13"/>
                <w:szCs w:val="13"/>
              </w:rPr>
            </w:pPr>
          </w:p>
          <w:p w14:paraId="7C094F89">
            <w:pPr>
              <w:pStyle w:val="522"/>
              <w:tabs>
                <w:tab w:val="right" w:leader="dot" w:pos="9354"/>
              </w:tabs>
              <w:ind w:left="0" w:leftChars="0"/>
              <w:jc w:val="center"/>
              <w:rPr>
                <w:rFonts w:hint="eastAsia" w:ascii="宋体" w:hAnsi="宋体" w:cs="宋体"/>
                <w:sz w:val="13"/>
                <w:szCs w:val="13"/>
              </w:rPr>
            </w:pPr>
          </w:p>
          <w:p w14:paraId="03337513">
            <w:pPr>
              <w:pStyle w:val="522"/>
              <w:tabs>
                <w:tab w:val="right" w:leader="dot" w:pos="9354"/>
              </w:tabs>
              <w:ind w:left="0" w:leftChars="0"/>
              <w:jc w:val="center"/>
              <w:rPr>
                <w:rFonts w:hint="eastAsia" w:ascii="宋体" w:hAnsi="宋体" w:cs="宋体"/>
                <w:sz w:val="13"/>
                <w:szCs w:val="13"/>
              </w:rPr>
            </w:pPr>
          </w:p>
          <w:p w14:paraId="7E5BD932">
            <w:pPr>
              <w:pStyle w:val="522"/>
              <w:tabs>
                <w:tab w:val="right" w:leader="dot" w:pos="9354"/>
              </w:tabs>
              <w:ind w:left="0" w:leftChars="0"/>
              <w:jc w:val="center"/>
              <w:rPr>
                <w:rFonts w:hint="eastAsia" w:ascii="宋体" w:hAnsi="宋体" w:cs="宋体"/>
                <w:sz w:val="13"/>
                <w:szCs w:val="13"/>
              </w:rPr>
            </w:pPr>
          </w:p>
          <w:p w14:paraId="65B7D077">
            <w:pPr>
              <w:pStyle w:val="522"/>
              <w:tabs>
                <w:tab w:val="right" w:leader="dot" w:pos="9354"/>
              </w:tabs>
              <w:ind w:left="0" w:leftChars="0"/>
              <w:jc w:val="center"/>
              <w:rPr>
                <w:rFonts w:hint="eastAsia" w:ascii="宋体" w:hAnsi="宋体" w:cs="宋体"/>
                <w:sz w:val="13"/>
                <w:szCs w:val="13"/>
              </w:rPr>
            </w:pPr>
          </w:p>
        </w:tc>
        <w:tc>
          <w:tcPr>
            <w:tcW w:w="785" w:type="dxa"/>
            <w:vAlign w:val="center"/>
          </w:tcPr>
          <w:p w14:paraId="7C5D4C99">
            <w:pPr>
              <w:pStyle w:val="522"/>
              <w:tabs>
                <w:tab w:val="right" w:leader="dot" w:pos="9354"/>
              </w:tabs>
              <w:ind w:left="0" w:leftChars="0"/>
              <w:jc w:val="center"/>
              <w:rPr>
                <w:rFonts w:hint="eastAsia" w:ascii="宋体" w:hAnsi="宋体" w:cs="宋体"/>
                <w:sz w:val="13"/>
                <w:szCs w:val="13"/>
              </w:rPr>
            </w:pPr>
          </w:p>
          <w:p w14:paraId="0A4E9C20">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8890"/>
                  <wp:effectExtent l="0" t="0" r="0" b="0"/>
                  <wp:docPr id="98"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42"/>
                          <pic:cNvPicPr>
                            <a:picLocks noChangeAspect="1"/>
                          </pic:cNvPicPr>
                        </pic:nvPicPr>
                        <pic:blipFill>
                          <a:blip r:embed="rId27"/>
                          <a:stretch>
                            <a:fillRect/>
                          </a:stretch>
                        </pic:blipFill>
                        <pic:spPr>
                          <a:xfrm>
                            <a:off x="0" y="0"/>
                            <a:ext cx="8255" cy="8890"/>
                          </a:xfrm>
                          <a:prstGeom prst="rect">
                            <a:avLst/>
                          </a:prstGeom>
                          <a:noFill/>
                          <a:ln>
                            <a:noFill/>
                          </a:ln>
                        </pic:spPr>
                      </pic:pic>
                    </a:graphicData>
                  </a:graphic>
                </wp:inline>
              </w:drawing>
            </w:r>
          </w:p>
          <w:p w14:paraId="45EC7779">
            <w:pPr>
              <w:pStyle w:val="522"/>
              <w:tabs>
                <w:tab w:val="right" w:leader="dot" w:pos="9354"/>
              </w:tabs>
              <w:ind w:left="0" w:leftChars="0"/>
              <w:jc w:val="center"/>
              <w:rPr>
                <w:rFonts w:hint="eastAsia" w:ascii="宋体" w:hAnsi="宋体" w:cs="宋体"/>
                <w:sz w:val="13"/>
                <w:szCs w:val="13"/>
              </w:rPr>
            </w:pPr>
          </w:p>
          <w:p w14:paraId="5F46A8DF">
            <w:pPr>
              <w:pStyle w:val="522"/>
              <w:tabs>
                <w:tab w:val="right" w:leader="dot" w:pos="9354"/>
              </w:tabs>
              <w:ind w:left="0" w:leftChars="0"/>
              <w:jc w:val="center"/>
              <w:rPr>
                <w:rFonts w:hint="eastAsia" w:ascii="宋体" w:hAnsi="宋体" w:cs="宋体"/>
                <w:sz w:val="13"/>
                <w:szCs w:val="13"/>
              </w:rPr>
            </w:pPr>
          </w:p>
          <w:p w14:paraId="4513F6B2">
            <w:pPr>
              <w:pStyle w:val="522"/>
              <w:tabs>
                <w:tab w:val="right" w:leader="dot" w:pos="9354"/>
              </w:tabs>
              <w:ind w:left="0" w:leftChars="0"/>
              <w:jc w:val="center"/>
              <w:rPr>
                <w:rFonts w:hint="eastAsia" w:ascii="宋体" w:hAnsi="宋体" w:cs="宋体"/>
                <w:sz w:val="13"/>
                <w:szCs w:val="13"/>
              </w:rPr>
            </w:pPr>
          </w:p>
          <w:p w14:paraId="7B89F093">
            <w:pPr>
              <w:pStyle w:val="522"/>
              <w:tabs>
                <w:tab w:val="right" w:leader="dot" w:pos="9354"/>
              </w:tabs>
              <w:ind w:left="0" w:leftChars="0"/>
              <w:jc w:val="center"/>
              <w:rPr>
                <w:rFonts w:hint="eastAsia" w:ascii="宋体" w:hAnsi="宋体" w:cs="宋体"/>
                <w:sz w:val="13"/>
                <w:szCs w:val="13"/>
              </w:rPr>
            </w:pPr>
          </w:p>
          <w:p w14:paraId="5603336C">
            <w:pPr>
              <w:pStyle w:val="522"/>
              <w:tabs>
                <w:tab w:val="right" w:leader="dot" w:pos="9354"/>
              </w:tabs>
              <w:ind w:left="0" w:leftChars="0"/>
              <w:jc w:val="center"/>
              <w:rPr>
                <w:rFonts w:hint="eastAsia" w:ascii="宋体" w:hAnsi="宋体" w:cs="宋体"/>
                <w:sz w:val="13"/>
                <w:szCs w:val="13"/>
              </w:rPr>
            </w:pPr>
          </w:p>
          <w:p w14:paraId="7B0DA343">
            <w:pPr>
              <w:pStyle w:val="522"/>
              <w:tabs>
                <w:tab w:val="right" w:leader="dot" w:pos="9354"/>
              </w:tabs>
              <w:ind w:left="0" w:leftChars="0"/>
              <w:jc w:val="center"/>
              <w:rPr>
                <w:rFonts w:hint="eastAsia" w:ascii="宋体" w:hAnsi="宋体" w:cs="宋体"/>
                <w:sz w:val="13"/>
                <w:szCs w:val="13"/>
              </w:rPr>
            </w:pPr>
          </w:p>
        </w:tc>
        <w:tc>
          <w:tcPr>
            <w:tcW w:w="820" w:type="dxa"/>
            <w:vAlign w:val="center"/>
          </w:tcPr>
          <w:p w14:paraId="075B78A0">
            <w:pPr>
              <w:pStyle w:val="522"/>
              <w:tabs>
                <w:tab w:val="right" w:leader="dot" w:pos="9354"/>
              </w:tabs>
              <w:ind w:left="0" w:leftChars="0"/>
              <w:jc w:val="center"/>
              <w:rPr>
                <w:rFonts w:hint="eastAsia" w:ascii="宋体" w:hAnsi="宋体" w:cs="宋体"/>
                <w:sz w:val="13"/>
                <w:szCs w:val="13"/>
              </w:rPr>
            </w:pPr>
          </w:p>
          <w:p w14:paraId="4E722FC5">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8890"/>
                  <wp:effectExtent l="0" t="0" r="0" b="0"/>
                  <wp:docPr id="9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43"/>
                          <pic:cNvPicPr>
                            <a:picLocks noChangeAspect="1"/>
                          </pic:cNvPicPr>
                        </pic:nvPicPr>
                        <pic:blipFill>
                          <a:blip r:embed="rId27"/>
                          <a:stretch>
                            <a:fillRect/>
                          </a:stretch>
                        </pic:blipFill>
                        <pic:spPr>
                          <a:xfrm>
                            <a:off x="0" y="0"/>
                            <a:ext cx="8255" cy="8890"/>
                          </a:xfrm>
                          <a:prstGeom prst="rect">
                            <a:avLst/>
                          </a:prstGeom>
                          <a:noFill/>
                          <a:ln>
                            <a:noFill/>
                          </a:ln>
                        </pic:spPr>
                      </pic:pic>
                    </a:graphicData>
                  </a:graphic>
                </wp:inline>
              </w:drawing>
            </w:r>
          </w:p>
          <w:p w14:paraId="3F168011">
            <w:pPr>
              <w:pStyle w:val="522"/>
              <w:tabs>
                <w:tab w:val="right" w:leader="dot" w:pos="9354"/>
              </w:tabs>
              <w:ind w:left="0" w:leftChars="0"/>
              <w:jc w:val="center"/>
              <w:rPr>
                <w:rFonts w:hint="eastAsia" w:ascii="宋体" w:hAnsi="宋体" w:cs="宋体"/>
                <w:sz w:val="13"/>
                <w:szCs w:val="13"/>
              </w:rPr>
            </w:pPr>
          </w:p>
          <w:p w14:paraId="0E474310">
            <w:pPr>
              <w:pStyle w:val="522"/>
              <w:tabs>
                <w:tab w:val="right" w:leader="dot" w:pos="9354"/>
              </w:tabs>
              <w:ind w:left="0" w:leftChars="0"/>
              <w:jc w:val="center"/>
              <w:rPr>
                <w:rFonts w:hint="eastAsia" w:ascii="宋体" w:hAnsi="宋体" w:cs="宋体"/>
                <w:sz w:val="13"/>
                <w:szCs w:val="13"/>
              </w:rPr>
            </w:pPr>
          </w:p>
          <w:p w14:paraId="7949CAD3">
            <w:pPr>
              <w:pStyle w:val="522"/>
              <w:tabs>
                <w:tab w:val="right" w:leader="dot" w:pos="9354"/>
              </w:tabs>
              <w:ind w:left="0" w:leftChars="0"/>
              <w:jc w:val="center"/>
              <w:rPr>
                <w:rFonts w:hint="eastAsia" w:ascii="宋体" w:hAnsi="宋体" w:cs="宋体"/>
                <w:sz w:val="13"/>
                <w:szCs w:val="13"/>
              </w:rPr>
            </w:pPr>
          </w:p>
          <w:p w14:paraId="683F8820">
            <w:pPr>
              <w:pStyle w:val="522"/>
              <w:tabs>
                <w:tab w:val="right" w:leader="dot" w:pos="9354"/>
              </w:tabs>
              <w:ind w:left="0" w:leftChars="0"/>
              <w:jc w:val="center"/>
              <w:rPr>
                <w:rFonts w:hint="eastAsia" w:ascii="宋体" w:hAnsi="宋体" w:cs="宋体"/>
                <w:sz w:val="13"/>
                <w:szCs w:val="13"/>
              </w:rPr>
            </w:pPr>
          </w:p>
          <w:p w14:paraId="28FA565F">
            <w:pPr>
              <w:pStyle w:val="522"/>
              <w:tabs>
                <w:tab w:val="right" w:leader="dot" w:pos="9354"/>
              </w:tabs>
              <w:ind w:left="0" w:leftChars="0"/>
              <w:jc w:val="center"/>
              <w:rPr>
                <w:rFonts w:hint="eastAsia" w:ascii="宋体" w:hAnsi="宋体" w:cs="宋体"/>
                <w:sz w:val="13"/>
                <w:szCs w:val="13"/>
              </w:rPr>
            </w:pPr>
          </w:p>
          <w:p w14:paraId="03D9377F">
            <w:pPr>
              <w:pStyle w:val="522"/>
              <w:tabs>
                <w:tab w:val="right" w:leader="dot" w:pos="9354"/>
              </w:tabs>
              <w:ind w:left="0" w:leftChars="0"/>
              <w:jc w:val="center"/>
              <w:rPr>
                <w:rFonts w:hint="eastAsia" w:ascii="宋体" w:hAnsi="宋体" w:cs="宋体"/>
                <w:sz w:val="13"/>
                <w:szCs w:val="13"/>
              </w:rPr>
            </w:pPr>
          </w:p>
        </w:tc>
        <w:tc>
          <w:tcPr>
            <w:tcW w:w="857" w:type="dxa"/>
            <w:vAlign w:val="center"/>
          </w:tcPr>
          <w:p w14:paraId="2ACD64B3">
            <w:pPr>
              <w:pStyle w:val="522"/>
              <w:tabs>
                <w:tab w:val="right" w:leader="dot" w:pos="9354"/>
              </w:tabs>
              <w:ind w:left="0" w:leftChars="0"/>
              <w:jc w:val="center"/>
              <w:rPr>
                <w:rFonts w:hint="eastAsia" w:ascii="宋体" w:hAnsi="宋体" w:cs="宋体"/>
                <w:sz w:val="13"/>
                <w:szCs w:val="13"/>
              </w:rPr>
            </w:pPr>
          </w:p>
          <w:p w14:paraId="3E7B0827">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890" cy="8890"/>
                  <wp:effectExtent l="0" t="0" r="0" b="0"/>
                  <wp:docPr id="100"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44"/>
                          <pic:cNvPicPr>
                            <a:picLocks noChangeAspect="1"/>
                          </pic:cNvPicPr>
                        </pic:nvPicPr>
                        <pic:blipFill>
                          <a:blip r:embed="rId29"/>
                          <a:stretch>
                            <a:fillRect/>
                          </a:stretch>
                        </pic:blipFill>
                        <pic:spPr>
                          <a:xfrm>
                            <a:off x="0" y="0"/>
                            <a:ext cx="8890" cy="8890"/>
                          </a:xfrm>
                          <a:prstGeom prst="rect">
                            <a:avLst/>
                          </a:prstGeom>
                          <a:noFill/>
                          <a:ln>
                            <a:noFill/>
                          </a:ln>
                        </pic:spPr>
                      </pic:pic>
                    </a:graphicData>
                  </a:graphic>
                </wp:inline>
              </w:drawing>
            </w:r>
          </w:p>
          <w:p w14:paraId="573F4837">
            <w:pPr>
              <w:pStyle w:val="522"/>
              <w:tabs>
                <w:tab w:val="right" w:leader="dot" w:pos="9354"/>
              </w:tabs>
              <w:ind w:left="0" w:leftChars="0"/>
              <w:jc w:val="center"/>
              <w:rPr>
                <w:rFonts w:hint="eastAsia" w:ascii="宋体" w:hAnsi="宋体" w:cs="宋体"/>
                <w:sz w:val="13"/>
                <w:szCs w:val="13"/>
              </w:rPr>
            </w:pPr>
          </w:p>
          <w:p w14:paraId="2A7C052E">
            <w:pPr>
              <w:pStyle w:val="522"/>
              <w:tabs>
                <w:tab w:val="right" w:leader="dot" w:pos="9354"/>
              </w:tabs>
              <w:ind w:left="0" w:leftChars="0"/>
              <w:jc w:val="center"/>
              <w:rPr>
                <w:rFonts w:hint="eastAsia" w:ascii="宋体" w:hAnsi="宋体" w:cs="宋体"/>
                <w:sz w:val="13"/>
                <w:szCs w:val="13"/>
              </w:rPr>
            </w:pPr>
          </w:p>
          <w:p w14:paraId="4CEDF2C1">
            <w:pPr>
              <w:pStyle w:val="522"/>
              <w:tabs>
                <w:tab w:val="right" w:leader="dot" w:pos="9354"/>
              </w:tabs>
              <w:ind w:left="0" w:leftChars="0"/>
              <w:jc w:val="center"/>
              <w:rPr>
                <w:rFonts w:hint="eastAsia" w:ascii="宋体" w:hAnsi="宋体" w:cs="宋体"/>
                <w:sz w:val="13"/>
                <w:szCs w:val="13"/>
              </w:rPr>
            </w:pPr>
          </w:p>
          <w:p w14:paraId="1E32C7DE">
            <w:pPr>
              <w:pStyle w:val="522"/>
              <w:tabs>
                <w:tab w:val="right" w:leader="dot" w:pos="9354"/>
              </w:tabs>
              <w:ind w:left="0" w:leftChars="0"/>
              <w:jc w:val="center"/>
              <w:rPr>
                <w:rFonts w:hint="eastAsia" w:ascii="宋体" w:hAnsi="宋体" w:cs="宋体"/>
                <w:sz w:val="13"/>
                <w:szCs w:val="13"/>
              </w:rPr>
            </w:pPr>
          </w:p>
          <w:p w14:paraId="55A4636D">
            <w:pPr>
              <w:pStyle w:val="522"/>
              <w:tabs>
                <w:tab w:val="right" w:leader="dot" w:pos="9354"/>
              </w:tabs>
              <w:ind w:left="0" w:leftChars="0"/>
              <w:jc w:val="center"/>
              <w:rPr>
                <w:rFonts w:hint="eastAsia" w:ascii="宋体" w:hAnsi="宋体" w:cs="宋体"/>
                <w:sz w:val="13"/>
                <w:szCs w:val="13"/>
              </w:rPr>
            </w:pPr>
          </w:p>
          <w:p w14:paraId="1B7CF840">
            <w:pPr>
              <w:pStyle w:val="522"/>
              <w:tabs>
                <w:tab w:val="right" w:leader="dot" w:pos="9354"/>
              </w:tabs>
              <w:ind w:left="0" w:leftChars="0"/>
              <w:jc w:val="center"/>
              <w:rPr>
                <w:rFonts w:hint="eastAsia" w:ascii="宋体" w:hAnsi="宋体" w:cs="宋体"/>
                <w:sz w:val="13"/>
                <w:szCs w:val="13"/>
              </w:rPr>
            </w:pPr>
          </w:p>
        </w:tc>
        <w:tc>
          <w:tcPr>
            <w:tcW w:w="784" w:type="dxa"/>
            <w:vAlign w:val="center"/>
          </w:tcPr>
          <w:p w14:paraId="49CE505B">
            <w:pPr>
              <w:pStyle w:val="522"/>
              <w:tabs>
                <w:tab w:val="right" w:leader="dot" w:pos="9354"/>
              </w:tabs>
              <w:ind w:left="0" w:leftChars="0"/>
              <w:jc w:val="center"/>
              <w:rPr>
                <w:rFonts w:hint="eastAsia" w:ascii="宋体" w:hAnsi="宋体" w:cs="宋体"/>
                <w:sz w:val="13"/>
                <w:szCs w:val="13"/>
              </w:rPr>
            </w:pPr>
          </w:p>
          <w:p w14:paraId="5C9B049C">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890" cy="8890"/>
                  <wp:effectExtent l="0" t="0" r="0" b="0"/>
                  <wp:docPr id="101"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45"/>
                          <pic:cNvPicPr>
                            <a:picLocks noChangeAspect="1"/>
                          </pic:cNvPicPr>
                        </pic:nvPicPr>
                        <pic:blipFill>
                          <a:blip r:embed="rId30"/>
                          <a:stretch>
                            <a:fillRect/>
                          </a:stretch>
                        </pic:blipFill>
                        <pic:spPr>
                          <a:xfrm>
                            <a:off x="0" y="0"/>
                            <a:ext cx="8890" cy="8890"/>
                          </a:xfrm>
                          <a:prstGeom prst="rect">
                            <a:avLst/>
                          </a:prstGeom>
                          <a:noFill/>
                          <a:ln>
                            <a:noFill/>
                          </a:ln>
                        </pic:spPr>
                      </pic:pic>
                    </a:graphicData>
                  </a:graphic>
                </wp:inline>
              </w:drawing>
            </w:r>
          </w:p>
          <w:p w14:paraId="5C149635">
            <w:pPr>
              <w:pStyle w:val="522"/>
              <w:tabs>
                <w:tab w:val="right" w:leader="dot" w:pos="9354"/>
              </w:tabs>
              <w:ind w:left="0" w:leftChars="0"/>
              <w:jc w:val="center"/>
              <w:rPr>
                <w:rFonts w:hint="eastAsia" w:ascii="宋体" w:hAnsi="宋体" w:cs="宋体"/>
                <w:sz w:val="13"/>
                <w:szCs w:val="13"/>
              </w:rPr>
            </w:pPr>
          </w:p>
          <w:p w14:paraId="4279E5EB">
            <w:pPr>
              <w:pStyle w:val="522"/>
              <w:tabs>
                <w:tab w:val="right" w:leader="dot" w:pos="9354"/>
              </w:tabs>
              <w:ind w:left="0" w:leftChars="0"/>
              <w:jc w:val="center"/>
              <w:rPr>
                <w:rFonts w:hint="eastAsia" w:ascii="宋体" w:hAnsi="宋体" w:cs="宋体"/>
                <w:sz w:val="13"/>
                <w:szCs w:val="13"/>
              </w:rPr>
            </w:pPr>
          </w:p>
          <w:p w14:paraId="2EB2EE90">
            <w:pPr>
              <w:pStyle w:val="522"/>
              <w:tabs>
                <w:tab w:val="right" w:leader="dot" w:pos="9354"/>
              </w:tabs>
              <w:ind w:left="0" w:leftChars="0"/>
              <w:jc w:val="center"/>
              <w:rPr>
                <w:rFonts w:hint="eastAsia" w:ascii="宋体" w:hAnsi="宋体" w:cs="宋体"/>
                <w:sz w:val="13"/>
                <w:szCs w:val="13"/>
              </w:rPr>
            </w:pPr>
          </w:p>
          <w:p w14:paraId="15ABF4CE">
            <w:pPr>
              <w:pStyle w:val="522"/>
              <w:tabs>
                <w:tab w:val="right" w:leader="dot" w:pos="9354"/>
              </w:tabs>
              <w:ind w:left="0" w:leftChars="0"/>
              <w:jc w:val="center"/>
              <w:rPr>
                <w:rFonts w:hint="eastAsia" w:ascii="宋体" w:hAnsi="宋体" w:cs="宋体"/>
                <w:sz w:val="13"/>
                <w:szCs w:val="13"/>
              </w:rPr>
            </w:pPr>
          </w:p>
          <w:p w14:paraId="691CC071">
            <w:pPr>
              <w:pStyle w:val="522"/>
              <w:tabs>
                <w:tab w:val="right" w:leader="dot" w:pos="9354"/>
              </w:tabs>
              <w:ind w:left="0" w:leftChars="0"/>
              <w:jc w:val="center"/>
              <w:rPr>
                <w:rFonts w:hint="eastAsia" w:ascii="宋体" w:hAnsi="宋体" w:cs="宋体"/>
                <w:sz w:val="13"/>
                <w:szCs w:val="13"/>
              </w:rPr>
            </w:pPr>
          </w:p>
          <w:p w14:paraId="665F20B3">
            <w:pPr>
              <w:pStyle w:val="522"/>
              <w:tabs>
                <w:tab w:val="right" w:leader="dot" w:pos="9354"/>
              </w:tabs>
              <w:ind w:left="0" w:leftChars="0"/>
              <w:jc w:val="center"/>
              <w:rPr>
                <w:rFonts w:hint="eastAsia" w:ascii="宋体" w:hAnsi="宋体" w:cs="宋体"/>
                <w:sz w:val="13"/>
                <w:szCs w:val="13"/>
              </w:rPr>
            </w:pPr>
          </w:p>
        </w:tc>
        <w:tc>
          <w:tcPr>
            <w:tcW w:w="441" w:type="dxa"/>
            <w:vAlign w:val="center"/>
          </w:tcPr>
          <w:p w14:paraId="6C3C1301">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c>
          <w:tcPr>
            <w:tcW w:w="678" w:type="dxa"/>
            <w:vAlign w:val="center"/>
          </w:tcPr>
          <w:p w14:paraId="1997A2DC">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r>
      <w:tr w14:paraId="0977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exact"/>
          <w:jc w:val="center"/>
        </w:trPr>
        <w:tc>
          <w:tcPr>
            <w:tcW w:w="1406" w:type="dxa"/>
            <w:vAlign w:val="center"/>
          </w:tcPr>
          <w:p w14:paraId="374149F2">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盥洗处所和类似处所⑪</w:t>
            </w:r>
          </w:p>
        </w:tc>
        <w:tc>
          <w:tcPr>
            <w:tcW w:w="770" w:type="dxa"/>
            <w:vAlign w:val="center"/>
          </w:tcPr>
          <w:p w14:paraId="71A993EE">
            <w:pPr>
              <w:pStyle w:val="522"/>
              <w:tabs>
                <w:tab w:val="right" w:leader="dot" w:pos="9354"/>
              </w:tabs>
              <w:ind w:left="0" w:leftChars="0"/>
              <w:jc w:val="center"/>
              <w:rPr>
                <w:rFonts w:hint="eastAsia" w:ascii="宋体" w:hAnsi="宋体" w:cs="宋体"/>
                <w:sz w:val="13"/>
                <w:szCs w:val="13"/>
              </w:rPr>
            </w:pPr>
          </w:p>
          <w:p w14:paraId="03348848">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8890"/>
                  <wp:effectExtent l="0" t="0" r="0" b="0"/>
                  <wp:docPr id="102"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46"/>
                          <pic:cNvPicPr>
                            <a:picLocks noChangeAspect="1"/>
                          </pic:cNvPicPr>
                        </pic:nvPicPr>
                        <pic:blipFill>
                          <a:blip r:embed="rId27"/>
                          <a:stretch>
                            <a:fillRect/>
                          </a:stretch>
                        </pic:blipFill>
                        <pic:spPr>
                          <a:xfrm>
                            <a:off x="0" y="0"/>
                            <a:ext cx="8255" cy="8890"/>
                          </a:xfrm>
                          <a:prstGeom prst="rect">
                            <a:avLst/>
                          </a:prstGeom>
                          <a:noFill/>
                          <a:ln>
                            <a:noFill/>
                          </a:ln>
                        </pic:spPr>
                      </pic:pic>
                    </a:graphicData>
                  </a:graphic>
                </wp:inline>
              </w:drawing>
            </w:r>
          </w:p>
          <w:p w14:paraId="5B2F76C7">
            <w:pPr>
              <w:pStyle w:val="522"/>
              <w:tabs>
                <w:tab w:val="right" w:leader="dot" w:pos="9354"/>
              </w:tabs>
              <w:ind w:left="0" w:leftChars="0"/>
              <w:jc w:val="center"/>
              <w:rPr>
                <w:rFonts w:hint="eastAsia" w:ascii="宋体" w:hAnsi="宋体" w:cs="宋体"/>
                <w:sz w:val="13"/>
                <w:szCs w:val="13"/>
              </w:rPr>
            </w:pPr>
          </w:p>
          <w:p w14:paraId="3D371FA0">
            <w:pPr>
              <w:pStyle w:val="522"/>
              <w:tabs>
                <w:tab w:val="right" w:leader="dot" w:pos="9354"/>
              </w:tabs>
              <w:ind w:left="0" w:leftChars="0"/>
              <w:jc w:val="center"/>
              <w:rPr>
                <w:rFonts w:hint="eastAsia" w:ascii="宋体" w:hAnsi="宋体" w:cs="宋体"/>
                <w:sz w:val="13"/>
                <w:szCs w:val="13"/>
              </w:rPr>
            </w:pPr>
          </w:p>
          <w:p w14:paraId="65D73713">
            <w:pPr>
              <w:pStyle w:val="522"/>
              <w:tabs>
                <w:tab w:val="right" w:leader="dot" w:pos="9354"/>
              </w:tabs>
              <w:ind w:left="0" w:leftChars="0"/>
              <w:jc w:val="center"/>
              <w:rPr>
                <w:rFonts w:hint="eastAsia" w:ascii="宋体" w:hAnsi="宋体" w:cs="宋体"/>
                <w:sz w:val="13"/>
                <w:szCs w:val="13"/>
              </w:rPr>
            </w:pPr>
          </w:p>
          <w:p w14:paraId="53AC6966">
            <w:pPr>
              <w:pStyle w:val="522"/>
              <w:tabs>
                <w:tab w:val="right" w:leader="dot" w:pos="9354"/>
              </w:tabs>
              <w:ind w:left="0" w:leftChars="0"/>
              <w:jc w:val="center"/>
              <w:rPr>
                <w:rFonts w:hint="eastAsia" w:ascii="宋体" w:hAnsi="宋体" w:cs="宋体"/>
                <w:sz w:val="13"/>
                <w:szCs w:val="13"/>
              </w:rPr>
            </w:pPr>
          </w:p>
          <w:p w14:paraId="3F28D33D">
            <w:pPr>
              <w:pStyle w:val="522"/>
              <w:tabs>
                <w:tab w:val="right" w:leader="dot" w:pos="9354"/>
              </w:tabs>
              <w:ind w:left="0" w:leftChars="0"/>
              <w:jc w:val="center"/>
              <w:rPr>
                <w:rFonts w:hint="eastAsia" w:ascii="宋体" w:hAnsi="宋体" w:cs="宋体"/>
                <w:sz w:val="13"/>
                <w:szCs w:val="13"/>
              </w:rPr>
            </w:pPr>
          </w:p>
          <w:p w14:paraId="5ACAF42F">
            <w:pPr>
              <w:pStyle w:val="522"/>
              <w:tabs>
                <w:tab w:val="right" w:leader="dot" w:pos="9354"/>
              </w:tabs>
              <w:ind w:left="0" w:leftChars="0"/>
              <w:jc w:val="center"/>
              <w:rPr>
                <w:rFonts w:hint="eastAsia" w:ascii="宋体" w:hAnsi="宋体" w:cs="宋体"/>
                <w:sz w:val="13"/>
                <w:szCs w:val="13"/>
              </w:rPr>
            </w:pPr>
          </w:p>
          <w:p w14:paraId="2E63E028">
            <w:pPr>
              <w:pStyle w:val="522"/>
              <w:tabs>
                <w:tab w:val="right" w:leader="dot" w:pos="9354"/>
              </w:tabs>
              <w:ind w:left="0" w:leftChars="0"/>
              <w:jc w:val="center"/>
              <w:rPr>
                <w:rFonts w:hint="eastAsia" w:ascii="宋体" w:hAnsi="宋体" w:cs="宋体"/>
                <w:sz w:val="13"/>
                <w:szCs w:val="13"/>
              </w:rPr>
            </w:pPr>
          </w:p>
          <w:p w14:paraId="1D1F8858">
            <w:pPr>
              <w:pStyle w:val="522"/>
              <w:tabs>
                <w:tab w:val="right" w:leader="dot" w:pos="9354"/>
              </w:tabs>
              <w:ind w:left="0" w:leftChars="0"/>
              <w:jc w:val="center"/>
              <w:rPr>
                <w:rFonts w:hint="eastAsia" w:ascii="宋体" w:hAnsi="宋体" w:cs="宋体"/>
                <w:sz w:val="13"/>
                <w:szCs w:val="13"/>
              </w:rPr>
            </w:pPr>
          </w:p>
          <w:p w14:paraId="53465390">
            <w:pPr>
              <w:pStyle w:val="522"/>
              <w:tabs>
                <w:tab w:val="right" w:leader="dot" w:pos="9354"/>
              </w:tabs>
              <w:ind w:left="0" w:leftChars="0"/>
              <w:jc w:val="center"/>
              <w:rPr>
                <w:rFonts w:hint="eastAsia" w:ascii="宋体" w:hAnsi="宋体" w:cs="宋体"/>
                <w:sz w:val="13"/>
                <w:szCs w:val="13"/>
              </w:rPr>
            </w:pPr>
          </w:p>
        </w:tc>
        <w:tc>
          <w:tcPr>
            <w:tcW w:w="778" w:type="dxa"/>
            <w:vAlign w:val="center"/>
          </w:tcPr>
          <w:p w14:paraId="27D439D3">
            <w:pPr>
              <w:pStyle w:val="522"/>
              <w:tabs>
                <w:tab w:val="right" w:leader="dot" w:pos="9354"/>
              </w:tabs>
              <w:ind w:left="0" w:leftChars="0"/>
              <w:jc w:val="center"/>
              <w:rPr>
                <w:rFonts w:hint="eastAsia" w:ascii="宋体" w:hAnsi="宋体" w:cs="宋体"/>
                <w:sz w:val="13"/>
                <w:szCs w:val="13"/>
              </w:rPr>
            </w:pPr>
          </w:p>
          <w:p w14:paraId="047B1951">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8890"/>
                  <wp:effectExtent l="0" t="0" r="0" b="0"/>
                  <wp:docPr id="103"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47"/>
                          <pic:cNvPicPr>
                            <a:picLocks noChangeAspect="1"/>
                          </pic:cNvPicPr>
                        </pic:nvPicPr>
                        <pic:blipFill>
                          <a:blip r:embed="rId27"/>
                          <a:stretch>
                            <a:fillRect/>
                          </a:stretch>
                        </pic:blipFill>
                        <pic:spPr>
                          <a:xfrm>
                            <a:off x="0" y="0"/>
                            <a:ext cx="8255" cy="8890"/>
                          </a:xfrm>
                          <a:prstGeom prst="rect">
                            <a:avLst/>
                          </a:prstGeom>
                          <a:noFill/>
                          <a:ln>
                            <a:noFill/>
                          </a:ln>
                        </pic:spPr>
                      </pic:pic>
                    </a:graphicData>
                  </a:graphic>
                </wp:inline>
              </w:drawing>
            </w:r>
          </w:p>
          <w:p w14:paraId="2551908E">
            <w:pPr>
              <w:pStyle w:val="522"/>
              <w:tabs>
                <w:tab w:val="right" w:leader="dot" w:pos="9354"/>
              </w:tabs>
              <w:ind w:left="0" w:leftChars="0"/>
              <w:jc w:val="center"/>
              <w:rPr>
                <w:rFonts w:hint="eastAsia" w:ascii="宋体" w:hAnsi="宋体" w:cs="宋体"/>
                <w:sz w:val="13"/>
                <w:szCs w:val="13"/>
              </w:rPr>
            </w:pPr>
          </w:p>
          <w:p w14:paraId="2019AD49">
            <w:pPr>
              <w:pStyle w:val="522"/>
              <w:tabs>
                <w:tab w:val="right" w:leader="dot" w:pos="9354"/>
              </w:tabs>
              <w:ind w:left="0" w:leftChars="0"/>
              <w:jc w:val="center"/>
              <w:rPr>
                <w:rFonts w:hint="eastAsia" w:ascii="宋体" w:hAnsi="宋体" w:cs="宋体"/>
                <w:sz w:val="13"/>
                <w:szCs w:val="13"/>
              </w:rPr>
            </w:pPr>
          </w:p>
          <w:p w14:paraId="16B138C0">
            <w:pPr>
              <w:pStyle w:val="522"/>
              <w:tabs>
                <w:tab w:val="right" w:leader="dot" w:pos="9354"/>
              </w:tabs>
              <w:ind w:left="0" w:leftChars="0"/>
              <w:jc w:val="center"/>
              <w:rPr>
                <w:rFonts w:hint="eastAsia" w:ascii="宋体" w:hAnsi="宋体" w:cs="宋体"/>
                <w:sz w:val="13"/>
                <w:szCs w:val="13"/>
              </w:rPr>
            </w:pPr>
          </w:p>
          <w:p w14:paraId="67CDC580">
            <w:pPr>
              <w:pStyle w:val="522"/>
              <w:tabs>
                <w:tab w:val="right" w:leader="dot" w:pos="9354"/>
              </w:tabs>
              <w:ind w:left="0" w:leftChars="0"/>
              <w:jc w:val="center"/>
              <w:rPr>
                <w:rFonts w:hint="eastAsia" w:ascii="宋体" w:hAnsi="宋体" w:cs="宋体"/>
                <w:sz w:val="13"/>
                <w:szCs w:val="13"/>
              </w:rPr>
            </w:pPr>
          </w:p>
          <w:p w14:paraId="3CF43353">
            <w:pPr>
              <w:pStyle w:val="522"/>
              <w:tabs>
                <w:tab w:val="right" w:leader="dot" w:pos="9354"/>
              </w:tabs>
              <w:ind w:left="0" w:leftChars="0"/>
              <w:jc w:val="center"/>
              <w:rPr>
                <w:rFonts w:hint="eastAsia" w:ascii="宋体" w:hAnsi="宋体" w:cs="宋体"/>
                <w:sz w:val="13"/>
                <w:szCs w:val="13"/>
              </w:rPr>
            </w:pPr>
          </w:p>
          <w:p w14:paraId="0C65221C">
            <w:pPr>
              <w:pStyle w:val="522"/>
              <w:tabs>
                <w:tab w:val="right" w:leader="dot" w:pos="9354"/>
              </w:tabs>
              <w:ind w:left="0" w:leftChars="0"/>
              <w:jc w:val="center"/>
              <w:rPr>
                <w:rFonts w:hint="eastAsia" w:ascii="宋体" w:hAnsi="宋体" w:cs="宋体"/>
                <w:sz w:val="13"/>
                <w:szCs w:val="13"/>
              </w:rPr>
            </w:pPr>
          </w:p>
          <w:p w14:paraId="674BB02E">
            <w:pPr>
              <w:pStyle w:val="522"/>
              <w:tabs>
                <w:tab w:val="right" w:leader="dot" w:pos="9354"/>
              </w:tabs>
              <w:ind w:left="0" w:leftChars="0"/>
              <w:jc w:val="center"/>
              <w:rPr>
                <w:rFonts w:hint="eastAsia" w:ascii="宋体" w:hAnsi="宋体" w:cs="宋体"/>
                <w:sz w:val="13"/>
                <w:szCs w:val="13"/>
              </w:rPr>
            </w:pPr>
          </w:p>
          <w:p w14:paraId="2E36C77F">
            <w:pPr>
              <w:pStyle w:val="522"/>
              <w:tabs>
                <w:tab w:val="right" w:leader="dot" w:pos="9354"/>
              </w:tabs>
              <w:ind w:left="0" w:leftChars="0"/>
              <w:jc w:val="center"/>
              <w:rPr>
                <w:rFonts w:hint="eastAsia" w:ascii="宋体" w:hAnsi="宋体" w:cs="宋体"/>
                <w:sz w:val="13"/>
                <w:szCs w:val="13"/>
              </w:rPr>
            </w:pPr>
          </w:p>
          <w:p w14:paraId="024D786D">
            <w:pPr>
              <w:pStyle w:val="522"/>
              <w:tabs>
                <w:tab w:val="right" w:leader="dot" w:pos="9354"/>
              </w:tabs>
              <w:ind w:left="0" w:leftChars="0"/>
              <w:jc w:val="center"/>
              <w:rPr>
                <w:rFonts w:hint="eastAsia" w:ascii="宋体" w:hAnsi="宋体" w:cs="宋体"/>
                <w:sz w:val="13"/>
                <w:szCs w:val="13"/>
              </w:rPr>
            </w:pPr>
          </w:p>
        </w:tc>
        <w:tc>
          <w:tcPr>
            <w:tcW w:w="757" w:type="dxa"/>
            <w:vAlign w:val="center"/>
          </w:tcPr>
          <w:p w14:paraId="43E9224D">
            <w:pPr>
              <w:pStyle w:val="522"/>
              <w:tabs>
                <w:tab w:val="right" w:leader="dot" w:pos="9354"/>
              </w:tabs>
              <w:ind w:left="0" w:leftChars="0"/>
              <w:jc w:val="center"/>
              <w:rPr>
                <w:rFonts w:hint="eastAsia" w:ascii="宋体" w:hAnsi="宋体" w:cs="宋体"/>
                <w:sz w:val="13"/>
                <w:szCs w:val="13"/>
              </w:rPr>
            </w:pPr>
          </w:p>
          <w:p w14:paraId="09155BAC">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8890"/>
                  <wp:effectExtent l="0" t="0" r="0" b="0"/>
                  <wp:docPr id="104"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48"/>
                          <pic:cNvPicPr>
                            <a:picLocks noChangeAspect="1"/>
                          </pic:cNvPicPr>
                        </pic:nvPicPr>
                        <pic:blipFill>
                          <a:blip r:embed="rId27"/>
                          <a:stretch>
                            <a:fillRect/>
                          </a:stretch>
                        </pic:blipFill>
                        <pic:spPr>
                          <a:xfrm>
                            <a:off x="0" y="0"/>
                            <a:ext cx="8255" cy="8890"/>
                          </a:xfrm>
                          <a:prstGeom prst="rect">
                            <a:avLst/>
                          </a:prstGeom>
                          <a:noFill/>
                          <a:ln>
                            <a:noFill/>
                          </a:ln>
                        </pic:spPr>
                      </pic:pic>
                    </a:graphicData>
                  </a:graphic>
                </wp:inline>
              </w:drawing>
            </w:r>
          </w:p>
          <w:p w14:paraId="2C2D4705">
            <w:pPr>
              <w:pStyle w:val="522"/>
              <w:tabs>
                <w:tab w:val="right" w:leader="dot" w:pos="9354"/>
              </w:tabs>
              <w:ind w:left="0" w:leftChars="0"/>
              <w:jc w:val="center"/>
              <w:rPr>
                <w:rFonts w:hint="eastAsia" w:ascii="宋体" w:hAnsi="宋体" w:cs="宋体"/>
                <w:sz w:val="13"/>
                <w:szCs w:val="13"/>
              </w:rPr>
            </w:pPr>
          </w:p>
          <w:p w14:paraId="663F1BBA">
            <w:pPr>
              <w:pStyle w:val="522"/>
              <w:tabs>
                <w:tab w:val="right" w:leader="dot" w:pos="9354"/>
              </w:tabs>
              <w:ind w:left="0" w:leftChars="0"/>
              <w:jc w:val="center"/>
              <w:rPr>
                <w:rFonts w:hint="eastAsia" w:ascii="宋体" w:hAnsi="宋体" w:cs="宋体"/>
                <w:sz w:val="13"/>
                <w:szCs w:val="13"/>
              </w:rPr>
            </w:pPr>
          </w:p>
          <w:p w14:paraId="7035EA75">
            <w:pPr>
              <w:pStyle w:val="522"/>
              <w:tabs>
                <w:tab w:val="right" w:leader="dot" w:pos="9354"/>
              </w:tabs>
              <w:ind w:left="0" w:leftChars="0"/>
              <w:jc w:val="center"/>
              <w:rPr>
                <w:rFonts w:hint="eastAsia" w:ascii="宋体" w:hAnsi="宋体" w:cs="宋体"/>
                <w:sz w:val="13"/>
                <w:szCs w:val="13"/>
              </w:rPr>
            </w:pPr>
          </w:p>
          <w:p w14:paraId="3E367DAA">
            <w:pPr>
              <w:pStyle w:val="522"/>
              <w:tabs>
                <w:tab w:val="right" w:leader="dot" w:pos="9354"/>
              </w:tabs>
              <w:ind w:left="0" w:leftChars="0"/>
              <w:jc w:val="center"/>
              <w:rPr>
                <w:rFonts w:hint="eastAsia" w:ascii="宋体" w:hAnsi="宋体" w:cs="宋体"/>
                <w:sz w:val="13"/>
                <w:szCs w:val="13"/>
              </w:rPr>
            </w:pPr>
          </w:p>
          <w:p w14:paraId="3BFAF4B1">
            <w:pPr>
              <w:pStyle w:val="522"/>
              <w:tabs>
                <w:tab w:val="right" w:leader="dot" w:pos="9354"/>
              </w:tabs>
              <w:ind w:left="0" w:leftChars="0"/>
              <w:jc w:val="center"/>
              <w:rPr>
                <w:rFonts w:hint="eastAsia" w:ascii="宋体" w:hAnsi="宋体" w:cs="宋体"/>
                <w:sz w:val="13"/>
                <w:szCs w:val="13"/>
              </w:rPr>
            </w:pPr>
          </w:p>
          <w:p w14:paraId="47CCCBAD">
            <w:pPr>
              <w:pStyle w:val="522"/>
              <w:tabs>
                <w:tab w:val="right" w:leader="dot" w:pos="9354"/>
              </w:tabs>
              <w:ind w:left="0" w:leftChars="0"/>
              <w:jc w:val="center"/>
              <w:rPr>
                <w:rFonts w:hint="eastAsia" w:ascii="宋体" w:hAnsi="宋体" w:cs="宋体"/>
                <w:sz w:val="13"/>
                <w:szCs w:val="13"/>
              </w:rPr>
            </w:pPr>
          </w:p>
          <w:p w14:paraId="2D030B35">
            <w:pPr>
              <w:pStyle w:val="522"/>
              <w:tabs>
                <w:tab w:val="right" w:leader="dot" w:pos="9354"/>
              </w:tabs>
              <w:ind w:left="0" w:leftChars="0"/>
              <w:jc w:val="center"/>
              <w:rPr>
                <w:rFonts w:hint="eastAsia" w:ascii="宋体" w:hAnsi="宋体" w:cs="宋体"/>
                <w:sz w:val="13"/>
                <w:szCs w:val="13"/>
              </w:rPr>
            </w:pPr>
          </w:p>
          <w:p w14:paraId="30AD0C10">
            <w:pPr>
              <w:pStyle w:val="522"/>
              <w:tabs>
                <w:tab w:val="right" w:leader="dot" w:pos="9354"/>
              </w:tabs>
              <w:ind w:left="0" w:leftChars="0"/>
              <w:jc w:val="center"/>
              <w:rPr>
                <w:rFonts w:hint="eastAsia" w:ascii="宋体" w:hAnsi="宋体" w:cs="宋体"/>
                <w:sz w:val="13"/>
                <w:szCs w:val="13"/>
              </w:rPr>
            </w:pPr>
          </w:p>
          <w:p w14:paraId="4F4ADA14">
            <w:pPr>
              <w:pStyle w:val="522"/>
              <w:tabs>
                <w:tab w:val="right" w:leader="dot" w:pos="9354"/>
              </w:tabs>
              <w:ind w:left="0" w:leftChars="0"/>
              <w:jc w:val="center"/>
              <w:rPr>
                <w:rFonts w:hint="eastAsia" w:ascii="宋体" w:hAnsi="宋体" w:cs="宋体"/>
                <w:sz w:val="13"/>
                <w:szCs w:val="13"/>
              </w:rPr>
            </w:pPr>
          </w:p>
        </w:tc>
        <w:tc>
          <w:tcPr>
            <w:tcW w:w="898" w:type="dxa"/>
            <w:vAlign w:val="center"/>
          </w:tcPr>
          <w:p w14:paraId="6B861B19">
            <w:pPr>
              <w:pStyle w:val="522"/>
              <w:tabs>
                <w:tab w:val="right" w:leader="dot" w:pos="9354"/>
              </w:tabs>
              <w:ind w:left="0" w:leftChars="0"/>
              <w:jc w:val="center"/>
              <w:rPr>
                <w:rFonts w:hint="eastAsia" w:ascii="宋体" w:hAnsi="宋体" w:cs="宋体"/>
                <w:sz w:val="13"/>
                <w:szCs w:val="13"/>
              </w:rPr>
            </w:pPr>
          </w:p>
          <w:p w14:paraId="228DDD83">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8890"/>
                  <wp:effectExtent l="0" t="0" r="0" b="0"/>
                  <wp:docPr id="105"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49"/>
                          <pic:cNvPicPr>
                            <a:picLocks noChangeAspect="1"/>
                          </pic:cNvPicPr>
                        </pic:nvPicPr>
                        <pic:blipFill>
                          <a:blip r:embed="rId27"/>
                          <a:stretch>
                            <a:fillRect/>
                          </a:stretch>
                        </pic:blipFill>
                        <pic:spPr>
                          <a:xfrm>
                            <a:off x="0" y="0"/>
                            <a:ext cx="8255" cy="8890"/>
                          </a:xfrm>
                          <a:prstGeom prst="rect">
                            <a:avLst/>
                          </a:prstGeom>
                          <a:noFill/>
                          <a:ln>
                            <a:noFill/>
                          </a:ln>
                        </pic:spPr>
                      </pic:pic>
                    </a:graphicData>
                  </a:graphic>
                </wp:inline>
              </w:drawing>
            </w:r>
          </w:p>
          <w:p w14:paraId="5DAE4925">
            <w:pPr>
              <w:pStyle w:val="522"/>
              <w:tabs>
                <w:tab w:val="right" w:leader="dot" w:pos="9354"/>
              </w:tabs>
              <w:ind w:left="0" w:leftChars="0"/>
              <w:jc w:val="center"/>
              <w:rPr>
                <w:rFonts w:hint="eastAsia" w:ascii="宋体" w:hAnsi="宋体" w:cs="宋体"/>
                <w:sz w:val="13"/>
                <w:szCs w:val="13"/>
              </w:rPr>
            </w:pPr>
          </w:p>
          <w:p w14:paraId="04A34E4C">
            <w:pPr>
              <w:pStyle w:val="522"/>
              <w:tabs>
                <w:tab w:val="right" w:leader="dot" w:pos="9354"/>
              </w:tabs>
              <w:ind w:left="0" w:leftChars="0"/>
              <w:jc w:val="center"/>
              <w:rPr>
                <w:rFonts w:hint="eastAsia" w:ascii="宋体" w:hAnsi="宋体" w:cs="宋体"/>
                <w:sz w:val="13"/>
                <w:szCs w:val="13"/>
              </w:rPr>
            </w:pPr>
          </w:p>
          <w:p w14:paraId="28299F06">
            <w:pPr>
              <w:pStyle w:val="522"/>
              <w:tabs>
                <w:tab w:val="right" w:leader="dot" w:pos="9354"/>
              </w:tabs>
              <w:ind w:left="0" w:leftChars="0"/>
              <w:jc w:val="center"/>
              <w:rPr>
                <w:rFonts w:hint="eastAsia" w:ascii="宋体" w:hAnsi="宋体" w:cs="宋体"/>
                <w:sz w:val="13"/>
                <w:szCs w:val="13"/>
              </w:rPr>
            </w:pPr>
          </w:p>
          <w:p w14:paraId="10DC9554">
            <w:pPr>
              <w:pStyle w:val="522"/>
              <w:tabs>
                <w:tab w:val="right" w:leader="dot" w:pos="9354"/>
              </w:tabs>
              <w:ind w:left="0" w:leftChars="0"/>
              <w:jc w:val="center"/>
              <w:rPr>
                <w:rFonts w:hint="eastAsia" w:ascii="宋体" w:hAnsi="宋体" w:cs="宋体"/>
                <w:sz w:val="13"/>
                <w:szCs w:val="13"/>
              </w:rPr>
            </w:pPr>
          </w:p>
          <w:p w14:paraId="33D67CE4">
            <w:pPr>
              <w:pStyle w:val="522"/>
              <w:tabs>
                <w:tab w:val="right" w:leader="dot" w:pos="9354"/>
              </w:tabs>
              <w:ind w:left="0" w:leftChars="0"/>
              <w:jc w:val="center"/>
              <w:rPr>
                <w:rFonts w:hint="eastAsia" w:ascii="宋体" w:hAnsi="宋体" w:cs="宋体"/>
                <w:sz w:val="13"/>
                <w:szCs w:val="13"/>
              </w:rPr>
            </w:pPr>
          </w:p>
          <w:p w14:paraId="7F447CA4">
            <w:pPr>
              <w:pStyle w:val="522"/>
              <w:tabs>
                <w:tab w:val="right" w:leader="dot" w:pos="9354"/>
              </w:tabs>
              <w:ind w:left="0" w:leftChars="0"/>
              <w:jc w:val="center"/>
              <w:rPr>
                <w:rFonts w:hint="eastAsia" w:ascii="宋体" w:hAnsi="宋体" w:cs="宋体"/>
                <w:sz w:val="13"/>
                <w:szCs w:val="13"/>
              </w:rPr>
            </w:pPr>
          </w:p>
          <w:p w14:paraId="2B3B6B73">
            <w:pPr>
              <w:pStyle w:val="522"/>
              <w:tabs>
                <w:tab w:val="right" w:leader="dot" w:pos="9354"/>
              </w:tabs>
              <w:ind w:left="0" w:leftChars="0"/>
              <w:jc w:val="center"/>
              <w:rPr>
                <w:rFonts w:hint="eastAsia" w:ascii="宋体" w:hAnsi="宋体" w:cs="宋体"/>
                <w:sz w:val="13"/>
                <w:szCs w:val="13"/>
              </w:rPr>
            </w:pPr>
          </w:p>
          <w:p w14:paraId="6BC80D9A">
            <w:pPr>
              <w:pStyle w:val="522"/>
              <w:tabs>
                <w:tab w:val="right" w:leader="dot" w:pos="9354"/>
              </w:tabs>
              <w:ind w:left="0" w:leftChars="0"/>
              <w:jc w:val="center"/>
              <w:rPr>
                <w:rFonts w:hint="eastAsia" w:ascii="宋体" w:hAnsi="宋体" w:cs="宋体"/>
                <w:sz w:val="13"/>
                <w:szCs w:val="13"/>
              </w:rPr>
            </w:pPr>
          </w:p>
          <w:p w14:paraId="45C21061">
            <w:pPr>
              <w:pStyle w:val="522"/>
              <w:tabs>
                <w:tab w:val="right" w:leader="dot" w:pos="9354"/>
              </w:tabs>
              <w:ind w:left="0" w:leftChars="0"/>
              <w:jc w:val="center"/>
              <w:rPr>
                <w:rFonts w:hint="eastAsia" w:ascii="宋体" w:hAnsi="宋体" w:cs="宋体"/>
                <w:sz w:val="13"/>
                <w:szCs w:val="13"/>
              </w:rPr>
            </w:pPr>
          </w:p>
        </w:tc>
        <w:tc>
          <w:tcPr>
            <w:tcW w:w="820" w:type="dxa"/>
            <w:vAlign w:val="center"/>
          </w:tcPr>
          <w:p w14:paraId="0812A9A4">
            <w:pPr>
              <w:pStyle w:val="522"/>
              <w:tabs>
                <w:tab w:val="right" w:leader="dot" w:pos="9354"/>
              </w:tabs>
              <w:ind w:left="0" w:leftChars="0"/>
              <w:jc w:val="center"/>
              <w:rPr>
                <w:rFonts w:hint="eastAsia" w:ascii="宋体" w:hAnsi="宋体" w:cs="宋体"/>
                <w:sz w:val="13"/>
                <w:szCs w:val="13"/>
              </w:rPr>
            </w:pPr>
          </w:p>
          <w:p w14:paraId="5C7C61F9">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8890"/>
                  <wp:effectExtent l="0" t="0" r="0" b="0"/>
                  <wp:docPr id="106"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50"/>
                          <pic:cNvPicPr>
                            <a:picLocks noChangeAspect="1"/>
                          </pic:cNvPicPr>
                        </pic:nvPicPr>
                        <pic:blipFill>
                          <a:blip r:embed="rId28"/>
                          <a:stretch>
                            <a:fillRect/>
                          </a:stretch>
                        </pic:blipFill>
                        <pic:spPr>
                          <a:xfrm>
                            <a:off x="0" y="0"/>
                            <a:ext cx="8255" cy="8890"/>
                          </a:xfrm>
                          <a:prstGeom prst="rect">
                            <a:avLst/>
                          </a:prstGeom>
                          <a:noFill/>
                          <a:ln>
                            <a:noFill/>
                          </a:ln>
                        </pic:spPr>
                      </pic:pic>
                    </a:graphicData>
                  </a:graphic>
                </wp:inline>
              </w:drawing>
            </w:r>
          </w:p>
          <w:p w14:paraId="5C0CA740">
            <w:pPr>
              <w:pStyle w:val="522"/>
              <w:tabs>
                <w:tab w:val="right" w:leader="dot" w:pos="9354"/>
              </w:tabs>
              <w:ind w:left="0" w:leftChars="0"/>
              <w:jc w:val="center"/>
              <w:rPr>
                <w:rFonts w:hint="eastAsia" w:ascii="宋体" w:hAnsi="宋体" w:cs="宋体"/>
                <w:sz w:val="13"/>
                <w:szCs w:val="13"/>
              </w:rPr>
            </w:pPr>
          </w:p>
          <w:p w14:paraId="5B9C1B14">
            <w:pPr>
              <w:pStyle w:val="522"/>
              <w:tabs>
                <w:tab w:val="right" w:leader="dot" w:pos="9354"/>
              </w:tabs>
              <w:ind w:left="0" w:leftChars="0"/>
              <w:jc w:val="center"/>
              <w:rPr>
                <w:rFonts w:hint="eastAsia" w:ascii="宋体" w:hAnsi="宋体" w:cs="宋体"/>
                <w:sz w:val="13"/>
                <w:szCs w:val="13"/>
              </w:rPr>
            </w:pPr>
          </w:p>
          <w:p w14:paraId="708763F1">
            <w:pPr>
              <w:pStyle w:val="522"/>
              <w:tabs>
                <w:tab w:val="right" w:leader="dot" w:pos="9354"/>
              </w:tabs>
              <w:ind w:left="0" w:leftChars="0"/>
              <w:jc w:val="center"/>
              <w:rPr>
                <w:rFonts w:hint="eastAsia" w:ascii="宋体" w:hAnsi="宋体" w:cs="宋体"/>
                <w:sz w:val="13"/>
                <w:szCs w:val="13"/>
              </w:rPr>
            </w:pPr>
          </w:p>
          <w:p w14:paraId="041FE36E">
            <w:pPr>
              <w:pStyle w:val="522"/>
              <w:tabs>
                <w:tab w:val="right" w:leader="dot" w:pos="9354"/>
              </w:tabs>
              <w:ind w:left="0" w:leftChars="0"/>
              <w:jc w:val="center"/>
              <w:rPr>
                <w:rFonts w:hint="eastAsia" w:ascii="宋体" w:hAnsi="宋体" w:cs="宋体"/>
                <w:sz w:val="13"/>
                <w:szCs w:val="13"/>
              </w:rPr>
            </w:pPr>
          </w:p>
          <w:p w14:paraId="15BBB82C">
            <w:pPr>
              <w:pStyle w:val="522"/>
              <w:tabs>
                <w:tab w:val="right" w:leader="dot" w:pos="9354"/>
              </w:tabs>
              <w:ind w:left="0" w:leftChars="0"/>
              <w:jc w:val="center"/>
              <w:rPr>
                <w:rFonts w:hint="eastAsia" w:ascii="宋体" w:hAnsi="宋体" w:cs="宋体"/>
                <w:sz w:val="13"/>
                <w:szCs w:val="13"/>
              </w:rPr>
            </w:pPr>
          </w:p>
          <w:p w14:paraId="3949A1FE">
            <w:pPr>
              <w:pStyle w:val="522"/>
              <w:tabs>
                <w:tab w:val="right" w:leader="dot" w:pos="9354"/>
              </w:tabs>
              <w:ind w:left="0" w:leftChars="0"/>
              <w:jc w:val="center"/>
              <w:rPr>
                <w:rFonts w:hint="eastAsia" w:ascii="宋体" w:hAnsi="宋体" w:cs="宋体"/>
                <w:sz w:val="13"/>
                <w:szCs w:val="13"/>
              </w:rPr>
            </w:pPr>
          </w:p>
          <w:p w14:paraId="20818F63">
            <w:pPr>
              <w:pStyle w:val="522"/>
              <w:tabs>
                <w:tab w:val="right" w:leader="dot" w:pos="9354"/>
              </w:tabs>
              <w:ind w:left="0" w:leftChars="0"/>
              <w:jc w:val="center"/>
              <w:rPr>
                <w:rFonts w:hint="eastAsia" w:ascii="宋体" w:hAnsi="宋体" w:cs="宋体"/>
                <w:sz w:val="13"/>
                <w:szCs w:val="13"/>
              </w:rPr>
            </w:pPr>
          </w:p>
          <w:p w14:paraId="14FFD20E">
            <w:pPr>
              <w:pStyle w:val="522"/>
              <w:tabs>
                <w:tab w:val="right" w:leader="dot" w:pos="9354"/>
              </w:tabs>
              <w:ind w:left="0" w:leftChars="0"/>
              <w:jc w:val="center"/>
              <w:rPr>
                <w:rFonts w:hint="eastAsia" w:ascii="宋体" w:hAnsi="宋体" w:cs="宋体"/>
                <w:sz w:val="13"/>
                <w:szCs w:val="13"/>
              </w:rPr>
            </w:pPr>
          </w:p>
          <w:p w14:paraId="42AE93C2">
            <w:pPr>
              <w:pStyle w:val="522"/>
              <w:tabs>
                <w:tab w:val="right" w:leader="dot" w:pos="9354"/>
              </w:tabs>
              <w:ind w:left="0" w:leftChars="0"/>
              <w:jc w:val="center"/>
              <w:rPr>
                <w:rFonts w:hint="eastAsia" w:ascii="宋体" w:hAnsi="宋体" w:cs="宋体"/>
                <w:sz w:val="13"/>
                <w:szCs w:val="13"/>
              </w:rPr>
            </w:pPr>
          </w:p>
        </w:tc>
        <w:tc>
          <w:tcPr>
            <w:tcW w:w="785" w:type="dxa"/>
            <w:vAlign w:val="center"/>
          </w:tcPr>
          <w:p w14:paraId="4A9F9D2A">
            <w:pPr>
              <w:pStyle w:val="522"/>
              <w:tabs>
                <w:tab w:val="right" w:leader="dot" w:pos="9354"/>
              </w:tabs>
              <w:ind w:left="0" w:leftChars="0"/>
              <w:jc w:val="center"/>
              <w:rPr>
                <w:rFonts w:hint="eastAsia" w:ascii="宋体" w:hAnsi="宋体" w:cs="宋体"/>
                <w:sz w:val="13"/>
                <w:szCs w:val="13"/>
              </w:rPr>
            </w:pPr>
          </w:p>
          <w:p w14:paraId="1362DE26">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8890"/>
                  <wp:effectExtent l="0" t="0" r="0" b="0"/>
                  <wp:docPr id="107"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51"/>
                          <pic:cNvPicPr>
                            <a:picLocks noChangeAspect="1"/>
                          </pic:cNvPicPr>
                        </pic:nvPicPr>
                        <pic:blipFill>
                          <a:blip r:embed="rId27"/>
                          <a:stretch>
                            <a:fillRect/>
                          </a:stretch>
                        </pic:blipFill>
                        <pic:spPr>
                          <a:xfrm>
                            <a:off x="0" y="0"/>
                            <a:ext cx="8255" cy="8890"/>
                          </a:xfrm>
                          <a:prstGeom prst="rect">
                            <a:avLst/>
                          </a:prstGeom>
                          <a:noFill/>
                          <a:ln>
                            <a:noFill/>
                          </a:ln>
                        </pic:spPr>
                      </pic:pic>
                    </a:graphicData>
                  </a:graphic>
                </wp:inline>
              </w:drawing>
            </w:r>
          </w:p>
          <w:p w14:paraId="7667A7CC">
            <w:pPr>
              <w:pStyle w:val="522"/>
              <w:tabs>
                <w:tab w:val="right" w:leader="dot" w:pos="9354"/>
              </w:tabs>
              <w:ind w:left="0" w:leftChars="0"/>
              <w:jc w:val="center"/>
              <w:rPr>
                <w:rFonts w:hint="eastAsia" w:ascii="宋体" w:hAnsi="宋体" w:cs="宋体"/>
                <w:sz w:val="13"/>
                <w:szCs w:val="13"/>
              </w:rPr>
            </w:pPr>
          </w:p>
          <w:p w14:paraId="0D47FD20">
            <w:pPr>
              <w:pStyle w:val="522"/>
              <w:tabs>
                <w:tab w:val="right" w:leader="dot" w:pos="9354"/>
              </w:tabs>
              <w:ind w:left="0" w:leftChars="0"/>
              <w:jc w:val="center"/>
              <w:rPr>
                <w:rFonts w:hint="eastAsia" w:ascii="宋体" w:hAnsi="宋体" w:cs="宋体"/>
                <w:sz w:val="13"/>
                <w:szCs w:val="13"/>
              </w:rPr>
            </w:pPr>
          </w:p>
          <w:p w14:paraId="47C7409B">
            <w:pPr>
              <w:pStyle w:val="522"/>
              <w:tabs>
                <w:tab w:val="right" w:leader="dot" w:pos="9354"/>
              </w:tabs>
              <w:ind w:left="0" w:leftChars="0"/>
              <w:jc w:val="center"/>
              <w:rPr>
                <w:rFonts w:hint="eastAsia" w:ascii="宋体" w:hAnsi="宋体" w:cs="宋体"/>
                <w:sz w:val="13"/>
                <w:szCs w:val="13"/>
              </w:rPr>
            </w:pPr>
          </w:p>
          <w:p w14:paraId="287272A9">
            <w:pPr>
              <w:pStyle w:val="522"/>
              <w:tabs>
                <w:tab w:val="right" w:leader="dot" w:pos="9354"/>
              </w:tabs>
              <w:ind w:left="0" w:leftChars="0"/>
              <w:jc w:val="center"/>
              <w:rPr>
                <w:rFonts w:hint="eastAsia" w:ascii="宋体" w:hAnsi="宋体" w:cs="宋体"/>
                <w:sz w:val="13"/>
                <w:szCs w:val="13"/>
              </w:rPr>
            </w:pPr>
          </w:p>
          <w:p w14:paraId="52A7D582">
            <w:pPr>
              <w:pStyle w:val="522"/>
              <w:tabs>
                <w:tab w:val="right" w:leader="dot" w:pos="9354"/>
              </w:tabs>
              <w:ind w:left="0" w:leftChars="0"/>
              <w:jc w:val="center"/>
              <w:rPr>
                <w:rFonts w:hint="eastAsia" w:ascii="宋体" w:hAnsi="宋体" w:cs="宋体"/>
                <w:sz w:val="13"/>
                <w:szCs w:val="13"/>
              </w:rPr>
            </w:pPr>
          </w:p>
          <w:p w14:paraId="0C5FFC48">
            <w:pPr>
              <w:pStyle w:val="522"/>
              <w:tabs>
                <w:tab w:val="right" w:leader="dot" w:pos="9354"/>
              </w:tabs>
              <w:ind w:left="0" w:leftChars="0"/>
              <w:jc w:val="center"/>
              <w:rPr>
                <w:rFonts w:hint="eastAsia" w:ascii="宋体" w:hAnsi="宋体" w:cs="宋体"/>
                <w:sz w:val="13"/>
                <w:szCs w:val="13"/>
              </w:rPr>
            </w:pPr>
          </w:p>
          <w:p w14:paraId="6BA52731">
            <w:pPr>
              <w:pStyle w:val="522"/>
              <w:tabs>
                <w:tab w:val="right" w:leader="dot" w:pos="9354"/>
              </w:tabs>
              <w:ind w:left="0" w:leftChars="0"/>
              <w:jc w:val="center"/>
              <w:rPr>
                <w:rFonts w:hint="eastAsia" w:ascii="宋体" w:hAnsi="宋体" w:cs="宋体"/>
                <w:sz w:val="13"/>
                <w:szCs w:val="13"/>
              </w:rPr>
            </w:pPr>
          </w:p>
          <w:p w14:paraId="0EABB1B2">
            <w:pPr>
              <w:pStyle w:val="522"/>
              <w:tabs>
                <w:tab w:val="right" w:leader="dot" w:pos="9354"/>
              </w:tabs>
              <w:ind w:left="0" w:leftChars="0"/>
              <w:jc w:val="center"/>
              <w:rPr>
                <w:rFonts w:hint="eastAsia" w:ascii="宋体" w:hAnsi="宋体" w:cs="宋体"/>
                <w:sz w:val="13"/>
                <w:szCs w:val="13"/>
              </w:rPr>
            </w:pPr>
          </w:p>
          <w:p w14:paraId="704E1815">
            <w:pPr>
              <w:pStyle w:val="522"/>
              <w:tabs>
                <w:tab w:val="right" w:leader="dot" w:pos="9354"/>
              </w:tabs>
              <w:ind w:left="0" w:leftChars="0"/>
              <w:jc w:val="center"/>
              <w:rPr>
                <w:rFonts w:hint="eastAsia" w:ascii="宋体" w:hAnsi="宋体" w:cs="宋体"/>
                <w:sz w:val="13"/>
                <w:szCs w:val="13"/>
              </w:rPr>
            </w:pPr>
          </w:p>
        </w:tc>
        <w:tc>
          <w:tcPr>
            <w:tcW w:w="820" w:type="dxa"/>
            <w:vAlign w:val="center"/>
          </w:tcPr>
          <w:p w14:paraId="19527E43">
            <w:pPr>
              <w:pStyle w:val="522"/>
              <w:tabs>
                <w:tab w:val="right" w:leader="dot" w:pos="9354"/>
              </w:tabs>
              <w:ind w:left="0" w:leftChars="0"/>
              <w:jc w:val="center"/>
              <w:rPr>
                <w:rFonts w:hint="eastAsia" w:ascii="宋体" w:hAnsi="宋体" w:cs="宋体"/>
                <w:sz w:val="13"/>
                <w:szCs w:val="13"/>
              </w:rPr>
            </w:pPr>
          </w:p>
          <w:p w14:paraId="2133CB7B">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8890"/>
                  <wp:effectExtent l="0" t="0" r="0" b="0"/>
                  <wp:docPr id="108"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52"/>
                          <pic:cNvPicPr>
                            <a:picLocks noChangeAspect="1"/>
                          </pic:cNvPicPr>
                        </pic:nvPicPr>
                        <pic:blipFill>
                          <a:blip r:embed="rId27"/>
                          <a:stretch>
                            <a:fillRect/>
                          </a:stretch>
                        </pic:blipFill>
                        <pic:spPr>
                          <a:xfrm>
                            <a:off x="0" y="0"/>
                            <a:ext cx="8255" cy="8890"/>
                          </a:xfrm>
                          <a:prstGeom prst="rect">
                            <a:avLst/>
                          </a:prstGeom>
                          <a:noFill/>
                          <a:ln>
                            <a:noFill/>
                          </a:ln>
                        </pic:spPr>
                      </pic:pic>
                    </a:graphicData>
                  </a:graphic>
                </wp:inline>
              </w:drawing>
            </w:r>
          </w:p>
          <w:p w14:paraId="7BC70B1D">
            <w:pPr>
              <w:pStyle w:val="522"/>
              <w:tabs>
                <w:tab w:val="right" w:leader="dot" w:pos="9354"/>
              </w:tabs>
              <w:ind w:left="0" w:leftChars="0"/>
              <w:jc w:val="center"/>
              <w:rPr>
                <w:rFonts w:hint="eastAsia" w:ascii="宋体" w:hAnsi="宋体" w:cs="宋体"/>
                <w:sz w:val="13"/>
                <w:szCs w:val="13"/>
              </w:rPr>
            </w:pPr>
          </w:p>
          <w:p w14:paraId="770D4065">
            <w:pPr>
              <w:pStyle w:val="522"/>
              <w:tabs>
                <w:tab w:val="right" w:leader="dot" w:pos="9354"/>
              </w:tabs>
              <w:ind w:left="0" w:leftChars="0"/>
              <w:jc w:val="center"/>
              <w:rPr>
                <w:rFonts w:hint="eastAsia" w:ascii="宋体" w:hAnsi="宋体" w:cs="宋体"/>
                <w:sz w:val="13"/>
                <w:szCs w:val="13"/>
              </w:rPr>
            </w:pPr>
          </w:p>
          <w:p w14:paraId="60110A26">
            <w:pPr>
              <w:pStyle w:val="522"/>
              <w:tabs>
                <w:tab w:val="right" w:leader="dot" w:pos="9354"/>
              </w:tabs>
              <w:ind w:left="0" w:leftChars="0"/>
              <w:jc w:val="center"/>
              <w:rPr>
                <w:rFonts w:hint="eastAsia" w:ascii="宋体" w:hAnsi="宋体" w:cs="宋体"/>
                <w:sz w:val="13"/>
                <w:szCs w:val="13"/>
              </w:rPr>
            </w:pPr>
          </w:p>
          <w:p w14:paraId="7F987736">
            <w:pPr>
              <w:pStyle w:val="522"/>
              <w:tabs>
                <w:tab w:val="right" w:leader="dot" w:pos="9354"/>
              </w:tabs>
              <w:ind w:left="0" w:leftChars="0"/>
              <w:jc w:val="center"/>
              <w:rPr>
                <w:rFonts w:hint="eastAsia" w:ascii="宋体" w:hAnsi="宋体" w:cs="宋体"/>
                <w:sz w:val="13"/>
                <w:szCs w:val="13"/>
              </w:rPr>
            </w:pPr>
          </w:p>
          <w:p w14:paraId="77F7E479">
            <w:pPr>
              <w:pStyle w:val="522"/>
              <w:tabs>
                <w:tab w:val="right" w:leader="dot" w:pos="9354"/>
              </w:tabs>
              <w:ind w:left="0" w:leftChars="0"/>
              <w:jc w:val="center"/>
              <w:rPr>
                <w:rFonts w:hint="eastAsia" w:ascii="宋体" w:hAnsi="宋体" w:cs="宋体"/>
                <w:sz w:val="13"/>
                <w:szCs w:val="13"/>
              </w:rPr>
            </w:pPr>
          </w:p>
          <w:p w14:paraId="7BF0FEA2">
            <w:pPr>
              <w:pStyle w:val="522"/>
              <w:tabs>
                <w:tab w:val="right" w:leader="dot" w:pos="9354"/>
              </w:tabs>
              <w:ind w:left="0" w:leftChars="0"/>
              <w:jc w:val="center"/>
              <w:rPr>
                <w:rFonts w:hint="eastAsia" w:ascii="宋体" w:hAnsi="宋体" w:cs="宋体"/>
                <w:sz w:val="13"/>
                <w:szCs w:val="13"/>
              </w:rPr>
            </w:pPr>
          </w:p>
          <w:p w14:paraId="11349263">
            <w:pPr>
              <w:pStyle w:val="522"/>
              <w:tabs>
                <w:tab w:val="right" w:leader="dot" w:pos="9354"/>
              </w:tabs>
              <w:ind w:left="0" w:leftChars="0"/>
              <w:jc w:val="center"/>
              <w:rPr>
                <w:rFonts w:hint="eastAsia" w:ascii="宋体" w:hAnsi="宋体" w:cs="宋体"/>
                <w:sz w:val="13"/>
                <w:szCs w:val="13"/>
              </w:rPr>
            </w:pPr>
          </w:p>
          <w:p w14:paraId="0893A653">
            <w:pPr>
              <w:pStyle w:val="522"/>
              <w:tabs>
                <w:tab w:val="right" w:leader="dot" w:pos="9354"/>
              </w:tabs>
              <w:ind w:left="0" w:leftChars="0"/>
              <w:jc w:val="center"/>
              <w:rPr>
                <w:rFonts w:hint="eastAsia" w:ascii="宋体" w:hAnsi="宋体" w:cs="宋体"/>
                <w:sz w:val="13"/>
                <w:szCs w:val="13"/>
              </w:rPr>
            </w:pPr>
          </w:p>
          <w:p w14:paraId="61AFAF12">
            <w:pPr>
              <w:pStyle w:val="522"/>
              <w:tabs>
                <w:tab w:val="right" w:leader="dot" w:pos="9354"/>
              </w:tabs>
              <w:ind w:left="0" w:leftChars="0"/>
              <w:jc w:val="center"/>
              <w:rPr>
                <w:rFonts w:hint="eastAsia" w:ascii="宋体" w:hAnsi="宋体" w:cs="宋体"/>
                <w:sz w:val="13"/>
                <w:szCs w:val="13"/>
              </w:rPr>
            </w:pPr>
          </w:p>
        </w:tc>
        <w:tc>
          <w:tcPr>
            <w:tcW w:w="857" w:type="dxa"/>
            <w:vAlign w:val="center"/>
          </w:tcPr>
          <w:p w14:paraId="35ABBB7C">
            <w:pPr>
              <w:pStyle w:val="522"/>
              <w:tabs>
                <w:tab w:val="right" w:leader="dot" w:pos="9354"/>
              </w:tabs>
              <w:ind w:left="0" w:leftChars="0"/>
              <w:jc w:val="center"/>
              <w:rPr>
                <w:rFonts w:hint="eastAsia" w:ascii="宋体" w:hAnsi="宋体" w:cs="宋体"/>
                <w:sz w:val="13"/>
                <w:szCs w:val="13"/>
              </w:rPr>
            </w:pPr>
          </w:p>
          <w:p w14:paraId="203C721B">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890" cy="8890"/>
                  <wp:effectExtent l="0" t="0" r="0" b="0"/>
                  <wp:docPr id="109"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53"/>
                          <pic:cNvPicPr>
                            <a:picLocks noChangeAspect="1"/>
                          </pic:cNvPicPr>
                        </pic:nvPicPr>
                        <pic:blipFill>
                          <a:blip r:embed="rId29"/>
                          <a:stretch>
                            <a:fillRect/>
                          </a:stretch>
                        </pic:blipFill>
                        <pic:spPr>
                          <a:xfrm>
                            <a:off x="0" y="0"/>
                            <a:ext cx="8890" cy="8890"/>
                          </a:xfrm>
                          <a:prstGeom prst="rect">
                            <a:avLst/>
                          </a:prstGeom>
                          <a:noFill/>
                          <a:ln>
                            <a:noFill/>
                          </a:ln>
                        </pic:spPr>
                      </pic:pic>
                    </a:graphicData>
                  </a:graphic>
                </wp:inline>
              </w:drawing>
            </w:r>
          </w:p>
          <w:p w14:paraId="74C8183C">
            <w:pPr>
              <w:pStyle w:val="522"/>
              <w:tabs>
                <w:tab w:val="right" w:leader="dot" w:pos="9354"/>
              </w:tabs>
              <w:ind w:left="0" w:leftChars="0"/>
              <w:jc w:val="center"/>
              <w:rPr>
                <w:rFonts w:hint="eastAsia" w:ascii="宋体" w:hAnsi="宋体" w:cs="宋体"/>
                <w:sz w:val="13"/>
                <w:szCs w:val="13"/>
              </w:rPr>
            </w:pPr>
          </w:p>
          <w:p w14:paraId="24EF0546">
            <w:pPr>
              <w:pStyle w:val="522"/>
              <w:tabs>
                <w:tab w:val="right" w:leader="dot" w:pos="9354"/>
              </w:tabs>
              <w:ind w:left="0" w:leftChars="0"/>
              <w:jc w:val="center"/>
              <w:rPr>
                <w:rFonts w:hint="eastAsia" w:ascii="宋体" w:hAnsi="宋体" w:cs="宋体"/>
                <w:sz w:val="13"/>
                <w:szCs w:val="13"/>
              </w:rPr>
            </w:pPr>
          </w:p>
          <w:p w14:paraId="2CEE9BA7">
            <w:pPr>
              <w:pStyle w:val="522"/>
              <w:tabs>
                <w:tab w:val="right" w:leader="dot" w:pos="9354"/>
              </w:tabs>
              <w:ind w:left="0" w:leftChars="0"/>
              <w:jc w:val="center"/>
              <w:rPr>
                <w:rFonts w:hint="eastAsia" w:ascii="宋体" w:hAnsi="宋体" w:cs="宋体"/>
                <w:sz w:val="13"/>
                <w:szCs w:val="13"/>
              </w:rPr>
            </w:pPr>
          </w:p>
          <w:p w14:paraId="5C214C82">
            <w:pPr>
              <w:pStyle w:val="522"/>
              <w:tabs>
                <w:tab w:val="right" w:leader="dot" w:pos="9354"/>
              </w:tabs>
              <w:ind w:left="0" w:leftChars="0"/>
              <w:jc w:val="center"/>
              <w:rPr>
                <w:rFonts w:hint="eastAsia" w:ascii="宋体" w:hAnsi="宋体" w:cs="宋体"/>
                <w:sz w:val="13"/>
                <w:szCs w:val="13"/>
              </w:rPr>
            </w:pPr>
          </w:p>
          <w:p w14:paraId="6D8B1EDC">
            <w:pPr>
              <w:pStyle w:val="522"/>
              <w:tabs>
                <w:tab w:val="right" w:leader="dot" w:pos="9354"/>
              </w:tabs>
              <w:ind w:left="0" w:leftChars="0"/>
              <w:jc w:val="center"/>
              <w:rPr>
                <w:rFonts w:hint="eastAsia" w:ascii="宋体" w:hAnsi="宋体" w:cs="宋体"/>
                <w:sz w:val="13"/>
                <w:szCs w:val="13"/>
              </w:rPr>
            </w:pPr>
          </w:p>
          <w:p w14:paraId="60BEB03C">
            <w:pPr>
              <w:pStyle w:val="522"/>
              <w:tabs>
                <w:tab w:val="right" w:leader="dot" w:pos="9354"/>
              </w:tabs>
              <w:ind w:left="0" w:leftChars="0"/>
              <w:jc w:val="center"/>
              <w:rPr>
                <w:rFonts w:hint="eastAsia" w:ascii="宋体" w:hAnsi="宋体" w:cs="宋体"/>
                <w:sz w:val="13"/>
                <w:szCs w:val="13"/>
              </w:rPr>
            </w:pPr>
          </w:p>
          <w:p w14:paraId="69FEE7DF">
            <w:pPr>
              <w:pStyle w:val="522"/>
              <w:tabs>
                <w:tab w:val="right" w:leader="dot" w:pos="9354"/>
              </w:tabs>
              <w:ind w:left="0" w:leftChars="0"/>
              <w:jc w:val="center"/>
              <w:rPr>
                <w:rFonts w:hint="eastAsia" w:ascii="宋体" w:hAnsi="宋体" w:cs="宋体"/>
                <w:sz w:val="13"/>
                <w:szCs w:val="13"/>
              </w:rPr>
            </w:pPr>
          </w:p>
          <w:p w14:paraId="75D3BE85">
            <w:pPr>
              <w:pStyle w:val="522"/>
              <w:tabs>
                <w:tab w:val="right" w:leader="dot" w:pos="9354"/>
              </w:tabs>
              <w:ind w:left="0" w:leftChars="0"/>
              <w:jc w:val="center"/>
              <w:rPr>
                <w:rFonts w:hint="eastAsia" w:ascii="宋体" w:hAnsi="宋体" w:cs="宋体"/>
                <w:sz w:val="13"/>
                <w:szCs w:val="13"/>
              </w:rPr>
            </w:pPr>
          </w:p>
          <w:p w14:paraId="62576EEB">
            <w:pPr>
              <w:pStyle w:val="522"/>
              <w:tabs>
                <w:tab w:val="right" w:leader="dot" w:pos="9354"/>
              </w:tabs>
              <w:ind w:left="0" w:leftChars="0"/>
              <w:jc w:val="center"/>
              <w:rPr>
                <w:rFonts w:hint="eastAsia" w:ascii="宋体" w:hAnsi="宋体" w:cs="宋体"/>
                <w:sz w:val="13"/>
                <w:szCs w:val="13"/>
              </w:rPr>
            </w:pPr>
          </w:p>
        </w:tc>
        <w:tc>
          <w:tcPr>
            <w:tcW w:w="784" w:type="dxa"/>
            <w:vAlign w:val="center"/>
          </w:tcPr>
          <w:p w14:paraId="43E0DEAE">
            <w:pPr>
              <w:pStyle w:val="522"/>
              <w:tabs>
                <w:tab w:val="right" w:leader="dot" w:pos="9354"/>
              </w:tabs>
              <w:ind w:left="0" w:leftChars="0"/>
              <w:jc w:val="center"/>
              <w:rPr>
                <w:rFonts w:hint="eastAsia" w:ascii="宋体" w:hAnsi="宋体" w:cs="宋体"/>
                <w:sz w:val="13"/>
                <w:szCs w:val="13"/>
              </w:rPr>
            </w:pPr>
          </w:p>
          <w:p w14:paraId="1511748D">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890" cy="8890"/>
                  <wp:effectExtent l="0" t="0" r="0" b="0"/>
                  <wp:docPr id="110"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54"/>
                          <pic:cNvPicPr>
                            <a:picLocks noChangeAspect="1"/>
                          </pic:cNvPicPr>
                        </pic:nvPicPr>
                        <pic:blipFill>
                          <a:blip r:embed="rId30"/>
                          <a:stretch>
                            <a:fillRect/>
                          </a:stretch>
                        </pic:blipFill>
                        <pic:spPr>
                          <a:xfrm>
                            <a:off x="0" y="0"/>
                            <a:ext cx="8890" cy="8890"/>
                          </a:xfrm>
                          <a:prstGeom prst="rect">
                            <a:avLst/>
                          </a:prstGeom>
                          <a:noFill/>
                          <a:ln>
                            <a:noFill/>
                          </a:ln>
                        </pic:spPr>
                      </pic:pic>
                    </a:graphicData>
                  </a:graphic>
                </wp:inline>
              </w:drawing>
            </w:r>
          </w:p>
          <w:p w14:paraId="195B519A">
            <w:pPr>
              <w:pStyle w:val="522"/>
              <w:tabs>
                <w:tab w:val="right" w:leader="dot" w:pos="9354"/>
              </w:tabs>
              <w:ind w:left="0" w:leftChars="0"/>
              <w:jc w:val="center"/>
              <w:rPr>
                <w:rFonts w:hint="eastAsia" w:ascii="宋体" w:hAnsi="宋体" w:cs="宋体"/>
                <w:sz w:val="13"/>
                <w:szCs w:val="13"/>
              </w:rPr>
            </w:pPr>
          </w:p>
          <w:p w14:paraId="5D019505">
            <w:pPr>
              <w:pStyle w:val="522"/>
              <w:tabs>
                <w:tab w:val="right" w:leader="dot" w:pos="9354"/>
              </w:tabs>
              <w:ind w:left="0" w:leftChars="0"/>
              <w:jc w:val="center"/>
              <w:rPr>
                <w:rFonts w:hint="eastAsia" w:ascii="宋体" w:hAnsi="宋体" w:cs="宋体"/>
                <w:sz w:val="13"/>
                <w:szCs w:val="13"/>
              </w:rPr>
            </w:pPr>
          </w:p>
          <w:p w14:paraId="2D90000B">
            <w:pPr>
              <w:pStyle w:val="522"/>
              <w:tabs>
                <w:tab w:val="right" w:leader="dot" w:pos="9354"/>
              </w:tabs>
              <w:ind w:left="0" w:leftChars="0"/>
              <w:jc w:val="center"/>
              <w:rPr>
                <w:rFonts w:hint="eastAsia" w:ascii="宋体" w:hAnsi="宋体" w:cs="宋体"/>
                <w:sz w:val="13"/>
                <w:szCs w:val="13"/>
              </w:rPr>
            </w:pPr>
          </w:p>
          <w:p w14:paraId="32D689FE">
            <w:pPr>
              <w:pStyle w:val="522"/>
              <w:tabs>
                <w:tab w:val="right" w:leader="dot" w:pos="9354"/>
              </w:tabs>
              <w:ind w:left="0" w:leftChars="0"/>
              <w:jc w:val="center"/>
              <w:rPr>
                <w:rFonts w:hint="eastAsia" w:ascii="宋体" w:hAnsi="宋体" w:cs="宋体"/>
                <w:sz w:val="13"/>
                <w:szCs w:val="13"/>
              </w:rPr>
            </w:pPr>
          </w:p>
          <w:p w14:paraId="707E61A6">
            <w:pPr>
              <w:pStyle w:val="522"/>
              <w:tabs>
                <w:tab w:val="right" w:leader="dot" w:pos="9354"/>
              </w:tabs>
              <w:ind w:left="0" w:leftChars="0"/>
              <w:jc w:val="center"/>
              <w:rPr>
                <w:rFonts w:hint="eastAsia" w:ascii="宋体" w:hAnsi="宋体" w:cs="宋体"/>
                <w:sz w:val="13"/>
                <w:szCs w:val="13"/>
              </w:rPr>
            </w:pPr>
          </w:p>
          <w:p w14:paraId="5B7FB9F2">
            <w:pPr>
              <w:pStyle w:val="522"/>
              <w:tabs>
                <w:tab w:val="right" w:leader="dot" w:pos="9354"/>
              </w:tabs>
              <w:ind w:left="0" w:leftChars="0"/>
              <w:jc w:val="center"/>
              <w:rPr>
                <w:rFonts w:hint="eastAsia" w:ascii="宋体" w:hAnsi="宋体" w:cs="宋体"/>
                <w:sz w:val="13"/>
                <w:szCs w:val="13"/>
              </w:rPr>
            </w:pPr>
          </w:p>
          <w:p w14:paraId="7FF04D40">
            <w:pPr>
              <w:pStyle w:val="522"/>
              <w:tabs>
                <w:tab w:val="right" w:leader="dot" w:pos="9354"/>
              </w:tabs>
              <w:ind w:left="0" w:leftChars="0"/>
              <w:jc w:val="center"/>
              <w:rPr>
                <w:rFonts w:hint="eastAsia" w:ascii="宋体" w:hAnsi="宋体" w:cs="宋体"/>
                <w:sz w:val="13"/>
                <w:szCs w:val="13"/>
              </w:rPr>
            </w:pPr>
          </w:p>
          <w:p w14:paraId="184C8ACF">
            <w:pPr>
              <w:pStyle w:val="522"/>
              <w:tabs>
                <w:tab w:val="right" w:leader="dot" w:pos="9354"/>
              </w:tabs>
              <w:ind w:left="0" w:leftChars="0"/>
              <w:jc w:val="center"/>
              <w:rPr>
                <w:rFonts w:hint="eastAsia" w:ascii="宋体" w:hAnsi="宋体" w:cs="宋体"/>
                <w:sz w:val="13"/>
                <w:szCs w:val="13"/>
              </w:rPr>
            </w:pPr>
          </w:p>
          <w:p w14:paraId="26573595">
            <w:pPr>
              <w:pStyle w:val="522"/>
              <w:tabs>
                <w:tab w:val="right" w:leader="dot" w:pos="9354"/>
              </w:tabs>
              <w:ind w:left="0" w:leftChars="0"/>
              <w:jc w:val="center"/>
              <w:rPr>
                <w:rFonts w:hint="eastAsia" w:ascii="宋体" w:hAnsi="宋体" w:cs="宋体"/>
                <w:sz w:val="13"/>
                <w:szCs w:val="13"/>
              </w:rPr>
            </w:pPr>
          </w:p>
        </w:tc>
        <w:tc>
          <w:tcPr>
            <w:tcW w:w="441" w:type="dxa"/>
            <w:vAlign w:val="center"/>
          </w:tcPr>
          <w:p w14:paraId="5F8C1446">
            <w:pPr>
              <w:pStyle w:val="522"/>
              <w:tabs>
                <w:tab w:val="right" w:leader="dot" w:pos="9354"/>
              </w:tabs>
              <w:ind w:left="0" w:leftChars="0"/>
              <w:jc w:val="center"/>
              <w:rPr>
                <w:rFonts w:hint="eastAsia" w:ascii="宋体" w:hAnsi="宋体" w:cs="宋体"/>
                <w:sz w:val="13"/>
                <w:szCs w:val="13"/>
              </w:rPr>
            </w:pPr>
          </w:p>
          <w:p w14:paraId="20D57EAD">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drawing>
                <wp:inline distT="0" distB="0" distL="114300" distR="114300">
                  <wp:extent cx="8255" cy="8890"/>
                  <wp:effectExtent l="0" t="0" r="0" b="0"/>
                  <wp:docPr id="111"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55"/>
                          <pic:cNvPicPr>
                            <a:picLocks noChangeAspect="1"/>
                          </pic:cNvPicPr>
                        </pic:nvPicPr>
                        <pic:blipFill>
                          <a:blip r:embed="rId28"/>
                          <a:stretch>
                            <a:fillRect/>
                          </a:stretch>
                        </pic:blipFill>
                        <pic:spPr>
                          <a:xfrm>
                            <a:off x="0" y="0"/>
                            <a:ext cx="8255" cy="8890"/>
                          </a:xfrm>
                          <a:prstGeom prst="rect">
                            <a:avLst/>
                          </a:prstGeom>
                          <a:noFill/>
                          <a:ln>
                            <a:noFill/>
                          </a:ln>
                        </pic:spPr>
                      </pic:pic>
                    </a:graphicData>
                  </a:graphic>
                </wp:inline>
              </w:drawing>
            </w:r>
          </w:p>
          <w:p w14:paraId="6019B515">
            <w:pPr>
              <w:pStyle w:val="522"/>
              <w:tabs>
                <w:tab w:val="right" w:leader="dot" w:pos="9354"/>
              </w:tabs>
              <w:ind w:left="0" w:leftChars="0"/>
              <w:jc w:val="center"/>
              <w:rPr>
                <w:rFonts w:hint="eastAsia" w:ascii="宋体" w:hAnsi="宋体" w:cs="宋体"/>
                <w:sz w:val="13"/>
                <w:szCs w:val="13"/>
              </w:rPr>
            </w:pPr>
          </w:p>
          <w:p w14:paraId="1792BE80">
            <w:pPr>
              <w:pStyle w:val="522"/>
              <w:tabs>
                <w:tab w:val="right" w:leader="dot" w:pos="9354"/>
              </w:tabs>
              <w:ind w:left="0" w:leftChars="0"/>
              <w:jc w:val="center"/>
              <w:rPr>
                <w:rFonts w:hint="eastAsia" w:ascii="宋体" w:hAnsi="宋体" w:cs="宋体"/>
                <w:sz w:val="13"/>
                <w:szCs w:val="13"/>
              </w:rPr>
            </w:pPr>
          </w:p>
          <w:p w14:paraId="45B469CD">
            <w:pPr>
              <w:pStyle w:val="522"/>
              <w:tabs>
                <w:tab w:val="right" w:leader="dot" w:pos="9354"/>
              </w:tabs>
              <w:ind w:left="0" w:leftChars="0"/>
              <w:jc w:val="center"/>
              <w:rPr>
                <w:rFonts w:hint="eastAsia" w:ascii="宋体" w:hAnsi="宋体" w:cs="宋体"/>
                <w:sz w:val="13"/>
                <w:szCs w:val="13"/>
              </w:rPr>
            </w:pPr>
          </w:p>
          <w:p w14:paraId="05D0CA14">
            <w:pPr>
              <w:pStyle w:val="522"/>
              <w:tabs>
                <w:tab w:val="right" w:leader="dot" w:pos="9354"/>
              </w:tabs>
              <w:ind w:left="0" w:leftChars="0"/>
              <w:jc w:val="center"/>
              <w:rPr>
                <w:rFonts w:hint="eastAsia" w:ascii="宋体" w:hAnsi="宋体" w:cs="宋体"/>
                <w:sz w:val="13"/>
                <w:szCs w:val="13"/>
              </w:rPr>
            </w:pPr>
          </w:p>
          <w:p w14:paraId="608B1D37">
            <w:pPr>
              <w:pStyle w:val="522"/>
              <w:tabs>
                <w:tab w:val="right" w:leader="dot" w:pos="9354"/>
              </w:tabs>
              <w:ind w:left="0" w:leftChars="0"/>
              <w:jc w:val="center"/>
              <w:rPr>
                <w:rFonts w:hint="eastAsia" w:ascii="宋体" w:hAnsi="宋体" w:cs="宋体"/>
                <w:sz w:val="13"/>
                <w:szCs w:val="13"/>
              </w:rPr>
            </w:pPr>
          </w:p>
          <w:p w14:paraId="169C44C0">
            <w:pPr>
              <w:pStyle w:val="522"/>
              <w:tabs>
                <w:tab w:val="right" w:leader="dot" w:pos="9354"/>
              </w:tabs>
              <w:ind w:left="0" w:leftChars="0"/>
              <w:jc w:val="center"/>
              <w:rPr>
                <w:rFonts w:hint="eastAsia" w:ascii="宋体" w:hAnsi="宋体" w:cs="宋体"/>
                <w:sz w:val="13"/>
                <w:szCs w:val="13"/>
              </w:rPr>
            </w:pPr>
          </w:p>
          <w:p w14:paraId="1E87AE49">
            <w:pPr>
              <w:pStyle w:val="522"/>
              <w:tabs>
                <w:tab w:val="right" w:leader="dot" w:pos="9354"/>
              </w:tabs>
              <w:ind w:left="0" w:leftChars="0"/>
              <w:jc w:val="center"/>
              <w:rPr>
                <w:rFonts w:hint="eastAsia" w:ascii="宋体" w:hAnsi="宋体" w:cs="宋体"/>
                <w:sz w:val="13"/>
                <w:szCs w:val="13"/>
              </w:rPr>
            </w:pPr>
          </w:p>
          <w:p w14:paraId="2AFB6AFC">
            <w:pPr>
              <w:pStyle w:val="522"/>
              <w:tabs>
                <w:tab w:val="right" w:leader="dot" w:pos="9354"/>
              </w:tabs>
              <w:ind w:left="0" w:leftChars="0"/>
              <w:jc w:val="center"/>
              <w:rPr>
                <w:rFonts w:hint="eastAsia" w:ascii="宋体" w:hAnsi="宋体" w:cs="宋体"/>
                <w:sz w:val="13"/>
                <w:szCs w:val="13"/>
              </w:rPr>
            </w:pPr>
          </w:p>
          <w:p w14:paraId="61C27041">
            <w:pPr>
              <w:pStyle w:val="522"/>
              <w:tabs>
                <w:tab w:val="right" w:leader="dot" w:pos="9354"/>
              </w:tabs>
              <w:ind w:left="0" w:leftChars="0"/>
              <w:jc w:val="center"/>
              <w:rPr>
                <w:rFonts w:hint="eastAsia" w:ascii="宋体" w:hAnsi="宋体" w:cs="宋体"/>
                <w:sz w:val="13"/>
                <w:szCs w:val="13"/>
              </w:rPr>
            </w:pPr>
          </w:p>
        </w:tc>
        <w:tc>
          <w:tcPr>
            <w:tcW w:w="678" w:type="dxa"/>
            <w:vAlign w:val="center"/>
          </w:tcPr>
          <w:p w14:paraId="3F84C995">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C</w:t>
            </w:r>
          </w:p>
        </w:tc>
      </w:tr>
      <w:tr w14:paraId="21A0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7" w:hRule="exact"/>
          <w:jc w:val="center"/>
        </w:trPr>
        <w:tc>
          <w:tcPr>
            <w:tcW w:w="9794" w:type="dxa"/>
            <w:gridSpan w:val="12"/>
            <w:vAlign w:val="center"/>
          </w:tcPr>
          <w:p w14:paraId="1E91BDA5">
            <w:pPr>
              <w:tabs>
                <w:tab w:val="right" w:leader="dot" w:pos="9354"/>
              </w:tabs>
              <w:adjustRightInd w:val="0"/>
              <w:snapToGrid w:val="0"/>
              <w:spacing w:line="240" w:lineRule="atLeast"/>
              <w:ind w:firstLine="130" w:firstLineChars="100"/>
              <w:jc w:val="left"/>
              <w:rPr>
                <w:rFonts w:hint="eastAsia" w:ascii="黑体" w:hAnsi="黑体" w:eastAsia="黑体" w:cs="宋体"/>
                <w:kern w:val="0"/>
                <w:sz w:val="13"/>
                <w:szCs w:val="13"/>
              </w:rPr>
            </w:pPr>
            <w:r>
              <w:rPr>
                <w:rFonts w:ascii="黑体" w:hAnsi="黑体" w:eastAsia="黑体" w:cs="宋体"/>
                <w:kern w:val="0"/>
                <w:sz w:val="13"/>
                <w:szCs w:val="13"/>
              </w:rPr>
              <w:t xml:space="preserve">注1：如果装设应急电源或应急电源部件的处所与装设主发电机或主发电机部件的处所相邻，则这两个处所之间的边界隔壁或甲板应为“A-60”级分隔。 </w:t>
            </w:r>
          </w:p>
          <w:p w14:paraId="2475C916">
            <w:pPr>
              <w:tabs>
                <w:tab w:val="right" w:leader="dot" w:pos="9354"/>
              </w:tabs>
              <w:adjustRightInd w:val="0"/>
              <w:snapToGrid w:val="0"/>
              <w:spacing w:line="240" w:lineRule="atLeast"/>
              <w:ind w:firstLine="130" w:firstLineChars="100"/>
              <w:jc w:val="left"/>
              <w:rPr>
                <w:rFonts w:hint="eastAsia" w:ascii="黑体" w:hAnsi="黑体" w:eastAsia="黑体" w:cs="宋体"/>
                <w:kern w:val="0"/>
                <w:sz w:val="13"/>
                <w:szCs w:val="13"/>
              </w:rPr>
            </w:pPr>
            <w:r>
              <w:rPr>
                <w:rFonts w:ascii="黑体" w:hAnsi="黑体" w:eastAsia="黑体" w:cs="宋体"/>
                <w:kern w:val="0"/>
                <w:sz w:val="13"/>
                <w:szCs w:val="13"/>
              </w:rPr>
              <w:t>注2：防火分隔的类别见本章 17.2.1.1、17.2.1.3 和 17.2.1.4。</w:t>
            </w:r>
          </w:p>
          <w:p w14:paraId="47C255A3">
            <w:pPr>
              <w:tabs>
                <w:tab w:val="right" w:leader="dot" w:pos="9354"/>
              </w:tabs>
              <w:adjustRightInd w:val="0"/>
              <w:snapToGrid w:val="0"/>
              <w:spacing w:line="240" w:lineRule="atLeast"/>
              <w:ind w:firstLine="130" w:firstLineChars="100"/>
              <w:jc w:val="left"/>
              <w:rPr>
                <w:rFonts w:hint="eastAsia" w:ascii="黑体" w:hAnsi="黑体" w:eastAsia="黑体" w:cs="宋体"/>
                <w:kern w:val="0"/>
                <w:sz w:val="13"/>
                <w:szCs w:val="13"/>
              </w:rPr>
            </w:pPr>
            <w:r>
              <w:rPr>
                <w:rFonts w:ascii="黑体" w:hAnsi="黑体" w:eastAsia="黑体" w:cs="宋体"/>
                <w:kern w:val="0"/>
                <w:sz w:val="13"/>
                <w:szCs w:val="13"/>
              </w:rPr>
              <w:t>注3：属于同一类别，且标有(3)的处所，只有当相邻处所作不同用途时才要求表中所示等级的隔壁或甲板。例如⑨类中厨房相邻可不要隔壁，但厨房与油漆间相邻则要求“A-0”级隔壁。</w:t>
            </w:r>
          </w:p>
          <w:p w14:paraId="48543C91">
            <w:pPr>
              <w:tabs>
                <w:tab w:val="right" w:leader="dot" w:pos="9354"/>
              </w:tabs>
              <w:adjustRightInd w:val="0"/>
              <w:snapToGrid w:val="0"/>
              <w:spacing w:line="240" w:lineRule="atLeast"/>
              <w:ind w:firstLine="130" w:firstLineChars="100"/>
              <w:jc w:val="left"/>
              <w:rPr>
                <w:rFonts w:hint="eastAsia" w:ascii="黑体" w:hAnsi="黑体" w:eastAsia="黑体" w:cs="宋体"/>
                <w:kern w:val="0"/>
                <w:sz w:val="13"/>
                <w:szCs w:val="13"/>
              </w:rPr>
            </w:pPr>
            <w:r>
              <w:rPr>
                <w:rFonts w:ascii="黑体" w:hAnsi="黑体" w:eastAsia="黑体" w:cs="宋体"/>
                <w:kern w:val="0"/>
                <w:sz w:val="13"/>
                <w:szCs w:val="13"/>
              </w:rPr>
              <w:t>注4：将无线电室自身隔开的隔壁可以是“B-0”级分隔。</w:t>
            </w:r>
          </w:p>
          <w:p w14:paraId="44F0B3F7">
            <w:pPr>
              <w:adjustRightInd w:val="0"/>
              <w:snapToGrid w:val="0"/>
              <w:spacing w:line="240" w:lineRule="atLeast"/>
              <w:ind w:firstLine="130" w:firstLineChars="100"/>
              <w:jc w:val="left"/>
              <w:rPr>
                <w:sz w:val="16"/>
                <w:szCs w:val="15"/>
              </w:rPr>
            </w:pPr>
            <w:r>
              <w:rPr>
                <w:rFonts w:ascii="黑体" w:hAnsi="黑体" w:eastAsia="黑体" w:cs="宋体"/>
                <w:kern w:val="0"/>
                <w:sz w:val="13"/>
                <w:szCs w:val="13"/>
              </w:rPr>
              <w:t>*表示要求钢质或其他等效材料的分隔，但不要求A级标准，上表中每类圈号内的数字是指表内相应的“列”和“行”。</w:t>
            </w:r>
          </w:p>
        </w:tc>
      </w:tr>
    </w:tbl>
    <w:p w14:paraId="18DED8FA">
      <w:pPr>
        <w:widowControl/>
        <w:spacing w:before="156" w:beforeLines="50" w:after="156" w:afterLines="50"/>
        <w:jc w:val="center"/>
        <w:rPr>
          <w:rFonts w:hint="eastAsia" w:ascii="黑体" w:hAnsi="黑体" w:eastAsia="黑体" w:cs="宋体"/>
          <w:kern w:val="0"/>
          <w:szCs w:val="21"/>
        </w:rPr>
      </w:pPr>
      <w:r>
        <w:rPr>
          <w:rFonts w:ascii="黑体" w:hAnsi="黑体" w:eastAsia="黑体" w:cs="宋体"/>
          <w:kern w:val="0"/>
          <w:szCs w:val="21"/>
        </w:rPr>
        <w:t>表3  分隔相邻处所的甲板的耐火完整性</w:t>
      </w:r>
    </w:p>
    <w:tbl>
      <w:tblPr>
        <w:tblStyle w:val="88"/>
        <w:tblpPr w:leftFromText="180" w:rightFromText="180" w:vertAnchor="text" w:horzAnchor="page" w:tblpX="1200" w:tblpY="134"/>
        <w:tblOverlap w:val="never"/>
        <w:tblW w:w="9820" w:type="dxa"/>
        <w:tblInd w:w="0" w:type="dxa"/>
        <w:tblLayout w:type="fixed"/>
        <w:tblCellMar>
          <w:top w:w="0" w:type="dxa"/>
          <w:left w:w="0" w:type="dxa"/>
          <w:bottom w:w="0" w:type="dxa"/>
          <w:right w:w="0" w:type="dxa"/>
        </w:tblCellMar>
      </w:tblPr>
      <w:tblGrid>
        <w:gridCol w:w="1400"/>
        <w:gridCol w:w="741"/>
        <w:gridCol w:w="817"/>
        <w:gridCol w:w="817"/>
        <w:gridCol w:w="848"/>
        <w:gridCol w:w="817"/>
        <w:gridCol w:w="846"/>
        <w:gridCol w:w="844"/>
        <w:gridCol w:w="817"/>
        <w:gridCol w:w="848"/>
        <w:gridCol w:w="450"/>
        <w:gridCol w:w="575"/>
      </w:tblGrid>
      <w:tr w14:paraId="20DDD5DB">
        <w:tblPrEx>
          <w:tblCellMar>
            <w:top w:w="0" w:type="dxa"/>
            <w:left w:w="0" w:type="dxa"/>
            <w:bottom w:w="0" w:type="dxa"/>
            <w:right w:w="0" w:type="dxa"/>
          </w:tblCellMar>
        </w:tblPrEx>
        <w:trPr>
          <w:trHeight w:val="934" w:hRule="exact"/>
        </w:trPr>
        <w:tc>
          <w:tcPr>
            <w:tcW w:w="1400" w:type="dxa"/>
            <w:tcBorders>
              <w:top w:val="single" w:color="auto" w:sz="4" w:space="0"/>
              <w:left w:val="single" w:color="auto" w:sz="4" w:space="0"/>
              <w:bottom w:val="single" w:color="auto" w:sz="4" w:space="0"/>
              <w:right w:val="single" w:color="auto" w:sz="4" w:space="0"/>
            </w:tcBorders>
            <w:vAlign w:val="center"/>
          </w:tcPr>
          <w:p w14:paraId="3760CFD7">
            <w:pPr>
              <w:pStyle w:val="522"/>
              <w:tabs>
                <w:tab w:val="right" w:leader="dot" w:pos="9354"/>
              </w:tabs>
              <w:ind w:left="0" w:leftChars="0"/>
              <w:jc w:val="right"/>
              <w:rPr>
                <w:rFonts w:hint="eastAsia" w:ascii="宋体" w:hAnsi="宋体" w:cs="宋体"/>
                <w:sz w:val="13"/>
                <w:szCs w:val="13"/>
              </w:rPr>
            </w:pPr>
            <w:r>
              <w:rPr>
                <w:rFonts w:hint="eastAsia" w:ascii="宋体" w:hAnsi="宋体" w:cs="宋体"/>
                <w:sz w:val="13"/>
                <w:szCs w:val="13"/>
              </w:rPr>
              <mc:AlternateContent>
                <mc:Choice Requires="wps">
                  <w:drawing>
                    <wp:anchor distT="0" distB="0" distL="114300" distR="114300" simplePos="0" relativeHeight="251659264" behindDoc="0" locked="0" layoutInCell="1" allowOverlap="1">
                      <wp:simplePos x="0" y="0"/>
                      <wp:positionH relativeFrom="column">
                        <wp:posOffset>12065</wp:posOffset>
                      </wp:positionH>
                      <wp:positionV relativeFrom="paragraph">
                        <wp:posOffset>61595</wp:posOffset>
                      </wp:positionV>
                      <wp:extent cx="955675" cy="539750"/>
                      <wp:effectExtent l="2540" t="4445" r="13335" b="8255"/>
                      <wp:wrapNone/>
                      <wp:docPr id="112" name="直接连接符 112"/>
                      <wp:cNvGraphicFramePr/>
                      <a:graphic xmlns:a="http://schemas.openxmlformats.org/drawingml/2006/main">
                        <a:graphicData uri="http://schemas.microsoft.com/office/word/2010/wordprocessingShape">
                          <wps:wsp>
                            <wps:cNvCnPr/>
                            <wps:spPr>
                              <a:xfrm>
                                <a:off x="0" y="0"/>
                                <a:ext cx="955675" cy="53975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95pt;margin-top:4.85pt;height:42.5pt;width:75.25pt;z-index:251659264;mso-width-relative:page;mso-height-relative:page;" filled="f" stroked="t" coordsize="21600,21600" o:gfxdata="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g11l7TAAAABgEAAA8AAAAAAAAAAQAgAAAAIgAAAGRycy9kb3ducmV2LnhtbFBLAQIUABQAAAAI&#10;AIdO4kC6A0Pj8gEAAOADAAAOAAAAAAAAAAEAIAAAACIBAABkcnMvZTJvRG9jLnhtbFBLBQYAAAAA&#10;BgAGAFkBAACGBQAAAAA=&#10;">
                      <v:fill on="f" focussize="0,0"/>
                      <v:stroke color="#000000" joinstyle="round"/>
                      <v:imagedata o:title=""/>
                      <o:lock v:ext="edit" aspectratio="f"/>
                    </v:line>
                  </w:pict>
                </mc:Fallback>
              </mc:AlternateContent>
            </w:r>
            <w:r>
              <w:rPr>
                <w:rFonts w:hint="eastAsia" w:ascii="宋体" w:hAnsi="宋体" w:cs="宋体"/>
                <w:sz w:val="13"/>
                <w:szCs w:val="13"/>
              </w:rPr>
              <w:t>甲板上处所</w:t>
            </w:r>
          </w:p>
          <w:p w14:paraId="2428660F">
            <w:pPr>
              <w:pStyle w:val="522"/>
              <w:tabs>
                <w:tab w:val="right" w:leader="dot" w:pos="9354"/>
              </w:tabs>
              <w:ind w:left="0" w:leftChars="0"/>
              <w:rPr>
                <w:rFonts w:hint="eastAsia" w:ascii="宋体" w:hAnsi="宋体" w:cs="宋体"/>
                <w:sz w:val="13"/>
                <w:szCs w:val="13"/>
              </w:rPr>
            </w:pPr>
          </w:p>
          <w:p w14:paraId="2BD7FD1E">
            <w:pPr>
              <w:pStyle w:val="522"/>
              <w:tabs>
                <w:tab w:val="right" w:leader="dot" w:pos="9354"/>
              </w:tabs>
              <w:ind w:left="0" w:leftChars="0"/>
              <w:rPr>
                <w:rFonts w:hint="eastAsia" w:ascii="宋体" w:hAnsi="宋体" w:cs="宋体"/>
                <w:sz w:val="13"/>
                <w:szCs w:val="13"/>
              </w:rPr>
            </w:pPr>
            <w:r>
              <w:rPr>
                <w:rFonts w:hint="eastAsia" w:ascii="宋体" w:hAnsi="宋体" w:cs="宋体"/>
                <w:sz w:val="13"/>
                <w:szCs w:val="13"/>
              </w:rPr>
              <w:t>甲板下处所</w:t>
            </w:r>
          </w:p>
        </w:tc>
        <w:tc>
          <w:tcPr>
            <w:tcW w:w="741" w:type="dxa"/>
            <w:tcBorders>
              <w:top w:val="single" w:color="auto" w:sz="4" w:space="0"/>
              <w:left w:val="single" w:color="auto" w:sz="4" w:space="0"/>
              <w:bottom w:val="single" w:color="auto" w:sz="4" w:space="0"/>
              <w:right w:val="single" w:color="auto" w:sz="4" w:space="0"/>
            </w:tcBorders>
            <w:vAlign w:val="center"/>
          </w:tcPr>
          <w:p w14:paraId="2DE3D8F2">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1)</w:t>
            </w:r>
          </w:p>
        </w:tc>
        <w:tc>
          <w:tcPr>
            <w:tcW w:w="817" w:type="dxa"/>
            <w:tcBorders>
              <w:top w:val="single" w:color="auto" w:sz="4" w:space="0"/>
              <w:left w:val="single" w:color="auto" w:sz="4" w:space="0"/>
              <w:bottom w:val="single" w:color="auto" w:sz="4" w:space="0"/>
              <w:right w:val="single" w:color="auto" w:sz="4" w:space="0"/>
            </w:tcBorders>
            <w:vAlign w:val="center"/>
          </w:tcPr>
          <w:p w14:paraId="780F716E">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2）</w:t>
            </w:r>
          </w:p>
        </w:tc>
        <w:tc>
          <w:tcPr>
            <w:tcW w:w="817" w:type="dxa"/>
            <w:tcBorders>
              <w:top w:val="single" w:color="auto" w:sz="4" w:space="0"/>
              <w:left w:val="single" w:color="auto" w:sz="4" w:space="0"/>
              <w:bottom w:val="single" w:color="auto" w:sz="4" w:space="0"/>
              <w:right w:val="single" w:color="auto" w:sz="4" w:space="0"/>
            </w:tcBorders>
            <w:vAlign w:val="center"/>
          </w:tcPr>
          <w:p w14:paraId="1EC4C276">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3）</w:t>
            </w:r>
          </w:p>
        </w:tc>
        <w:tc>
          <w:tcPr>
            <w:tcW w:w="848" w:type="dxa"/>
            <w:tcBorders>
              <w:top w:val="single" w:color="auto" w:sz="4" w:space="0"/>
              <w:left w:val="single" w:color="auto" w:sz="4" w:space="0"/>
              <w:bottom w:val="single" w:color="auto" w:sz="4" w:space="0"/>
              <w:right w:val="single" w:color="auto" w:sz="4" w:space="0"/>
            </w:tcBorders>
            <w:vAlign w:val="center"/>
          </w:tcPr>
          <w:p w14:paraId="16B5E924">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4）</w:t>
            </w:r>
          </w:p>
        </w:tc>
        <w:tc>
          <w:tcPr>
            <w:tcW w:w="817" w:type="dxa"/>
            <w:tcBorders>
              <w:top w:val="single" w:color="auto" w:sz="4" w:space="0"/>
              <w:left w:val="single" w:color="auto" w:sz="4" w:space="0"/>
              <w:bottom w:val="single" w:color="auto" w:sz="4" w:space="0"/>
              <w:right w:val="single" w:color="auto" w:sz="4" w:space="0"/>
            </w:tcBorders>
            <w:vAlign w:val="center"/>
          </w:tcPr>
          <w:p w14:paraId="258CF266">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5）</w:t>
            </w:r>
          </w:p>
        </w:tc>
        <w:tc>
          <w:tcPr>
            <w:tcW w:w="846" w:type="dxa"/>
            <w:tcBorders>
              <w:top w:val="single" w:color="auto" w:sz="4" w:space="0"/>
              <w:left w:val="single" w:color="auto" w:sz="4" w:space="0"/>
              <w:bottom w:val="single" w:color="auto" w:sz="4" w:space="0"/>
              <w:right w:val="single" w:color="auto" w:sz="4" w:space="0"/>
            </w:tcBorders>
            <w:vAlign w:val="center"/>
          </w:tcPr>
          <w:p w14:paraId="6B45FDB0">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6）</w:t>
            </w:r>
          </w:p>
        </w:tc>
        <w:tc>
          <w:tcPr>
            <w:tcW w:w="844" w:type="dxa"/>
            <w:tcBorders>
              <w:top w:val="single" w:color="auto" w:sz="4" w:space="0"/>
              <w:left w:val="single" w:color="auto" w:sz="4" w:space="0"/>
              <w:bottom w:val="single" w:color="auto" w:sz="4" w:space="0"/>
              <w:right w:val="single" w:color="auto" w:sz="4" w:space="0"/>
            </w:tcBorders>
            <w:vAlign w:val="center"/>
          </w:tcPr>
          <w:p w14:paraId="37135AE7">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7）</w:t>
            </w:r>
          </w:p>
        </w:tc>
        <w:tc>
          <w:tcPr>
            <w:tcW w:w="817" w:type="dxa"/>
            <w:tcBorders>
              <w:top w:val="single" w:color="auto" w:sz="4" w:space="0"/>
              <w:left w:val="single" w:color="auto" w:sz="4" w:space="0"/>
              <w:bottom w:val="single" w:color="auto" w:sz="4" w:space="0"/>
              <w:right w:val="single" w:color="auto" w:sz="4" w:space="0"/>
            </w:tcBorders>
            <w:vAlign w:val="center"/>
          </w:tcPr>
          <w:p w14:paraId="63BD7BE3">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8）</w:t>
            </w:r>
          </w:p>
        </w:tc>
        <w:tc>
          <w:tcPr>
            <w:tcW w:w="848" w:type="dxa"/>
            <w:tcBorders>
              <w:top w:val="single" w:color="auto" w:sz="4" w:space="0"/>
              <w:left w:val="single" w:color="auto" w:sz="4" w:space="0"/>
              <w:bottom w:val="single" w:color="auto" w:sz="4" w:space="0"/>
              <w:right w:val="single" w:color="auto" w:sz="4" w:space="0"/>
            </w:tcBorders>
            <w:vAlign w:val="center"/>
          </w:tcPr>
          <w:p w14:paraId="3F26DB50">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9）</w:t>
            </w:r>
          </w:p>
        </w:tc>
        <w:tc>
          <w:tcPr>
            <w:tcW w:w="450" w:type="dxa"/>
            <w:tcBorders>
              <w:top w:val="single" w:color="auto" w:sz="4" w:space="0"/>
              <w:left w:val="single" w:color="auto" w:sz="4" w:space="0"/>
              <w:bottom w:val="single" w:color="auto" w:sz="4" w:space="0"/>
              <w:right w:val="single" w:color="auto" w:sz="4" w:space="0"/>
            </w:tcBorders>
            <w:vAlign w:val="center"/>
          </w:tcPr>
          <w:p w14:paraId="15CDA07E">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10）</w:t>
            </w:r>
          </w:p>
        </w:tc>
        <w:tc>
          <w:tcPr>
            <w:tcW w:w="575" w:type="dxa"/>
            <w:tcBorders>
              <w:top w:val="single" w:color="auto" w:sz="4" w:space="0"/>
              <w:left w:val="single" w:color="auto" w:sz="4" w:space="0"/>
              <w:bottom w:val="single" w:color="auto" w:sz="4" w:space="0"/>
              <w:right w:val="single" w:color="auto" w:sz="4" w:space="0"/>
            </w:tcBorders>
            <w:vAlign w:val="center"/>
          </w:tcPr>
          <w:p w14:paraId="563E7499">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11）</w:t>
            </w:r>
          </w:p>
        </w:tc>
      </w:tr>
      <w:tr w14:paraId="29EB0F3F">
        <w:tblPrEx>
          <w:tblCellMar>
            <w:top w:w="0" w:type="dxa"/>
            <w:left w:w="0" w:type="dxa"/>
            <w:bottom w:w="0" w:type="dxa"/>
            <w:right w:w="0" w:type="dxa"/>
          </w:tblCellMar>
        </w:tblPrEx>
        <w:trPr>
          <w:trHeight w:val="300" w:hRule="exact"/>
        </w:trPr>
        <w:tc>
          <w:tcPr>
            <w:tcW w:w="1400" w:type="dxa"/>
            <w:tcBorders>
              <w:top w:val="single" w:color="auto" w:sz="4" w:space="0"/>
              <w:left w:val="single" w:color="auto" w:sz="4" w:space="0"/>
              <w:bottom w:val="single" w:color="auto" w:sz="4" w:space="0"/>
              <w:right w:val="single" w:color="auto" w:sz="4" w:space="0"/>
            </w:tcBorders>
            <w:vAlign w:val="center"/>
          </w:tcPr>
          <w:p w14:paraId="4BDC7010">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控制站①</w:t>
            </w:r>
          </w:p>
        </w:tc>
        <w:tc>
          <w:tcPr>
            <w:tcW w:w="741" w:type="dxa"/>
            <w:tcBorders>
              <w:top w:val="single" w:color="auto" w:sz="4" w:space="0"/>
              <w:left w:val="single" w:color="auto" w:sz="4" w:space="0"/>
              <w:bottom w:val="single" w:color="auto" w:sz="4" w:space="0"/>
              <w:right w:val="single" w:color="auto" w:sz="4" w:space="0"/>
            </w:tcBorders>
            <w:vAlign w:val="center"/>
          </w:tcPr>
          <w:p w14:paraId="30E02232">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29245B13">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5AB4A7EB">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848" w:type="dxa"/>
            <w:tcBorders>
              <w:top w:val="single" w:color="auto" w:sz="4" w:space="0"/>
              <w:left w:val="single" w:color="auto" w:sz="4" w:space="0"/>
              <w:bottom w:val="single" w:color="auto" w:sz="4" w:space="0"/>
              <w:right w:val="single" w:color="auto" w:sz="4" w:space="0"/>
            </w:tcBorders>
            <w:vAlign w:val="center"/>
          </w:tcPr>
          <w:p w14:paraId="4D302B05">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06E8135F">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846" w:type="dxa"/>
            <w:tcBorders>
              <w:top w:val="single" w:color="auto" w:sz="4" w:space="0"/>
              <w:left w:val="single" w:color="auto" w:sz="4" w:space="0"/>
              <w:bottom w:val="single" w:color="auto" w:sz="4" w:space="0"/>
              <w:right w:val="single" w:color="auto" w:sz="4" w:space="0"/>
            </w:tcBorders>
            <w:vAlign w:val="center"/>
          </w:tcPr>
          <w:p w14:paraId="5314912B">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A—60</w:t>
            </w:r>
          </w:p>
        </w:tc>
        <w:tc>
          <w:tcPr>
            <w:tcW w:w="844" w:type="dxa"/>
            <w:tcBorders>
              <w:top w:val="single" w:color="auto" w:sz="4" w:space="0"/>
              <w:left w:val="single" w:color="auto" w:sz="4" w:space="0"/>
              <w:bottom w:val="single" w:color="auto" w:sz="4" w:space="0"/>
              <w:right w:val="single" w:color="auto" w:sz="4" w:space="0"/>
            </w:tcBorders>
            <w:vAlign w:val="center"/>
          </w:tcPr>
          <w:p w14:paraId="211C9BB3">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1604760A">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848" w:type="dxa"/>
            <w:tcBorders>
              <w:top w:val="single" w:color="auto" w:sz="4" w:space="0"/>
              <w:left w:val="single" w:color="auto" w:sz="4" w:space="0"/>
              <w:bottom w:val="single" w:color="auto" w:sz="4" w:space="0"/>
              <w:right w:val="single" w:color="auto" w:sz="4" w:space="0"/>
            </w:tcBorders>
            <w:vAlign w:val="center"/>
          </w:tcPr>
          <w:p w14:paraId="108CDB32">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450" w:type="dxa"/>
            <w:tcBorders>
              <w:top w:val="single" w:color="auto" w:sz="4" w:space="0"/>
              <w:left w:val="single" w:color="auto" w:sz="4" w:space="0"/>
              <w:bottom w:val="single" w:color="auto" w:sz="4" w:space="0"/>
              <w:right w:val="single" w:color="auto" w:sz="4" w:space="0"/>
            </w:tcBorders>
            <w:vAlign w:val="center"/>
          </w:tcPr>
          <w:p w14:paraId="6A0D8FBA">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c>
          <w:tcPr>
            <w:tcW w:w="575" w:type="dxa"/>
            <w:tcBorders>
              <w:top w:val="single" w:color="auto" w:sz="4" w:space="0"/>
              <w:left w:val="single" w:color="auto" w:sz="4" w:space="0"/>
              <w:bottom w:val="single" w:color="auto" w:sz="4" w:space="0"/>
              <w:right w:val="single" w:color="auto" w:sz="4" w:space="0"/>
            </w:tcBorders>
            <w:vAlign w:val="center"/>
          </w:tcPr>
          <w:p w14:paraId="28CF7DBC">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r>
      <w:tr w14:paraId="7FAE075A">
        <w:tblPrEx>
          <w:tblCellMar>
            <w:top w:w="0" w:type="dxa"/>
            <w:left w:w="0" w:type="dxa"/>
            <w:bottom w:w="0" w:type="dxa"/>
            <w:right w:w="0" w:type="dxa"/>
          </w:tblCellMar>
        </w:tblPrEx>
        <w:trPr>
          <w:trHeight w:val="262" w:hRule="exact"/>
        </w:trPr>
        <w:tc>
          <w:tcPr>
            <w:tcW w:w="1400" w:type="dxa"/>
            <w:tcBorders>
              <w:top w:val="single" w:color="auto" w:sz="4" w:space="0"/>
              <w:left w:val="single" w:color="auto" w:sz="4" w:space="0"/>
              <w:bottom w:val="single" w:color="auto" w:sz="4" w:space="0"/>
              <w:right w:val="single" w:color="auto" w:sz="4" w:space="0"/>
            </w:tcBorders>
            <w:vAlign w:val="center"/>
          </w:tcPr>
          <w:p w14:paraId="630DACBF">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走廊②</w:t>
            </w:r>
          </w:p>
        </w:tc>
        <w:tc>
          <w:tcPr>
            <w:tcW w:w="741" w:type="dxa"/>
            <w:tcBorders>
              <w:top w:val="single" w:color="auto" w:sz="4" w:space="0"/>
              <w:left w:val="single" w:color="auto" w:sz="4" w:space="0"/>
              <w:bottom w:val="single" w:color="auto" w:sz="4" w:space="0"/>
              <w:right w:val="single" w:color="auto" w:sz="4" w:space="0"/>
            </w:tcBorders>
            <w:vAlign w:val="center"/>
          </w:tcPr>
          <w:p w14:paraId="311BCD81">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348B568D">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c>
          <w:tcPr>
            <w:tcW w:w="817" w:type="dxa"/>
            <w:tcBorders>
              <w:top w:val="single" w:color="auto" w:sz="4" w:space="0"/>
              <w:left w:val="single" w:color="auto" w:sz="4" w:space="0"/>
              <w:bottom w:val="single" w:color="auto" w:sz="4" w:space="0"/>
              <w:right w:val="single" w:color="auto" w:sz="4" w:space="0"/>
            </w:tcBorders>
            <w:vAlign w:val="center"/>
          </w:tcPr>
          <w:p w14:paraId="66D125F9">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c>
          <w:tcPr>
            <w:tcW w:w="848" w:type="dxa"/>
            <w:tcBorders>
              <w:top w:val="single" w:color="auto" w:sz="4" w:space="0"/>
              <w:left w:val="single" w:color="auto" w:sz="4" w:space="0"/>
              <w:bottom w:val="single" w:color="auto" w:sz="4" w:space="0"/>
              <w:right w:val="single" w:color="auto" w:sz="4" w:space="0"/>
            </w:tcBorders>
            <w:vAlign w:val="center"/>
          </w:tcPr>
          <w:p w14:paraId="341B4C0E">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5EB5B7D1">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c>
          <w:tcPr>
            <w:tcW w:w="846" w:type="dxa"/>
            <w:tcBorders>
              <w:top w:val="single" w:color="auto" w:sz="4" w:space="0"/>
              <w:left w:val="single" w:color="auto" w:sz="4" w:space="0"/>
              <w:bottom w:val="single" w:color="auto" w:sz="4" w:space="0"/>
              <w:right w:val="single" w:color="auto" w:sz="4" w:space="0"/>
            </w:tcBorders>
            <w:vAlign w:val="center"/>
          </w:tcPr>
          <w:p w14:paraId="72EF3B0A">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A—60</w:t>
            </w:r>
          </w:p>
        </w:tc>
        <w:tc>
          <w:tcPr>
            <w:tcW w:w="844" w:type="dxa"/>
            <w:tcBorders>
              <w:top w:val="single" w:color="auto" w:sz="4" w:space="0"/>
              <w:left w:val="single" w:color="auto" w:sz="4" w:space="0"/>
              <w:bottom w:val="single" w:color="auto" w:sz="4" w:space="0"/>
              <w:right w:val="single" w:color="auto" w:sz="4" w:space="0"/>
            </w:tcBorders>
            <w:vAlign w:val="center"/>
          </w:tcPr>
          <w:p w14:paraId="07C1B143">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492C698A">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848" w:type="dxa"/>
            <w:tcBorders>
              <w:top w:val="single" w:color="auto" w:sz="4" w:space="0"/>
              <w:left w:val="single" w:color="auto" w:sz="4" w:space="0"/>
              <w:bottom w:val="single" w:color="auto" w:sz="4" w:space="0"/>
              <w:right w:val="single" w:color="auto" w:sz="4" w:space="0"/>
            </w:tcBorders>
            <w:vAlign w:val="center"/>
          </w:tcPr>
          <w:p w14:paraId="729908CD">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450" w:type="dxa"/>
            <w:tcBorders>
              <w:top w:val="single" w:color="auto" w:sz="4" w:space="0"/>
              <w:left w:val="single" w:color="auto" w:sz="4" w:space="0"/>
              <w:bottom w:val="single" w:color="auto" w:sz="4" w:space="0"/>
              <w:right w:val="single" w:color="auto" w:sz="4" w:space="0"/>
            </w:tcBorders>
            <w:vAlign w:val="center"/>
          </w:tcPr>
          <w:p w14:paraId="372EEFE3">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c>
          <w:tcPr>
            <w:tcW w:w="575" w:type="dxa"/>
            <w:tcBorders>
              <w:top w:val="single" w:color="auto" w:sz="4" w:space="0"/>
              <w:left w:val="single" w:color="auto" w:sz="4" w:space="0"/>
              <w:bottom w:val="single" w:color="auto" w:sz="4" w:space="0"/>
              <w:right w:val="single" w:color="auto" w:sz="4" w:space="0"/>
            </w:tcBorders>
            <w:vAlign w:val="center"/>
          </w:tcPr>
          <w:p w14:paraId="40C58D56">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r>
      <w:tr w14:paraId="20EA54F6">
        <w:tblPrEx>
          <w:tblCellMar>
            <w:top w:w="0" w:type="dxa"/>
            <w:left w:w="0" w:type="dxa"/>
            <w:bottom w:w="0" w:type="dxa"/>
            <w:right w:w="0" w:type="dxa"/>
          </w:tblCellMar>
        </w:tblPrEx>
        <w:trPr>
          <w:trHeight w:val="306" w:hRule="exact"/>
        </w:trPr>
        <w:tc>
          <w:tcPr>
            <w:tcW w:w="1400" w:type="dxa"/>
            <w:tcBorders>
              <w:top w:val="single" w:color="auto" w:sz="4" w:space="0"/>
              <w:left w:val="single" w:color="auto" w:sz="4" w:space="0"/>
              <w:bottom w:val="single" w:color="auto" w:sz="4" w:space="0"/>
              <w:right w:val="single" w:color="auto" w:sz="4" w:space="0"/>
            </w:tcBorders>
            <w:vAlign w:val="center"/>
          </w:tcPr>
          <w:p w14:paraId="0F1B6F91">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起居处所③</w:t>
            </w:r>
          </w:p>
        </w:tc>
        <w:tc>
          <w:tcPr>
            <w:tcW w:w="741" w:type="dxa"/>
            <w:tcBorders>
              <w:top w:val="single" w:color="auto" w:sz="4" w:space="0"/>
              <w:left w:val="single" w:color="auto" w:sz="4" w:space="0"/>
              <w:bottom w:val="single" w:color="auto" w:sz="4" w:space="0"/>
              <w:right w:val="single" w:color="auto" w:sz="4" w:space="0"/>
            </w:tcBorders>
            <w:vAlign w:val="center"/>
          </w:tcPr>
          <w:p w14:paraId="4A0F49AF">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A—60</w:t>
            </w:r>
          </w:p>
        </w:tc>
        <w:tc>
          <w:tcPr>
            <w:tcW w:w="817" w:type="dxa"/>
            <w:tcBorders>
              <w:top w:val="single" w:color="auto" w:sz="4" w:space="0"/>
              <w:left w:val="single" w:color="auto" w:sz="4" w:space="0"/>
              <w:bottom w:val="single" w:color="auto" w:sz="4" w:space="0"/>
              <w:right w:val="single" w:color="auto" w:sz="4" w:space="0"/>
            </w:tcBorders>
            <w:vAlign w:val="center"/>
          </w:tcPr>
          <w:p w14:paraId="3FFC9FF1">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4D769B20">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c>
          <w:tcPr>
            <w:tcW w:w="848" w:type="dxa"/>
            <w:tcBorders>
              <w:top w:val="single" w:color="auto" w:sz="4" w:space="0"/>
              <w:left w:val="single" w:color="auto" w:sz="4" w:space="0"/>
              <w:bottom w:val="single" w:color="auto" w:sz="4" w:space="0"/>
              <w:right w:val="single" w:color="auto" w:sz="4" w:space="0"/>
            </w:tcBorders>
            <w:vAlign w:val="center"/>
          </w:tcPr>
          <w:p w14:paraId="228E447F">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11594F70">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c>
          <w:tcPr>
            <w:tcW w:w="846" w:type="dxa"/>
            <w:tcBorders>
              <w:top w:val="single" w:color="auto" w:sz="4" w:space="0"/>
              <w:left w:val="single" w:color="auto" w:sz="4" w:space="0"/>
              <w:bottom w:val="single" w:color="auto" w:sz="4" w:space="0"/>
              <w:right w:val="single" w:color="auto" w:sz="4" w:space="0"/>
            </w:tcBorders>
            <w:vAlign w:val="center"/>
          </w:tcPr>
          <w:p w14:paraId="345DF2FB">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A—60</w:t>
            </w:r>
          </w:p>
        </w:tc>
        <w:tc>
          <w:tcPr>
            <w:tcW w:w="844" w:type="dxa"/>
            <w:tcBorders>
              <w:top w:val="single" w:color="auto" w:sz="4" w:space="0"/>
              <w:left w:val="single" w:color="auto" w:sz="4" w:space="0"/>
              <w:bottom w:val="single" w:color="auto" w:sz="4" w:space="0"/>
              <w:right w:val="single" w:color="auto" w:sz="4" w:space="0"/>
            </w:tcBorders>
            <w:vAlign w:val="center"/>
          </w:tcPr>
          <w:p w14:paraId="61977765">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092EC3F2">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848" w:type="dxa"/>
            <w:tcBorders>
              <w:top w:val="single" w:color="auto" w:sz="4" w:space="0"/>
              <w:left w:val="single" w:color="auto" w:sz="4" w:space="0"/>
              <w:bottom w:val="single" w:color="auto" w:sz="4" w:space="0"/>
              <w:right w:val="single" w:color="auto" w:sz="4" w:space="0"/>
            </w:tcBorders>
            <w:vAlign w:val="center"/>
          </w:tcPr>
          <w:p w14:paraId="0CFA26A0">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A—0</w:t>
            </w:r>
          </w:p>
        </w:tc>
        <w:tc>
          <w:tcPr>
            <w:tcW w:w="450" w:type="dxa"/>
            <w:tcBorders>
              <w:top w:val="single" w:color="auto" w:sz="4" w:space="0"/>
              <w:left w:val="single" w:color="auto" w:sz="4" w:space="0"/>
              <w:bottom w:val="single" w:color="auto" w:sz="4" w:space="0"/>
              <w:right w:val="single" w:color="auto" w:sz="4" w:space="0"/>
            </w:tcBorders>
            <w:vAlign w:val="center"/>
          </w:tcPr>
          <w:p w14:paraId="4E3A921E">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c>
          <w:tcPr>
            <w:tcW w:w="575" w:type="dxa"/>
            <w:tcBorders>
              <w:top w:val="single" w:color="auto" w:sz="4" w:space="0"/>
              <w:left w:val="single" w:color="auto" w:sz="4" w:space="0"/>
              <w:bottom w:val="single" w:color="auto" w:sz="4" w:space="0"/>
              <w:right w:val="single" w:color="auto" w:sz="4" w:space="0"/>
            </w:tcBorders>
            <w:vAlign w:val="center"/>
          </w:tcPr>
          <w:p w14:paraId="4C3A245C">
            <w:pPr>
              <w:pStyle w:val="522"/>
              <w:tabs>
                <w:tab w:val="right" w:leader="dot" w:pos="9354"/>
              </w:tabs>
              <w:ind w:left="0" w:leftChars="0"/>
              <w:jc w:val="center"/>
              <w:rPr>
                <w:rFonts w:hint="eastAsia" w:ascii="宋体" w:hAnsi="宋体" w:cs="宋体"/>
                <w:sz w:val="13"/>
                <w:szCs w:val="13"/>
              </w:rPr>
            </w:pPr>
            <w:r>
              <w:rPr>
                <w:rFonts w:hint="eastAsia" w:ascii="宋体" w:hAnsi="宋体" w:cs="宋体"/>
                <w:sz w:val="13"/>
                <w:szCs w:val="13"/>
              </w:rPr>
              <w:t>*</w:t>
            </w:r>
          </w:p>
        </w:tc>
      </w:tr>
      <w:tr w14:paraId="5953B2B7">
        <w:tblPrEx>
          <w:tblCellMar>
            <w:top w:w="0" w:type="dxa"/>
            <w:left w:w="0" w:type="dxa"/>
            <w:bottom w:w="0" w:type="dxa"/>
            <w:right w:w="0" w:type="dxa"/>
          </w:tblCellMar>
        </w:tblPrEx>
        <w:trPr>
          <w:trHeight w:val="287" w:hRule="exact"/>
        </w:trPr>
        <w:tc>
          <w:tcPr>
            <w:tcW w:w="1400" w:type="dxa"/>
            <w:tcBorders>
              <w:top w:val="single" w:color="auto" w:sz="4" w:space="0"/>
              <w:left w:val="single" w:color="auto" w:sz="4" w:space="0"/>
              <w:bottom w:val="single" w:color="auto" w:sz="4" w:space="0"/>
              <w:right w:val="single" w:color="auto" w:sz="4" w:space="0"/>
            </w:tcBorders>
            <w:vAlign w:val="center"/>
          </w:tcPr>
          <w:p w14:paraId="42DBF95F">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梯道④</w:t>
            </w:r>
          </w:p>
        </w:tc>
        <w:tc>
          <w:tcPr>
            <w:tcW w:w="741" w:type="dxa"/>
            <w:tcBorders>
              <w:top w:val="single" w:color="auto" w:sz="4" w:space="0"/>
              <w:left w:val="single" w:color="auto" w:sz="4" w:space="0"/>
              <w:bottom w:val="single" w:color="auto" w:sz="4" w:space="0"/>
              <w:right w:val="single" w:color="auto" w:sz="4" w:space="0"/>
            </w:tcBorders>
            <w:vAlign w:val="center"/>
          </w:tcPr>
          <w:p w14:paraId="44694F2D">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69E32F8F">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6EB820B2">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48" w:type="dxa"/>
            <w:tcBorders>
              <w:top w:val="single" w:color="auto" w:sz="4" w:space="0"/>
              <w:left w:val="single" w:color="auto" w:sz="4" w:space="0"/>
              <w:bottom w:val="single" w:color="auto" w:sz="4" w:space="0"/>
              <w:right w:val="single" w:color="auto" w:sz="4" w:space="0"/>
            </w:tcBorders>
            <w:vAlign w:val="center"/>
          </w:tcPr>
          <w:p w14:paraId="03EFB300">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w:t>
            </w:r>
          </w:p>
        </w:tc>
        <w:tc>
          <w:tcPr>
            <w:tcW w:w="817" w:type="dxa"/>
            <w:tcBorders>
              <w:top w:val="single" w:color="auto" w:sz="4" w:space="0"/>
              <w:left w:val="single" w:color="auto" w:sz="4" w:space="0"/>
              <w:bottom w:val="single" w:color="auto" w:sz="4" w:space="0"/>
              <w:right w:val="single" w:color="auto" w:sz="4" w:space="0"/>
            </w:tcBorders>
            <w:vAlign w:val="center"/>
          </w:tcPr>
          <w:p w14:paraId="4CDEEB80">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46" w:type="dxa"/>
            <w:tcBorders>
              <w:top w:val="single" w:color="auto" w:sz="4" w:space="0"/>
              <w:left w:val="single" w:color="auto" w:sz="4" w:space="0"/>
              <w:bottom w:val="single" w:color="auto" w:sz="4" w:space="0"/>
              <w:right w:val="single" w:color="auto" w:sz="4" w:space="0"/>
            </w:tcBorders>
            <w:vAlign w:val="center"/>
          </w:tcPr>
          <w:p w14:paraId="6EE74760">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A—60</w:t>
            </w:r>
          </w:p>
        </w:tc>
        <w:tc>
          <w:tcPr>
            <w:tcW w:w="844" w:type="dxa"/>
            <w:tcBorders>
              <w:top w:val="single" w:color="auto" w:sz="4" w:space="0"/>
              <w:left w:val="single" w:color="auto" w:sz="4" w:space="0"/>
              <w:bottom w:val="single" w:color="auto" w:sz="4" w:space="0"/>
              <w:right w:val="single" w:color="auto" w:sz="4" w:space="0"/>
            </w:tcBorders>
            <w:vAlign w:val="center"/>
          </w:tcPr>
          <w:p w14:paraId="255CCFC9">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4962B3DB">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48" w:type="dxa"/>
            <w:tcBorders>
              <w:top w:val="single" w:color="auto" w:sz="4" w:space="0"/>
              <w:left w:val="single" w:color="auto" w:sz="4" w:space="0"/>
              <w:bottom w:val="single" w:color="auto" w:sz="4" w:space="0"/>
              <w:right w:val="single" w:color="auto" w:sz="4" w:space="0"/>
            </w:tcBorders>
            <w:vAlign w:val="center"/>
          </w:tcPr>
          <w:p w14:paraId="5D3E35E4">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450" w:type="dxa"/>
            <w:tcBorders>
              <w:top w:val="single" w:color="auto" w:sz="4" w:space="0"/>
              <w:left w:val="single" w:color="auto" w:sz="4" w:space="0"/>
              <w:bottom w:val="single" w:color="auto" w:sz="4" w:space="0"/>
              <w:right w:val="single" w:color="auto" w:sz="4" w:space="0"/>
            </w:tcBorders>
            <w:vAlign w:val="center"/>
          </w:tcPr>
          <w:p w14:paraId="3DEA50E8">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w:t>
            </w:r>
          </w:p>
        </w:tc>
        <w:tc>
          <w:tcPr>
            <w:tcW w:w="575" w:type="dxa"/>
            <w:tcBorders>
              <w:top w:val="single" w:color="auto" w:sz="4" w:space="0"/>
              <w:left w:val="single" w:color="auto" w:sz="4" w:space="0"/>
              <w:bottom w:val="single" w:color="auto" w:sz="4" w:space="0"/>
              <w:right w:val="single" w:color="auto" w:sz="4" w:space="0"/>
            </w:tcBorders>
            <w:vAlign w:val="center"/>
          </w:tcPr>
          <w:p w14:paraId="59BF1B5F">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r>
      <w:tr w14:paraId="5190818A">
        <w:tblPrEx>
          <w:tblCellMar>
            <w:top w:w="0" w:type="dxa"/>
            <w:left w:w="0" w:type="dxa"/>
            <w:bottom w:w="0" w:type="dxa"/>
            <w:right w:w="0" w:type="dxa"/>
          </w:tblCellMar>
        </w:tblPrEx>
        <w:trPr>
          <w:trHeight w:val="567" w:hRule="exact"/>
        </w:trPr>
        <w:tc>
          <w:tcPr>
            <w:tcW w:w="1400" w:type="dxa"/>
            <w:tcBorders>
              <w:top w:val="single" w:color="auto" w:sz="4" w:space="0"/>
              <w:left w:val="single" w:color="auto" w:sz="4" w:space="0"/>
              <w:bottom w:val="single" w:color="auto" w:sz="4" w:space="0"/>
              <w:right w:val="single" w:color="auto" w:sz="4" w:space="0"/>
            </w:tcBorders>
            <w:vAlign w:val="center"/>
          </w:tcPr>
          <w:p w14:paraId="590E523B">
            <w:pPr>
              <w:autoSpaceDE w:val="0"/>
              <w:autoSpaceDN w:val="0"/>
              <w:adjustRightInd w:val="0"/>
              <w:spacing w:before="29"/>
              <w:jc w:val="center"/>
              <w:rPr>
                <w:rFonts w:hint="eastAsia" w:ascii="宋体" w:hAnsi="宋体" w:cs="宋体"/>
                <w:kern w:val="0"/>
                <w:sz w:val="13"/>
                <w:szCs w:val="13"/>
              </w:rPr>
            </w:pPr>
            <w:r>
              <w:rPr>
                <w:rFonts w:ascii="宋体" w:hAnsi="宋体" w:cs="宋体"/>
                <w:kern w:val="0"/>
                <w:sz w:val="13"/>
                <w:szCs w:val="13"/>
              </w:rPr>
              <w:t>失火危险较小的服务处所⑤</w:t>
            </w:r>
          </w:p>
        </w:tc>
        <w:tc>
          <w:tcPr>
            <w:tcW w:w="741" w:type="dxa"/>
            <w:tcBorders>
              <w:top w:val="single" w:color="auto" w:sz="4" w:space="0"/>
              <w:left w:val="single" w:color="auto" w:sz="4" w:space="0"/>
              <w:bottom w:val="single" w:color="auto" w:sz="4" w:space="0"/>
              <w:right w:val="single" w:color="auto" w:sz="4" w:space="0"/>
            </w:tcBorders>
            <w:vAlign w:val="center"/>
          </w:tcPr>
          <w:p w14:paraId="37977236">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A—15</w:t>
            </w:r>
          </w:p>
        </w:tc>
        <w:tc>
          <w:tcPr>
            <w:tcW w:w="817" w:type="dxa"/>
            <w:tcBorders>
              <w:top w:val="single" w:color="auto" w:sz="4" w:space="0"/>
              <w:left w:val="single" w:color="auto" w:sz="4" w:space="0"/>
              <w:bottom w:val="single" w:color="auto" w:sz="4" w:space="0"/>
              <w:right w:val="single" w:color="auto" w:sz="4" w:space="0"/>
            </w:tcBorders>
            <w:vAlign w:val="center"/>
          </w:tcPr>
          <w:p w14:paraId="2BD346B0">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00BC2B4D">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48" w:type="dxa"/>
            <w:tcBorders>
              <w:top w:val="single" w:color="auto" w:sz="4" w:space="0"/>
              <w:left w:val="single" w:color="auto" w:sz="4" w:space="0"/>
              <w:bottom w:val="single" w:color="auto" w:sz="4" w:space="0"/>
              <w:right w:val="single" w:color="auto" w:sz="4" w:space="0"/>
            </w:tcBorders>
            <w:vAlign w:val="center"/>
          </w:tcPr>
          <w:p w14:paraId="7AC8863A">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7BC95BC0">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w:t>
            </w:r>
          </w:p>
        </w:tc>
        <w:tc>
          <w:tcPr>
            <w:tcW w:w="846" w:type="dxa"/>
            <w:tcBorders>
              <w:top w:val="single" w:color="auto" w:sz="4" w:space="0"/>
              <w:left w:val="single" w:color="auto" w:sz="4" w:space="0"/>
              <w:bottom w:val="single" w:color="auto" w:sz="4" w:space="0"/>
              <w:right w:val="single" w:color="auto" w:sz="4" w:space="0"/>
            </w:tcBorders>
            <w:vAlign w:val="center"/>
          </w:tcPr>
          <w:p w14:paraId="7217DA00">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A—60</w:t>
            </w:r>
          </w:p>
        </w:tc>
        <w:tc>
          <w:tcPr>
            <w:tcW w:w="844" w:type="dxa"/>
            <w:tcBorders>
              <w:top w:val="single" w:color="auto" w:sz="4" w:space="0"/>
              <w:left w:val="single" w:color="auto" w:sz="4" w:space="0"/>
              <w:bottom w:val="single" w:color="auto" w:sz="4" w:space="0"/>
              <w:right w:val="single" w:color="auto" w:sz="4" w:space="0"/>
            </w:tcBorders>
            <w:vAlign w:val="center"/>
          </w:tcPr>
          <w:p w14:paraId="2EB473EB">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73CE76D6">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48" w:type="dxa"/>
            <w:tcBorders>
              <w:top w:val="single" w:color="auto" w:sz="4" w:space="0"/>
              <w:left w:val="single" w:color="auto" w:sz="4" w:space="0"/>
              <w:bottom w:val="single" w:color="auto" w:sz="4" w:space="0"/>
              <w:right w:val="single" w:color="auto" w:sz="4" w:space="0"/>
            </w:tcBorders>
            <w:vAlign w:val="center"/>
          </w:tcPr>
          <w:p w14:paraId="423A6171">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450" w:type="dxa"/>
            <w:tcBorders>
              <w:top w:val="single" w:color="auto" w:sz="4" w:space="0"/>
              <w:left w:val="single" w:color="auto" w:sz="4" w:space="0"/>
              <w:bottom w:val="single" w:color="auto" w:sz="4" w:space="0"/>
              <w:right w:val="single" w:color="auto" w:sz="4" w:space="0"/>
            </w:tcBorders>
            <w:vAlign w:val="center"/>
          </w:tcPr>
          <w:p w14:paraId="1F52927C">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w:t>
            </w:r>
          </w:p>
        </w:tc>
        <w:tc>
          <w:tcPr>
            <w:tcW w:w="575" w:type="dxa"/>
            <w:tcBorders>
              <w:top w:val="single" w:color="auto" w:sz="4" w:space="0"/>
              <w:left w:val="single" w:color="auto" w:sz="4" w:space="0"/>
              <w:bottom w:val="single" w:color="auto" w:sz="4" w:space="0"/>
              <w:right w:val="single" w:color="auto" w:sz="4" w:space="0"/>
            </w:tcBorders>
            <w:vAlign w:val="center"/>
          </w:tcPr>
          <w:p w14:paraId="79FBAD32">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r>
      <w:tr w14:paraId="29F73843">
        <w:tblPrEx>
          <w:tblCellMar>
            <w:top w:w="0" w:type="dxa"/>
            <w:left w:w="0" w:type="dxa"/>
            <w:bottom w:w="0" w:type="dxa"/>
            <w:right w:w="0" w:type="dxa"/>
          </w:tblCellMar>
        </w:tblPrEx>
        <w:trPr>
          <w:trHeight w:val="316" w:hRule="exact"/>
        </w:trPr>
        <w:tc>
          <w:tcPr>
            <w:tcW w:w="1400" w:type="dxa"/>
            <w:tcBorders>
              <w:top w:val="single" w:color="auto" w:sz="4" w:space="0"/>
              <w:left w:val="single" w:color="auto" w:sz="4" w:space="0"/>
              <w:bottom w:val="single" w:color="auto" w:sz="4" w:space="0"/>
              <w:right w:val="single" w:color="auto" w:sz="4" w:space="0"/>
            </w:tcBorders>
            <w:vAlign w:val="center"/>
          </w:tcPr>
          <w:p w14:paraId="02EAFC19">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A类机器处所⑥</w:t>
            </w:r>
          </w:p>
        </w:tc>
        <w:tc>
          <w:tcPr>
            <w:tcW w:w="741" w:type="dxa"/>
            <w:tcBorders>
              <w:top w:val="single" w:color="auto" w:sz="4" w:space="0"/>
              <w:left w:val="single" w:color="auto" w:sz="4" w:space="0"/>
              <w:bottom w:val="single" w:color="auto" w:sz="4" w:space="0"/>
              <w:right w:val="single" w:color="auto" w:sz="4" w:space="0"/>
            </w:tcBorders>
            <w:vAlign w:val="center"/>
          </w:tcPr>
          <w:p w14:paraId="4D23886A">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A—60</w:t>
            </w:r>
          </w:p>
        </w:tc>
        <w:tc>
          <w:tcPr>
            <w:tcW w:w="817" w:type="dxa"/>
            <w:tcBorders>
              <w:top w:val="single" w:color="auto" w:sz="4" w:space="0"/>
              <w:left w:val="single" w:color="auto" w:sz="4" w:space="0"/>
              <w:bottom w:val="single" w:color="auto" w:sz="4" w:space="0"/>
              <w:right w:val="single" w:color="auto" w:sz="4" w:space="0"/>
            </w:tcBorders>
            <w:vAlign w:val="center"/>
          </w:tcPr>
          <w:p w14:paraId="2583FA34">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A—60</w:t>
            </w:r>
          </w:p>
        </w:tc>
        <w:tc>
          <w:tcPr>
            <w:tcW w:w="817" w:type="dxa"/>
            <w:tcBorders>
              <w:top w:val="single" w:color="auto" w:sz="4" w:space="0"/>
              <w:left w:val="single" w:color="auto" w:sz="4" w:space="0"/>
              <w:bottom w:val="single" w:color="auto" w:sz="4" w:space="0"/>
              <w:right w:val="single" w:color="auto" w:sz="4" w:space="0"/>
            </w:tcBorders>
            <w:vAlign w:val="center"/>
          </w:tcPr>
          <w:p w14:paraId="2E5715FE">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A—60</w:t>
            </w:r>
          </w:p>
        </w:tc>
        <w:tc>
          <w:tcPr>
            <w:tcW w:w="848" w:type="dxa"/>
            <w:tcBorders>
              <w:top w:val="single" w:color="auto" w:sz="4" w:space="0"/>
              <w:left w:val="single" w:color="auto" w:sz="4" w:space="0"/>
              <w:bottom w:val="single" w:color="auto" w:sz="4" w:space="0"/>
              <w:right w:val="single" w:color="auto" w:sz="4" w:space="0"/>
            </w:tcBorders>
            <w:vAlign w:val="center"/>
          </w:tcPr>
          <w:p w14:paraId="132BEF89">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A—60</w:t>
            </w:r>
          </w:p>
        </w:tc>
        <w:tc>
          <w:tcPr>
            <w:tcW w:w="817" w:type="dxa"/>
            <w:tcBorders>
              <w:top w:val="single" w:color="auto" w:sz="4" w:space="0"/>
              <w:left w:val="single" w:color="auto" w:sz="4" w:space="0"/>
              <w:bottom w:val="single" w:color="auto" w:sz="4" w:space="0"/>
              <w:right w:val="single" w:color="auto" w:sz="4" w:space="0"/>
            </w:tcBorders>
            <w:vAlign w:val="center"/>
          </w:tcPr>
          <w:p w14:paraId="23EB7360">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A—60</w:t>
            </w:r>
          </w:p>
        </w:tc>
        <w:tc>
          <w:tcPr>
            <w:tcW w:w="846" w:type="dxa"/>
            <w:tcBorders>
              <w:top w:val="single" w:color="auto" w:sz="4" w:space="0"/>
              <w:left w:val="single" w:color="auto" w:sz="4" w:space="0"/>
              <w:bottom w:val="single" w:color="auto" w:sz="4" w:space="0"/>
              <w:right w:val="single" w:color="auto" w:sz="4" w:space="0"/>
            </w:tcBorders>
            <w:vAlign w:val="center"/>
          </w:tcPr>
          <w:p w14:paraId="3EF054E8">
            <w:pPr>
              <w:autoSpaceDE w:val="0"/>
              <w:autoSpaceDN w:val="0"/>
              <w:adjustRightInd w:val="0"/>
              <w:jc w:val="center"/>
              <w:rPr>
                <w:rFonts w:hint="eastAsia" w:ascii="宋体" w:hAnsi="宋体" w:cs="宋体"/>
                <w:kern w:val="0"/>
                <w:sz w:val="13"/>
                <w:szCs w:val="13"/>
              </w:rPr>
            </w:pPr>
            <w:r>
              <w:rPr>
                <w:rFonts w:hint="eastAsia" w:ascii="宋体" w:hAnsi="宋体" w:cs="宋体"/>
                <w:kern w:val="0"/>
                <w:sz w:val="13"/>
                <w:szCs w:val="13"/>
              </w:rPr>
              <w:t>*〔1〕</w:t>
            </w:r>
          </w:p>
        </w:tc>
        <w:tc>
          <w:tcPr>
            <w:tcW w:w="844" w:type="dxa"/>
            <w:tcBorders>
              <w:top w:val="single" w:color="auto" w:sz="4" w:space="0"/>
              <w:left w:val="single" w:color="auto" w:sz="4" w:space="0"/>
              <w:bottom w:val="single" w:color="auto" w:sz="4" w:space="0"/>
              <w:right w:val="single" w:color="auto" w:sz="4" w:space="0"/>
            </w:tcBorders>
            <w:vAlign w:val="center"/>
          </w:tcPr>
          <w:p w14:paraId="3F0EBB6D">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A—60</w:t>
            </w:r>
          </w:p>
        </w:tc>
        <w:tc>
          <w:tcPr>
            <w:tcW w:w="817" w:type="dxa"/>
            <w:tcBorders>
              <w:top w:val="single" w:color="auto" w:sz="4" w:space="0"/>
              <w:left w:val="single" w:color="auto" w:sz="4" w:space="0"/>
              <w:bottom w:val="single" w:color="auto" w:sz="4" w:space="0"/>
              <w:right w:val="single" w:color="auto" w:sz="4" w:space="0"/>
            </w:tcBorders>
            <w:vAlign w:val="center"/>
          </w:tcPr>
          <w:p w14:paraId="48559220">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A—60</w:t>
            </w:r>
          </w:p>
        </w:tc>
        <w:tc>
          <w:tcPr>
            <w:tcW w:w="848" w:type="dxa"/>
            <w:tcBorders>
              <w:top w:val="single" w:color="auto" w:sz="4" w:space="0"/>
              <w:left w:val="single" w:color="auto" w:sz="4" w:space="0"/>
              <w:bottom w:val="single" w:color="auto" w:sz="4" w:space="0"/>
              <w:right w:val="single" w:color="auto" w:sz="4" w:space="0"/>
            </w:tcBorders>
            <w:vAlign w:val="center"/>
          </w:tcPr>
          <w:p w14:paraId="3F3D0A9E">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A—60</w:t>
            </w:r>
          </w:p>
        </w:tc>
        <w:tc>
          <w:tcPr>
            <w:tcW w:w="450" w:type="dxa"/>
            <w:tcBorders>
              <w:top w:val="single" w:color="auto" w:sz="4" w:space="0"/>
              <w:left w:val="single" w:color="auto" w:sz="4" w:space="0"/>
              <w:bottom w:val="single" w:color="auto" w:sz="4" w:space="0"/>
              <w:right w:val="single" w:color="auto" w:sz="4" w:space="0"/>
            </w:tcBorders>
            <w:vAlign w:val="center"/>
          </w:tcPr>
          <w:p w14:paraId="594C8221">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w:t>
            </w:r>
          </w:p>
        </w:tc>
        <w:tc>
          <w:tcPr>
            <w:tcW w:w="575" w:type="dxa"/>
            <w:tcBorders>
              <w:top w:val="single" w:color="auto" w:sz="4" w:space="0"/>
              <w:left w:val="single" w:color="auto" w:sz="4" w:space="0"/>
              <w:bottom w:val="single" w:color="auto" w:sz="4" w:space="0"/>
              <w:right w:val="single" w:color="auto" w:sz="4" w:space="0"/>
            </w:tcBorders>
            <w:vAlign w:val="center"/>
          </w:tcPr>
          <w:p w14:paraId="229AD526">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r>
      <w:tr w14:paraId="73574ABE">
        <w:tblPrEx>
          <w:tblCellMar>
            <w:top w:w="0" w:type="dxa"/>
            <w:left w:w="0" w:type="dxa"/>
            <w:bottom w:w="0" w:type="dxa"/>
            <w:right w:w="0" w:type="dxa"/>
          </w:tblCellMar>
        </w:tblPrEx>
        <w:trPr>
          <w:trHeight w:val="578" w:hRule="exact"/>
        </w:trPr>
        <w:tc>
          <w:tcPr>
            <w:tcW w:w="1400" w:type="dxa"/>
            <w:tcBorders>
              <w:top w:val="single" w:color="auto" w:sz="4" w:space="0"/>
              <w:left w:val="single" w:color="auto" w:sz="4" w:space="0"/>
              <w:bottom w:val="single" w:color="auto" w:sz="4" w:space="0"/>
              <w:right w:val="single" w:color="auto" w:sz="4" w:space="0"/>
            </w:tcBorders>
            <w:vAlign w:val="center"/>
          </w:tcPr>
          <w:p w14:paraId="7F39F477">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其他机器处所⑦</w:t>
            </w:r>
          </w:p>
        </w:tc>
        <w:tc>
          <w:tcPr>
            <w:tcW w:w="741" w:type="dxa"/>
            <w:tcBorders>
              <w:top w:val="single" w:color="auto" w:sz="4" w:space="0"/>
              <w:left w:val="single" w:color="auto" w:sz="4" w:space="0"/>
              <w:bottom w:val="single" w:color="auto" w:sz="4" w:space="0"/>
              <w:right w:val="single" w:color="auto" w:sz="4" w:space="0"/>
            </w:tcBorders>
            <w:vAlign w:val="center"/>
          </w:tcPr>
          <w:p w14:paraId="1894C25B">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A—15</w:t>
            </w:r>
          </w:p>
        </w:tc>
        <w:tc>
          <w:tcPr>
            <w:tcW w:w="817" w:type="dxa"/>
            <w:tcBorders>
              <w:top w:val="single" w:color="auto" w:sz="4" w:space="0"/>
              <w:left w:val="single" w:color="auto" w:sz="4" w:space="0"/>
              <w:bottom w:val="single" w:color="auto" w:sz="4" w:space="0"/>
              <w:right w:val="single" w:color="auto" w:sz="4" w:space="0"/>
            </w:tcBorders>
            <w:vAlign w:val="center"/>
          </w:tcPr>
          <w:p w14:paraId="55E8657C">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52E46482">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48" w:type="dxa"/>
            <w:tcBorders>
              <w:top w:val="single" w:color="auto" w:sz="4" w:space="0"/>
              <w:left w:val="single" w:color="auto" w:sz="4" w:space="0"/>
              <w:bottom w:val="single" w:color="auto" w:sz="4" w:space="0"/>
              <w:right w:val="single" w:color="auto" w:sz="4" w:space="0"/>
            </w:tcBorders>
            <w:vAlign w:val="center"/>
          </w:tcPr>
          <w:p w14:paraId="7987BDF3">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0BDC0709">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46" w:type="dxa"/>
            <w:tcBorders>
              <w:top w:val="single" w:color="auto" w:sz="4" w:space="0"/>
              <w:left w:val="single" w:color="auto" w:sz="4" w:space="0"/>
              <w:bottom w:val="single" w:color="auto" w:sz="4" w:space="0"/>
              <w:right w:val="single" w:color="auto" w:sz="4" w:space="0"/>
            </w:tcBorders>
            <w:vAlign w:val="center"/>
          </w:tcPr>
          <w:p w14:paraId="5925849A">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p w14:paraId="78E0406E">
            <w:pPr>
              <w:autoSpaceDE w:val="0"/>
              <w:autoSpaceDN w:val="0"/>
              <w:adjustRightInd w:val="0"/>
              <w:jc w:val="center"/>
              <w:rPr>
                <w:rFonts w:hint="eastAsia" w:ascii="宋体" w:hAnsi="宋体" w:cs="宋体"/>
                <w:kern w:val="0"/>
                <w:sz w:val="13"/>
                <w:szCs w:val="13"/>
              </w:rPr>
            </w:pPr>
            <w:r>
              <w:rPr>
                <w:rFonts w:hint="eastAsia" w:ascii="宋体" w:hAnsi="宋体" w:cs="宋体"/>
                <w:kern w:val="0"/>
                <w:sz w:val="13"/>
                <w:szCs w:val="13"/>
              </w:rPr>
              <w:t>〔1〕</w:t>
            </w:r>
          </w:p>
        </w:tc>
        <w:tc>
          <w:tcPr>
            <w:tcW w:w="844" w:type="dxa"/>
            <w:tcBorders>
              <w:top w:val="single" w:color="auto" w:sz="4" w:space="0"/>
              <w:left w:val="single" w:color="auto" w:sz="4" w:space="0"/>
              <w:bottom w:val="single" w:color="auto" w:sz="4" w:space="0"/>
              <w:right w:val="single" w:color="auto" w:sz="4" w:space="0"/>
            </w:tcBorders>
            <w:vAlign w:val="center"/>
          </w:tcPr>
          <w:p w14:paraId="1BAFC1F5">
            <w:pPr>
              <w:autoSpaceDE w:val="0"/>
              <w:autoSpaceDN w:val="0"/>
              <w:adjustRightInd w:val="0"/>
              <w:jc w:val="center"/>
              <w:rPr>
                <w:rFonts w:hint="eastAsia" w:ascii="宋体" w:hAnsi="宋体" w:cs="宋体"/>
                <w:kern w:val="0"/>
                <w:sz w:val="13"/>
                <w:szCs w:val="13"/>
              </w:rPr>
            </w:pPr>
            <w:r>
              <w:rPr>
                <w:rFonts w:hint="eastAsia" w:ascii="宋体" w:hAnsi="宋体" w:cs="宋体"/>
                <w:kern w:val="0"/>
                <w:sz w:val="13"/>
                <w:szCs w:val="13"/>
              </w:rPr>
              <w:t>*〔1〕</w:t>
            </w:r>
          </w:p>
        </w:tc>
        <w:tc>
          <w:tcPr>
            <w:tcW w:w="817" w:type="dxa"/>
            <w:tcBorders>
              <w:top w:val="single" w:color="auto" w:sz="4" w:space="0"/>
              <w:left w:val="single" w:color="auto" w:sz="4" w:space="0"/>
              <w:bottom w:val="single" w:color="auto" w:sz="4" w:space="0"/>
              <w:right w:val="single" w:color="auto" w:sz="4" w:space="0"/>
            </w:tcBorders>
            <w:vAlign w:val="center"/>
          </w:tcPr>
          <w:p w14:paraId="6A6A995E">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48" w:type="dxa"/>
            <w:tcBorders>
              <w:top w:val="single" w:color="auto" w:sz="4" w:space="0"/>
              <w:left w:val="single" w:color="auto" w:sz="4" w:space="0"/>
              <w:bottom w:val="single" w:color="auto" w:sz="4" w:space="0"/>
              <w:right w:val="single" w:color="auto" w:sz="4" w:space="0"/>
            </w:tcBorders>
            <w:vAlign w:val="center"/>
          </w:tcPr>
          <w:p w14:paraId="0B5099BE">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450" w:type="dxa"/>
            <w:tcBorders>
              <w:top w:val="single" w:color="auto" w:sz="4" w:space="0"/>
              <w:left w:val="single" w:color="auto" w:sz="4" w:space="0"/>
              <w:bottom w:val="single" w:color="auto" w:sz="4" w:space="0"/>
              <w:right w:val="single" w:color="auto" w:sz="4" w:space="0"/>
            </w:tcBorders>
            <w:vAlign w:val="center"/>
          </w:tcPr>
          <w:p w14:paraId="2D7CF672">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w:t>
            </w:r>
          </w:p>
        </w:tc>
        <w:tc>
          <w:tcPr>
            <w:tcW w:w="575" w:type="dxa"/>
            <w:tcBorders>
              <w:top w:val="single" w:color="auto" w:sz="4" w:space="0"/>
              <w:left w:val="single" w:color="auto" w:sz="4" w:space="0"/>
              <w:bottom w:val="single" w:color="auto" w:sz="4" w:space="0"/>
              <w:right w:val="single" w:color="auto" w:sz="4" w:space="0"/>
            </w:tcBorders>
            <w:vAlign w:val="center"/>
          </w:tcPr>
          <w:p w14:paraId="402091C0">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r>
      <w:tr w14:paraId="0C9D2C96">
        <w:tblPrEx>
          <w:tblCellMar>
            <w:top w:w="0" w:type="dxa"/>
            <w:left w:w="0" w:type="dxa"/>
            <w:bottom w:w="0" w:type="dxa"/>
            <w:right w:w="0" w:type="dxa"/>
          </w:tblCellMar>
        </w:tblPrEx>
        <w:trPr>
          <w:trHeight w:val="306" w:hRule="exact"/>
        </w:trPr>
        <w:tc>
          <w:tcPr>
            <w:tcW w:w="1400" w:type="dxa"/>
            <w:tcBorders>
              <w:top w:val="single" w:color="auto" w:sz="4" w:space="0"/>
              <w:left w:val="single" w:color="auto" w:sz="4" w:space="0"/>
              <w:bottom w:val="single" w:color="auto" w:sz="4" w:space="0"/>
              <w:right w:val="single" w:color="auto" w:sz="4" w:space="0"/>
            </w:tcBorders>
            <w:vAlign w:val="center"/>
          </w:tcPr>
          <w:p w14:paraId="1846A9CD">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危险区⑧</w:t>
            </w:r>
          </w:p>
        </w:tc>
        <w:tc>
          <w:tcPr>
            <w:tcW w:w="741" w:type="dxa"/>
            <w:tcBorders>
              <w:top w:val="single" w:color="auto" w:sz="4" w:space="0"/>
              <w:left w:val="single" w:color="auto" w:sz="4" w:space="0"/>
              <w:bottom w:val="single" w:color="auto" w:sz="4" w:space="0"/>
              <w:right w:val="single" w:color="auto" w:sz="4" w:space="0"/>
            </w:tcBorders>
            <w:vAlign w:val="center"/>
          </w:tcPr>
          <w:p w14:paraId="7D8A487B">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A—60</w:t>
            </w:r>
          </w:p>
        </w:tc>
        <w:tc>
          <w:tcPr>
            <w:tcW w:w="817" w:type="dxa"/>
            <w:tcBorders>
              <w:top w:val="single" w:color="auto" w:sz="4" w:space="0"/>
              <w:left w:val="single" w:color="auto" w:sz="4" w:space="0"/>
              <w:bottom w:val="single" w:color="auto" w:sz="4" w:space="0"/>
              <w:right w:val="single" w:color="auto" w:sz="4" w:space="0"/>
            </w:tcBorders>
            <w:vAlign w:val="center"/>
          </w:tcPr>
          <w:p w14:paraId="6D735D7A">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4D0D82F9">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48" w:type="dxa"/>
            <w:tcBorders>
              <w:top w:val="single" w:color="auto" w:sz="4" w:space="0"/>
              <w:left w:val="single" w:color="auto" w:sz="4" w:space="0"/>
              <w:bottom w:val="single" w:color="auto" w:sz="4" w:space="0"/>
              <w:right w:val="single" w:color="auto" w:sz="4" w:space="0"/>
            </w:tcBorders>
            <w:vAlign w:val="center"/>
          </w:tcPr>
          <w:p w14:paraId="261F7ACB">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4972834F">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46" w:type="dxa"/>
            <w:tcBorders>
              <w:top w:val="single" w:color="auto" w:sz="4" w:space="0"/>
              <w:left w:val="single" w:color="auto" w:sz="4" w:space="0"/>
              <w:bottom w:val="single" w:color="auto" w:sz="4" w:space="0"/>
              <w:right w:val="single" w:color="auto" w:sz="4" w:space="0"/>
            </w:tcBorders>
            <w:vAlign w:val="center"/>
          </w:tcPr>
          <w:p w14:paraId="68694958">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A—60</w:t>
            </w:r>
          </w:p>
        </w:tc>
        <w:tc>
          <w:tcPr>
            <w:tcW w:w="844" w:type="dxa"/>
            <w:tcBorders>
              <w:top w:val="single" w:color="auto" w:sz="4" w:space="0"/>
              <w:left w:val="single" w:color="auto" w:sz="4" w:space="0"/>
              <w:bottom w:val="single" w:color="auto" w:sz="4" w:space="0"/>
              <w:right w:val="single" w:color="auto" w:sz="4" w:space="0"/>
            </w:tcBorders>
            <w:vAlign w:val="center"/>
          </w:tcPr>
          <w:p w14:paraId="45C2C42A">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7C6DAC16">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w:t>
            </w:r>
          </w:p>
        </w:tc>
        <w:tc>
          <w:tcPr>
            <w:tcW w:w="848" w:type="dxa"/>
            <w:tcBorders>
              <w:top w:val="single" w:color="auto" w:sz="4" w:space="0"/>
              <w:left w:val="single" w:color="auto" w:sz="4" w:space="0"/>
              <w:bottom w:val="single" w:color="auto" w:sz="4" w:space="0"/>
              <w:right w:val="single" w:color="auto" w:sz="4" w:space="0"/>
            </w:tcBorders>
            <w:vAlign w:val="center"/>
          </w:tcPr>
          <w:p w14:paraId="4546927C">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450" w:type="dxa"/>
            <w:tcBorders>
              <w:top w:val="single" w:color="auto" w:sz="4" w:space="0"/>
              <w:left w:val="single" w:color="auto" w:sz="4" w:space="0"/>
              <w:bottom w:val="single" w:color="auto" w:sz="4" w:space="0"/>
              <w:right w:val="single" w:color="auto" w:sz="4" w:space="0"/>
            </w:tcBorders>
            <w:vAlign w:val="center"/>
          </w:tcPr>
          <w:p w14:paraId="1A3EC3D6">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w:t>
            </w:r>
          </w:p>
        </w:tc>
        <w:tc>
          <w:tcPr>
            <w:tcW w:w="575" w:type="dxa"/>
            <w:tcBorders>
              <w:top w:val="single" w:color="auto" w:sz="4" w:space="0"/>
              <w:left w:val="single" w:color="auto" w:sz="4" w:space="0"/>
              <w:bottom w:val="single" w:color="auto" w:sz="4" w:space="0"/>
              <w:right w:val="single" w:color="auto" w:sz="4" w:space="0"/>
            </w:tcBorders>
            <w:vAlign w:val="center"/>
          </w:tcPr>
          <w:p w14:paraId="20BD2B09">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r>
      <w:tr w14:paraId="77757A2D">
        <w:tblPrEx>
          <w:tblCellMar>
            <w:top w:w="0" w:type="dxa"/>
            <w:left w:w="0" w:type="dxa"/>
            <w:bottom w:w="0" w:type="dxa"/>
            <w:right w:w="0" w:type="dxa"/>
          </w:tblCellMar>
        </w:tblPrEx>
        <w:trPr>
          <w:trHeight w:val="737" w:hRule="exact"/>
        </w:trPr>
        <w:tc>
          <w:tcPr>
            <w:tcW w:w="1400" w:type="dxa"/>
            <w:tcBorders>
              <w:top w:val="single" w:color="auto" w:sz="4" w:space="0"/>
              <w:left w:val="single" w:color="auto" w:sz="4" w:space="0"/>
              <w:bottom w:val="single" w:color="auto" w:sz="4" w:space="0"/>
              <w:right w:val="single" w:color="auto" w:sz="4" w:space="0"/>
            </w:tcBorders>
            <w:vAlign w:val="center"/>
          </w:tcPr>
          <w:p w14:paraId="4FD0F7F2">
            <w:pPr>
              <w:autoSpaceDE w:val="0"/>
              <w:autoSpaceDN w:val="0"/>
              <w:adjustRightInd w:val="0"/>
              <w:spacing w:before="29"/>
              <w:jc w:val="center"/>
              <w:rPr>
                <w:rFonts w:hint="eastAsia" w:ascii="宋体" w:hAnsi="宋体" w:cs="宋体"/>
                <w:kern w:val="0"/>
                <w:sz w:val="13"/>
                <w:szCs w:val="13"/>
              </w:rPr>
            </w:pPr>
            <w:r>
              <w:rPr>
                <w:rFonts w:ascii="宋体" w:hAnsi="宋体" w:cs="宋体"/>
                <w:kern w:val="0"/>
                <w:sz w:val="13"/>
                <w:szCs w:val="13"/>
              </w:rPr>
              <w:t>失火危险较大的服务处所⑨</w:t>
            </w:r>
          </w:p>
        </w:tc>
        <w:tc>
          <w:tcPr>
            <w:tcW w:w="741" w:type="dxa"/>
            <w:tcBorders>
              <w:top w:val="single" w:color="auto" w:sz="4" w:space="0"/>
              <w:left w:val="single" w:color="auto" w:sz="4" w:space="0"/>
              <w:bottom w:val="single" w:color="auto" w:sz="4" w:space="0"/>
              <w:right w:val="single" w:color="auto" w:sz="4" w:space="0"/>
            </w:tcBorders>
            <w:vAlign w:val="center"/>
          </w:tcPr>
          <w:p w14:paraId="5D369922">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A—60</w:t>
            </w:r>
          </w:p>
        </w:tc>
        <w:tc>
          <w:tcPr>
            <w:tcW w:w="817" w:type="dxa"/>
            <w:tcBorders>
              <w:top w:val="single" w:color="auto" w:sz="4" w:space="0"/>
              <w:left w:val="single" w:color="auto" w:sz="4" w:space="0"/>
              <w:bottom w:val="single" w:color="auto" w:sz="4" w:space="0"/>
              <w:right w:val="single" w:color="auto" w:sz="4" w:space="0"/>
            </w:tcBorders>
            <w:vAlign w:val="center"/>
          </w:tcPr>
          <w:p w14:paraId="45EC7A2B">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427BC7E6">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48" w:type="dxa"/>
            <w:tcBorders>
              <w:top w:val="single" w:color="auto" w:sz="4" w:space="0"/>
              <w:left w:val="single" w:color="auto" w:sz="4" w:space="0"/>
              <w:bottom w:val="single" w:color="auto" w:sz="4" w:space="0"/>
              <w:right w:val="single" w:color="auto" w:sz="4" w:space="0"/>
            </w:tcBorders>
            <w:vAlign w:val="center"/>
          </w:tcPr>
          <w:p w14:paraId="119B9333">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0CD32418">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46" w:type="dxa"/>
            <w:tcBorders>
              <w:top w:val="single" w:color="auto" w:sz="4" w:space="0"/>
              <w:left w:val="single" w:color="auto" w:sz="4" w:space="0"/>
              <w:bottom w:val="single" w:color="auto" w:sz="4" w:space="0"/>
              <w:right w:val="single" w:color="auto" w:sz="4" w:space="0"/>
            </w:tcBorders>
            <w:vAlign w:val="center"/>
          </w:tcPr>
          <w:p w14:paraId="16F0C410">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44" w:type="dxa"/>
            <w:tcBorders>
              <w:top w:val="single" w:color="auto" w:sz="4" w:space="0"/>
              <w:left w:val="single" w:color="auto" w:sz="4" w:space="0"/>
              <w:bottom w:val="single" w:color="auto" w:sz="4" w:space="0"/>
              <w:right w:val="single" w:color="auto" w:sz="4" w:space="0"/>
            </w:tcBorders>
            <w:vAlign w:val="center"/>
          </w:tcPr>
          <w:p w14:paraId="0311FE2B">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5D3D81E0">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c>
          <w:tcPr>
            <w:tcW w:w="848" w:type="dxa"/>
            <w:tcBorders>
              <w:top w:val="single" w:color="auto" w:sz="4" w:space="0"/>
              <w:left w:val="single" w:color="auto" w:sz="4" w:space="0"/>
              <w:bottom w:val="single" w:color="auto" w:sz="4" w:space="0"/>
              <w:right w:val="single" w:color="auto" w:sz="4" w:space="0"/>
            </w:tcBorders>
            <w:vAlign w:val="center"/>
          </w:tcPr>
          <w:p w14:paraId="56A1B2D5">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p w14:paraId="384D7335">
            <w:pPr>
              <w:autoSpaceDE w:val="0"/>
              <w:autoSpaceDN w:val="0"/>
              <w:adjustRightInd w:val="0"/>
              <w:jc w:val="center"/>
              <w:rPr>
                <w:rFonts w:hint="eastAsia" w:ascii="宋体" w:hAnsi="宋体" w:cs="宋体"/>
                <w:kern w:val="0"/>
                <w:sz w:val="13"/>
                <w:szCs w:val="13"/>
              </w:rPr>
            </w:pPr>
            <w:r>
              <w:rPr>
                <w:rFonts w:hint="eastAsia" w:ascii="宋体" w:hAnsi="宋体" w:cs="宋体"/>
                <w:kern w:val="0"/>
                <w:sz w:val="13"/>
                <w:szCs w:val="13"/>
              </w:rPr>
              <w:t>〔3〕</w:t>
            </w:r>
          </w:p>
        </w:tc>
        <w:tc>
          <w:tcPr>
            <w:tcW w:w="450" w:type="dxa"/>
            <w:tcBorders>
              <w:top w:val="single" w:color="auto" w:sz="4" w:space="0"/>
              <w:left w:val="single" w:color="auto" w:sz="4" w:space="0"/>
              <w:bottom w:val="single" w:color="auto" w:sz="4" w:space="0"/>
              <w:right w:val="single" w:color="auto" w:sz="4" w:space="0"/>
            </w:tcBorders>
            <w:vAlign w:val="center"/>
          </w:tcPr>
          <w:p w14:paraId="143C69FA">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w:t>
            </w:r>
          </w:p>
        </w:tc>
        <w:tc>
          <w:tcPr>
            <w:tcW w:w="575" w:type="dxa"/>
            <w:tcBorders>
              <w:top w:val="single" w:color="auto" w:sz="4" w:space="0"/>
              <w:left w:val="single" w:color="auto" w:sz="4" w:space="0"/>
              <w:bottom w:val="single" w:color="auto" w:sz="4" w:space="0"/>
              <w:right w:val="single" w:color="auto" w:sz="4" w:space="0"/>
            </w:tcBorders>
            <w:vAlign w:val="center"/>
          </w:tcPr>
          <w:p w14:paraId="15DC64B0">
            <w:pPr>
              <w:autoSpaceDE w:val="0"/>
              <w:autoSpaceDN w:val="0"/>
              <w:adjustRightInd w:val="0"/>
              <w:spacing w:before="54"/>
              <w:jc w:val="center"/>
              <w:rPr>
                <w:rFonts w:hint="eastAsia" w:ascii="宋体" w:hAnsi="宋体" w:cs="宋体"/>
                <w:kern w:val="0"/>
                <w:sz w:val="13"/>
                <w:szCs w:val="13"/>
              </w:rPr>
            </w:pPr>
            <w:r>
              <w:rPr>
                <w:rFonts w:hint="eastAsia" w:ascii="宋体" w:hAnsi="宋体" w:cs="宋体"/>
                <w:kern w:val="0"/>
                <w:sz w:val="13"/>
                <w:szCs w:val="13"/>
              </w:rPr>
              <w:t>A—0</w:t>
            </w:r>
          </w:p>
        </w:tc>
      </w:tr>
      <w:tr w14:paraId="3B8BC772">
        <w:tblPrEx>
          <w:tblCellMar>
            <w:top w:w="0" w:type="dxa"/>
            <w:left w:w="0" w:type="dxa"/>
            <w:bottom w:w="0" w:type="dxa"/>
            <w:right w:w="0" w:type="dxa"/>
          </w:tblCellMar>
        </w:tblPrEx>
        <w:trPr>
          <w:trHeight w:val="269" w:hRule="exact"/>
        </w:trPr>
        <w:tc>
          <w:tcPr>
            <w:tcW w:w="1400" w:type="dxa"/>
            <w:tcBorders>
              <w:top w:val="single" w:color="auto" w:sz="4" w:space="0"/>
              <w:left w:val="single" w:color="auto" w:sz="4" w:space="0"/>
              <w:bottom w:val="single" w:color="auto" w:sz="4" w:space="0"/>
              <w:right w:val="single" w:color="auto" w:sz="4" w:space="0"/>
            </w:tcBorders>
            <w:vAlign w:val="center"/>
          </w:tcPr>
          <w:p w14:paraId="1DA1B5C5">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开敞甲板处所⑩</w:t>
            </w:r>
          </w:p>
        </w:tc>
        <w:tc>
          <w:tcPr>
            <w:tcW w:w="741" w:type="dxa"/>
            <w:tcBorders>
              <w:top w:val="single" w:color="auto" w:sz="4" w:space="0"/>
              <w:left w:val="single" w:color="auto" w:sz="4" w:space="0"/>
              <w:bottom w:val="single" w:color="auto" w:sz="4" w:space="0"/>
              <w:right w:val="single" w:color="auto" w:sz="4" w:space="0"/>
            </w:tcBorders>
            <w:vAlign w:val="center"/>
          </w:tcPr>
          <w:p w14:paraId="0BE10E9A">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w:t>
            </w:r>
          </w:p>
        </w:tc>
        <w:tc>
          <w:tcPr>
            <w:tcW w:w="817" w:type="dxa"/>
            <w:tcBorders>
              <w:top w:val="single" w:color="auto" w:sz="4" w:space="0"/>
              <w:left w:val="single" w:color="auto" w:sz="4" w:space="0"/>
              <w:bottom w:val="single" w:color="auto" w:sz="4" w:space="0"/>
              <w:right w:val="single" w:color="auto" w:sz="4" w:space="0"/>
            </w:tcBorders>
            <w:vAlign w:val="center"/>
          </w:tcPr>
          <w:p w14:paraId="069F4046">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w:t>
            </w:r>
          </w:p>
        </w:tc>
        <w:tc>
          <w:tcPr>
            <w:tcW w:w="817" w:type="dxa"/>
            <w:tcBorders>
              <w:top w:val="single" w:color="auto" w:sz="4" w:space="0"/>
              <w:left w:val="single" w:color="auto" w:sz="4" w:space="0"/>
              <w:bottom w:val="single" w:color="auto" w:sz="4" w:space="0"/>
              <w:right w:val="single" w:color="auto" w:sz="4" w:space="0"/>
            </w:tcBorders>
            <w:vAlign w:val="center"/>
          </w:tcPr>
          <w:p w14:paraId="444C4F70">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w:t>
            </w:r>
          </w:p>
        </w:tc>
        <w:tc>
          <w:tcPr>
            <w:tcW w:w="848" w:type="dxa"/>
            <w:tcBorders>
              <w:top w:val="single" w:color="auto" w:sz="4" w:space="0"/>
              <w:left w:val="single" w:color="auto" w:sz="4" w:space="0"/>
              <w:bottom w:val="single" w:color="auto" w:sz="4" w:space="0"/>
              <w:right w:val="single" w:color="auto" w:sz="4" w:space="0"/>
            </w:tcBorders>
            <w:vAlign w:val="center"/>
          </w:tcPr>
          <w:p w14:paraId="33268CB7">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w:t>
            </w:r>
          </w:p>
        </w:tc>
        <w:tc>
          <w:tcPr>
            <w:tcW w:w="817" w:type="dxa"/>
            <w:tcBorders>
              <w:top w:val="single" w:color="auto" w:sz="4" w:space="0"/>
              <w:left w:val="single" w:color="auto" w:sz="4" w:space="0"/>
              <w:bottom w:val="single" w:color="auto" w:sz="4" w:space="0"/>
              <w:right w:val="single" w:color="auto" w:sz="4" w:space="0"/>
            </w:tcBorders>
            <w:vAlign w:val="center"/>
          </w:tcPr>
          <w:p w14:paraId="1CAD875E">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w:t>
            </w:r>
          </w:p>
        </w:tc>
        <w:tc>
          <w:tcPr>
            <w:tcW w:w="846" w:type="dxa"/>
            <w:tcBorders>
              <w:top w:val="single" w:color="auto" w:sz="4" w:space="0"/>
              <w:left w:val="single" w:color="auto" w:sz="4" w:space="0"/>
              <w:bottom w:val="single" w:color="auto" w:sz="4" w:space="0"/>
              <w:right w:val="single" w:color="auto" w:sz="4" w:space="0"/>
            </w:tcBorders>
            <w:vAlign w:val="center"/>
          </w:tcPr>
          <w:p w14:paraId="43DFE59B">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w:t>
            </w:r>
          </w:p>
        </w:tc>
        <w:tc>
          <w:tcPr>
            <w:tcW w:w="844" w:type="dxa"/>
            <w:tcBorders>
              <w:top w:val="single" w:color="auto" w:sz="4" w:space="0"/>
              <w:left w:val="single" w:color="auto" w:sz="4" w:space="0"/>
              <w:bottom w:val="single" w:color="auto" w:sz="4" w:space="0"/>
              <w:right w:val="single" w:color="auto" w:sz="4" w:space="0"/>
            </w:tcBorders>
            <w:vAlign w:val="center"/>
          </w:tcPr>
          <w:p w14:paraId="46AD3920">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w:t>
            </w:r>
          </w:p>
        </w:tc>
        <w:tc>
          <w:tcPr>
            <w:tcW w:w="817" w:type="dxa"/>
            <w:tcBorders>
              <w:top w:val="single" w:color="auto" w:sz="4" w:space="0"/>
              <w:left w:val="single" w:color="auto" w:sz="4" w:space="0"/>
              <w:bottom w:val="single" w:color="auto" w:sz="4" w:space="0"/>
              <w:right w:val="single" w:color="auto" w:sz="4" w:space="0"/>
            </w:tcBorders>
            <w:vAlign w:val="center"/>
          </w:tcPr>
          <w:p w14:paraId="39367DFF">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w:t>
            </w:r>
          </w:p>
        </w:tc>
        <w:tc>
          <w:tcPr>
            <w:tcW w:w="848" w:type="dxa"/>
            <w:tcBorders>
              <w:top w:val="single" w:color="auto" w:sz="4" w:space="0"/>
              <w:left w:val="single" w:color="auto" w:sz="4" w:space="0"/>
              <w:bottom w:val="single" w:color="auto" w:sz="4" w:space="0"/>
              <w:right w:val="single" w:color="auto" w:sz="4" w:space="0"/>
            </w:tcBorders>
            <w:vAlign w:val="center"/>
          </w:tcPr>
          <w:p w14:paraId="57D7CCE5">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w:t>
            </w:r>
          </w:p>
        </w:tc>
        <w:tc>
          <w:tcPr>
            <w:tcW w:w="450" w:type="dxa"/>
            <w:tcBorders>
              <w:top w:val="single" w:color="auto" w:sz="4" w:space="0"/>
              <w:left w:val="single" w:color="auto" w:sz="4" w:space="0"/>
              <w:bottom w:val="single" w:color="auto" w:sz="4" w:space="0"/>
              <w:right w:val="single" w:color="auto" w:sz="4" w:space="0"/>
            </w:tcBorders>
            <w:vAlign w:val="center"/>
          </w:tcPr>
          <w:p w14:paraId="2616B803">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w:t>
            </w:r>
          </w:p>
        </w:tc>
        <w:tc>
          <w:tcPr>
            <w:tcW w:w="575" w:type="dxa"/>
            <w:tcBorders>
              <w:top w:val="single" w:color="auto" w:sz="4" w:space="0"/>
              <w:left w:val="single" w:color="auto" w:sz="4" w:space="0"/>
              <w:bottom w:val="single" w:color="auto" w:sz="4" w:space="0"/>
              <w:right w:val="single" w:color="auto" w:sz="4" w:space="0"/>
            </w:tcBorders>
            <w:vAlign w:val="center"/>
          </w:tcPr>
          <w:p w14:paraId="775F7FB0">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w:t>
            </w:r>
          </w:p>
        </w:tc>
      </w:tr>
      <w:tr w14:paraId="33F816DE">
        <w:tblPrEx>
          <w:tblCellMar>
            <w:top w:w="0" w:type="dxa"/>
            <w:left w:w="0" w:type="dxa"/>
            <w:bottom w:w="0" w:type="dxa"/>
            <w:right w:w="0" w:type="dxa"/>
          </w:tblCellMar>
        </w:tblPrEx>
        <w:trPr>
          <w:trHeight w:val="481" w:hRule="exact"/>
        </w:trPr>
        <w:tc>
          <w:tcPr>
            <w:tcW w:w="1400" w:type="dxa"/>
            <w:tcBorders>
              <w:top w:val="single" w:color="auto" w:sz="4" w:space="0"/>
              <w:left w:val="single" w:color="auto" w:sz="4" w:space="0"/>
              <w:bottom w:val="single" w:color="auto" w:sz="4" w:space="0"/>
              <w:right w:val="single" w:color="auto" w:sz="4" w:space="0"/>
            </w:tcBorders>
            <w:vAlign w:val="center"/>
          </w:tcPr>
          <w:p w14:paraId="462DAB95">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盥洗处所和类似处所11</w:t>
            </w:r>
          </w:p>
        </w:tc>
        <w:tc>
          <w:tcPr>
            <w:tcW w:w="741" w:type="dxa"/>
            <w:tcBorders>
              <w:top w:val="single" w:color="auto" w:sz="4" w:space="0"/>
              <w:left w:val="single" w:color="auto" w:sz="4" w:space="0"/>
              <w:bottom w:val="single" w:color="auto" w:sz="4" w:space="0"/>
              <w:right w:val="single" w:color="auto" w:sz="4" w:space="0"/>
            </w:tcBorders>
            <w:vAlign w:val="center"/>
          </w:tcPr>
          <w:p w14:paraId="5B52CEBF">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11798DDE">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337559BF">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w:t>
            </w:r>
          </w:p>
        </w:tc>
        <w:tc>
          <w:tcPr>
            <w:tcW w:w="848" w:type="dxa"/>
            <w:tcBorders>
              <w:top w:val="single" w:color="auto" w:sz="4" w:space="0"/>
              <w:left w:val="single" w:color="auto" w:sz="4" w:space="0"/>
              <w:bottom w:val="single" w:color="auto" w:sz="4" w:space="0"/>
              <w:right w:val="single" w:color="auto" w:sz="4" w:space="0"/>
            </w:tcBorders>
            <w:vAlign w:val="center"/>
          </w:tcPr>
          <w:p w14:paraId="3689A9E8">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2B507D48">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w:t>
            </w:r>
          </w:p>
        </w:tc>
        <w:tc>
          <w:tcPr>
            <w:tcW w:w="846" w:type="dxa"/>
            <w:tcBorders>
              <w:top w:val="single" w:color="auto" w:sz="4" w:space="0"/>
              <w:left w:val="single" w:color="auto" w:sz="4" w:space="0"/>
              <w:bottom w:val="single" w:color="auto" w:sz="4" w:space="0"/>
              <w:right w:val="single" w:color="auto" w:sz="4" w:space="0"/>
            </w:tcBorders>
            <w:vAlign w:val="center"/>
          </w:tcPr>
          <w:p w14:paraId="095C0734">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A—0</w:t>
            </w:r>
          </w:p>
        </w:tc>
        <w:tc>
          <w:tcPr>
            <w:tcW w:w="844" w:type="dxa"/>
            <w:tcBorders>
              <w:top w:val="single" w:color="auto" w:sz="4" w:space="0"/>
              <w:left w:val="single" w:color="auto" w:sz="4" w:space="0"/>
              <w:bottom w:val="single" w:color="auto" w:sz="4" w:space="0"/>
              <w:right w:val="single" w:color="auto" w:sz="4" w:space="0"/>
            </w:tcBorders>
            <w:vAlign w:val="center"/>
          </w:tcPr>
          <w:p w14:paraId="76F0FDBE">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A—0</w:t>
            </w:r>
          </w:p>
        </w:tc>
        <w:tc>
          <w:tcPr>
            <w:tcW w:w="817" w:type="dxa"/>
            <w:tcBorders>
              <w:top w:val="single" w:color="auto" w:sz="4" w:space="0"/>
              <w:left w:val="single" w:color="auto" w:sz="4" w:space="0"/>
              <w:bottom w:val="single" w:color="auto" w:sz="4" w:space="0"/>
              <w:right w:val="single" w:color="auto" w:sz="4" w:space="0"/>
            </w:tcBorders>
            <w:vAlign w:val="center"/>
          </w:tcPr>
          <w:p w14:paraId="28D339B3">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A—0</w:t>
            </w:r>
          </w:p>
        </w:tc>
        <w:tc>
          <w:tcPr>
            <w:tcW w:w="848" w:type="dxa"/>
            <w:tcBorders>
              <w:top w:val="single" w:color="auto" w:sz="4" w:space="0"/>
              <w:left w:val="single" w:color="auto" w:sz="4" w:space="0"/>
              <w:bottom w:val="single" w:color="auto" w:sz="4" w:space="0"/>
              <w:right w:val="single" w:color="auto" w:sz="4" w:space="0"/>
            </w:tcBorders>
            <w:vAlign w:val="center"/>
          </w:tcPr>
          <w:p w14:paraId="4F498C20">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A—0</w:t>
            </w:r>
          </w:p>
        </w:tc>
        <w:tc>
          <w:tcPr>
            <w:tcW w:w="450" w:type="dxa"/>
            <w:tcBorders>
              <w:top w:val="single" w:color="auto" w:sz="4" w:space="0"/>
              <w:left w:val="single" w:color="auto" w:sz="4" w:space="0"/>
              <w:bottom w:val="single" w:color="auto" w:sz="4" w:space="0"/>
              <w:right w:val="single" w:color="auto" w:sz="4" w:space="0"/>
            </w:tcBorders>
            <w:vAlign w:val="center"/>
          </w:tcPr>
          <w:p w14:paraId="2E523B6E">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w:t>
            </w:r>
          </w:p>
        </w:tc>
        <w:tc>
          <w:tcPr>
            <w:tcW w:w="575" w:type="dxa"/>
            <w:tcBorders>
              <w:top w:val="single" w:color="auto" w:sz="4" w:space="0"/>
              <w:left w:val="single" w:color="auto" w:sz="4" w:space="0"/>
              <w:bottom w:val="single" w:color="auto" w:sz="4" w:space="0"/>
              <w:right w:val="single" w:color="auto" w:sz="4" w:space="0"/>
            </w:tcBorders>
            <w:vAlign w:val="center"/>
          </w:tcPr>
          <w:p w14:paraId="685770B1">
            <w:pPr>
              <w:autoSpaceDE w:val="0"/>
              <w:autoSpaceDN w:val="0"/>
              <w:adjustRightInd w:val="0"/>
              <w:spacing w:before="29"/>
              <w:jc w:val="center"/>
              <w:rPr>
                <w:rFonts w:hint="eastAsia" w:ascii="宋体" w:hAnsi="宋体" w:cs="宋体"/>
                <w:kern w:val="0"/>
                <w:sz w:val="13"/>
                <w:szCs w:val="13"/>
              </w:rPr>
            </w:pPr>
            <w:r>
              <w:rPr>
                <w:rFonts w:hint="eastAsia" w:ascii="宋体" w:hAnsi="宋体" w:cs="宋体"/>
                <w:kern w:val="0"/>
                <w:sz w:val="13"/>
                <w:szCs w:val="13"/>
              </w:rPr>
              <w:t>*</w:t>
            </w:r>
          </w:p>
        </w:tc>
      </w:tr>
      <w:tr w14:paraId="231320C7">
        <w:tblPrEx>
          <w:tblCellMar>
            <w:top w:w="0" w:type="dxa"/>
            <w:left w:w="0" w:type="dxa"/>
            <w:bottom w:w="0" w:type="dxa"/>
            <w:right w:w="0" w:type="dxa"/>
          </w:tblCellMar>
        </w:tblPrEx>
        <w:trPr>
          <w:trHeight w:val="1571" w:hRule="exact"/>
        </w:trPr>
        <w:tc>
          <w:tcPr>
            <w:tcW w:w="9820" w:type="dxa"/>
            <w:gridSpan w:val="12"/>
            <w:tcBorders>
              <w:top w:val="single" w:color="auto" w:sz="4" w:space="0"/>
              <w:left w:val="single" w:color="auto" w:sz="4" w:space="0"/>
              <w:bottom w:val="single" w:color="auto" w:sz="4" w:space="0"/>
              <w:right w:val="single" w:color="auto" w:sz="4" w:space="0"/>
            </w:tcBorders>
            <w:vAlign w:val="center"/>
          </w:tcPr>
          <w:p w14:paraId="13985BE4">
            <w:pPr>
              <w:tabs>
                <w:tab w:val="right" w:leader="dot" w:pos="9354"/>
              </w:tabs>
              <w:adjustRightInd w:val="0"/>
              <w:snapToGrid w:val="0"/>
              <w:spacing w:line="240" w:lineRule="atLeast"/>
              <w:ind w:firstLine="130" w:firstLineChars="100"/>
              <w:jc w:val="left"/>
              <w:rPr>
                <w:rFonts w:hint="eastAsia" w:ascii="黑体" w:hAnsi="黑体" w:eastAsia="黑体" w:cs="宋体"/>
                <w:kern w:val="0"/>
                <w:sz w:val="13"/>
                <w:szCs w:val="13"/>
              </w:rPr>
            </w:pPr>
            <w:r>
              <w:rPr>
                <w:rFonts w:ascii="黑体" w:hAnsi="黑体" w:eastAsia="黑体" w:cs="宋体"/>
                <w:kern w:val="0"/>
                <w:sz w:val="13"/>
                <w:szCs w:val="13"/>
              </w:rPr>
              <w:t xml:space="preserve">注1：如果装设应急电源或应急电源部件的处所与装设主发电机或主发电机部件的处所相邻，则这两个处所之间的边界隔壁或甲板应为“A-60”级分隔。 </w:t>
            </w:r>
          </w:p>
          <w:p w14:paraId="449C4F78">
            <w:pPr>
              <w:tabs>
                <w:tab w:val="right" w:leader="dot" w:pos="9354"/>
              </w:tabs>
              <w:adjustRightInd w:val="0"/>
              <w:snapToGrid w:val="0"/>
              <w:spacing w:line="240" w:lineRule="atLeast"/>
              <w:ind w:firstLine="130" w:firstLineChars="100"/>
              <w:jc w:val="left"/>
              <w:rPr>
                <w:rFonts w:hint="eastAsia" w:ascii="黑体" w:hAnsi="黑体" w:eastAsia="黑体" w:cs="宋体"/>
                <w:kern w:val="0"/>
                <w:sz w:val="13"/>
                <w:szCs w:val="13"/>
              </w:rPr>
            </w:pPr>
            <w:r>
              <w:rPr>
                <w:rFonts w:ascii="黑体" w:hAnsi="黑体" w:eastAsia="黑体" w:cs="宋体"/>
                <w:kern w:val="0"/>
                <w:sz w:val="13"/>
                <w:szCs w:val="13"/>
              </w:rPr>
              <w:t>注2：防火分隔的类别见本章 17.2.1.1、17.2.1.3 和 17.2.1.4。</w:t>
            </w:r>
          </w:p>
          <w:p w14:paraId="46F18CF3">
            <w:pPr>
              <w:tabs>
                <w:tab w:val="right" w:leader="dot" w:pos="9354"/>
              </w:tabs>
              <w:adjustRightInd w:val="0"/>
              <w:snapToGrid w:val="0"/>
              <w:spacing w:line="240" w:lineRule="atLeast"/>
              <w:ind w:firstLine="130" w:firstLineChars="100"/>
              <w:jc w:val="left"/>
              <w:rPr>
                <w:rFonts w:hint="eastAsia" w:ascii="黑体" w:hAnsi="黑体" w:eastAsia="黑体" w:cs="宋体"/>
                <w:kern w:val="0"/>
                <w:sz w:val="13"/>
                <w:szCs w:val="13"/>
              </w:rPr>
            </w:pPr>
            <w:r>
              <w:rPr>
                <w:rFonts w:ascii="黑体" w:hAnsi="黑体" w:eastAsia="黑体" w:cs="宋体"/>
                <w:kern w:val="0"/>
                <w:sz w:val="13"/>
                <w:szCs w:val="13"/>
              </w:rPr>
              <w:t>注3：属于同一类别，且标有(3)的处所，只有当相邻处所作不同用途时才要求表中所示等级的隔壁或甲板。例如⑨类中厨房相邻可不要隔壁，但厨房与油漆间相邻则要求“A-0”级隔壁。</w:t>
            </w:r>
          </w:p>
          <w:p w14:paraId="07A44B60">
            <w:pPr>
              <w:tabs>
                <w:tab w:val="right" w:leader="dot" w:pos="9354"/>
              </w:tabs>
              <w:adjustRightInd w:val="0"/>
              <w:snapToGrid w:val="0"/>
              <w:spacing w:line="240" w:lineRule="atLeast"/>
              <w:ind w:firstLine="130" w:firstLineChars="100"/>
              <w:jc w:val="left"/>
              <w:rPr>
                <w:rFonts w:hint="eastAsia" w:ascii="黑体" w:hAnsi="黑体" w:eastAsia="黑体" w:cs="宋体"/>
                <w:kern w:val="0"/>
                <w:sz w:val="13"/>
                <w:szCs w:val="13"/>
              </w:rPr>
            </w:pPr>
            <w:r>
              <w:rPr>
                <w:rFonts w:ascii="黑体" w:hAnsi="黑体" w:eastAsia="黑体" w:cs="宋体"/>
                <w:kern w:val="0"/>
                <w:sz w:val="13"/>
                <w:szCs w:val="13"/>
              </w:rPr>
              <w:t>注4：将无线电室自身隔开的隔壁可以是“B-0”级分隔。</w:t>
            </w:r>
          </w:p>
          <w:p w14:paraId="2E9ADBB6">
            <w:pPr>
              <w:autoSpaceDE w:val="0"/>
              <w:autoSpaceDN w:val="0"/>
              <w:adjustRightInd w:val="0"/>
              <w:spacing w:before="29"/>
              <w:jc w:val="left"/>
              <w:rPr>
                <w:rFonts w:hint="eastAsia" w:ascii="宋体" w:hAnsi="宋体" w:cs="宋体"/>
                <w:kern w:val="0"/>
                <w:sz w:val="13"/>
                <w:szCs w:val="13"/>
              </w:rPr>
            </w:pPr>
            <w:r>
              <w:rPr>
                <w:rFonts w:ascii="黑体" w:hAnsi="黑体" w:eastAsia="黑体" w:cs="宋体"/>
                <w:kern w:val="0"/>
                <w:sz w:val="13"/>
                <w:szCs w:val="13"/>
              </w:rPr>
              <w:t>*表示要求钢质或其他等效材料的分隔，但不要求A级标准，上表中每类圈号内的数字是指表内相应的“列”和“行”。</w:t>
            </w:r>
          </w:p>
        </w:tc>
      </w:tr>
    </w:tbl>
    <w:p w14:paraId="1DB90946">
      <w:pPr>
        <w:pStyle w:val="260"/>
        <w:outlineLvl w:val="1"/>
      </w:pPr>
      <w:bookmarkStart w:id="263" w:name="_Toc3672"/>
      <w:r>
        <w:rPr>
          <w:rFonts w:hint="eastAsia"/>
        </w:rPr>
        <w:t>防火消防布置图和防火须知</w:t>
      </w:r>
      <w:bookmarkEnd w:id="263"/>
    </w:p>
    <w:p w14:paraId="4303B1DD">
      <w:pPr>
        <w:pStyle w:val="326"/>
        <w:rPr>
          <w:rFonts w:hint="eastAsia" w:ascii="宋体" w:hAnsi="宋体" w:eastAsia="宋体" w:cs="宋体"/>
        </w:rPr>
      </w:pPr>
      <w:r>
        <w:rPr>
          <w:rFonts w:hint="eastAsia" w:ascii="宋体" w:hAnsi="宋体" w:eastAsia="宋体" w:cs="宋体"/>
        </w:rPr>
        <w:t>应在平台上的指定处所设置张贴防火与消防总布置图。</w:t>
      </w:r>
    </w:p>
    <w:p w14:paraId="672E8F06">
      <w:pPr>
        <w:pStyle w:val="326"/>
        <w:rPr>
          <w:rFonts w:hint="eastAsia" w:ascii="宋体" w:hAnsi="宋体" w:eastAsia="宋体" w:cs="宋体"/>
        </w:rPr>
      </w:pPr>
      <w:r>
        <w:rPr>
          <w:rFonts w:hint="eastAsia" w:ascii="宋体" w:hAnsi="宋体" w:eastAsia="宋体" w:cs="宋体"/>
        </w:rPr>
        <w:t>图上应清楚标明每层甲板的各控制站、“H”级、“A”级和“B”级分隔围蔽的各区域、各危险区、火灾与可燃气体探测系统、喷淋装置、消防设备、各房间和甲板出入通道的细目、通风系统（包括风机控制位置、防火阀位置及服务于每个区域通风机的识别号码细目）。</w:t>
      </w:r>
    </w:p>
    <w:p w14:paraId="0F4F1BAD">
      <w:pPr>
        <w:pStyle w:val="260"/>
        <w:outlineLvl w:val="1"/>
      </w:pPr>
      <w:bookmarkStart w:id="264" w:name="_Toc1872"/>
      <w:bookmarkStart w:id="265" w:name="_Toc861"/>
      <w:r>
        <w:rPr>
          <w:rFonts w:hint="eastAsia"/>
        </w:rPr>
        <w:t>危险区</w:t>
      </w:r>
      <w:bookmarkEnd w:id="264"/>
      <w:r>
        <w:rPr>
          <w:rFonts w:hint="eastAsia"/>
        </w:rPr>
        <w:t>划分</w:t>
      </w:r>
    </w:p>
    <w:p w14:paraId="4EA892A5">
      <w:pPr>
        <w:pStyle w:val="261"/>
        <w:autoSpaceDE w:val="0"/>
        <w:autoSpaceDN w:val="0"/>
        <w:spacing w:before="156" w:after="156"/>
        <w:jc w:val="both"/>
        <w:outlineLvl w:val="2"/>
      </w:pPr>
      <w:r>
        <w:rPr>
          <w:rFonts w:hint="eastAsia" w:ascii="宋体" w:hAnsi="宋体" w:eastAsia="宋体" w:cs="宋体"/>
        </w:rPr>
        <w:t>平台应根据设备是否含有碳氢化合物、硫化氢、氢气等易燃、可燃物质而划分为危险区域和非危险区域。</w:t>
      </w:r>
    </w:p>
    <w:p w14:paraId="7E2544AE">
      <w:pPr>
        <w:pStyle w:val="326"/>
        <w:autoSpaceDE w:val="0"/>
        <w:autoSpaceDN w:val="0"/>
        <w:jc w:val="both"/>
        <w:outlineLvl w:val="2"/>
        <w:rPr>
          <w:rFonts w:hint="eastAsia" w:ascii="宋体" w:hAnsi="宋体" w:eastAsia="宋体" w:cs="宋体"/>
        </w:rPr>
      </w:pPr>
      <w:r>
        <w:rPr>
          <w:rFonts w:hint="eastAsia" w:ascii="宋体" w:hAnsi="宋体" w:eastAsia="宋体" w:cs="宋体"/>
        </w:rPr>
        <w:t>危险区的划分应按易燃、可燃气体或蒸气的释放状态和通风条件划分为0区、1区、2区，当通风不良时，应提高危险区的等级。</w:t>
      </w:r>
    </w:p>
    <w:p w14:paraId="0224BCD3">
      <w:pPr>
        <w:pStyle w:val="326"/>
        <w:autoSpaceDE w:val="0"/>
        <w:autoSpaceDN w:val="0"/>
        <w:jc w:val="both"/>
        <w:outlineLvl w:val="2"/>
        <w:rPr>
          <w:rFonts w:hint="eastAsia" w:ascii="宋体" w:hAnsi="宋体" w:eastAsia="宋体" w:cs="宋体"/>
        </w:rPr>
      </w:pPr>
      <w:r>
        <w:rPr>
          <w:rFonts w:hint="eastAsia" w:ascii="宋体" w:hAnsi="宋体" w:eastAsia="宋体" w:cs="宋体"/>
        </w:rPr>
        <w:t>危险区范围的划分应按照所用的规范、标准的要求确定。</w:t>
      </w:r>
    </w:p>
    <w:p w14:paraId="0BC9A2EE">
      <w:pPr>
        <w:pStyle w:val="260"/>
        <w:outlineLvl w:val="1"/>
      </w:pPr>
      <w:r>
        <w:rPr>
          <w:rFonts w:hint="eastAsia"/>
        </w:rPr>
        <w:t>被动防火</w:t>
      </w:r>
      <w:bookmarkEnd w:id="265"/>
    </w:p>
    <w:p w14:paraId="22A51EB8">
      <w:pPr>
        <w:pStyle w:val="326"/>
      </w:pPr>
      <w:r>
        <w:t>定量的火灾爆炸分析结果应作为被动防火/防爆的范围和规格参数的依据。</w:t>
      </w:r>
    </w:p>
    <w:p w14:paraId="4F3C068A">
      <w:pPr>
        <w:pStyle w:val="326"/>
      </w:pPr>
      <w:r>
        <w:t>被动防火材料的选择应综合考虑火灾类型、海洋环境、腐蚀性能、设备操作维护需求、施工难易程度以及重量等因素。</w:t>
      </w:r>
    </w:p>
    <w:p w14:paraId="194CBA61">
      <w:pPr>
        <w:pStyle w:val="326"/>
      </w:pPr>
      <w:r>
        <w:t>可能遭受烃类物质火灾的防火墙应选用H级防火墙</w:t>
      </w:r>
      <w:r>
        <w:rPr>
          <w:rFonts w:hint="eastAsia"/>
        </w:rPr>
        <w:t>。</w:t>
      </w:r>
    </w:p>
    <w:p w14:paraId="436C6CCE">
      <w:pPr>
        <w:pStyle w:val="259"/>
        <w:outlineLvl w:val="0"/>
      </w:pPr>
      <w:bookmarkStart w:id="266" w:name="_Toc16201"/>
      <w:r>
        <w:rPr>
          <w:rFonts w:hint="eastAsia"/>
        </w:rPr>
        <w:t>消防系统</w:t>
      </w:r>
      <w:bookmarkEnd w:id="266"/>
    </w:p>
    <w:p w14:paraId="33A26DE0">
      <w:pPr>
        <w:pStyle w:val="260"/>
        <w:outlineLvl w:val="1"/>
      </w:pPr>
      <w:bookmarkStart w:id="267" w:name="_Toc3198"/>
      <w:bookmarkStart w:id="268" w:name="_Toc18121"/>
      <w:r>
        <w:rPr>
          <w:rFonts w:hint="eastAsia"/>
        </w:rPr>
        <w:t>一般规定</w:t>
      </w:r>
      <w:bookmarkEnd w:id="267"/>
    </w:p>
    <w:p w14:paraId="41A5F575">
      <w:pPr>
        <w:pStyle w:val="260"/>
      </w:pPr>
      <w:r>
        <w:rPr>
          <w:rFonts w:asciiTheme="majorEastAsia" w:eastAsiaTheme="majorEastAsia"/>
        </w:rPr>
        <w:t>平台上应根据消防防护处所的火灾类型和危险程度，设置水消防系统、泡沫灭火系统、气体灭火系统等固定式</w:t>
      </w:r>
      <w:r>
        <w:rPr>
          <w:rFonts w:hint="eastAsia"/>
        </w:rPr>
        <w:t>灭火</w:t>
      </w:r>
      <w:r>
        <w:rPr>
          <w:rFonts w:asciiTheme="majorEastAsia" w:eastAsiaTheme="majorEastAsia"/>
        </w:rPr>
        <w:t>系统，</w:t>
      </w:r>
      <w:r>
        <w:rPr>
          <w:rFonts w:hint="eastAsia" w:asciiTheme="majorEastAsia" w:eastAsiaTheme="majorEastAsia"/>
        </w:rPr>
        <w:t>并配置</w:t>
      </w:r>
      <w:r>
        <w:rPr>
          <w:rFonts w:asciiTheme="majorEastAsia" w:eastAsiaTheme="majorEastAsia"/>
        </w:rPr>
        <w:t>移动式和便携式灭火设备</w:t>
      </w:r>
      <w:r>
        <w:rPr>
          <w:rFonts w:hint="eastAsia" w:asciiTheme="majorEastAsia" w:eastAsiaTheme="majorEastAsia"/>
        </w:rPr>
        <w:t>及</w:t>
      </w:r>
      <w:r>
        <w:rPr>
          <w:rFonts w:asciiTheme="majorEastAsia" w:eastAsiaTheme="majorEastAsia"/>
        </w:rPr>
        <w:t>消防员装备。</w:t>
      </w:r>
    </w:p>
    <w:p w14:paraId="2160E22F">
      <w:pPr>
        <w:pStyle w:val="326"/>
      </w:pPr>
      <w:r>
        <w:rPr>
          <w:rFonts w:hint="eastAsia"/>
        </w:rPr>
        <w:t>消防泵的布置应满足本规范6.4.3、6.4.4、6.4.5的相关要求。</w:t>
      </w:r>
    </w:p>
    <w:p w14:paraId="3025FE3E">
      <w:pPr>
        <w:pStyle w:val="326"/>
      </w:pPr>
      <w:r>
        <w:rPr>
          <w:rFonts w:hint="eastAsia"/>
        </w:rPr>
        <w:t>消防应急电源配置应满足本规范14.3的相关要求。</w:t>
      </w:r>
    </w:p>
    <w:p w14:paraId="16329DE0">
      <w:pPr>
        <w:pStyle w:val="326"/>
      </w:pPr>
      <w:r>
        <w:rPr>
          <w:rFonts w:hint="eastAsia"/>
        </w:rPr>
        <w:t>消防通风及防火风闸的设置应满足本规范13.1.7、13.1.8的相关要求。</w:t>
      </w:r>
    </w:p>
    <w:p w14:paraId="4676B3DF">
      <w:pPr>
        <w:pStyle w:val="326"/>
      </w:pPr>
      <w:r>
        <w:rPr>
          <w:rFonts w:hint="eastAsia" w:ascii="黑体"/>
        </w:rPr>
        <w:t>火灾探测报警系统</w:t>
      </w:r>
      <w:r>
        <w:rPr>
          <w:rFonts w:hint="eastAsia"/>
        </w:rPr>
        <w:t>的设置</w:t>
      </w:r>
      <w:r>
        <w:rPr>
          <w:rFonts w:hint="eastAsia" w:ascii="黑体"/>
        </w:rPr>
        <w:t>应满足</w:t>
      </w:r>
      <w:r>
        <w:rPr>
          <w:rFonts w:hint="eastAsia"/>
        </w:rPr>
        <w:t>本规范15.5.3相关要求</w:t>
      </w:r>
      <w:r>
        <w:rPr>
          <w:rFonts w:hint="eastAsia" w:ascii="黑体"/>
        </w:rPr>
        <w:t>。</w:t>
      </w:r>
    </w:p>
    <w:p w14:paraId="69D611C5">
      <w:pPr>
        <w:pStyle w:val="260"/>
        <w:outlineLvl w:val="1"/>
      </w:pPr>
      <w:bookmarkStart w:id="269" w:name="_Toc11878"/>
      <w:r>
        <w:rPr>
          <w:rFonts w:hint="eastAsia"/>
        </w:rPr>
        <w:t>消防系统配置</w:t>
      </w:r>
      <w:bookmarkEnd w:id="269"/>
    </w:p>
    <w:p w14:paraId="493C8A22">
      <w:pPr>
        <w:pStyle w:val="326"/>
      </w:pPr>
      <w:r>
        <w:rPr>
          <w:rFonts w:hint="eastAsia"/>
        </w:rPr>
        <w:t>油气处理设备区域应设置水喷淋或泡沫喷淋系统，以及水/泡沫软管站，其他区域应设置软管站或消火栓。</w:t>
      </w:r>
    </w:p>
    <w:p w14:paraId="693B011C">
      <w:pPr>
        <w:pStyle w:val="326"/>
      </w:pPr>
      <w:r>
        <w:rPr>
          <w:rFonts w:hint="eastAsia"/>
        </w:rPr>
        <w:t>生产区和生活区的电气房间和控制房间应设置全淹没式气体灭火系统或细水雾灭火系统。</w:t>
      </w:r>
    </w:p>
    <w:p w14:paraId="0760AD56">
      <w:pPr>
        <w:pStyle w:val="326"/>
      </w:pPr>
      <w:r>
        <w:rPr>
          <w:rFonts w:hint="eastAsia"/>
        </w:rPr>
        <w:t>封闭机器处所应设置全淹没式气体灭火系统、细水雾灭火系统或高倍泡沫灭火系统。</w:t>
      </w:r>
    </w:p>
    <w:p w14:paraId="3C407EBF">
      <w:pPr>
        <w:pStyle w:val="326"/>
      </w:pPr>
      <w:r>
        <w:rPr>
          <w:rFonts w:hint="eastAsia"/>
        </w:rPr>
        <w:t>油漆间应设置全淹没式气体灭火系统、干粉系统或水喷淋系统。</w:t>
      </w:r>
    </w:p>
    <w:p w14:paraId="63316416">
      <w:pPr>
        <w:pStyle w:val="326"/>
      </w:pPr>
      <w:r>
        <w:rPr>
          <w:rFonts w:hint="eastAsia"/>
        </w:rPr>
        <w:t>直升机甲板的消防设施应设置固定式泡沫灭火系统。简易无人井口平台直升机甲板可采用自带泡沫罐的泡沫软管站/泡沫栓的灭火系统。</w:t>
      </w:r>
    </w:p>
    <w:p w14:paraId="763339B2">
      <w:pPr>
        <w:pStyle w:val="326"/>
      </w:pPr>
      <w:r>
        <w:rPr>
          <w:rFonts w:hint="eastAsia"/>
        </w:rPr>
        <w:t>厨房灶台和烟道应设置固定式灭火系统。</w:t>
      </w:r>
    </w:p>
    <w:p w14:paraId="5EFA2475">
      <w:pPr>
        <w:pStyle w:val="326"/>
      </w:pPr>
      <w:r>
        <w:rPr>
          <w:rFonts w:hint="eastAsia"/>
        </w:rPr>
        <w:t>平台各区域应根据火灾类型及设备布置等情况配置移动式和便携式灭火设备。</w:t>
      </w:r>
    </w:p>
    <w:p w14:paraId="17CB1B5D">
      <w:pPr>
        <w:pStyle w:val="326"/>
        <w:tabs>
          <w:tab w:val="left" w:pos="0"/>
        </w:tabs>
      </w:pPr>
      <w:r>
        <w:rPr>
          <w:rFonts w:ascii="Times New Roman"/>
        </w:rPr>
        <w:t>可根据被保护区域火灾类型选用其</w:t>
      </w:r>
      <w:r>
        <w:rPr>
          <w:rFonts w:hint="eastAsia" w:ascii="Times New Roman"/>
        </w:rPr>
        <w:t>他</w:t>
      </w:r>
      <w:r>
        <w:rPr>
          <w:rFonts w:ascii="Times New Roman"/>
        </w:rPr>
        <w:t>灭火系统。</w:t>
      </w:r>
    </w:p>
    <w:bookmarkEnd w:id="268"/>
    <w:p w14:paraId="34E2337C">
      <w:pPr>
        <w:pStyle w:val="260"/>
        <w:outlineLvl w:val="1"/>
      </w:pPr>
      <w:bookmarkStart w:id="270" w:name="_Toc29501"/>
      <w:r>
        <w:rPr>
          <w:rFonts w:hint="eastAsia"/>
        </w:rPr>
        <w:t>水消防系统</w:t>
      </w:r>
    </w:p>
    <w:p w14:paraId="352994E0">
      <w:pPr>
        <w:pStyle w:val="261"/>
        <w:spacing w:before="156" w:after="156"/>
        <w:outlineLvl w:val="2"/>
      </w:pPr>
      <w:r>
        <w:rPr>
          <w:rFonts w:hint="eastAsia"/>
        </w:rPr>
        <w:t>系统组成</w:t>
      </w:r>
    </w:p>
    <w:p w14:paraId="36AEB4B8">
      <w:pPr>
        <w:pStyle w:val="326"/>
        <w:numPr>
          <w:ilvl w:val="255"/>
          <w:numId w:val="0"/>
        </w:numPr>
        <w:ind w:firstLine="420" w:firstLineChars="200"/>
      </w:pPr>
      <w:r>
        <w:rPr>
          <w:rFonts w:hint="eastAsia"/>
        </w:rPr>
        <w:t>水消防系统由消防泵、消防总管、雨淋系统、消防软管站/消火栓、消防软管和消防水枪等组成。</w:t>
      </w:r>
    </w:p>
    <w:p w14:paraId="0A4F14BC">
      <w:pPr>
        <w:pStyle w:val="261"/>
        <w:spacing w:before="156" w:after="156"/>
        <w:outlineLvl w:val="2"/>
      </w:pPr>
      <w:r>
        <w:rPr>
          <w:rFonts w:hint="eastAsia"/>
        </w:rPr>
        <w:t>消防泵</w:t>
      </w:r>
    </w:p>
    <w:p w14:paraId="6B527D45">
      <w:pPr>
        <w:pStyle w:val="305"/>
        <w:numPr>
          <w:ilvl w:val="0"/>
          <w:numId w:val="100"/>
        </w:numPr>
        <w:rPr>
          <w:rFonts w:hint="eastAsia" w:hAnsi="宋体" w:cs="宋体"/>
        </w:rPr>
      </w:pPr>
      <w:r>
        <w:rPr>
          <w:rFonts w:hint="eastAsia" w:hAnsi="宋体" w:cs="宋体"/>
        </w:rPr>
        <w:t>平台上应配备供消防水系统的主用、备用两台（组）消防泵，主用泵（组）与备用泵（组）的动力源应相互独立，每台（组）消防泵的排量应能满足任何一个防护区一次火灾所需的100%水量需求；</w:t>
      </w:r>
    </w:p>
    <w:p w14:paraId="7BD6D047">
      <w:pPr>
        <w:pStyle w:val="305"/>
        <w:numPr>
          <w:ilvl w:val="0"/>
          <w:numId w:val="100"/>
        </w:numPr>
        <w:rPr>
          <w:rFonts w:hint="eastAsia" w:hAnsi="宋体" w:cs="宋体"/>
        </w:rPr>
      </w:pPr>
      <w:r>
        <w:rPr>
          <w:rFonts w:hint="eastAsia" w:hAnsi="宋体" w:cs="宋体"/>
        </w:rPr>
        <w:t>设置柴油机驱动的消防泵，柴油机应能就地启动和遥控启动，柴油机应能连续启动6次，柴油储量应能保证消防泵至少连续工作18</w:t>
      </w:r>
      <w:r>
        <w:rPr>
          <w:rFonts w:hint="eastAsia" w:hAnsi="宋体" w:cs="宋体"/>
          <w:sz w:val="10"/>
          <w:szCs w:val="10"/>
        </w:rPr>
        <w:t xml:space="preserve"> </w:t>
      </w:r>
      <w:r>
        <w:rPr>
          <w:rFonts w:hint="eastAsia" w:hAnsi="宋体" w:cs="宋体"/>
        </w:rPr>
        <w:t>h；</w:t>
      </w:r>
    </w:p>
    <w:p w14:paraId="156DC9AE">
      <w:pPr>
        <w:pStyle w:val="305"/>
        <w:numPr>
          <w:ilvl w:val="0"/>
          <w:numId w:val="100"/>
        </w:numPr>
        <w:rPr>
          <w:rFonts w:hint="eastAsia" w:hAnsi="宋体" w:cs="宋体"/>
        </w:rPr>
      </w:pPr>
      <w:r>
        <w:rPr>
          <w:rFonts w:hint="eastAsia" w:hAnsi="宋体" w:cs="宋体"/>
        </w:rPr>
        <w:t>每台泵的压力应保证任意一点喷头保持350</w:t>
      </w:r>
      <w:r>
        <w:rPr>
          <w:rFonts w:hint="eastAsia" w:hAnsi="宋体" w:cs="宋体"/>
          <w:sz w:val="10"/>
          <w:szCs w:val="10"/>
        </w:rPr>
        <w:t xml:space="preserve"> </w:t>
      </w:r>
      <w:r>
        <w:rPr>
          <w:rFonts w:hint="eastAsia" w:hAnsi="宋体" w:cs="宋体"/>
        </w:rPr>
        <w:t>kPa的压力，消防软管站水/泡沫枪能保持700</w:t>
      </w:r>
      <w:r>
        <w:rPr>
          <w:rFonts w:hint="eastAsia" w:hAnsi="宋体" w:cs="宋体"/>
          <w:sz w:val="10"/>
          <w:szCs w:val="10"/>
        </w:rPr>
        <w:t xml:space="preserve"> </w:t>
      </w:r>
      <w:r>
        <w:rPr>
          <w:rFonts w:hint="eastAsia" w:hAnsi="宋体" w:cs="宋体"/>
        </w:rPr>
        <w:t>kPa的压力；</w:t>
      </w:r>
    </w:p>
    <w:p w14:paraId="0626672F">
      <w:pPr>
        <w:pStyle w:val="305"/>
        <w:numPr>
          <w:ilvl w:val="0"/>
          <w:numId w:val="100"/>
        </w:numPr>
      </w:pPr>
      <w:r>
        <w:rPr>
          <w:rFonts w:hint="eastAsia"/>
        </w:rPr>
        <w:t>如</w:t>
      </w:r>
      <w:r>
        <w:t>消防泵兼做海水</w:t>
      </w:r>
      <w:r>
        <w:rPr>
          <w:rFonts w:hint="eastAsia"/>
        </w:rPr>
        <w:t>系统备用泵，必须设置火灾工况下该消防泵与海水系统连接的可靠关断措施；</w:t>
      </w:r>
    </w:p>
    <w:p w14:paraId="20E695C4">
      <w:pPr>
        <w:pStyle w:val="305"/>
        <w:numPr>
          <w:ilvl w:val="0"/>
          <w:numId w:val="100"/>
        </w:numPr>
      </w:pPr>
      <w:r>
        <w:rPr>
          <w:rFonts w:hint="eastAsia"/>
        </w:rPr>
        <w:t>若与可供水平台栈桥连接，</w:t>
      </w:r>
      <w:r>
        <w:t>供水平台所供消防水</w:t>
      </w:r>
      <w:r>
        <w:rPr>
          <w:rFonts w:hint="eastAsia"/>
        </w:rPr>
        <w:t>满足本平台消防时，</w:t>
      </w:r>
      <w:r>
        <w:t>该平台可以不设消防泵</w:t>
      </w:r>
      <w:r>
        <w:rPr>
          <w:rFonts w:hint="eastAsia"/>
        </w:rPr>
        <w:t>。</w:t>
      </w:r>
    </w:p>
    <w:p w14:paraId="31AF7F31">
      <w:pPr>
        <w:pStyle w:val="261"/>
        <w:spacing w:before="156" w:after="156"/>
        <w:outlineLvl w:val="2"/>
      </w:pPr>
      <w:r>
        <w:rPr>
          <w:rFonts w:hint="eastAsia"/>
        </w:rPr>
        <w:t>消防总管和管线</w:t>
      </w:r>
    </w:p>
    <w:p w14:paraId="5A216A4E">
      <w:pPr>
        <w:pStyle w:val="305"/>
        <w:numPr>
          <w:ilvl w:val="0"/>
          <w:numId w:val="101"/>
        </w:numPr>
      </w:pPr>
      <w:r>
        <w:t>平台应设固定的消防总管</w:t>
      </w:r>
      <w:r>
        <w:rPr>
          <w:rFonts w:hint="eastAsia"/>
        </w:rPr>
        <w:t>，</w:t>
      </w:r>
      <w:r>
        <w:t>其输水量及管内压力应</w:t>
      </w:r>
      <w:r>
        <w:rPr>
          <w:rFonts w:hint="eastAsia"/>
        </w:rPr>
        <w:t>满足所供水设备使用；</w:t>
      </w:r>
    </w:p>
    <w:p w14:paraId="10299646">
      <w:pPr>
        <w:pStyle w:val="305"/>
        <w:numPr>
          <w:ilvl w:val="0"/>
          <w:numId w:val="101"/>
        </w:numPr>
      </w:pPr>
      <w:r>
        <w:rPr>
          <w:rFonts w:hint="eastAsia"/>
        </w:rPr>
        <w:t>在寒冷地区，水消防系统中经常充水的管线或设施应采取防冻措施。</w:t>
      </w:r>
    </w:p>
    <w:p w14:paraId="00A0E1AE">
      <w:pPr>
        <w:pStyle w:val="261"/>
        <w:spacing w:before="156" w:after="156"/>
        <w:outlineLvl w:val="2"/>
      </w:pPr>
      <w:r>
        <w:rPr>
          <w:rFonts w:hint="eastAsia"/>
        </w:rPr>
        <w:t>消防软管站/消火栓</w:t>
      </w:r>
    </w:p>
    <w:p w14:paraId="08C834E4">
      <w:pPr>
        <w:pStyle w:val="521"/>
        <w:ind w:firstLine="420"/>
        <w:rPr>
          <w:rFonts w:ascii="Times New Roman"/>
          <w:szCs w:val="21"/>
        </w:rPr>
      </w:pPr>
      <w:r>
        <w:rPr>
          <w:rFonts w:hint="eastAsia" w:ascii="Times New Roman"/>
          <w:szCs w:val="21"/>
        </w:rPr>
        <w:t>a）</w:t>
      </w:r>
      <w:r>
        <w:rPr>
          <w:rFonts w:ascii="Times New Roman"/>
          <w:szCs w:val="21"/>
        </w:rPr>
        <w:t>每层甲板应至少设置两个消防软管站</w:t>
      </w:r>
      <w:r>
        <w:rPr>
          <w:rFonts w:hint="eastAsia"/>
        </w:rPr>
        <w:t>/消火栓</w:t>
      </w:r>
      <w:r>
        <w:rPr>
          <w:rFonts w:ascii="Times New Roman"/>
          <w:szCs w:val="21"/>
        </w:rPr>
        <w:t>，</w:t>
      </w:r>
      <w:r>
        <w:rPr>
          <w:rFonts w:hint="eastAsia" w:ascii="Times New Roman"/>
          <w:szCs w:val="21"/>
        </w:rPr>
        <w:t>并设置</w:t>
      </w:r>
      <w:r>
        <w:rPr>
          <w:rFonts w:ascii="Times New Roman"/>
          <w:szCs w:val="21"/>
        </w:rPr>
        <w:t>长度不大于</w:t>
      </w:r>
      <w:r>
        <w:rPr>
          <w:rFonts w:hint="eastAsia" w:hAnsi="宋体" w:cs="宋体"/>
          <w:szCs w:val="21"/>
        </w:rPr>
        <w:t>25</w:t>
      </w:r>
      <w:r>
        <w:rPr>
          <w:rFonts w:hint="eastAsia" w:hAnsi="宋体" w:cs="宋体"/>
          <w:sz w:val="10"/>
          <w:szCs w:val="10"/>
        </w:rPr>
        <w:t xml:space="preserve"> </w:t>
      </w:r>
      <w:r>
        <w:rPr>
          <w:rFonts w:hint="eastAsia" w:hAnsi="宋体" w:cs="宋体"/>
          <w:szCs w:val="21"/>
        </w:rPr>
        <w:t>m</w:t>
      </w:r>
      <w:r>
        <w:rPr>
          <w:rFonts w:ascii="Times New Roman"/>
          <w:szCs w:val="21"/>
        </w:rPr>
        <w:t>的消防软管。</w:t>
      </w:r>
    </w:p>
    <w:p w14:paraId="30EF1229">
      <w:pPr>
        <w:pStyle w:val="521"/>
        <w:ind w:firstLine="420"/>
        <w:rPr>
          <w:rFonts w:ascii="Times New Roman"/>
          <w:szCs w:val="21"/>
        </w:rPr>
      </w:pPr>
      <w:r>
        <w:rPr>
          <w:rFonts w:hint="eastAsia" w:ascii="Times New Roman"/>
          <w:szCs w:val="21"/>
        </w:rPr>
        <w:t>b）软管站</w:t>
      </w:r>
      <w:r>
        <w:rPr>
          <w:rFonts w:hint="eastAsia"/>
        </w:rPr>
        <w:t>/消火栓</w:t>
      </w:r>
      <w:r>
        <w:rPr>
          <w:rFonts w:hint="eastAsia" w:ascii="Times New Roman"/>
          <w:szCs w:val="21"/>
        </w:rPr>
        <w:t>的布置应能保证目标区域有两个不同方向水柱覆盖。</w:t>
      </w:r>
    </w:p>
    <w:p w14:paraId="5F44B103">
      <w:pPr>
        <w:pStyle w:val="261"/>
        <w:spacing w:before="156" w:after="156"/>
        <w:outlineLvl w:val="2"/>
      </w:pPr>
      <w:r>
        <w:rPr>
          <w:rFonts w:hint="eastAsia"/>
        </w:rPr>
        <w:t>消防水枪</w:t>
      </w:r>
    </w:p>
    <w:p w14:paraId="6341201B">
      <w:pPr>
        <w:ind w:firstLine="420" w:firstLineChars="200"/>
        <w:rPr>
          <w:szCs w:val="21"/>
        </w:rPr>
      </w:pPr>
      <w:r>
        <w:rPr>
          <w:szCs w:val="21"/>
        </w:rPr>
        <w:t>每一</w:t>
      </w:r>
      <w:r>
        <w:rPr>
          <w:rFonts w:hint="eastAsia"/>
          <w:szCs w:val="21"/>
        </w:rPr>
        <w:t>个</w:t>
      </w:r>
      <w:r>
        <w:rPr>
          <w:szCs w:val="21"/>
        </w:rPr>
        <w:t>消防软管应配一</w:t>
      </w:r>
      <w:r>
        <w:rPr>
          <w:rFonts w:hint="eastAsia"/>
          <w:szCs w:val="21"/>
        </w:rPr>
        <w:t>个</w:t>
      </w:r>
      <w:r>
        <w:rPr>
          <w:szCs w:val="21"/>
        </w:rPr>
        <w:t>喷水、喷雾两用的消防水枪。</w:t>
      </w:r>
    </w:p>
    <w:p w14:paraId="08A3CE03">
      <w:pPr>
        <w:pStyle w:val="261"/>
        <w:spacing w:before="156" w:after="156"/>
        <w:outlineLvl w:val="2"/>
      </w:pPr>
      <w:r>
        <w:rPr>
          <w:rFonts w:hint="eastAsia"/>
        </w:rPr>
        <w:t>国际通岸接头</w:t>
      </w:r>
    </w:p>
    <w:p w14:paraId="592DFBEF">
      <w:pPr>
        <w:pStyle w:val="521"/>
        <w:ind w:firstLine="420"/>
        <w:rPr>
          <w:rFonts w:ascii="Times New Roman"/>
          <w:szCs w:val="21"/>
        </w:rPr>
      </w:pPr>
      <w:r>
        <w:rPr>
          <w:rFonts w:hint="eastAsia" w:ascii="Times New Roman"/>
          <w:szCs w:val="21"/>
        </w:rPr>
        <w:t>平台应</w:t>
      </w:r>
      <w:r>
        <w:rPr>
          <w:rFonts w:ascii="Times New Roman"/>
          <w:szCs w:val="21"/>
        </w:rPr>
        <w:t>至少</w:t>
      </w:r>
      <w:r>
        <w:rPr>
          <w:rFonts w:hint="eastAsia" w:ascii="Times New Roman"/>
          <w:szCs w:val="21"/>
        </w:rPr>
        <w:t>设置</w:t>
      </w:r>
      <w:r>
        <w:rPr>
          <w:rFonts w:ascii="Times New Roman"/>
          <w:szCs w:val="21"/>
        </w:rPr>
        <w:t>一个符合</w:t>
      </w:r>
      <w:r>
        <w:rPr>
          <w:rFonts w:hint="eastAsia" w:hAnsi="宋体" w:cs="宋体"/>
          <w:szCs w:val="21"/>
        </w:rPr>
        <w:t>SOLAS</w:t>
      </w:r>
      <w:r>
        <w:rPr>
          <w:rFonts w:ascii="Times New Roman"/>
          <w:szCs w:val="21"/>
        </w:rPr>
        <w:t>规定的国际通岸接头。</w:t>
      </w:r>
    </w:p>
    <w:p w14:paraId="4CF02F6E">
      <w:pPr>
        <w:pStyle w:val="261"/>
        <w:spacing w:before="156" w:after="156"/>
        <w:outlineLvl w:val="2"/>
      </w:pPr>
      <w:r>
        <w:rPr>
          <w:rFonts w:hint="eastAsia"/>
        </w:rPr>
        <w:t>雨淋系统</w:t>
      </w:r>
    </w:p>
    <w:p w14:paraId="74154A0F">
      <w:pPr>
        <w:numPr>
          <w:ilvl w:val="3"/>
          <w:numId w:val="11"/>
        </w:numPr>
      </w:pPr>
      <w:r>
        <w:t>对油、气处理系统中的</w:t>
      </w:r>
      <w:r>
        <w:rPr>
          <w:rFonts w:hint="eastAsia"/>
        </w:rPr>
        <w:t>各设备和设施应设置雨淋系统。</w:t>
      </w:r>
    </w:p>
    <w:p w14:paraId="4F80DE33">
      <w:pPr>
        <w:numPr>
          <w:ilvl w:val="3"/>
          <w:numId w:val="11"/>
        </w:numPr>
      </w:pPr>
      <w:r>
        <w:rPr>
          <w:rFonts w:hint="eastAsia"/>
        </w:rPr>
        <w:t>雨淋系统供给强度宜满足下列要求：</w:t>
      </w:r>
    </w:p>
    <w:p w14:paraId="630600B1">
      <w:pPr>
        <w:numPr>
          <w:ilvl w:val="255"/>
          <w:numId w:val="0"/>
        </w:numPr>
        <w:ind w:firstLine="420"/>
        <w:rPr>
          <w:rFonts w:hint="eastAsia" w:ascii="宋体" w:hAnsi="宋体" w:cs="宋体"/>
        </w:rPr>
      </w:pPr>
      <w:r>
        <w:rPr>
          <w:rFonts w:hint="eastAsia"/>
        </w:rPr>
        <w:t>a ) 井口区、泵类、压缩机为</w:t>
      </w:r>
      <w:r>
        <w:rPr>
          <w:rFonts w:hint="eastAsia" w:ascii="宋体" w:hAnsi="宋体" w:cs="宋体"/>
        </w:rPr>
        <w:t>20.4 L/min</w:t>
      </w:r>
      <w:r>
        <w:rPr>
          <w:rFonts w:hint="eastAsia" w:ascii="宋体" w:hAnsi="宋体" w:cs="宋体"/>
        </w:rPr>
        <w:tab/>
      </w:r>
      <w:r>
        <w:rPr>
          <w:rFonts w:hint="eastAsia" w:ascii="宋体" w:hAnsi="宋体" w:cs="宋体"/>
        </w:rPr>
        <w:t>·m</w:t>
      </w:r>
      <w:r>
        <w:rPr>
          <w:rFonts w:hint="eastAsia" w:ascii="宋体" w:hAnsi="宋体" w:cs="宋体"/>
          <w:vertAlign w:val="superscript"/>
        </w:rPr>
        <w:t>2</w:t>
      </w:r>
      <w:r>
        <w:rPr>
          <w:rFonts w:hint="eastAsia" w:ascii="宋体" w:hAnsi="宋体" w:cs="宋体"/>
        </w:rPr>
        <w:t>；</w:t>
      </w:r>
    </w:p>
    <w:p w14:paraId="75B15175">
      <w:pPr>
        <w:numPr>
          <w:ilvl w:val="255"/>
          <w:numId w:val="0"/>
        </w:numPr>
        <w:ind w:firstLine="420"/>
      </w:pPr>
      <w:r>
        <w:rPr>
          <w:rFonts w:hint="default" w:ascii="Times New Roman" w:hAnsi="Times New Roman" w:cs="Times New Roman"/>
        </w:rPr>
        <w:t>b</w:t>
      </w:r>
      <w:r>
        <w:rPr>
          <w:rFonts w:hint="eastAsia" w:ascii="宋体" w:hAnsi="宋体" w:cs="宋体"/>
        </w:rPr>
        <w:t xml:space="preserve"> ) 油气设备（包括收发球筒、管汇、油气计量装置、分离器、油气加热器、油气储罐、天然气密封水罐、三甘醇系统或与上述同类型设备等）为10.2 L/min·m</w:t>
      </w:r>
      <w:r>
        <w:rPr>
          <w:rFonts w:hint="eastAsia" w:ascii="宋体" w:hAnsi="宋体" w:cs="宋体"/>
          <w:vertAlign w:val="superscript"/>
        </w:rPr>
        <w:t>2</w:t>
      </w:r>
    </w:p>
    <w:p w14:paraId="5B78E314">
      <w:pPr>
        <w:numPr>
          <w:ilvl w:val="255"/>
          <w:numId w:val="0"/>
        </w:numPr>
        <w:ind w:firstLine="420"/>
      </w:pPr>
      <w:r>
        <w:rPr>
          <w:rFonts w:hint="eastAsia"/>
        </w:rPr>
        <w:t>c ) 柴油储罐、柴油基药剂罐</w:t>
      </w:r>
      <w:r>
        <w:rPr>
          <w:rFonts w:hint="eastAsia" w:ascii="宋体" w:hAnsi="宋体" w:cs="宋体"/>
        </w:rPr>
        <w:t>等为6.1 L/min·m</w:t>
      </w:r>
      <w:r>
        <w:rPr>
          <w:rFonts w:hint="eastAsia" w:ascii="宋体" w:hAnsi="宋体" w:cs="宋体"/>
          <w:vertAlign w:val="superscript"/>
        </w:rPr>
        <w:t>2</w:t>
      </w:r>
      <w:r>
        <w:rPr>
          <w:szCs w:val="21"/>
        </w:rPr>
        <w:t>。</w:t>
      </w:r>
    </w:p>
    <w:p w14:paraId="4CDECEB9">
      <w:pPr>
        <w:pStyle w:val="261"/>
        <w:spacing w:before="156" w:after="156"/>
        <w:outlineLvl w:val="2"/>
      </w:pPr>
      <w:r>
        <w:rPr>
          <w:rFonts w:hint="eastAsia"/>
        </w:rPr>
        <w:t>无人驻守平台</w:t>
      </w:r>
    </w:p>
    <w:p w14:paraId="2E9A7844">
      <w:pPr>
        <w:pStyle w:val="305"/>
        <w:numPr>
          <w:ilvl w:val="0"/>
          <w:numId w:val="102"/>
        </w:numPr>
      </w:pPr>
      <w:r>
        <w:rPr>
          <w:rFonts w:hint="eastAsia"/>
        </w:rPr>
        <w:t>无人驻守平台的消防无法利用所依托平台（移动式</w:t>
      </w:r>
      <w:r>
        <w:rPr>
          <w:rFonts w:hint="eastAsia" w:hAnsi="宋体" w:cs="宋体"/>
        </w:rPr>
        <w:t>移动式钻/修井平台、栈桥连接平台</w:t>
      </w:r>
      <w:r>
        <w:rPr>
          <w:rFonts w:hint="eastAsia"/>
        </w:rPr>
        <w:t>）的消防系统时，应设置消防泵及消防管网。</w:t>
      </w:r>
    </w:p>
    <w:p w14:paraId="2958F0FB">
      <w:pPr>
        <w:pStyle w:val="305"/>
        <w:numPr>
          <w:ilvl w:val="0"/>
          <w:numId w:val="102"/>
        </w:numPr>
      </w:pPr>
      <w:r>
        <w:t>不设消防泵的无人驻守平台，应设置雨淋系统</w:t>
      </w:r>
      <w:r>
        <w:rPr>
          <w:rFonts w:hint="eastAsia"/>
        </w:rPr>
        <w:t>管网，作业时与依托平台</w:t>
      </w:r>
      <w:r>
        <w:t>的消防水</w:t>
      </w:r>
      <w:r>
        <w:rPr>
          <w:rFonts w:hint="eastAsia"/>
        </w:rPr>
        <w:t>系统可靠连接</w:t>
      </w:r>
      <w:r>
        <w:t>，</w:t>
      </w:r>
      <w:r>
        <w:rPr>
          <w:rFonts w:hint="eastAsia"/>
        </w:rPr>
        <w:t>保证无人驻守平台的消防需求。</w:t>
      </w:r>
    </w:p>
    <w:p w14:paraId="54CE83A7">
      <w:pPr>
        <w:pStyle w:val="305"/>
        <w:numPr>
          <w:ilvl w:val="0"/>
          <w:numId w:val="102"/>
        </w:numPr>
      </w:pPr>
      <w:r>
        <w:rPr>
          <w:rFonts w:hint="eastAsia"/>
        </w:rPr>
        <w:t>设置消防泵的无人驻守平台，消防泵应具备远程遥控测试功能。</w:t>
      </w:r>
      <w:r>
        <w:rPr>
          <w:rFonts w:hint="eastAsia" w:ascii="Times New Roman"/>
          <w:szCs w:val="21"/>
        </w:rPr>
        <w:t>在远程监控系统能可靠确认现场无火灾或火灾已灭的情况下，消防泵可远程停泵。</w:t>
      </w:r>
    </w:p>
    <w:p w14:paraId="50D343E0">
      <w:pPr>
        <w:pStyle w:val="305"/>
        <w:numPr>
          <w:ilvl w:val="0"/>
          <w:numId w:val="102"/>
        </w:numPr>
      </w:pPr>
      <w:r>
        <w:rPr>
          <w:rFonts w:hint="eastAsia"/>
        </w:rPr>
        <w:t>无人驻守平台的电气房间，应设置能自动释放的气体灭火系统；</w:t>
      </w:r>
    </w:p>
    <w:p w14:paraId="2E1C1BB4">
      <w:pPr>
        <w:pStyle w:val="305"/>
        <w:numPr>
          <w:ilvl w:val="0"/>
          <w:numId w:val="102"/>
        </w:numPr>
      </w:pPr>
      <w:r>
        <w:rPr>
          <w:rFonts w:hint="eastAsia" w:ascii="Times New Roman"/>
          <w:szCs w:val="21"/>
        </w:rPr>
        <w:t>简易无人井口平台，应设置必要的便携式灭火器，可不设置消防泵、消防管网及国际通岸接头。</w:t>
      </w:r>
    </w:p>
    <w:p w14:paraId="56659BF8">
      <w:pPr>
        <w:pStyle w:val="260"/>
        <w:outlineLvl w:val="1"/>
      </w:pPr>
      <w:r>
        <w:rPr>
          <w:rFonts w:hint="eastAsia"/>
        </w:rPr>
        <w:t>气体灭火系统</w:t>
      </w:r>
      <w:bookmarkEnd w:id="270"/>
    </w:p>
    <w:p w14:paraId="7081E64E">
      <w:pPr>
        <w:pStyle w:val="326"/>
        <w:tabs>
          <w:tab w:val="left" w:pos="0"/>
        </w:tabs>
      </w:pPr>
      <w:r>
        <w:rPr>
          <w:rFonts w:hint="eastAsia"/>
        </w:rPr>
        <w:t>组合分配式</w:t>
      </w:r>
      <w:r>
        <w:rPr>
          <w:rFonts w:ascii="Times New Roman"/>
        </w:rPr>
        <w:t>气体灭火</w:t>
      </w:r>
      <w:r>
        <w:rPr>
          <w:rFonts w:hint="eastAsia" w:ascii="Times New Roman"/>
        </w:rPr>
        <w:t>系统的瓶组应</w:t>
      </w:r>
      <w:r>
        <w:rPr>
          <w:rFonts w:ascii="Times New Roman"/>
        </w:rPr>
        <w:t>存放于被保护处所之外。</w:t>
      </w:r>
    </w:p>
    <w:p w14:paraId="5EF8699F">
      <w:pPr>
        <w:pStyle w:val="326"/>
        <w:tabs>
          <w:tab w:val="left" w:pos="0"/>
        </w:tabs>
      </w:pPr>
      <w:r>
        <w:rPr>
          <w:rFonts w:hint="eastAsia"/>
        </w:rPr>
        <w:t>灭火剂的选用应优先考虑环境友好，对人体伤害较小等因素。</w:t>
      </w:r>
    </w:p>
    <w:p w14:paraId="3C904011">
      <w:pPr>
        <w:pStyle w:val="326"/>
        <w:tabs>
          <w:tab w:val="left" w:pos="0"/>
        </w:tabs>
      </w:pPr>
      <w:r>
        <w:rPr>
          <w:rFonts w:hint="eastAsia"/>
        </w:rPr>
        <w:t>管网灭火系统应设自动控制、手动控制和机械应急操作三种启动方式。对于经常有人工作的防护区，应选择手动控制。手动控制分为就地控制和远程遥控控制。</w:t>
      </w:r>
    </w:p>
    <w:p w14:paraId="36003575">
      <w:pPr>
        <w:pStyle w:val="326"/>
        <w:tabs>
          <w:tab w:val="left" w:pos="0"/>
        </w:tabs>
      </w:pPr>
      <w:r>
        <w:rPr>
          <w:rFonts w:hint="eastAsia"/>
        </w:rPr>
        <w:t>气体</w:t>
      </w:r>
      <w:r>
        <w:t>灭火系统应设声、光报警装置及灭火剂释放延时装置。采用自动控制启动时，报警后延时时间不大于30</w:t>
      </w:r>
      <w:r>
        <w:rPr>
          <w:rFonts w:hint="eastAsia"/>
          <w:sz w:val="10"/>
          <w:szCs w:val="10"/>
        </w:rPr>
        <w:t xml:space="preserve"> </w:t>
      </w:r>
      <w:r>
        <w:t>s。对于平时无人工作的场所，可不考虑延时时间。</w:t>
      </w:r>
    </w:p>
    <w:p w14:paraId="1FAB385F">
      <w:pPr>
        <w:pStyle w:val="326"/>
        <w:tabs>
          <w:tab w:val="left" w:pos="0"/>
        </w:tabs>
      </w:pPr>
      <w:r>
        <w:rPr>
          <w:rFonts w:hint="eastAsia"/>
        </w:rPr>
        <w:t>二氧化碳灭火系统不应用于经常有人停留的场所。</w:t>
      </w:r>
    </w:p>
    <w:p w14:paraId="2246E1CC">
      <w:pPr>
        <w:pStyle w:val="326"/>
        <w:tabs>
          <w:tab w:val="left" w:pos="0"/>
        </w:tabs>
      </w:pPr>
      <w:r>
        <w:rPr>
          <w:rFonts w:hint="eastAsia"/>
        </w:rPr>
        <w:t>无人驻守平台电气房间的自动灭火系统状态应实现远程监控，具备远程启动功能。</w:t>
      </w:r>
    </w:p>
    <w:p w14:paraId="62124998">
      <w:pPr>
        <w:pStyle w:val="326"/>
        <w:tabs>
          <w:tab w:val="left" w:pos="0"/>
        </w:tabs>
      </w:pPr>
      <w:r>
        <w:rPr>
          <w:rFonts w:hint="eastAsia"/>
        </w:rPr>
        <w:t>天然气放空系统应设置气体灭火装置。</w:t>
      </w:r>
    </w:p>
    <w:p w14:paraId="5FBFD780">
      <w:pPr>
        <w:pStyle w:val="260"/>
        <w:outlineLvl w:val="1"/>
      </w:pPr>
      <w:bookmarkStart w:id="271" w:name="_Toc32054"/>
      <w:r>
        <w:rPr>
          <w:rFonts w:hint="eastAsia"/>
        </w:rPr>
        <w:t>泡沫灭火系统</w:t>
      </w:r>
      <w:bookmarkEnd w:id="271"/>
    </w:p>
    <w:p w14:paraId="77B5198A">
      <w:pPr>
        <w:pStyle w:val="326"/>
      </w:pPr>
      <w:r>
        <w:t>泡沫灭火系统的供水泵可以是专用泵，也可由水消防泵供水。当用消防泵供水时，其排量要求应符合</w:t>
      </w:r>
      <w:r>
        <w:rPr>
          <w:rFonts w:hint="eastAsia" w:ascii="宋体" w:hAnsi="宋体" w:eastAsia="宋体" w:cs="宋体"/>
        </w:rPr>
        <w:t>18.3.2</w:t>
      </w:r>
      <w:r>
        <w:t>的规定。</w:t>
      </w:r>
    </w:p>
    <w:p w14:paraId="7E98D7CC">
      <w:pPr>
        <w:pStyle w:val="326"/>
      </w:pPr>
      <w:r>
        <w:rPr>
          <w:rFonts w:hint="eastAsia"/>
        </w:rPr>
        <w:t>置于</w:t>
      </w:r>
      <w:r>
        <w:t>寒冷地区</w:t>
      </w:r>
      <w:r>
        <w:rPr>
          <w:rFonts w:hint="eastAsia"/>
        </w:rPr>
        <w:t>开敞甲板的</w:t>
      </w:r>
      <w:r>
        <w:t>泡沫液贮罐应有防冻措施。</w:t>
      </w:r>
    </w:p>
    <w:p w14:paraId="47DAE7AB">
      <w:pPr>
        <w:pStyle w:val="326"/>
      </w:pPr>
      <w:r>
        <w:t>泡沫灭火系统应选择适用于海水的泡沫液。</w:t>
      </w:r>
    </w:p>
    <w:p w14:paraId="01ABE0B0">
      <w:pPr>
        <w:pStyle w:val="260"/>
        <w:outlineLvl w:val="1"/>
      </w:pPr>
      <w:bookmarkStart w:id="272" w:name="_Toc8381"/>
      <w:r>
        <w:rPr>
          <w:rFonts w:hint="eastAsia"/>
        </w:rPr>
        <w:t>细水雾灭火系统</w:t>
      </w:r>
      <w:bookmarkEnd w:id="272"/>
    </w:p>
    <w:p w14:paraId="6A81E616">
      <w:pPr>
        <w:pStyle w:val="326"/>
      </w:pPr>
      <w:r>
        <w:t>细水雾系统水源</w:t>
      </w:r>
      <w:r>
        <w:rPr>
          <w:rFonts w:hint="eastAsia"/>
        </w:rPr>
        <w:t>应</w:t>
      </w:r>
      <w:r>
        <w:t>选淡水，海水可作为备用水源。</w:t>
      </w:r>
    </w:p>
    <w:p w14:paraId="0E1B7934">
      <w:pPr>
        <w:pStyle w:val="326"/>
        <w:tabs>
          <w:tab w:val="left" w:pos="0"/>
        </w:tabs>
        <w:rPr>
          <w:rFonts w:ascii="Times New Roman" w:eastAsia="宋体"/>
        </w:rPr>
      </w:pPr>
      <w:r>
        <w:rPr>
          <w:rFonts w:hint="eastAsia" w:ascii="Times New Roman" w:eastAsia="宋体"/>
        </w:rPr>
        <w:t>瓶组型灭火</w:t>
      </w:r>
      <w:r>
        <w:rPr>
          <w:rFonts w:ascii="Times New Roman" w:eastAsia="宋体"/>
        </w:rPr>
        <w:t>系统</w:t>
      </w:r>
      <w:r>
        <w:rPr>
          <w:rFonts w:hint="eastAsia" w:ascii="Times New Roman" w:eastAsia="宋体"/>
        </w:rPr>
        <w:t>应具有自动、手动和机械应急操作控制方式。</w:t>
      </w:r>
    </w:p>
    <w:p w14:paraId="5209D5B9">
      <w:pPr>
        <w:pStyle w:val="326"/>
        <w:tabs>
          <w:tab w:val="left" w:pos="0"/>
        </w:tabs>
        <w:rPr>
          <w:rFonts w:ascii="Times New Roman" w:eastAsia="宋体"/>
        </w:rPr>
      </w:pPr>
      <w:r>
        <w:rPr>
          <w:rFonts w:hint="eastAsia" w:ascii="Times New Roman" w:eastAsia="宋体"/>
        </w:rPr>
        <w:t>泵组型灭火系统应具有自动、手动控制方式。</w:t>
      </w:r>
    </w:p>
    <w:p w14:paraId="295A4E44">
      <w:pPr>
        <w:pStyle w:val="260"/>
        <w:outlineLvl w:val="1"/>
      </w:pPr>
      <w:bookmarkStart w:id="273" w:name="_Toc25477"/>
      <w:r>
        <w:rPr>
          <w:rFonts w:hint="eastAsia"/>
        </w:rPr>
        <w:t>直升机甲板消防系统</w:t>
      </w:r>
      <w:bookmarkEnd w:id="273"/>
    </w:p>
    <w:p w14:paraId="488B5E9A">
      <w:pPr>
        <w:pStyle w:val="326"/>
        <w:rPr>
          <w:rFonts w:ascii="Times New Roman" w:eastAsia="宋体"/>
        </w:rPr>
      </w:pPr>
      <w:r>
        <w:rPr>
          <w:rFonts w:ascii="Times New Roman" w:eastAsia="宋体"/>
        </w:rPr>
        <w:t>应在通往直升机甲板的通道附近配备和存放下列消防设施：</w:t>
      </w:r>
    </w:p>
    <w:p w14:paraId="1492EA98">
      <w:pPr>
        <w:pStyle w:val="305"/>
        <w:numPr>
          <w:ilvl w:val="0"/>
          <w:numId w:val="103"/>
        </w:numPr>
        <w:rPr>
          <w:rFonts w:hint="eastAsia" w:hAnsi="宋体" w:cs="宋体"/>
        </w:rPr>
      </w:pPr>
      <w:r>
        <w:rPr>
          <w:rFonts w:ascii="Times New Roman"/>
        </w:rPr>
        <w:t>总容量不少于</w:t>
      </w:r>
      <w:r>
        <w:rPr>
          <w:rFonts w:hint="eastAsia" w:hAnsi="宋体" w:cs="宋体"/>
        </w:rPr>
        <w:t>45</w:t>
      </w:r>
      <w:r>
        <w:rPr>
          <w:rFonts w:hint="eastAsia" w:hAnsi="宋体" w:cs="宋体"/>
          <w:sz w:val="10"/>
          <w:szCs w:val="10"/>
        </w:rPr>
        <w:t xml:space="preserve"> </w:t>
      </w:r>
      <w:r>
        <w:rPr>
          <w:rFonts w:hint="eastAsia" w:hAnsi="宋体" w:cs="宋体"/>
        </w:rPr>
        <w:t>kg的干粉灭火器；</w:t>
      </w:r>
    </w:p>
    <w:p w14:paraId="0C7B2635">
      <w:pPr>
        <w:pStyle w:val="305"/>
        <w:numPr>
          <w:ilvl w:val="0"/>
          <w:numId w:val="103"/>
        </w:numPr>
        <w:rPr>
          <w:rFonts w:ascii="Times New Roman"/>
        </w:rPr>
      </w:pPr>
      <w:r>
        <w:rPr>
          <w:rFonts w:hint="eastAsia" w:hAnsi="宋体" w:cs="宋体"/>
        </w:rPr>
        <w:t>总容量不少于18</w:t>
      </w:r>
      <w:r>
        <w:rPr>
          <w:rFonts w:hint="eastAsia" w:hAnsi="宋体" w:cs="宋体"/>
          <w:sz w:val="10"/>
          <w:szCs w:val="10"/>
        </w:rPr>
        <w:t xml:space="preserve"> </w:t>
      </w:r>
      <w:r>
        <w:rPr>
          <w:rFonts w:hint="eastAsia" w:hAnsi="宋体" w:cs="宋体"/>
        </w:rPr>
        <w:t>kg</w:t>
      </w:r>
      <w:r>
        <w:rPr>
          <w:rFonts w:ascii="Times New Roman"/>
        </w:rPr>
        <w:t>的二氧化碳灭火器或等效设备；</w:t>
      </w:r>
    </w:p>
    <w:p w14:paraId="217EAAA7">
      <w:pPr>
        <w:pStyle w:val="305"/>
        <w:numPr>
          <w:ilvl w:val="0"/>
          <w:numId w:val="103"/>
        </w:numPr>
        <w:rPr>
          <w:rFonts w:ascii="Times New Roman"/>
        </w:rPr>
      </w:pPr>
      <w:r>
        <w:rPr>
          <w:rFonts w:ascii="Times New Roman"/>
        </w:rPr>
        <w:t>在直升甲板的两侧各设置一个消防软管站</w:t>
      </w:r>
      <w:r>
        <w:rPr>
          <w:rFonts w:hint="eastAsia" w:ascii="Times New Roman"/>
        </w:rPr>
        <w:t>；</w:t>
      </w:r>
    </w:p>
    <w:p w14:paraId="15A4C2A1">
      <w:pPr>
        <w:pStyle w:val="305"/>
        <w:numPr>
          <w:ilvl w:val="0"/>
          <w:numId w:val="103"/>
        </w:numPr>
        <w:rPr>
          <w:rFonts w:hint="eastAsia" w:hAnsi="宋体" w:cs="宋体"/>
        </w:rPr>
      </w:pPr>
      <w:r>
        <w:rPr>
          <w:rFonts w:hint="eastAsia" w:ascii="Times New Roman"/>
        </w:rPr>
        <w:t>一套固定式泡沫灭火系统，</w:t>
      </w:r>
      <w:r>
        <w:rPr>
          <w:rFonts w:ascii="Times New Roman"/>
        </w:rPr>
        <w:t>喷洒泡沫</w:t>
      </w:r>
      <w:r>
        <w:rPr>
          <w:rFonts w:hint="eastAsia" w:ascii="Times New Roman"/>
        </w:rPr>
        <w:t>供给</w:t>
      </w:r>
      <w:r>
        <w:rPr>
          <w:rFonts w:ascii="Times New Roman"/>
        </w:rPr>
        <w:t>强度不少</w:t>
      </w:r>
      <w:r>
        <w:rPr>
          <w:rFonts w:hint="eastAsia" w:hAnsi="宋体" w:cs="宋体"/>
        </w:rPr>
        <w:t>于6</w:t>
      </w:r>
      <w:r>
        <w:rPr>
          <w:rFonts w:hint="eastAsia" w:hAnsi="宋体" w:cs="宋体"/>
          <w:sz w:val="10"/>
          <w:szCs w:val="10"/>
        </w:rPr>
        <w:t xml:space="preserve"> </w:t>
      </w:r>
      <w:r>
        <w:rPr>
          <w:rFonts w:hint="eastAsia" w:hAnsi="宋体" w:cs="宋体"/>
        </w:rPr>
        <w:t>L/min.m</w:t>
      </w:r>
      <w:r>
        <w:rPr>
          <w:rFonts w:hint="eastAsia" w:hAnsi="宋体" w:cs="宋体"/>
          <w:vertAlign w:val="superscript"/>
        </w:rPr>
        <w:t>2</w:t>
      </w:r>
      <w:r>
        <w:rPr>
          <w:rFonts w:hint="eastAsia" w:hAnsi="宋体" w:cs="宋体"/>
        </w:rPr>
        <w:t>，喷洒泡沫液时间至少5</w:t>
      </w:r>
      <w:r>
        <w:rPr>
          <w:rFonts w:hint="eastAsia" w:hAnsi="宋体" w:cs="宋体"/>
          <w:sz w:val="10"/>
          <w:szCs w:val="10"/>
        </w:rPr>
        <w:t xml:space="preserve"> </w:t>
      </w:r>
      <w:r>
        <w:rPr>
          <w:rFonts w:hint="eastAsia" w:hAnsi="宋体" w:cs="宋体"/>
        </w:rPr>
        <w:t>min，喷洒面积为以直升机总长为直径的圆面积；</w:t>
      </w:r>
    </w:p>
    <w:p w14:paraId="469F6774">
      <w:pPr>
        <w:pStyle w:val="305"/>
        <w:numPr>
          <w:ilvl w:val="0"/>
          <w:numId w:val="103"/>
        </w:numPr>
        <w:rPr>
          <w:rFonts w:ascii="Times New Roman"/>
        </w:rPr>
      </w:pPr>
      <w:r>
        <w:rPr>
          <w:rFonts w:hint="eastAsia" w:hAnsi="宋体" w:cs="宋体"/>
          <w:szCs w:val="27"/>
        </w:rPr>
        <w:t>若采用泡沫炮，应在直升机甲板两侧各设置1个</w:t>
      </w:r>
      <w:r>
        <w:rPr>
          <w:rFonts w:hint="eastAsia" w:ascii="Times New Roman"/>
          <w:szCs w:val="27"/>
        </w:rPr>
        <w:t>。</w:t>
      </w:r>
    </w:p>
    <w:p w14:paraId="3B52E863">
      <w:pPr>
        <w:pStyle w:val="326"/>
      </w:pPr>
      <w:r>
        <w:rPr>
          <w:rFonts w:hint="eastAsia"/>
        </w:rPr>
        <w:t>无人驻守平台直升机甲板的</w:t>
      </w:r>
      <w:r>
        <w:rPr>
          <w:rFonts w:hint="eastAsia" w:ascii="Times New Roman"/>
        </w:rPr>
        <w:t>泡沫灭火系统</w:t>
      </w:r>
      <w:r>
        <w:rPr>
          <w:rFonts w:hint="eastAsia"/>
        </w:rPr>
        <w:t>应设置自动启动功能。</w:t>
      </w:r>
    </w:p>
    <w:p w14:paraId="6E1E5940">
      <w:pPr>
        <w:pStyle w:val="260"/>
        <w:outlineLvl w:val="1"/>
      </w:pPr>
      <w:bookmarkStart w:id="274" w:name="_Toc32260"/>
      <w:r>
        <w:rPr>
          <w:rFonts w:hint="eastAsia"/>
        </w:rPr>
        <w:t>消防用品</w:t>
      </w:r>
      <w:bookmarkEnd w:id="274"/>
    </w:p>
    <w:p w14:paraId="10B2B92F">
      <w:pPr>
        <w:pStyle w:val="261"/>
        <w:spacing w:before="156" w:after="156"/>
        <w:outlineLvl w:val="2"/>
      </w:pPr>
      <w:r>
        <w:rPr>
          <w:rFonts w:hint="eastAsia"/>
        </w:rPr>
        <w:t>消防员设备</w:t>
      </w:r>
    </w:p>
    <w:p w14:paraId="1539AE8E">
      <w:pPr>
        <w:pStyle w:val="305"/>
        <w:numPr>
          <w:ilvl w:val="255"/>
          <w:numId w:val="0"/>
        </w:numPr>
        <w:ind w:left="420"/>
        <w:rPr>
          <w:rFonts w:ascii="Times New Roman"/>
        </w:rPr>
      </w:pPr>
      <w:r>
        <w:rPr>
          <w:rFonts w:hint="eastAsia" w:ascii="Times New Roman"/>
        </w:rPr>
        <w:t>消防员设备应满足下列要求：</w:t>
      </w:r>
    </w:p>
    <w:p w14:paraId="1E5AFC89">
      <w:pPr>
        <w:pStyle w:val="305"/>
        <w:numPr>
          <w:ilvl w:val="0"/>
          <w:numId w:val="104"/>
        </w:numPr>
        <w:rPr>
          <w:rFonts w:hint="eastAsia" w:hAnsi="宋体" w:cs="宋体"/>
        </w:rPr>
      </w:pPr>
      <w:r>
        <w:rPr>
          <w:rFonts w:ascii="Times New Roman"/>
        </w:rPr>
        <w:t>应至少配备四</w:t>
      </w:r>
      <w:r>
        <w:rPr>
          <w:rFonts w:hint="eastAsia" w:ascii="Times New Roman"/>
        </w:rPr>
        <w:t>个装有</w:t>
      </w:r>
      <w:r>
        <w:rPr>
          <w:rFonts w:ascii="Times New Roman"/>
        </w:rPr>
        <w:t>消防员装备</w:t>
      </w:r>
      <w:r>
        <w:rPr>
          <w:rFonts w:hint="eastAsia" w:ascii="Times New Roman"/>
        </w:rPr>
        <w:t>的备品柜。备品柜</w:t>
      </w:r>
      <w:r>
        <w:rPr>
          <w:rFonts w:ascii="Times New Roman"/>
        </w:rPr>
        <w:t>位置应易于到达并应相互尽量远离。其中</w:t>
      </w:r>
      <w:r>
        <w:rPr>
          <w:rFonts w:hint="eastAsia" w:ascii="Times New Roman"/>
        </w:rPr>
        <w:t>一</w:t>
      </w:r>
      <w:r>
        <w:rPr>
          <w:rFonts w:ascii="Times New Roman"/>
        </w:rPr>
        <w:t>个</w:t>
      </w:r>
      <w:r>
        <w:rPr>
          <w:rFonts w:hint="eastAsia" w:ascii="Times New Roman"/>
        </w:rPr>
        <w:t>备品柜</w:t>
      </w:r>
      <w:r>
        <w:rPr>
          <w:rFonts w:ascii="Times New Roman"/>
        </w:rPr>
        <w:t>应设置于靠近直升机甲板的地方，并应备有一根带金属钩长</w:t>
      </w:r>
      <w:r>
        <w:rPr>
          <w:rFonts w:hint="eastAsia" w:hAnsi="宋体" w:cs="宋体"/>
        </w:rPr>
        <w:t>3</w:t>
      </w:r>
      <w:r>
        <w:rPr>
          <w:rFonts w:hint="eastAsia" w:hAnsi="宋体" w:cs="宋体"/>
          <w:sz w:val="10"/>
          <w:szCs w:val="10"/>
        </w:rPr>
        <w:t xml:space="preserve"> </w:t>
      </w:r>
      <w:r>
        <w:rPr>
          <w:rFonts w:hint="eastAsia" w:hAnsi="宋体" w:cs="宋体"/>
        </w:rPr>
        <w:t>m的钩杆；</w:t>
      </w:r>
    </w:p>
    <w:p w14:paraId="6694E35A">
      <w:pPr>
        <w:pStyle w:val="305"/>
        <w:numPr>
          <w:ilvl w:val="0"/>
          <w:numId w:val="104"/>
        </w:numPr>
        <w:rPr>
          <w:rFonts w:hint="eastAsia" w:hAnsi="宋体" w:cs="宋体"/>
        </w:rPr>
      </w:pPr>
      <w:r>
        <w:rPr>
          <w:rFonts w:hint="eastAsia" w:hAnsi="宋体" w:cs="宋体"/>
        </w:rPr>
        <w:t>消防员装备应包括：隔热防护服、消防靴、手套、头盔、有绝缘柄的消防斧及可连续使用3</w:t>
      </w:r>
      <w:r>
        <w:rPr>
          <w:rFonts w:hint="eastAsia" w:hAnsi="宋体" w:cs="宋体"/>
          <w:sz w:val="10"/>
          <w:szCs w:val="10"/>
        </w:rPr>
        <w:t xml:space="preserve"> </w:t>
      </w:r>
      <w:r>
        <w:rPr>
          <w:rFonts w:hint="eastAsia" w:hAnsi="宋体" w:cs="宋体"/>
        </w:rPr>
        <w:t>h的手提式安全灯；</w:t>
      </w:r>
    </w:p>
    <w:p w14:paraId="606DAF47">
      <w:pPr>
        <w:pStyle w:val="305"/>
        <w:numPr>
          <w:ilvl w:val="0"/>
          <w:numId w:val="104"/>
        </w:numPr>
        <w:rPr>
          <w:rFonts w:ascii="Times New Roman"/>
        </w:rPr>
      </w:pPr>
      <w:r>
        <w:rPr>
          <w:rFonts w:hint="eastAsia" w:hAnsi="宋体" w:cs="宋体"/>
        </w:rPr>
        <w:t>消防员应配备1具自给式压缩空气呼吸器，气瓶储气量至少为30</w:t>
      </w:r>
      <w:r>
        <w:rPr>
          <w:rFonts w:hint="eastAsia" w:hAnsi="宋体" w:cs="宋体"/>
          <w:sz w:val="10"/>
          <w:szCs w:val="10"/>
        </w:rPr>
        <w:t xml:space="preserve"> </w:t>
      </w:r>
      <w:r>
        <w:rPr>
          <w:rFonts w:hint="eastAsia" w:hAnsi="宋体" w:cs="宋体"/>
        </w:rPr>
        <w:t>min。若</w:t>
      </w:r>
      <w:r>
        <w:rPr>
          <w:rFonts w:ascii="Times New Roman"/>
        </w:rPr>
        <w:t>气瓶无法再次充气，应配备对应数量的备用气瓶</w:t>
      </w:r>
      <w:r>
        <w:rPr>
          <w:rFonts w:hint="eastAsia" w:ascii="Times New Roman"/>
        </w:rPr>
        <w:t>。</w:t>
      </w:r>
    </w:p>
    <w:p w14:paraId="43DB57A5">
      <w:pPr>
        <w:pStyle w:val="261"/>
        <w:spacing w:before="156" w:after="156"/>
        <w:outlineLvl w:val="2"/>
      </w:pPr>
      <w:r>
        <w:rPr>
          <w:rFonts w:hint="eastAsia"/>
        </w:rPr>
        <w:t>灭火器</w:t>
      </w:r>
    </w:p>
    <w:p w14:paraId="1346E958">
      <w:pPr>
        <w:pStyle w:val="305"/>
        <w:numPr>
          <w:ilvl w:val="0"/>
          <w:numId w:val="0"/>
        </w:numPr>
        <w:ind w:left="420"/>
      </w:pPr>
      <w:r>
        <w:rPr>
          <w:rFonts w:hint="eastAsia"/>
        </w:rPr>
        <w:t>灭火器应满足下列要求：</w:t>
      </w:r>
    </w:p>
    <w:p w14:paraId="3A60133F">
      <w:pPr>
        <w:pStyle w:val="305"/>
        <w:numPr>
          <w:ilvl w:val="0"/>
          <w:numId w:val="105"/>
        </w:numPr>
      </w:pPr>
      <w:r>
        <w:t>灭火器容量</w:t>
      </w:r>
      <w:r>
        <w:rPr>
          <w:rFonts w:hint="eastAsia"/>
        </w:rPr>
        <w:t>：</w:t>
      </w:r>
    </w:p>
    <w:p w14:paraId="5AE91C76">
      <w:pPr>
        <w:pStyle w:val="294"/>
        <w:numPr>
          <w:ilvl w:val="1"/>
          <w:numId w:val="106"/>
        </w:numPr>
      </w:pPr>
      <w:r>
        <w:t>每具干粉或二氧化碳灭火器应至少具有5</w:t>
      </w:r>
      <w:r>
        <w:rPr>
          <w:rFonts w:hint="eastAsia" w:hAnsi="宋体" w:cs="宋体"/>
          <w:sz w:val="10"/>
          <w:szCs w:val="10"/>
        </w:rPr>
        <w:t xml:space="preserve"> </w:t>
      </w:r>
      <w:r>
        <w:t>kg的容量；</w:t>
      </w:r>
    </w:p>
    <w:p w14:paraId="667252E3">
      <w:pPr>
        <w:pStyle w:val="294"/>
        <w:numPr>
          <w:ilvl w:val="1"/>
          <w:numId w:val="106"/>
        </w:numPr>
      </w:pPr>
      <w:r>
        <w:t>每具泡沫灭火器应至少具有9</w:t>
      </w:r>
      <w:r>
        <w:rPr>
          <w:rFonts w:hint="eastAsia" w:hAnsi="宋体" w:cs="宋体"/>
          <w:sz w:val="10"/>
          <w:szCs w:val="10"/>
        </w:rPr>
        <w:t xml:space="preserve"> </w:t>
      </w:r>
      <w:r>
        <w:t>L的容量；</w:t>
      </w:r>
    </w:p>
    <w:p w14:paraId="122CAA95">
      <w:pPr>
        <w:pStyle w:val="294"/>
        <w:numPr>
          <w:ilvl w:val="1"/>
          <w:numId w:val="106"/>
        </w:numPr>
      </w:pPr>
      <w:r>
        <w:t>所有手提灭火器的质量应不超过23</w:t>
      </w:r>
      <w:r>
        <w:rPr>
          <w:rFonts w:hint="eastAsia" w:hAnsi="宋体" w:cs="宋体"/>
          <w:sz w:val="10"/>
          <w:szCs w:val="10"/>
        </w:rPr>
        <w:t xml:space="preserve"> </w:t>
      </w:r>
      <w:r>
        <w:t>kg，其灭火性能应至少与9</w:t>
      </w:r>
      <w:r>
        <w:rPr>
          <w:rFonts w:hint="eastAsia" w:hAnsi="宋体" w:cs="宋体"/>
          <w:sz w:val="10"/>
          <w:szCs w:val="10"/>
        </w:rPr>
        <w:t xml:space="preserve"> </w:t>
      </w:r>
      <w:r>
        <w:rPr>
          <w:rFonts w:hint="eastAsia"/>
        </w:rPr>
        <w:t>L</w:t>
      </w:r>
      <w:r>
        <w:t>液体灭火器相当。</w:t>
      </w:r>
    </w:p>
    <w:p w14:paraId="612D8172">
      <w:pPr>
        <w:pStyle w:val="305"/>
        <w:numPr>
          <w:ilvl w:val="0"/>
          <w:numId w:val="105"/>
        </w:numPr>
        <w:rPr>
          <w:rFonts w:ascii="Times New Roman"/>
        </w:rPr>
      </w:pPr>
      <w:r>
        <w:rPr>
          <w:rFonts w:ascii="Times New Roman"/>
        </w:rPr>
        <w:t>起居处所</w:t>
      </w:r>
      <w:r>
        <w:rPr>
          <w:rFonts w:hint="eastAsia"/>
        </w:rPr>
        <w:t>：</w:t>
      </w:r>
    </w:p>
    <w:p w14:paraId="4DE3533C">
      <w:pPr>
        <w:ind w:left="840" w:leftChars="400"/>
      </w:pPr>
      <w:r>
        <w:t>每个居住室应至少配备一个手提式灭火器</w:t>
      </w:r>
      <w:r>
        <w:rPr>
          <w:rFonts w:hint="eastAsia"/>
        </w:rPr>
        <w:t>（非二氧化碳类）</w:t>
      </w:r>
      <w:r>
        <w:t>；走廊进出口处和每隔</w:t>
      </w:r>
      <w:r>
        <w:rPr>
          <w:rFonts w:hint="eastAsia" w:ascii="宋体" w:hAnsi="宋体" w:eastAsia="宋体" w:cs="宋体"/>
        </w:rPr>
        <w:t>10m的</w:t>
      </w:r>
      <w:r>
        <w:t>地方应配备一个手提式灭火器。</w:t>
      </w:r>
    </w:p>
    <w:p w14:paraId="001B05DC">
      <w:pPr>
        <w:pStyle w:val="305"/>
        <w:numPr>
          <w:ilvl w:val="0"/>
          <w:numId w:val="105"/>
        </w:numPr>
      </w:pPr>
      <w:r>
        <w:t>服务处所</w:t>
      </w:r>
      <w:r>
        <w:rPr>
          <w:rFonts w:hint="eastAsia"/>
        </w:rPr>
        <w:t>：</w:t>
      </w:r>
    </w:p>
    <w:p w14:paraId="3A93F154">
      <w:pPr>
        <w:widowControl/>
        <w:ind w:left="840" w:leftChars="400"/>
        <w:jc w:val="left"/>
        <w:rPr>
          <w:rFonts w:hint="eastAsia" w:ascii="宋体" w:hAnsi="宋体" w:cs="宋体"/>
          <w:kern w:val="0"/>
          <w:szCs w:val="21"/>
        </w:rPr>
      </w:pPr>
      <w:r>
        <w:rPr>
          <w:rFonts w:ascii="宋体" w:hAnsi="宋体" w:cs="宋体"/>
          <w:kern w:val="0"/>
          <w:szCs w:val="21"/>
        </w:rPr>
        <w:t>每个厨房应至少配备一个手提式灭火器</w:t>
      </w:r>
      <w:r>
        <w:rPr>
          <w:rFonts w:hint="eastAsia" w:ascii="宋体" w:hAnsi="宋体" w:cs="宋体"/>
          <w:kern w:val="0"/>
          <w:szCs w:val="21"/>
        </w:rPr>
        <w:t>（非二氧化碳类）</w:t>
      </w:r>
      <w:r>
        <w:rPr>
          <w:rFonts w:ascii="宋体" w:hAnsi="宋体" w:cs="宋体"/>
          <w:kern w:val="0"/>
          <w:szCs w:val="21"/>
        </w:rPr>
        <w:t>，每个储藏室出口附近至少应配备一个手提式灭火器。</w:t>
      </w:r>
    </w:p>
    <w:p w14:paraId="5C92C00A">
      <w:pPr>
        <w:pStyle w:val="305"/>
        <w:numPr>
          <w:ilvl w:val="0"/>
          <w:numId w:val="105"/>
        </w:numPr>
      </w:pPr>
      <w:r>
        <w:t>控制站</w:t>
      </w:r>
      <w:r>
        <w:rPr>
          <w:rFonts w:hint="eastAsia"/>
        </w:rPr>
        <w:t>：</w:t>
      </w:r>
    </w:p>
    <w:p w14:paraId="49E6383D">
      <w:pPr>
        <w:pStyle w:val="521"/>
        <w:ind w:firstLine="840" w:firstLineChars="400"/>
        <w:rPr>
          <w:rFonts w:ascii="Times New Roman"/>
        </w:rPr>
      </w:pPr>
      <w:r>
        <w:rPr>
          <w:rFonts w:ascii="Times New Roman"/>
        </w:rPr>
        <w:t>中央控制室及无线电室的出口附近应</w:t>
      </w:r>
      <w:r>
        <w:rPr>
          <w:rFonts w:hint="eastAsia" w:ascii="Times New Roman"/>
        </w:rPr>
        <w:t>至少</w:t>
      </w:r>
      <w:r>
        <w:rPr>
          <w:rFonts w:ascii="Times New Roman"/>
        </w:rPr>
        <w:t>配备一个手提式灭火器</w:t>
      </w:r>
      <w:r>
        <w:rPr>
          <w:rFonts w:hint="eastAsia"/>
        </w:rPr>
        <w:t>（非二氧化碳类）</w:t>
      </w:r>
      <w:r>
        <w:rPr>
          <w:rFonts w:ascii="Times New Roman"/>
        </w:rPr>
        <w:t>。</w:t>
      </w:r>
    </w:p>
    <w:p w14:paraId="2563A363">
      <w:pPr>
        <w:pStyle w:val="305"/>
        <w:numPr>
          <w:ilvl w:val="0"/>
          <w:numId w:val="105"/>
        </w:numPr>
        <w:rPr>
          <w:rFonts w:hint="eastAsia" w:hAnsi="宋体" w:cs="宋体"/>
        </w:rPr>
      </w:pPr>
      <w:r>
        <w:rPr>
          <w:rFonts w:hint="eastAsia" w:hAnsi="宋体" w:cs="宋体"/>
        </w:rPr>
        <w:t>“A”类机器处所：</w:t>
      </w:r>
    </w:p>
    <w:p w14:paraId="39574375">
      <w:pPr>
        <w:pStyle w:val="325"/>
        <w:numPr>
          <w:ilvl w:val="0"/>
          <w:numId w:val="0"/>
        </w:numPr>
        <w:ind w:firstLine="840" w:firstLineChars="400"/>
        <w:rPr>
          <w:rFonts w:ascii="Times New Roman"/>
        </w:rPr>
      </w:pPr>
      <w:r>
        <w:rPr>
          <w:rFonts w:hint="eastAsia" w:hAnsi="宋体" w:cs="宋体"/>
        </w:rPr>
        <w:t>合计总输出功率等于或大于375</w:t>
      </w:r>
      <w:r>
        <w:rPr>
          <w:rFonts w:hint="eastAsia" w:hAnsi="宋体" w:cs="宋体"/>
          <w:sz w:val="10"/>
          <w:szCs w:val="10"/>
        </w:rPr>
        <w:t xml:space="preserve"> </w:t>
      </w:r>
      <w:r>
        <w:rPr>
          <w:rFonts w:hint="eastAsia" w:hAnsi="宋体" w:cs="宋体"/>
        </w:rPr>
        <w:t>kW</w:t>
      </w:r>
      <w:r>
        <w:rPr>
          <w:rFonts w:ascii="Times New Roman"/>
        </w:rPr>
        <w:t>的内燃机处所应设置固定式灭火系统。</w:t>
      </w:r>
    </w:p>
    <w:p w14:paraId="308B9BFF">
      <w:pPr>
        <w:pStyle w:val="305"/>
        <w:numPr>
          <w:ilvl w:val="0"/>
          <w:numId w:val="105"/>
        </w:numPr>
        <w:rPr>
          <w:rFonts w:ascii="Times New Roman"/>
        </w:rPr>
      </w:pPr>
      <w:r>
        <w:rPr>
          <w:rFonts w:ascii="Times New Roman"/>
        </w:rPr>
        <w:t>其</w:t>
      </w:r>
      <w:r>
        <w:rPr>
          <w:rFonts w:hint="eastAsia" w:ascii="Times New Roman"/>
        </w:rPr>
        <w:t>他</w:t>
      </w:r>
      <w:r>
        <w:rPr>
          <w:rFonts w:ascii="Times New Roman"/>
        </w:rPr>
        <w:t>机器处所</w:t>
      </w:r>
      <w:r>
        <w:rPr>
          <w:rFonts w:hint="eastAsia" w:ascii="Times New Roman"/>
        </w:rPr>
        <w:t>：</w:t>
      </w:r>
    </w:p>
    <w:p w14:paraId="31A54325">
      <w:pPr>
        <w:pStyle w:val="294"/>
        <w:numPr>
          <w:ilvl w:val="1"/>
          <w:numId w:val="107"/>
        </w:numPr>
      </w:pPr>
      <w:r>
        <w:t>应配置每只容量不小于45</w:t>
      </w:r>
      <w:r>
        <w:rPr>
          <w:rFonts w:hint="eastAsia" w:hAnsi="宋体" w:cs="宋体"/>
          <w:sz w:val="10"/>
          <w:szCs w:val="10"/>
        </w:rPr>
        <w:t xml:space="preserve"> </w:t>
      </w:r>
      <w:r>
        <w:t>L的泡沫灭火器（或等效设备）和手提式灭火器</w:t>
      </w:r>
      <w:r>
        <w:rPr>
          <w:rFonts w:hint="eastAsia"/>
        </w:rPr>
        <w:t>；</w:t>
      </w:r>
    </w:p>
    <w:p w14:paraId="41E4E43A">
      <w:pPr>
        <w:pStyle w:val="294"/>
        <w:numPr>
          <w:ilvl w:val="1"/>
          <w:numId w:val="107"/>
        </w:numPr>
      </w:pPr>
      <w:r>
        <w:t>任何有失火危险的其</w:t>
      </w:r>
      <w:r>
        <w:rPr>
          <w:rFonts w:hint="eastAsia"/>
        </w:rPr>
        <w:t>他</w:t>
      </w:r>
      <w:r>
        <w:t>机器处所，包括起重机应按所用规范、标准的有关规定设置手提式灭火器具</w:t>
      </w:r>
      <w:r>
        <w:rPr>
          <w:rFonts w:hint="eastAsia"/>
        </w:rPr>
        <w:t>。</w:t>
      </w:r>
    </w:p>
    <w:p w14:paraId="0D4A651A">
      <w:pPr>
        <w:pStyle w:val="305"/>
        <w:numPr>
          <w:ilvl w:val="0"/>
          <w:numId w:val="105"/>
        </w:numPr>
        <w:rPr>
          <w:rFonts w:ascii="Times New Roman"/>
        </w:rPr>
      </w:pPr>
      <w:r>
        <w:rPr>
          <w:rFonts w:ascii="Times New Roman"/>
        </w:rPr>
        <w:t>各层生产甲板应根据着火介质性质配置对应种类手提式灭火器，每种灭火器的数量至少为两具，其布置应使从甲板任何一点到达灭火器的距离不大于</w:t>
      </w:r>
      <w:r>
        <w:rPr>
          <w:rFonts w:hint="eastAsia" w:hAnsi="宋体" w:cs="宋体"/>
        </w:rPr>
        <w:t>10</w:t>
      </w:r>
      <w:r>
        <w:rPr>
          <w:rFonts w:hint="eastAsia" w:hAnsi="宋体" w:cs="宋体"/>
          <w:sz w:val="10"/>
          <w:szCs w:val="10"/>
        </w:rPr>
        <w:t xml:space="preserve"> </w:t>
      </w:r>
      <w:r>
        <w:rPr>
          <w:rFonts w:hint="eastAsia" w:hAnsi="宋体" w:cs="宋体"/>
        </w:rPr>
        <w:t>m。</w:t>
      </w:r>
    </w:p>
    <w:p w14:paraId="0AB04D99">
      <w:pPr>
        <w:pStyle w:val="259"/>
        <w:outlineLvl w:val="0"/>
      </w:pPr>
      <w:bookmarkStart w:id="275" w:name="_Toc1333"/>
      <w:r>
        <w:rPr>
          <w:rFonts w:hint="eastAsia"/>
        </w:rPr>
        <w:t>救生和逃生系统</w:t>
      </w:r>
      <w:bookmarkEnd w:id="275"/>
    </w:p>
    <w:p w14:paraId="1CB022CA">
      <w:pPr>
        <w:pStyle w:val="260"/>
        <w:outlineLvl w:val="1"/>
      </w:pPr>
      <w:bookmarkStart w:id="276" w:name="_Toc11783"/>
      <w:r>
        <w:rPr>
          <w:rFonts w:hint="eastAsia"/>
        </w:rPr>
        <w:t>一般规定</w:t>
      </w:r>
      <w:bookmarkEnd w:id="276"/>
    </w:p>
    <w:p w14:paraId="267C8EF7">
      <w:pPr>
        <w:pStyle w:val="326"/>
      </w:pPr>
      <w:r>
        <w:t>平台应配备救</w:t>
      </w:r>
      <w:r>
        <w:rPr>
          <w:rFonts w:hint="eastAsia"/>
        </w:rPr>
        <w:t>生和</w:t>
      </w:r>
      <w:r>
        <w:t>逃生系统，由救生艇、救助艇、救生筏、个人救生设备、遇险信号、逃生用具等救逃生设备和装置组成。</w:t>
      </w:r>
    </w:p>
    <w:p w14:paraId="1AF5B59B">
      <w:pPr>
        <w:pStyle w:val="326"/>
      </w:pPr>
      <w:r>
        <w:t>本章所规定的逃生和救生装置</w:t>
      </w:r>
      <w:r>
        <w:rPr>
          <w:rFonts w:hint="eastAsia"/>
        </w:rPr>
        <w:t>应</w:t>
      </w:r>
      <w:r>
        <w:t>符合LSA规则的相关规定，并经发证检验机构认可。</w:t>
      </w:r>
    </w:p>
    <w:p w14:paraId="34569060">
      <w:pPr>
        <w:pStyle w:val="326"/>
      </w:pPr>
      <w:r>
        <w:t>平台逃生和救生装置应能在平台所处海域的气温</w:t>
      </w:r>
      <w:r>
        <w:rPr>
          <w:rFonts w:hint="eastAsia"/>
        </w:rPr>
        <w:t>和水温</w:t>
      </w:r>
      <w:r>
        <w:t>范围内</w:t>
      </w:r>
      <w:r>
        <w:rPr>
          <w:rFonts w:hint="eastAsia"/>
        </w:rPr>
        <w:t>存放，在紧急情况下应能立刻投入使用。</w:t>
      </w:r>
    </w:p>
    <w:p w14:paraId="287F6BFA">
      <w:pPr>
        <w:pStyle w:val="326"/>
      </w:pPr>
      <w:bookmarkStart w:id="277" w:name="_Toc28943"/>
      <w:r>
        <w:t>平台逃生和救生装置应标明其适用年限或必须更换的日期</w:t>
      </w:r>
      <w:r>
        <w:rPr>
          <w:rFonts w:hint="eastAsia"/>
        </w:rPr>
        <w:t>（如有）</w:t>
      </w:r>
      <w:r>
        <w:t>。</w:t>
      </w:r>
    </w:p>
    <w:p w14:paraId="1C9D3763">
      <w:pPr>
        <w:pStyle w:val="326"/>
      </w:pPr>
      <w:r>
        <w:t>救生和逃生设备和装置应满足平台总人数要求。</w:t>
      </w:r>
    </w:p>
    <w:p w14:paraId="5AA9F3D5">
      <w:pPr>
        <w:pStyle w:val="326"/>
      </w:pPr>
      <w:r>
        <w:t>无人驻守平台上可不设救生艇</w:t>
      </w:r>
      <w:r>
        <w:rPr>
          <w:rFonts w:hint="eastAsia"/>
        </w:rPr>
        <w:t>装置</w:t>
      </w:r>
      <w:r>
        <w:t>。</w:t>
      </w:r>
    </w:p>
    <w:p w14:paraId="16DD4E02">
      <w:pPr>
        <w:pStyle w:val="260"/>
        <w:outlineLvl w:val="1"/>
      </w:pPr>
      <w:r>
        <w:rPr>
          <w:rFonts w:hint="eastAsia"/>
        </w:rPr>
        <w:t>救生艇装置</w:t>
      </w:r>
      <w:bookmarkEnd w:id="277"/>
    </w:p>
    <w:p w14:paraId="34EC3174">
      <w:pPr>
        <w:pStyle w:val="326"/>
        <w:numPr>
          <w:ilvl w:val="2"/>
          <w:numId w:val="0"/>
        </w:numPr>
        <w:ind w:firstLine="420" w:firstLineChars="200"/>
      </w:pPr>
      <w:r>
        <w:rPr>
          <w:rFonts w:hint="eastAsia"/>
        </w:rPr>
        <w:t>有人驻守</w:t>
      </w:r>
      <w:r>
        <w:t>平台应配备救生艇装置</w:t>
      </w:r>
      <w:r>
        <w:rPr>
          <w:rFonts w:hint="eastAsia"/>
        </w:rPr>
        <w:t>，</w:t>
      </w:r>
      <w:r>
        <w:t>该装置包括刚性全封闭机动耐火救生艇、吊艇架、起艇机及登乘甲板等。</w:t>
      </w:r>
      <w:r>
        <w:rPr>
          <w:rFonts w:hint="eastAsia"/>
        </w:rPr>
        <w:t>救生艇装置的布置应符合下列规定：</w:t>
      </w:r>
    </w:p>
    <w:p w14:paraId="18A9926E">
      <w:pPr>
        <w:pStyle w:val="305"/>
        <w:numPr>
          <w:ilvl w:val="0"/>
          <w:numId w:val="108"/>
        </w:numPr>
      </w:pPr>
      <w:r>
        <w:t>救生艇装置应设置在非危险区内，应尽可能靠近起居和服务处所，保证在应急时能安全使用</w:t>
      </w:r>
      <w:r>
        <w:rPr>
          <w:rFonts w:hint="eastAsia"/>
        </w:rPr>
        <w:t>；</w:t>
      </w:r>
    </w:p>
    <w:p w14:paraId="135FDCBE">
      <w:pPr>
        <w:pStyle w:val="305"/>
        <w:numPr>
          <w:ilvl w:val="0"/>
          <w:numId w:val="108"/>
        </w:numPr>
      </w:pPr>
      <w:r>
        <w:t>救生艇装置的存放处</w:t>
      </w:r>
      <w:r>
        <w:rPr>
          <w:rFonts w:hint="eastAsia"/>
        </w:rPr>
        <w:t>及附近区域</w:t>
      </w:r>
      <w:r>
        <w:t>应具有足够面积的登艇集合区</w:t>
      </w:r>
      <w:r>
        <w:rPr>
          <w:rFonts w:hint="eastAsia"/>
        </w:rPr>
        <w:t>；</w:t>
      </w:r>
    </w:p>
    <w:p w14:paraId="4DD9EF28">
      <w:pPr>
        <w:pStyle w:val="305"/>
        <w:numPr>
          <w:ilvl w:val="0"/>
          <w:numId w:val="108"/>
        </w:numPr>
      </w:pPr>
      <w:r>
        <w:t>从起居处所至救生艇装置的存放处应至少设有尽可能远离的两个通道</w:t>
      </w:r>
      <w:r>
        <w:rPr>
          <w:rFonts w:hint="eastAsia"/>
        </w:rPr>
        <w:t>，</w:t>
      </w:r>
      <w:r>
        <w:t>应急时能保证人员顺利登乘</w:t>
      </w:r>
      <w:r>
        <w:rPr>
          <w:rFonts w:hint="eastAsia"/>
        </w:rPr>
        <w:t>；</w:t>
      </w:r>
    </w:p>
    <w:p w14:paraId="0C2E2A00">
      <w:pPr>
        <w:pStyle w:val="305"/>
        <w:numPr>
          <w:ilvl w:val="0"/>
          <w:numId w:val="108"/>
        </w:numPr>
      </w:pPr>
      <w:r>
        <w:t>救生艇的登乘地点和通往登乘地点的通道、梯道及出口应设足够的照明和应急照明。</w:t>
      </w:r>
    </w:p>
    <w:p w14:paraId="0D7A5722">
      <w:pPr>
        <w:pStyle w:val="261"/>
        <w:spacing w:before="156" w:after="156"/>
        <w:outlineLvl w:val="2"/>
      </w:pPr>
      <w:r>
        <w:rPr>
          <w:rFonts w:hint="eastAsia"/>
        </w:rPr>
        <w:t>救生艇</w:t>
      </w:r>
    </w:p>
    <w:p w14:paraId="48BE4C88">
      <w:pPr>
        <w:pStyle w:val="327"/>
      </w:pPr>
      <w:r>
        <w:t>救生艇应能容纳</w:t>
      </w:r>
      <w:r>
        <w:rPr>
          <w:rFonts w:hint="eastAsia"/>
        </w:rPr>
        <w:t>平台</w:t>
      </w:r>
      <w:r>
        <w:t>总人数，若平台总人数超过30人，所配备的救生艇装置不应少于2套。</w:t>
      </w:r>
    </w:p>
    <w:p w14:paraId="08A1B283">
      <w:pPr>
        <w:pStyle w:val="327"/>
      </w:pPr>
      <w:r>
        <w:t>救生艇为刚性全封闭机动耐火救生艇，其设计、建造和试验应经发证检验机构认可。</w:t>
      </w:r>
    </w:p>
    <w:p w14:paraId="7E5459EE">
      <w:pPr>
        <w:pStyle w:val="327"/>
      </w:pPr>
      <w:r>
        <w:t>每条救生艇内应配备该救生艇装置的操作手册和该艇乘员名单。</w:t>
      </w:r>
    </w:p>
    <w:p w14:paraId="553B7D83">
      <w:pPr>
        <w:pStyle w:val="327"/>
      </w:pPr>
      <w:r>
        <w:t>救生艇的全部额定乘员登艇后，应能在救生艇内将其降落并释放到水面上。</w:t>
      </w:r>
    </w:p>
    <w:p w14:paraId="4A6D0AB1">
      <w:pPr>
        <w:pStyle w:val="261"/>
        <w:spacing w:before="156" w:after="156"/>
        <w:outlineLvl w:val="2"/>
      </w:pPr>
      <w:r>
        <w:rPr>
          <w:rFonts w:hint="eastAsia"/>
        </w:rPr>
        <w:t>起艇机</w:t>
      </w:r>
    </w:p>
    <w:p w14:paraId="1AC17048">
      <w:pPr>
        <w:pStyle w:val="521"/>
        <w:ind w:firstLine="420"/>
      </w:pPr>
      <w:r>
        <w:t>平台救生艇装置应设动力驱动的起艇机</w:t>
      </w:r>
      <w:r>
        <w:rPr>
          <w:rFonts w:hint="eastAsia"/>
        </w:rPr>
        <w:t>，</w:t>
      </w:r>
      <w:r>
        <w:t>该起艇机应符合下列规定</w:t>
      </w:r>
      <w:r>
        <w:rPr>
          <w:rFonts w:hint="eastAsia"/>
        </w:rPr>
        <w:t>：</w:t>
      </w:r>
    </w:p>
    <w:p w14:paraId="72CD5BF2">
      <w:pPr>
        <w:pStyle w:val="305"/>
        <w:numPr>
          <w:ilvl w:val="0"/>
          <w:numId w:val="109"/>
        </w:numPr>
      </w:pPr>
      <w:r>
        <w:t>设有手制动器和自动调节下降速度的调速制动器</w:t>
      </w:r>
      <w:r>
        <w:rPr>
          <w:rFonts w:hint="eastAsia"/>
        </w:rPr>
        <w:t>；</w:t>
      </w:r>
    </w:p>
    <w:p w14:paraId="4A60A0FD">
      <w:pPr>
        <w:pStyle w:val="305"/>
        <w:numPr>
          <w:ilvl w:val="0"/>
          <w:numId w:val="109"/>
        </w:numPr>
      </w:pPr>
      <w:r>
        <w:t>除设有机动装置用以回收救生艇外还应配有有效的手动装置</w:t>
      </w:r>
      <w:r>
        <w:rPr>
          <w:rFonts w:hint="eastAsia"/>
        </w:rPr>
        <w:t>；</w:t>
      </w:r>
    </w:p>
    <w:p w14:paraId="253A213D">
      <w:pPr>
        <w:pStyle w:val="305"/>
        <w:numPr>
          <w:ilvl w:val="0"/>
          <w:numId w:val="109"/>
        </w:numPr>
      </w:pPr>
      <w:r>
        <w:rPr>
          <w:rFonts w:hint="eastAsia"/>
        </w:rPr>
        <w:t>应设有收回每艘救生艇筏和救助艇的有效的手动装置；在救生艇筏和救助艇下降时，或使用动力吊起时，绞车的转动部分应不使手动装置手柄或手轮旋转；</w:t>
      </w:r>
    </w:p>
    <w:p w14:paraId="739CD08B">
      <w:pPr>
        <w:pStyle w:val="305"/>
        <w:numPr>
          <w:ilvl w:val="0"/>
          <w:numId w:val="109"/>
        </w:numPr>
      </w:pPr>
      <w:r>
        <w:t>所配备的吊艇索应是无旋转、耐腐蚀的绳索</w:t>
      </w:r>
      <w:r>
        <w:rPr>
          <w:rFonts w:hint="eastAsia"/>
        </w:rPr>
        <w:t>；</w:t>
      </w:r>
    </w:p>
    <w:p w14:paraId="17B8E2D4">
      <w:pPr>
        <w:pStyle w:val="305"/>
        <w:numPr>
          <w:ilvl w:val="0"/>
          <w:numId w:val="109"/>
        </w:numPr>
      </w:pPr>
      <w:r>
        <w:t>应装设安全装置，在吊艇架吊比回到原位限制器之前要自由地切断动力，或马达设计为能防止吊艇索或吊艇架遭受过度应力。</w:t>
      </w:r>
    </w:p>
    <w:p w14:paraId="0F1980E0">
      <w:pPr>
        <w:pStyle w:val="261"/>
        <w:spacing w:before="156" w:after="156"/>
        <w:outlineLvl w:val="2"/>
      </w:pPr>
      <w:bookmarkStart w:id="278" w:name="_Toc17775"/>
      <w:r>
        <w:rPr>
          <w:rFonts w:hint="eastAsia"/>
        </w:rPr>
        <w:t>吊艇架</w:t>
      </w:r>
    </w:p>
    <w:p w14:paraId="4BA2BDB8">
      <w:pPr>
        <w:pStyle w:val="327"/>
      </w:pPr>
      <w:r>
        <w:t>平台救生艇装置应装设一副独立的重力式吊艇架。</w:t>
      </w:r>
    </w:p>
    <w:p w14:paraId="5483B202">
      <w:pPr>
        <w:pStyle w:val="327"/>
      </w:pPr>
      <w:r>
        <w:t>吊艇架应有足够的强度，并应安装在平台的承重结构上。</w:t>
      </w:r>
    </w:p>
    <w:p w14:paraId="69A709A7">
      <w:pPr>
        <w:pStyle w:val="327"/>
      </w:pPr>
      <w:r>
        <w:t>吊艇架应在出厂前进行强度试验，</w:t>
      </w:r>
      <w:r>
        <w:rPr>
          <w:rFonts w:hint="eastAsia"/>
        </w:rPr>
        <w:t>工厂静</w:t>
      </w:r>
      <w:r>
        <w:t>试验负荷</w:t>
      </w:r>
      <w:r>
        <w:rPr>
          <w:rFonts w:hint="eastAsia"/>
        </w:rPr>
        <w:t>不小于</w:t>
      </w:r>
      <w:r>
        <w:t>最大工作负荷的</w:t>
      </w:r>
      <w:r>
        <w:rPr>
          <w:rFonts w:hint="eastAsia"/>
        </w:rPr>
        <w:t>2.2</w:t>
      </w:r>
      <w:r>
        <w:t>倍。</w:t>
      </w:r>
    </w:p>
    <w:p w14:paraId="0AE209C9">
      <w:pPr>
        <w:pStyle w:val="327"/>
      </w:pPr>
      <w:r>
        <w:t>吊艇架安装于平台后，应进行救生艇升、降试验</w:t>
      </w:r>
      <w:r>
        <w:rPr>
          <w:rFonts w:hint="eastAsia"/>
        </w:rPr>
        <w:t>，</w:t>
      </w:r>
      <w:r>
        <w:t>试验后的吊艇架及其附件不得有影响强度的缺陷。</w:t>
      </w:r>
    </w:p>
    <w:p w14:paraId="5501FA1F">
      <w:pPr>
        <w:pStyle w:val="260"/>
        <w:outlineLvl w:val="1"/>
      </w:pPr>
      <w:r>
        <w:rPr>
          <w:rFonts w:hint="eastAsia"/>
        </w:rPr>
        <w:t>救助艇</w:t>
      </w:r>
      <w:bookmarkEnd w:id="278"/>
    </w:p>
    <w:p w14:paraId="06B600C6">
      <w:pPr>
        <w:pStyle w:val="326"/>
      </w:pPr>
      <w:r>
        <w:t>平台群中</w:t>
      </w:r>
      <w:r>
        <w:rPr>
          <w:rFonts w:hint="eastAsia"/>
        </w:rPr>
        <w:t>带</w:t>
      </w:r>
      <w:r>
        <w:t>生活</w:t>
      </w:r>
      <w:r>
        <w:rPr>
          <w:rFonts w:hint="eastAsia"/>
        </w:rPr>
        <w:t>区的平台</w:t>
      </w:r>
      <w:r>
        <w:t>应配备一艘符合</w:t>
      </w:r>
      <w:r>
        <w:rPr>
          <w:rFonts w:hint="eastAsia" w:ascii="宋体" w:hAnsi="宋体" w:eastAsia="宋体" w:cs="宋体"/>
        </w:rPr>
        <w:t>SOLAS</w:t>
      </w:r>
      <w:r>
        <w:t>要求的救助艇。</w:t>
      </w:r>
    </w:p>
    <w:p w14:paraId="58AC1B37">
      <w:pPr>
        <w:pStyle w:val="326"/>
      </w:pPr>
      <w:r>
        <w:t>平台所配备的救助艇应符合下列规定</w:t>
      </w:r>
      <w:r>
        <w:rPr>
          <w:rFonts w:hint="eastAsia"/>
        </w:rPr>
        <w:t>：</w:t>
      </w:r>
    </w:p>
    <w:p w14:paraId="4E3B60D4">
      <w:pPr>
        <w:pStyle w:val="305"/>
        <w:numPr>
          <w:ilvl w:val="0"/>
          <w:numId w:val="110"/>
        </w:numPr>
      </w:pPr>
      <w:r>
        <w:t>可以是刚性的或充气的，或两者混合结构的</w:t>
      </w:r>
      <w:r>
        <w:rPr>
          <w:rFonts w:hint="eastAsia"/>
        </w:rPr>
        <w:t>；</w:t>
      </w:r>
    </w:p>
    <w:p w14:paraId="423FEB84">
      <w:pPr>
        <w:pStyle w:val="305"/>
        <w:numPr>
          <w:ilvl w:val="0"/>
          <w:numId w:val="110"/>
        </w:numPr>
        <w:rPr>
          <w:rFonts w:hint="eastAsia" w:hAnsi="宋体" w:cs="宋体"/>
        </w:rPr>
      </w:pPr>
      <w:r>
        <w:t>长度不小</w:t>
      </w:r>
      <w:r>
        <w:rPr>
          <w:rFonts w:ascii="Times New Roman"/>
        </w:rPr>
        <w:t>于</w:t>
      </w:r>
      <w:r>
        <w:rPr>
          <w:rFonts w:hint="eastAsia" w:hAnsi="宋体" w:cs="宋体"/>
        </w:rPr>
        <w:t>3.8</w:t>
      </w:r>
      <w:r>
        <w:rPr>
          <w:rFonts w:hint="eastAsia" w:hAnsi="宋体" w:cs="宋体"/>
          <w:sz w:val="10"/>
          <w:szCs w:val="10"/>
        </w:rPr>
        <w:t xml:space="preserve"> </w:t>
      </w:r>
      <w:r>
        <w:rPr>
          <w:rFonts w:hint="eastAsia" w:hAnsi="宋体" w:cs="宋体"/>
        </w:rPr>
        <w:t>m，且不大于8.5</w:t>
      </w:r>
      <w:r>
        <w:rPr>
          <w:rFonts w:hint="eastAsia" w:hAnsi="宋体" w:cs="宋体"/>
          <w:sz w:val="10"/>
          <w:szCs w:val="10"/>
        </w:rPr>
        <w:t xml:space="preserve"> </w:t>
      </w:r>
      <w:r>
        <w:rPr>
          <w:rFonts w:hint="eastAsia" w:hAnsi="宋体" w:cs="宋体"/>
        </w:rPr>
        <w:t>m；</w:t>
      </w:r>
    </w:p>
    <w:p w14:paraId="25960E51">
      <w:pPr>
        <w:pStyle w:val="305"/>
        <w:numPr>
          <w:ilvl w:val="0"/>
          <w:numId w:val="110"/>
        </w:numPr>
        <w:rPr>
          <w:rFonts w:hint="eastAsia" w:hAnsi="宋体" w:cs="宋体"/>
        </w:rPr>
      </w:pPr>
      <w:r>
        <w:rPr>
          <w:rFonts w:hint="eastAsia" w:hAnsi="宋体" w:cs="宋体"/>
        </w:rPr>
        <w:t>除至少能容纳5名坐姿乘员，同时还应能容纳一名躺卧乘员；</w:t>
      </w:r>
    </w:p>
    <w:p w14:paraId="5F724C95">
      <w:pPr>
        <w:pStyle w:val="305"/>
        <w:numPr>
          <w:ilvl w:val="0"/>
          <w:numId w:val="110"/>
        </w:numPr>
        <w:rPr>
          <w:rFonts w:hint="eastAsia" w:hAnsi="宋体" w:cs="宋体"/>
        </w:rPr>
      </w:pPr>
      <w:r>
        <w:rPr>
          <w:rFonts w:hint="eastAsia" w:hAnsi="宋体" w:cs="宋体"/>
        </w:rPr>
        <w:t>航速应不小于6节，并在此航速下连续航行4 h；</w:t>
      </w:r>
    </w:p>
    <w:p w14:paraId="4F9DCC91">
      <w:pPr>
        <w:pStyle w:val="305"/>
        <w:numPr>
          <w:ilvl w:val="0"/>
          <w:numId w:val="110"/>
        </w:numPr>
      </w:pPr>
      <w:r>
        <w:t>在波浪中应具有足够的机动性和操纵性，能从水中营救人员和集结救生筏</w:t>
      </w:r>
      <w:r>
        <w:rPr>
          <w:rFonts w:hint="eastAsia"/>
        </w:rPr>
        <w:t>；</w:t>
      </w:r>
    </w:p>
    <w:p w14:paraId="6B391EA6">
      <w:pPr>
        <w:pStyle w:val="305"/>
        <w:numPr>
          <w:ilvl w:val="0"/>
          <w:numId w:val="110"/>
        </w:numPr>
      </w:pPr>
      <w:r>
        <w:t>应设有足够强度的拖带设施和足够强度</w:t>
      </w:r>
      <w:r>
        <w:rPr>
          <w:rFonts w:hint="eastAsia"/>
        </w:rPr>
        <w:t>、</w:t>
      </w:r>
      <w:r>
        <w:t>长度的拖带浮索</w:t>
      </w:r>
      <w:r>
        <w:rPr>
          <w:rFonts w:hint="eastAsia"/>
        </w:rPr>
        <w:t>；</w:t>
      </w:r>
    </w:p>
    <w:p w14:paraId="51274758">
      <w:pPr>
        <w:pStyle w:val="305"/>
        <w:numPr>
          <w:ilvl w:val="0"/>
          <w:numId w:val="110"/>
        </w:numPr>
      </w:pPr>
      <w:r>
        <w:t>配备足够的救助艇属具。</w:t>
      </w:r>
    </w:p>
    <w:p w14:paraId="2A3611A0">
      <w:pPr>
        <w:pStyle w:val="326"/>
      </w:pPr>
      <w:r>
        <w:t>若刚性全封闭机动耐火救生艇能满足对救助艇的要求</w:t>
      </w:r>
      <w:r>
        <w:rPr>
          <w:rFonts w:hint="eastAsia"/>
        </w:rPr>
        <w:t>，</w:t>
      </w:r>
      <w:r>
        <w:t>可</w:t>
      </w:r>
      <w:r>
        <w:rPr>
          <w:rFonts w:hint="eastAsia"/>
        </w:rPr>
        <w:t>兼做</w:t>
      </w:r>
      <w:r>
        <w:t>救助艇。</w:t>
      </w:r>
    </w:p>
    <w:p w14:paraId="734A0A00">
      <w:pPr>
        <w:pStyle w:val="326"/>
      </w:pPr>
      <w:r>
        <w:t>救助艇的存放和降落装置应布置在</w:t>
      </w:r>
      <w:r>
        <w:rPr>
          <w:rFonts w:hint="eastAsia"/>
        </w:rPr>
        <w:t>非危险区</w:t>
      </w:r>
      <w:r>
        <w:t>内</w:t>
      </w:r>
      <w:r>
        <w:rPr>
          <w:rFonts w:hint="eastAsia"/>
        </w:rPr>
        <w:t>，</w:t>
      </w:r>
      <w:r>
        <w:t>并能保证在应急情况时迅速地降落到水面上。</w:t>
      </w:r>
    </w:p>
    <w:p w14:paraId="2A22BCE0">
      <w:pPr>
        <w:pStyle w:val="260"/>
        <w:outlineLvl w:val="1"/>
      </w:pPr>
      <w:bookmarkStart w:id="279" w:name="_Toc11794"/>
      <w:r>
        <w:rPr>
          <w:rFonts w:hint="eastAsia"/>
        </w:rPr>
        <w:t>气胀式救生筏</w:t>
      </w:r>
      <w:bookmarkEnd w:id="279"/>
    </w:p>
    <w:p w14:paraId="524AAD1B">
      <w:pPr>
        <w:pStyle w:val="326"/>
      </w:pPr>
      <w:r>
        <w:t>气胀式救生筏应能容纳</w:t>
      </w:r>
      <w:r>
        <w:rPr>
          <w:rFonts w:hint="eastAsia"/>
        </w:rPr>
        <w:t>平台</w:t>
      </w:r>
      <w:r>
        <w:t>总人数</w:t>
      </w:r>
    </w:p>
    <w:p w14:paraId="78B10501">
      <w:pPr>
        <w:pStyle w:val="305"/>
        <w:numPr>
          <w:ilvl w:val="0"/>
          <w:numId w:val="111"/>
        </w:numPr>
      </w:pPr>
      <w:r>
        <w:rPr>
          <w:rFonts w:hint="eastAsia"/>
        </w:rPr>
        <w:t>有人驻守</w:t>
      </w:r>
      <w:r>
        <w:t>平台，包括平台群中带生活区的平台</w:t>
      </w:r>
      <w:r>
        <w:rPr>
          <w:rFonts w:hint="eastAsia"/>
        </w:rPr>
        <w:t>，</w:t>
      </w:r>
      <w:r>
        <w:t>应配备能容纳其总人数的气胀式救生筏，平台群中的其</w:t>
      </w:r>
      <w:r>
        <w:rPr>
          <w:rFonts w:hint="eastAsia"/>
        </w:rPr>
        <w:t>他</w:t>
      </w:r>
      <w:r>
        <w:t>平台应按各自实际工作的最多人数和特点配备气胀式救生筏</w:t>
      </w:r>
      <w:r>
        <w:rPr>
          <w:rFonts w:hint="eastAsia"/>
        </w:rPr>
        <w:t>；</w:t>
      </w:r>
    </w:p>
    <w:p w14:paraId="4743A3B6">
      <w:pPr>
        <w:pStyle w:val="305"/>
        <w:numPr>
          <w:ilvl w:val="0"/>
          <w:numId w:val="111"/>
        </w:numPr>
      </w:pPr>
      <w:r>
        <w:t>无人驻守平台至少配备1个能容纳12人的气胀式救生筏。</w:t>
      </w:r>
    </w:p>
    <w:p w14:paraId="0D87F9A2">
      <w:pPr>
        <w:pStyle w:val="326"/>
      </w:pPr>
      <w:r>
        <w:t>平台配备的气胀式救生筏应符合下列规定</w:t>
      </w:r>
      <w:r>
        <w:rPr>
          <w:rFonts w:hint="eastAsia"/>
        </w:rPr>
        <w:t>：</w:t>
      </w:r>
    </w:p>
    <w:p w14:paraId="6886D2FC">
      <w:pPr>
        <w:pStyle w:val="327"/>
        <w:numPr>
          <w:ilvl w:val="1"/>
          <w:numId w:val="112"/>
        </w:numPr>
        <w:rPr>
          <w:rFonts w:ascii="Times New Roman"/>
        </w:rPr>
      </w:pPr>
      <w:r>
        <w:rPr>
          <w:rFonts w:ascii="Times New Roman"/>
        </w:rPr>
        <w:t>设有上下两层浮胎或其</w:t>
      </w:r>
      <w:r>
        <w:rPr>
          <w:rFonts w:hint="eastAsia" w:ascii="Times New Roman"/>
        </w:rPr>
        <w:t>他</w:t>
      </w:r>
      <w:r>
        <w:rPr>
          <w:rFonts w:ascii="Times New Roman"/>
        </w:rPr>
        <w:t>等效设施</w:t>
      </w:r>
      <w:r>
        <w:rPr>
          <w:rFonts w:hint="eastAsia" w:ascii="Times New Roman"/>
        </w:rPr>
        <w:t>，</w:t>
      </w:r>
      <w:r>
        <w:rPr>
          <w:rFonts w:ascii="Times New Roman"/>
        </w:rPr>
        <w:t>其浮力分隔舱应为双数</w:t>
      </w:r>
      <w:r>
        <w:rPr>
          <w:rFonts w:hint="eastAsia" w:ascii="Times New Roman"/>
        </w:rPr>
        <w:t>，</w:t>
      </w:r>
      <w:r>
        <w:rPr>
          <w:rFonts w:ascii="Times New Roman"/>
        </w:rPr>
        <w:t>每一分隔舱应设安全阀和止回阀；</w:t>
      </w:r>
    </w:p>
    <w:p w14:paraId="7C18BEF9">
      <w:pPr>
        <w:pStyle w:val="327"/>
        <w:numPr>
          <w:ilvl w:val="1"/>
          <w:numId w:val="112"/>
        </w:numPr>
        <w:rPr>
          <w:rFonts w:ascii="Times New Roman"/>
        </w:rPr>
      </w:pPr>
      <w:r>
        <w:rPr>
          <w:rFonts w:ascii="Times New Roman"/>
        </w:rPr>
        <w:t>设有顶棚</w:t>
      </w:r>
      <w:r>
        <w:rPr>
          <w:rFonts w:hint="eastAsia" w:ascii="Times New Roman"/>
        </w:rPr>
        <w:t>，</w:t>
      </w:r>
      <w:r>
        <w:rPr>
          <w:rFonts w:ascii="Times New Roman"/>
        </w:rPr>
        <w:t>以保护乘员免受因暴露所引起的伤害；</w:t>
      </w:r>
    </w:p>
    <w:p w14:paraId="64376229">
      <w:pPr>
        <w:pStyle w:val="327"/>
        <w:numPr>
          <w:ilvl w:val="1"/>
          <w:numId w:val="112"/>
        </w:numPr>
        <w:rPr>
          <w:rFonts w:ascii="Times New Roman"/>
        </w:rPr>
      </w:pPr>
      <w:r>
        <w:rPr>
          <w:rFonts w:ascii="Times New Roman"/>
        </w:rPr>
        <w:t>当救生筏载足全部额定乘员及属具在海浪中漂浮时应稳定；</w:t>
      </w:r>
    </w:p>
    <w:p w14:paraId="729F2486">
      <w:pPr>
        <w:pStyle w:val="327"/>
        <w:numPr>
          <w:ilvl w:val="1"/>
          <w:numId w:val="112"/>
        </w:numPr>
        <w:rPr>
          <w:rFonts w:ascii="Times New Roman"/>
        </w:rPr>
      </w:pPr>
      <w:r>
        <w:rPr>
          <w:rFonts w:ascii="Times New Roman"/>
        </w:rPr>
        <w:t>筏底应水密，并应能补充气体</w:t>
      </w:r>
      <w:r>
        <w:rPr>
          <w:rFonts w:hint="eastAsia" w:ascii="Times New Roman"/>
        </w:rPr>
        <w:t>，</w:t>
      </w:r>
      <w:r>
        <w:rPr>
          <w:rFonts w:ascii="Times New Roman"/>
        </w:rPr>
        <w:t>以隔热御寒。筏底应设扶正绳</w:t>
      </w:r>
      <w:r>
        <w:rPr>
          <w:rFonts w:hint="eastAsia" w:ascii="Times New Roman"/>
        </w:rPr>
        <w:t>，</w:t>
      </w:r>
      <w:r>
        <w:rPr>
          <w:rFonts w:ascii="Times New Roman"/>
        </w:rPr>
        <w:t>若筏底充气成型呈翻覆状态时</w:t>
      </w:r>
      <w:r>
        <w:rPr>
          <w:rFonts w:hint="eastAsia" w:ascii="Times New Roman"/>
        </w:rPr>
        <w:t>，</w:t>
      </w:r>
      <w:r>
        <w:rPr>
          <w:rFonts w:ascii="Times New Roman"/>
        </w:rPr>
        <w:t>应能由一个人将其扶正；</w:t>
      </w:r>
    </w:p>
    <w:p w14:paraId="4A056E7C">
      <w:pPr>
        <w:pStyle w:val="327"/>
        <w:numPr>
          <w:ilvl w:val="1"/>
          <w:numId w:val="112"/>
        </w:numPr>
        <w:rPr>
          <w:rFonts w:ascii="Times New Roman"/>
        </w:rPr>
      </w:pPr>
      <w:r>
        <w:rPr>
          <w:rFonts w:ascii="Times New Roman"/>
        </w:rPr>
        <w:t>应设两个出入口，每个出入口处应有供落水人员登筏的梯子；</w:t>
      </w:r>
    </w:p>
    <w:p w14:paraId="28DE632A">
      <w:pPr>
        <w:pStyle w:val="327"/>
        <w:numPr>
          <w:ilvl w:val="1"/>
          <w:numId w:val="112"/>
        </w:numPr>
        <w:rPr>
          <w:rFonts w:ascii="Times New Roman"/>
        </w:rPr>
      </w:pPr>
      <w:r>
        <w:rPr>
          <w:rFonts w:ascii="Times New Roman"/>
        </w:rPr>
        <w:t>应设有足够强度的被拖带装置；</w:t>
      </w:r>
    </w:p>
    <w:p w14:paraId="3790D45B">
      <w:pPr>
        <w:pStyle w:val="327"/>
        <w:numPr>
          <w:ilvl w:val="1"/>
          <w:numId w:val="112"/>
        </w:numPr>
        <w:rPr>
          <w:rFonts w:ascii="Times New Roman"/>
        </w:rPr>
      </w:pPr>
      <w:r>
        <w:rPr>
          <w:rFonts w:ascii="Times New Roman"/>
        </w:rPr>
        <w:t>应存放在水密且耐用的容器内</w:t>
      </w:r>
      <w:r>
        <w:rPr>
          <w:rFonts w:hint="eastAsia" w:ascii="Times New Roman"/>
        </w:rPr>
        <w:t>，</w:t>
      </w:r>
      <w:r>
        <w:rPr>
          <w:rFonts w:ascii="Times New Roman"/>
        </w:rPr>
        <w:t>充气时应能将容器内的救生筏自动张开；</w:t>
      </w:r>
    </w:p>
    <w:p w14:paraId="106204F0">
      <w:pPr>
        <w:pStyle w:val="327"/>
        <w:numPr>
          <w:ilvl w:val="1"/>
          <w:numId w:val="112"/>
        </w:numPr>
        <w:rPr>
          <w:rFonts w:ascii="Times New Roman"/>
        </w:rPr>
      </w:pPr>
      <w:r>
        <w:rPr>
          <w:rFonts w:ascii="Times New Roman"/>
        </w:rPr>
        <w:t>应配备足够的属具。</w:t>
      </w:r>
    </w:p>
    <w:p w14:paraId="2FB4CCF7">
      <w:pPr>
        <w:pStyle w:val="326"/>
      </w:pPr>
      <w:r>
        <w:t>气胀式救生筏应沿平台甲板边缘合理地布置。</w:t>
      </w:r>
    </w:p>
    <w:p w14:paraId="2EEEEF7B">
      <w:pPr>
        <w:pStyle w:val="326"/>
      </w:pPr>
      <w:r>
        <w:t>气胀式救生筏及其存放容器应存放在刚性固定式筏架上并加以固定</w:t>
      </w:r>
      <w:r>
        <w:rPr>
          <w:rFonts w:hint="eastAsia"/>
        </w:rPr>
        <w:t>，</w:t>
      </w:r>
      <w:r>
        <w:t>应急时能迅速地将救生筏抛落到水面。</w:t>
      </w:r>
    </w:p>
    <w:p w14:paraId="6D328AA6">
      <w:pPr>
        <w:pStyle w:val="326"/>
        <w:rPr>
          <w:rFonts w:hint="eastAsia" w:ascii="宋体" w:hAnsi="宋体" w:eastAsia="宋体" w:cs="宋体"/>
        </w:rPr>
      </w:pPr>
      <w:r>
        <w:t>气胀式救生筏的额定乘</w:t>
      </w:r>
      <w:r>
        <w:rPr>
          <w:rFonts w:hint="eastAsia" w:ascii="宋体" w:hAnsi="宋体" w:eastAsia="宋体" w:cs="宋体"/>
        </w:rPr>
        <w:t>员应满足6人</w:t>
      </w:r>
      <w:r>
        <w:rPr>
          <w:rFonts w:ascii="Times New Roman" w:eastAsia="宋体"/>
        </w:rPr>
        <w:t>~</w:t>
      </w:r>
      <w:r>
        <w:rPr>
          <w:rFonts w:hint="eastAsia" w:ascii="宋体" w:hAnsi="宋体" w:eastAsia="宋体" w:cs="宋体"/>
        </w:rPr>
        <w:t>25人范围，临时救生筏可根据实际需要选择规格。</w:t>
      </w:r>
    </w:p>
    <w:p w14:paraId="357623CF">
      <w:pPr>
        <w:pStyle w:val="326"/>
        <w:rPr>
          <w:rFonts w:hint="eastAsia" w:ascii="宋体" w:hAnsi="宋体" w:eastAsia="宋体" w:cs="宋体"/>
        </w:rPr>
      </w:pPr>
      <w:r>
        <w:rPr>
          <w:rFonts w:hint="eastAsia" w:ascii="宋体" w:hAnsi="宋体" w:eastAsia="宋体" w:cs="宋体"/>
        </w:rPr>
        <w:t>气胀式救生筏的充气拉索长度应为从其最高存放位置到最低天文潮位水面之间高度的1.5倍，但至少不应小于30</w:t>
      </w:r>
      <w:r>
        <w:rPr>
          <w:rFonts w:hint="eastAsia" w:ascii="宋体" w:hAnsi="宋体" w:eastAsia="宋体" w:cs="宋体"/>
          <w:sz w:val="10"/>
          <w:szCs w:val="10"/>
        </w:rPr>
        <w:t xml:space="preserve"> </w:t>
      </w:r>
      <w:r>
        <w:rPr>
          <w:rFonts w:hint="eastAsia" w:ascii="宋体" w:hAnsi="宋体" w:eastAsia="宋体" w:cs="宋体"/>
        </w:rPr>
        <w:t>m长。</w:t>
      </w:r>
    </w:p>
    <w:p w14:paraId="10CAB5C6">
      <w:pPr>
        <w:pStyle w:val="326"/>
      </w:pPr>
      <w:r>
        <w:t>应根据救生筏的存放位置</w:t>
      </w:r>
      <w:r>
        <w:rPr>
          <w:rFonts w:hint="eastAsia"/>
        </w:rPr>
        <w:t>，</w:t>
      </w:r>
      <w:r>
        <w:t>在尽量接近水面的甲板边缘设置绳梯或其</w:t>
      </w:r>
      <w:r>
        <w:rPr>
          <w:rFonts w:hint="eastAsia"/>
        </w:rPr>
        <w:t>他</w:t>
      </w:r>
      <w:r>
        <w:t>等效的登乘装置。</w:t>
      </w:r>
    </w:p>
    <w:p w14:paraId="72F7BE09">
      <w:pPr>
        <w:pStyle w:val="260"/>
        <w:outlineLvl w:val="1"/>
      </w:pPr>
      <w:bookmarkStart w:id="280" w:name="_Toc18514"/>
      <w:r>
        <w:rPr>
          <w:rFonts w:hint="eastAsia"/>
        </w:rPr>
        <w:t>救生圈</w:t>
      </w:r>
      <w:bookmarkEnd w:id="280"/>
    </w:p>
    <w:p w14:paraId="370B9D84">
      <w:pPr>
        <w:ind w:firstLine="420" w:firstLineChars="200"/>
      </w:pPr>
      <w:r>
        <w:t>救生圈配备应符合以下规定：</w:t>
      </w:r>
    </w:p>
    <w:p w14:paraId="6AA96151">
      <w:pPr>
        <w:pStyle w:val="305"/>
        <w:numPr>
          <w:ilvl w:val="0"/>
          <w:numId w:val="113"/>
        </w:numPr>
      </w:pPr>
      <w:r>
        <w:t>平台群中带生活区的平台上应配备足够的救生圈，其中至少应有6个</w:t>
      </w:r>
      <w:r>
        <w:rPr>
          <w:rFonts w:hint="eastAsia"/>
        </w:rPr>
        <w:t>救生圈</w:t>
      </w:r>
      <w:r>
        <w:t>带</w:t>
      </w:r>
      <w:r>
        <w:rPr>
          <w:rFonts w:hint="eastAsia"/>
        </w:rPr>
        <w:t>有</w:t>
      </w:r>
      <w:r>
        <w:t>自亮浮灯、自发烟雾信号和可浮救生索，可浮救生索的长度应为从救生圈的存放位置至最低天文潮位水面高度的1.5倍，并至少为30m长；</w:t>
      </w:r>
    </w:p>
    <w:p w14:paraId="205A9232">
      <w:pPr>
        <w:pStyle w:val="305"/>
        <w:numPr>
          <w:ilvl w:val="0"/>
          <w:numId w:val="113"/>
        </w:numPr>
      </w:pPr>
      <w:r>
        <w:t>平台群中的其</w:t>
      </w:r>
      <w:r>
        <w:rPr>
          <w:rFonts w:hint="eastAsia"/>
        </w:rPr>
        <w:t>他</w:t>
      </w:r>
      <w:r>
        <w:t>平台</w:t>
      </w:r>
      <w:r>
        <w:rPr>
          <w:rFonts w:hint="eastAsia"/>
        </w:rPr>
        <w:t>及单独的无人平台</w:t>
      </w:r>
      <w:r>
        <w:t>也应配备足够的救生圈，其中至少有</w:t>
      </w:r>
      <w:r>
        <w:rPr>
          <w:rFonts w:hint="eastAsia"/>
        </w:rPr>
        <w:t>2</w:t>
      </w:r>
      <w:r>
        <w:t>个应带自亮浮灯、</w:t>
      </w:r>
      <w:r>
        <w:rPr>
          <w:rFonts w:hint="eastAsia"/>
        </w:rPr>
        <w:t>4</w:t>
      </w:r>
      <w:r>
        <w:t>个应带自亮浮灯和自发烟雾信号。每个带自亮浮灯和自发烟雾信号的救生圈应配备一根可浮救生索，可浮救生索长度与</w:t>
      </w:r>
      <w:r>
        <w:rPr>
          <w:rFonts w:hint="eastAsia"/>
        </w:rPr>
        <w:t>a)</w:t>
      </w:r>
      <w:r>
        <w:t>中的规定相同</w:t>
      </w:r>
      <w:r>
        <w:rPr>
          <w:rFonts w:hint="eastAsia"/>
        </w:rPr>
        <w:t>；</w:t>
      </w:r>
    </w:p>
    <w:p w14:paraId="63094192">
      <w:pPr>
        <w:pStyle w:val="305"/>
        <w:numPr>
          <w:ilvl w:val="0"/>
          <w:numId w:val="113"/>
        </w:numPr>
      </w:pPr>
      <w:r>
        <w:t>平台救生圈应沿甲板的边缘合理布置</w:t>
      </w:r>
      <w:r>
        <w:rPr>
          <w:rFonts w:hint="eastAsia"/>
        </w:rPr>
        <w:t>；</w:t>
      </w:r>
    </w:p>
    <w:p w14:paraId="4250BC5B">
      <w:pPr>
        <w:pStyle w:val="305"/>
        <w:numPr>
          <w:ilvl w:val="0"/>
          <w:numId w:val="113"/>
        </w:numPr>
      </w:pPr>
      <w:r>
        <w:t>救生圈应存放在人员易于到达的支架上</w:t>
      </w:r>
      <w:r>
        <w:rPr>
          <w:rFonts w:hint="eastAsia"/>
        </w:rPr>
        <w:t>，</w:t>
      </w:r>
      <w:r>
        <w:t>不得永久固定</w:t>
      </w:r>
      <w:r>
        <w:rPr>
          <w:rFonts w:hint="eastAsia"/>
        </w:rPr>
        <w:t>，</w:t>
      </w:r>
      <w:r>
        <w:t>应能随时取用。</w:t>
      </w:r>
    </w:p>
    <w:p w14:paraId="6BC4F569">
      <w:pPr>
        <w:pStyle w:val="260"/>
        <w:outlineLvl w:val="1"/>
      </w:pPr>
      <w:bookmarkStart w:id="281" w:name="_Toc11465"/>
      <w:r>
        <w:rPr>
          <w:rFonts w:hint="eastAsia"/>
        </w:rPr>
        <w:t>救生衣</w:t>
      </w:r>
      <w:bookmarkEnd w:id="281"/>
    </w:p>
    <w:p w14:paraId="766D8576">
      <w:pPr>
        <w:pStyle w:val="326"/>
        <w:rPr>
          <w:rFonts w:ascii="Times New Roman"/>
        </w:rPr>
      </w:pPr>
      <w:r>
        <w:rPr>
          <w:rFonts w:ascii="Times New Roman"/>
        </w:rPr>
        <w:t>配备数量应满足平台总人数、甲板工作区的人员需求。</w:t>
      </w:r>
    </w:p>
    <w:p w14:paraId="085C7FE6">
      <w:pPr>
        <w:pStyle w:val="305"/>
        <w:numPr>
          <w:ilvl w:val="0"/>
          <w:numId w:val="114"/>
        </w:numPr>
      </w:pPr>
      <w:r>
        <w:rPr>
          <w:rFonts w:hint="eastAsia"/>
        </w:rPr>
        <w:t>居住室按照床位数</w:t>
      </w:r>
      <w:r>
        <w:t>100</w:t>
      </w:r>
      <w:r>
        <w:rPr>
          <w:rFonts w:hint="eastAsia"/>
          <w:sz w:val="10"/>
          <w:szCs w:val="10"/>
        </w:rPr>
        <w:t xml:space="preserve"> </w:t>
      </w:r>
      <w:r>
        <w:t>%配备；</w:t>
      </w:r>
    </w:p>
    <w:p w14:paraId="7595DEFB">
      <w:pPr>
        <w:pStyle w:val="305"/>
        <w:numPr>
          <w:ilvl w:val="0"/>
          <w:numId w:val="114"/>
        </w:numPr>
      </w:pPr>
      <w:r>
        <w:t>平台甲板工作区内</w:t>
      </w:r>
      <w:r>
        <w:rPr>
          <w:rFonts w:hint="eastAsia"/>
        </w:rPr>
        <w:t>按照平台总人数</w:t>
      </w:r>
      <w:r>
        <w:t>10</w:t>
      </w:r>
      <w:r>
        <w:rPr>
          <w:rFonts w:hint="eastAsia"/>
          <w:sz w:val="10"/>
          <w:szCs w:val="10"/>
        </w:rPr>
        <w:t xml:space="preserve"> </w:t>
      </w:r>
      <w:r>
        <w:t>%配备；</w:t>
      </w:r>
    </w:p>
    <w:p w14:paraId="2314D47C">
      <w:pPr>
        <w:pStyle w:val="305"/>
        <w:numPr>
          <w:ilvl w:val="0"/>
          <w:numId w:val="114"/>
        </w:numPr>
      </w:pPr>
      <w:r>
        <w:t>救生艇站</w:t>
      </w:r>
      <w:r>
        <w:rPr>
          <w:rFonts w:hint="eastAsia"/>
        </w:rPr>
        <w:t>按照救生艇额定人数</w:t>
      </w:r>
      <w:r>
        <w:t>100</w:t>
      </w:r>
      <w:r>
        <w:rPr>
          <w:rFonts w:hint="eastAsia"/>
          <w:sz w:val="10"/>
          <w:szCs w:val="10"/>
        </w:rPr>
        <w:t xml:space="preserve"> </w:t>
      </w:r>
      <w:r>
        <w:t>%配备；</w:t>
      </w:r>
    </w:p>
    <w:p w14:paraId="43623C49">
      <w:pPr>
        <w:pStyle w:val="305"/>
        <w:numPr>
          <w:ilvl w:val="0"/>
          <w:numId w:val="114"/>
        </w:numPr>
      </w:pPr>
      <w:r>
        <w:t>无人驻守平台</w:t>
      </w:r>
      <w:r>
        <w:rPr>
          <w:rFonts w:hint="eastAsia"/>
        </w:rPr>
        <w:t>救生衣数量</w:t>
      </w:r>
      <w:r>
        <w:t>与救生筏人数一致。</w:t>
      </w:r>
    </w:p>
    <w:p w14:paraId="7881F93D">
      <w:pPr>
        <w:pStyle w:val="326"/>
      </w:pPr>
      <w:r>
        <w:rPr>
          <w:rFonts w:ascii="Times New Roman"/>
        </w:rPr>
        <w:t>平台群中带生活区的平台</w:t>
      </w:r>
      <w:r>
        <w:rPr>
          <w:rFonts w:hint="eastAsia" w:ascii="Times New Roman"/>
        </w:rPr>
        <w:t>，</w:t>
      </w:r>
      <w:r>
        <w:rPr>
          <w:rFonts w:ascii="Times New Roman"/>
        </w:rPr>
        <w:t>救生衣的分布和数量同</w:t>
      </w:r>
      <w:r>
        <w:rPr>
          <w:rFonts w:hint="eastAsia" w:ascii="宋体" w:hAnsi="宋体" w:eastAsia="宋体" w:cs="宋体"/>
        </w:rPr>
        <w:t>19.6.1</w:t>
      </w:r>
      <w:r>
        <w:t>的规定。平台群中其</w:t>
      </w:r>
      <w:r>
        <w:rPr>
          <w:rFonts w:hint="eastAsia"/>
        </w:rPr>
        <w:t>他</w:t>
      </w:r>
      <w:r>
        <w:t>平台应配备救生衣</w:t>
      </w:r>
      <w:r>
        <w:rPr>
          <w:rFonts w:hint="eastAsia"/>
        </w:rPr>
        <w:t>，</w:t>
      </w:r>
      <w:r>
        <w:t>其数量与</w:t>
      </w:r>
      <w:r>
        <w:rPr>
          <w:rFonts w:hint="eastAsia"/>
        </w:rPr>
        <w:t>平台总人数</w:t>
      </w:r>
      <w:r>
        <w:t>相适应。</w:t>
      </w:r>
    </w:p>
    <w:p w14:paraId="594F1C6F">
      <w:pPr>
        <w:pStyle w:val="326"/>
      </w:pPr>
      <w:r>
        <w:t>工作区内配备的救生衣应存放在干燥、安全的柜内</w:t>
      </w:r>
      <w:r>
        <w:rPr>
          <w:rFonts w:hint="eastAsia"/>
        </w:rPr>
        <w:t>，</w:t>
      </w:r>
      <w:r>
        <w:t>该柜应位于易到达的地方</w:t>
      </w:r>
      <w:r>
        <w:rPr>
          <w:rFonts w:hint="eastAsia"/>
        </w:rPr>
        <w:t>，</w:t>
      </w:r>
      <w:r>
        <w:t>并有识别的标记。</w:t>
      </w:r>
    </w:p>
    <w:p w14:paraId="5D01BDBE">
      <w:pPr>
        <w:pStyle w:val="326"/>
      </w:pPr>
      <w:bookmarkStart w:id="282" w:name="_Toc5805"/>
      <w:r>
        <w:t>平台应配备符合下列规定的救生衣</w:t>
      </w:r>
      <w:r>
        <w:rPr>
          <w:rFonts w:hint="eastAsia"/>
        </w:rPr>
        <w:t>：</w:t>
      </w:r>
    </w:p>
    <w:p w14:paraId="64340427">
      <w:pPr>
        <w:pStyle w:val="327"/>
        <w:numPr>
          <w:ilvl w:val="0"/>
          <w:numId w:val="115"/>
        </w:numPr>
        <w:tabs>
          <w:tab w:val="left" w:pos="1060"/>
          <w:tab w:val="clear" w:pos="840"/>
        </w:tabs>
        <w:ind w:hanging="199"/>
        <w:rPr>
          <w:rFonts w:hint="eastAsia" w:ascii="宋体" w:hAnsi="宋体" w:eastAsia="宋体" w:cs="宋体"/>
        </w:rPr>
      </w:pPr>
      <w:r>
        <w:rPr>
          <w:rFonts w:hint="eastAsia" w:ascii="宋体" w:hAnsi="宋体" w:eastAsia="宋体" w:cs="宋体"/>
        </w:rPr>
        <w:t>穿着者从4.5</w:t>
      </w:r>
      <w:r>
        <w:rPr>
          <w:rFonts w:hint="eastAsia" w:ascii="宋体" w:hAnsi="宋体" w:eastAsia="宋体" w:cs="宋体"/>
          <w:sz w:val="10"/>
          <w:szCs w:val="10"/>
        </w:rPr>
        <w:t xml:space="preserve"> </w:t>
      </w:r>
      <w:r>
        <w:rPr>
          <w:rFonts w:hint="eastAsia" w:ascii="宋体" w:hAnsi="宋体" w:eastAsia="宋体" w:cs="宋体"/>
        </w:rPr>
        <w:t>m高处跳入水中不受伤害，救生衣也不移位或损坏；</w:t>
      </w:r>
    </w:p>
    <w:p w14:paraId="3C27D0C0">
      <w:pPr>
        <w:pStyle w:val="327"/>
        <w:numPr>
          <w:ilvl w:val="0"/>
          <w:numId w:val="115"/>
        </w:numPr>
        <w:tabs>
          <w:tab w:val="left" w:pos="1060"/>
          <w:tab w:val="clear" w:pos="840"/>
        </w:tabs>
        <w:ind w:hanging="199"/>
        <w:rPr>
          <w:rFonts w:hint="eastAsia" w:ascii="宋体" w:hAnsi="宋体" w:eastAsia="宋体" w:cs="宋体"/>
        </w:rPr>
      </w:pPr>
      <w:r>
        <w:rPr>
          <w:rFonts w:hint="eastAsia" w:ascii="宋体" w:hAnsi="宋体" w:eastAsia="宋体" w:cs="宋体"/>
        </w:rPr>
        <w:t>救生衣被火包围2</w:t>
      </w:r>
      <w:r>
        <w:rPr>
          <w:rFonts w:hint="eastAsia" w:ascii="宋体" w:hAnsi="宋体" w:eastAsia="宋体" w:cs="宋体"/>
          <w:sz w:val="10"/>
          <w:szCs w:val="10"/>
        </w:rPr>
        <w:t xml:space="preserve"> </w:t>
      </w:r>
      <w:r>
        <w:rPr>
          <w:rFonts w:hint="eastAsia" w:ascii="宋体" w:hAnsi="宋体" w:eastAsia="宋体" w:cs="宋体"/>
        </w:rPr>
        <w:t>s后，离开火源应不持续燃烧；</w:t>
      </w:r>
    </w:p>
    <w:p w14:paraId="25A80202">
      <w:pPr>
        <w:pStyle w:val="327"/>
        <w:numPr>
          <w:ilvl w:val="0"/>
          <w:numId w:val="115"/>
        </w:numPr>
        <w:tabs>
          <w:tab w:val="left" w:pos="1060"/>
          <w:tab w:val="clear" w:pos="840"/>
        </w:tabs>
        <w:ind w:hanging="199"/>
        <w:rPr>
          <w:rFonts w:ascii="Times New Roman"/>
        </w:rPr>
      </w:pPr>
      <w:r>
        <w:rPr>
          <w:rFonts w:ascii="Times New Roman"/>
        </w:rPr>
        <w:t>每件救生衣应具有哨笛一只，用细绳系牢；</w:t>
      </w:r>
    </w:p>
    <w:p w14:paraId="09FDC267">
      <w:pPr>
        <w:pStyle w:val="327"/>
        <w:numPr>
          <w:ilvl w:val="0"/>
          <w:numId w:val="115"/>
        </w:numPr>
        <w:tabs>
          <w:tab w:val="left" w:pos="1060"/>
          <w:tab w:val="clear" w:pos="840"/>
        </w:tabs>
        <w:ind w:hanging="199"/>
        <w:rPr>
          <w:rFonts w:ascii="Times New Roman"/>
        </w:rPr>
      </w:pPr>
      <w:r>
        <w:rPr>
          <w:rFonts w:ascii="Times New Roman"/>
        </w:rPr>
        <w:t>每件救生衣应配备一只救生衣灯。</w:t>
      </w:r>
    </w:p>
    <w:p w14:paraId="446A284A">
      <w:pPr>
        <w:pStyle w:val="326"/>
        <w:rPr>
          <w:rFonts w:ascii="Times New Roman"/>
        </w:rPr>
      </w:pPr>
      <w:r>
        <w:rPr>
          <w:rFonts w:hint="eastAsia"/>
        </w:rPr>
        <w:t>水温小于</w:t>
      </w:r>
      <w:r>
        <w:rPr>
          <w:rFonts w:hint="eastAsia" w:ascii="宋体" w:hAnsi="宋体" w:eastAsia="宋体" w:cs="宋体"/>
        </w:rPr>
        <w:t>10℃海域的平台上每人配备一套保温救生服，其数量与平台总人数相适应。保温救生服应符合下列规定：</w:t>
      </w:r>
    </w:p>
    <w:p w14:paraId="26C6845F">
      <w:pPr>
        <w:pStyle w:val="327"/>
        <w:numPr>
          <w:ilvl w:val="0"/>
          <w:numId w:val="116"/>
        </w:numPr>
        <w:tabs>
          <w:tab w:val="left" w:pos="1060"/>
          <w:tab w:val="clear" w:pos="840"/>
        </w:tabs>
        <w:ind w:left="1059"/>
        <w:rPr>
          <w:rFonts w:ascii="Times New Roman"/>
        </w:rPr>
      </w:pPr>
      <w:r>
        <w:rPr>
          <w:rFonts w:ascii="Times New Roman"/>
        </w:rPr>
        <w:t>应采用防水材料制成；</w:t>
      </w:r>
    </w:p>
    <w:p w14:paraId="1F08FAF8">
      <w:pPr>
        <w:pStyle w:val="327"/>
        <w:numPr>
          <w:ilvl w:val="0"/>
          <w:numId w:val="116"/>
        </w:numPr>
        <w:tabs>
          <w:tab w:val="left" w:pos="1060"/>
          <w:tab w:val="clear" w:pos="840"/>
        </w:tabs>
        <w:ind w:left="1059"/>
        <w:rPr>
          <w:rFonts w:hint="eastAsia" w:ascii="宋体" w:hAnsi="宋体" w:eastAsia="宋体" w:cs="宋体"/>
        </w:rPr>
      </w:pPr>
      <w:r>
        <w:rPr>
          <w:rFonts w:ascii="Times New Roman"/>
        </w:rPr>
        <w:t>在无他人帮助下，</w:t>
      </w:r>
      <w:r>
        <w:rPr>
          <w:rFonts w:hint="eastAsia" w:ascii="宋体" w:hAnsi="宋体" w:eastAsia="宋体" w:cs="宋体"/>
        </w:rPr>
        <w:t>能在2</w:t>
      </w:r>
      <w:r>
        <w:rPr>
          <w:rFonts w:hint="eastAsia" w:ascii="宋体" w:hAnsi="宋体" w:eastAsia="宋体" w:cs="宋体"/>
          <w:sz w:val="10"/>
          <w:szCs w:val="10"/>
        </w:rPr>
        <w:t xml:space="preserve"> </w:t>
      </w:r>
      <w:r>
        <w:rPr>
          <w:rFonts w:hint="eastAsia" w:ascii="宋体" w:hAnsi="宋体" w:eastAsia="宋体" w:cs="宋体"/>
        </w:rPr>
        <w:t>min内拆包并穿好；</w:t>
      </w:r>
    </w:p>
    <w:p w14:paraId="04F05730">
      <w:pPr>
        <w:pStyle w:val="327"/>
        <w:numPr>
          <w:ilvl w:val="0"/>
          <w:numId w:val="116"/>
        </w:numPr>
        <w:tabs>
          <w:tab w:val="left" w:pos="1060"/>
          <w:tab w:val="clear" w:pos="840"/>
        </w:tabs>
        <w:ind w:left="1059"/>
        <w:rPr>
          <w:rFonts w:hint="eastAsia" w:ascii="宋体" w:hAnsi="宋体" w:eastAsia="宋体" w:cs="宋体"/>
        </w:rPr>
      </w:pPr>
      <w:r>
        <w:rPr>
          <w:rFonts w:hint="eastAsia" w:ascii="宋体" w:hAnsi="宋体" w:eastAsia="宋体" w:cs="宋体"/>
        </w:rPr>
        <w:t>在被火完全包围2</w:t>
      </w:r>
      <w:r>
        <w:rPr>
          <w:rFonts w:hint="eastAsia" w:ascii="宋体" w:hAnsi="宋体" w:eastAsia="宋体" w:cs="宋体"/>
          <w:sz w:val="10"/>
          <w:szCs w:val="10"/>
        </w:rPr>
        <w:t xml:space="preserve"> </w:t>
      </w:r>
      <w:r>
        <w:rPr>
          <w:rFonts w:hint="eastAsia" w:ascii="宋体" w:hAnsi="宋体" w:eastAsia="宋体" w:cs="宋体"/>
        </w:rPr>
        <w:t>s后，离开火源不致燃烧或继续熔化；</w:t>
      </w:r>
    </w:p>
    <w:p w14:paraId="0DD6F0AE">
      <w:pPr>
        <w:pStyle w:val="327"/>
        <w:numPr>
          <w:ilvl w:val="0"/>
          <w:numId w:val="116"/>
        </w:numPr>
        <w:tabs>
          <w:tab w:val="left" w:pos="1060"/>
          <w:tab w:val="clear" w:pos="840"/>
        </w:tabs>
        <w:ind w:left="1059"/>
        <w:rPr>
          <w:rFonts w:hint="eastAsia" w:ascii="宋体" w:hAnsi="宋体" w:eastAsia="宋体" w:cs="宋体"/>
        </w:rPr>
      </w:pPr>
      <w:r>
        <w:rPr>
          <w:rFonts w:hint="eastAsia" w:ascii="宋体" w:hAnsi="宋体" w:eastAsia="宋体" w:cs="宋体"/>
        </w:rPr>
        <w:t>遮盖除脸部以外包括双手在内的整个身体；</w:t>
      </w:r>
    </w:p>
    <w:p w14:paraId="75A791BE">
      <w:pPr>
        <w:pStyle w:val="327"/>
        <w:numPr>
          <w:ilvl w:val="0"/>
          <w:numId w:val="116"/>
        </w:numPr>
        <w:tabs>
          <w:tab w:val="left" w:pos="1060"/>
          <w:tab w:val="clear" w:pos="840"/>
        </w:tabs>
        <w:ind w:left="1059"/>
        <w:rPr>
          <w:rFonts w:hint="eastAsia" w:ascii="宋体" w:hAnsi="宋体" w:eastAsia="宋体" w:cs="宋体"/>
        </w:rPr>
      </w:pPr>
      <w:r>
        <w:rPr>
          <w:rFonts w:hint="eastAsia" w:ascii="宋体" w:hAnsi="宋体" w:eastAsia="宋体" w:cs="宋体"/>
        </w:rPr>
        <w:t>从不少于4.5</w:t>
      </w:r>
      <w:r>
        <w:rPr>
          <w:rFonts w:hint="eastAsia" w:ascii="宋体" w:hAnsi="宋体" w:eastAsia="宋体" w:cs="宋体"/>
          <w:sz w:val="10"/>
          <w:szCs w:val="10"/>
        </w:rPr>
        <w:t xml:space="preserve"> </w:t>
      </w:r>
      <w:r>
        <w:rPr>
          <w:rFonts w:hint="eastAsia" w:ascii="宋体" w:hAnsi="宋体" w:eastAsia="宋体" w:cs="宋体"/>
        </w:rPr>
        <w:t>m的高处跳入水中，人员不受伤害、保温救生服不损坏、不移位、不至有过多的水进入保温救生服；</w:t>
      </w:r>
    </w:p>
    <w:p w14:paraId="251CAA3D">
      <w:pPr>
        <w:pStyle w:val="327"/>
        <w:numPr>
          <w:ilvl w:val="0"/>
          <w:numId w:val="116"/>
        </w:numPr>
        <w:tabs>
          <w:tab w:val="left" w:pos="1060"/>
          <w:tab w:val="clear" w:pos="840"/>
        </w:tabs>
        <w:ind w:left="1059"/>
        <w:rPr>
          <w:rFonts w:hint="eastAsia" w:ascii="宋体" w:hAnsi="宋体" w:eastAsia="宋体" w:cs="宋体"/>
        </w:rPr>
      </w:pPr>
      <w:r>
        <w:rPr>
          <w:rFonts w:hint="eastAsia" w:ascii="宋体" w:hAnsi="宋体" w:eastAsia="宋体" w:cs="宋体"/>
        </w:rPr>
        <w:t>每件保温救生服应具有哨笛一只，用绳系牢；</w:t>
      </w:r>
    </w:p>
    <w:p w14:paraId="3F61289E">
      <w:pPr>
        <w:pStyle w:val="327"/>
        <w:numPr>
          <w:ilvl w:val="0"/>
          <w:numId w:val="116"/>
        </w:numPr>
        <w:tabs>
          <w:tab w:val="left" w:pos="1060"/>
          <w:tab w:val="clear" w:pos="840"/>
        </w:tabs>
        <w:ind w:left="1059"/>
        <w:rPr>
          <w:rFonts w:hint="eastAsia" w:ascii="宋体" w:hAnsi="宋体" w:eastAsia="宋体" w:cs="宋体"/>
        </w:rPr>
      </w:pPr>
      <w:r>
        <w:rPr>
          <w:rFonts w:hint="eastAsia" w:ascii="宋体" w:hAnsi="宋体" w:eastAsia="宋体" w:cs="宋体"/>
        </w:rPr>
        <w:t>保温救生服应能提供足够的热保护，使穿着者在平静流动的水中，水温为0</w:t>
      </w:r>
      <w:r>
        <w:rPr>
          <w:rFonts w:hint="eastAsia" w:ascii="宋体" w:hAnsi="宋体" w:eastAsia="宋体" w:cs="宋体"/>
          <w:sz w:val="10"/>
          <w:szCs w:val="10"/>
        </w:rPr>
        <w:t xml:space="preserve"> </w:t>
      </w:r>
      <w:r>
        <w:rPr>
          <w:rFonts w:hint="eastAsia" w:ascii="宋体" w:hAnsi="宋体" w:eastAsia="宋体" w:cs="宋体"/>
        </w:rPr>
        <w:t>℃～2</w:t>
      </w:r>
      <w:r>
        <w:rPr>
          <w:rFonts w:hint="eastAsia" w:ascii="宋体" w:hAnsi="宋体" w:eastAsia="宋体" w:cs="宋体"/>
          <w:sz w:val="10"/>
          <w:szCs w:val="10"/>
        </w:rPr>
        <w:t xml:space="preserve"> </w:t>
      </w:r>
      <w:r>
        <w:rPr>
          <w:rFonts w:hint="eastAsia" w:ascii="宋体" w:hAnsi="宋体" w:eastAsia="宋体" w:cs="宋体"/>
        </w:rPr>
        <w:t>℃之间，经过6</w:t>
      </w:r>
      <w:r>
        <w:rPr>
          <w:rFonts w:hint="eastAsia" w:ascii="宋体" w:hAnsi="宋体" w:eastAsia="宋体" w:cs="宋体"/>
          <w:sz w:val="10"/>
          <w:szCs w:val="10"/>
        </w:rPr>
        <w:t xml:space="preserve"> </w:t>
      </w:r>
      <w:r>
        <w:rPr>
          <w:rFonts w:hint="eastAsia" w:ascii="宋体" w:hAnsi="宋体" w:eastAsia="宋体" w:cs="宋体"/>
        </w:rPr>
        <w:t>h后，体温降低不得超过2</w:t>
      </w:r>
      <w:r>
        <w:rPr>
          <w:rFonts w:hint="eastAsia" w:ascii="宋体" w:hAnsi="宋体" w:eastAsia="宋体" w:cs="宋体"/>
          <w:sz w:val="10"/>
          <w:szCs w:val="10"/>
        </w:rPr>
        <w:t xml:space="preserve"> </w:t>
      </w:r>
      <w:r>
        <w:rPr>
          <w:rFonts w:hint="eastAsia" w:ascii="宋体" w:hAnsi="宋体" w:eastAsia="宋体" w:cs="宋体"/>
        </w:rPr>
        <w:t>℃；</w:t>
      </w:r>
    </w:p>
    <w:p w14:paraId="4450367E">
      <w:pPr>
        <w:pStyle w:val="327"/>
        <w:numPr>
          <w:ilvl w:val="0"/>
          <w:numId w:val="116"/>
        </w:numPr>
        <w:tabs>
          <w:tab w:val="left" w:pos="1060"/>
          <w:tab w:val="clear" w:pos="840"/>
        </w:tabs>
        <w:ind w:left="1059"/>
        <w:rPr>
          <w:rFonts w:hint="eastAsia" w:ascii="宋体" w:hAnsi="宋体" w:eastAsia="宋体" w:cs="宋体"/>
        </w:rPr>
      </w:pPr>
      <w:r>
        <w:rPr>
          <w:rFonts w:hint="eastAsia" w:ascii="宋体" w:hAnsi="宋体" w:eastAsia="宋体" w:cs="宋体"/>
        </w:rPr>
        <w:t>穿着者应能在不超过5</w:t>
      </w:r>
      <w:r>
        <w:rPr>
          <w:rFonts w:hint="eastAsia" w:ascii="宋体" w:hAnsi="宋体" w:eastAsia="宋体" w:cs="宋体"/>
          <w:sz w:val="10"/>
          <w:szCs w:val="10"/>
        </w:rPr>
        <w:t xml:space="preserve"> </w:t>
      </w:r>
      <w:r>
        <w:rPr>
          <w:rFonts w:hint="eastAsia" w:ascii="宋体" w:hAnsi="宋体" w:eastAsia="宋体" w:cs="宋体"/>
        </w:rPr>
        <w:t>s内，从脸部朝下姿势翻转成脸部朝上姿势。</w:t>
      </w:r>
    </w:p>
    <w:p w14:paraId="0F51FFE6">
      <w:pPr>
        <w:pStyle w:val="260"/>
        <w:outlineLvl w:val="1"/>
      </w:pPr>
      <w:r>
        <w:rPr>
          <w:rFonts w:hint="eastAsia"/>
        </w:rPr>
        <w:t>抛绳设备</w:t>
      </w:r>
      <w:bookmarkEnd w:id="282"/>
    </w:p>
    <w:p w14:paraId="4F7DD2D3">
      <w:pPr>
        <w:pStyle w:val="326"/>
      </w:pPr>
      <w:r>
        <w:t>平台和平台群中</w:t>
      </w:r>
      <w:r>
        <w:rPr>
          <w:rFonts w:hint="eastAsia"/>
        </w:rPr>
        <w:t>带</w:t>
      </w:r>
      <w:r>
        <w:t>生活</w:t>
      </w:r>
      <w:r>
        <w:rPr>
          <w:rFonts w:hint="eastAsia"/>
        </w:rPr>
        <w:t>区的</w:t>
      </w:r>
      <w:r>
        <w:t>平台上</w:t>
      </w:r>
      <w:r>
        <w:rPr>
          <w:rFonts w:hint="eastAsia"/>
        </w:rPr>
        <w:t>，</w:t>
      </w:r>
      <w:r>
        <w:t>应配备一套抛绳设备。</w:t>
      </w:r>
    </w:p>
    <w:p w14:paraId="5E2489AA">
      <w:pPr>
        <w:pStyle w:val="326"/>
      </w:pPr>
      <w:r>
        <w:t>抛绳设备应符合下列规定</w:t>
      </w:r>
      <w:r>
        <w:rPr>
          <w:rFonts w:hint="eastAsia"/>
        </w:rPr>
        <w:t>：</w:t>
      </w:r>
    </w:p>
    <w:p w14:paraId="365DFAAB">
      <w:pPr>
        <w:pStyle w:val="327"/>
        <w:numPr>
          <w:ilvl w:val="0"/>
          <w:numId w:val="117"/>
        </w:numPr>
        <w:rPr>
          <w:rFonts w:ascii="Times New Roman"/>
        </w:rPr>
      </w:pPr>
      <w:r>
        <w:t>能</w:t>
      </w:r>
      <w:r>
        <w:rPr>
          <w:rFonts w:ascii="Times New Roman"/>
        </w:rPr>
        <w:t>准确地将绳抛射出去；</w:t>
      </w:r>
    </w:p>
    <w:p w14:paraId="7B63EF2F">
      <w:pPr>
        <w:pStyle w:val="327"/>
        <w:numPr>
          <w:ilvl w:val="0"/>
          <w:numId w:val="117"/>
        </w:numPr>
        <w:rPr>
          <w:rFonts w:hint="eastAsia" w:ascii="宋体" w:hAnsi="宋体" w:eastAsia="宋体" w:cs="宋体"/>
        </w:rPr>
      </w:pPr>
      <w:r>
        <w:rPr>
          <w:rFonts w:ascii="Times New Roman"/>
        </w:rPr>
        <w:t>包括不少于</w:t>
      </w:r>
      <w:r>
        <w:rPr>
          <w:rFonts w:hint="eastAsia" w:ascii="宋体" w:hAnsi="宋体" w:eastAsia="宋体" w:cs="宋体"/>
        </w:rPr>
        <w:t>4个抛绳器，每个能在无风天气中将绳抛射不小于230</w:t>
      </w:r>
      <w:r>
        <w:rPr>
          <w:rFonts w:hint="eastAsia" w:ascii="宋体" w:hAnsi="宋体" w:eastAsia="宋体" w:cs="宋体"/>
          <w:sz w:val="10"/>
          <w:szCs w:val="10"/>
        </w:rPr>
        <w:t xml:space="preserve"> </w:t>
      </w:r>
      <w:r>
        <w:rPr>
          <w:rFonts w:hint="eastAsia" w:ascii="宋体" w:hAnsi="宋体" w:eastAsia="宋体" w:cs="宋体"/>
        </w:rPr>
        <w:t>m；</w:t>
      </w:r>
    </w:p>
    <w:p w14:paraId="6701692F">
      <w:pPr>
        <w:pStyle w:val="327"/>
        <w:numPr>
          <w:ilvl w:val="0"/>
          <w:numId w:val="117"/>
        </w:numPr>
        <w:rPr>
          <w:rFonts w:hint="eastAsia" w:ascii="宋体" w:hAnsi="宋体" w:eastAsia="宋体" w:cs="宋体"/>
        </w:rPr>
      </w:pPr>
      <w:r>
        <w:rPr>
          <w:rFonts w:hint="eastAsia" w:ascii="宋体" w:hAnsi="宋体" w:eastAsia="宋体" w:cs="宋体"/>
        </w:rPr>
        <w:t>包括不少于4根抛射绳，每根抛射绳具有破断张力不少于2</w:t>
      </w:r>
      <w:r>
        <w:rPr>
          <w:rFonts w:hint="eastAsia" w:ascii="宋体" w:hAnsi="宋体" w:eastAsia="宋体" w:cs="宋体"/>
          <w:sz w:val="10"/>
          <w:szCs w:val="10"/>
        </w:rPr>
        <w:t xml:space="preserve"> </w:t>
      </w:r>
      <w:r>
        <w:rPr>
          <w:rFonts w:hint="eastAsia" w:ascii="宋体" w:hAnsi="宋体" w:eastAsia="宋体" w:cs="宋体"/>
        </w:rPr>
        <w:t>kN；</w:t>
      </w:r>
    </w:p>
    <w:p w14:paraId="73520F38">
      <w:pPr>
        <w:pStyle w:val="327"/>
        <w:numPr>
          <w:ilvl w:val="0"/>
          <w:numId w:val="117"/>
        </w:numPr>
        <w:rPr>
          <w:rFonts w:hint="eastAsia" w:ascii="宋体" w:hAnsi="宋体" w:eastAsia="宋体" w:cs="宋体"/>
        </w:rPr>
      </w:pPr>
      <w:r>
        <w:rPr>
          <w:rFonts w:hint="eastAsia" w:ascii="宋体" w:hAnsi="宋体" w:eastAsia="宋体" w:cs="宋体"/>
        </w:rPr>
        <w:t>备有简要说明书或图解阐明抛绳设备的用法。</w:t>
      </w:r>
    </w:p>
    <w:p w14:paraId="17A3492B">
      <w:pPr>
        <w:pStyle w:val="326"/>
        <w:rPr>
          <w:rFonts w:ascii="Times New Roman"/>
        </w:rPr>
      </w:pPr>
      <w:r>
        <w:rPr>
          <w:rFonts w:ascii="Times New Roman"/>
        </w:rPr>
        <w:t>手枪发射的火箭，或火箭与抛射绳组成整体的组件，应装在防水的外壳内。此外，手枪发射的火箭、抛射绳和火箭以及引燃器材应贮存在抗风雨的容器内。</w:t>
      </w:r>
    </w:p>
    <w:p w14:paraId="670BF0F2">
      <w:pPr>
        <w:pStyle w:val="326"/>
        <w:rPr>
          <w:rFonts w:ascii="Times New Roman"/>
        </w:rPr>
      </w:pPr>
      <w:r>
        <w:rPr>
          <w:rFonts w:ascii="Times New Roman"/>
        </w:rPr>
        <w:t>抛绳设备应存放在易于到达的地方，并随时可用。</w:t>
      </w:r>
    </w:p>
    <w:p w14:paraId="745ED761">
      <w:pPr>
        <w:pStyle w:val="260"/>
        <w:outlineLvl w:val="1"/>
      </w:pPr>
      <w:bookmarkStart w:id="283" w:name="_Toc16469"/>
      <w:r>
        <w:rPr>
          <w:rFonts w:hint="eastAsia"/>
        </w:rPr>
        <w:t>遇险信号</w:t>
      </w:r>
      <w:bookmarkEnd w:id="283"/>
    </w:p>
    <w:p w14:paraId="5520D2AD">
      <w:pPr>
        <w:pStyle w:val="326"/>
        <w:rPr>
          <w:rFonts w:ascii="Times New Roman"/>
        </w:rPr>
      </w:pPr>
      <w:r>
        <w:t>平台和平台群中</w:t>
      </w:r>
      <w:r>
        <w:rPr>
          <w:rFonts w:hint="eastAsia"/>
        </w:rPr>
        <w:t>带</w:t>
      </w:r>
      <w:r>
        <w:rPr>
          <w:rFonts w:ascii="Times New Roman"/>
        </w:rPr>
        <w:t>生活区的平台上应至少配备</w:t>
      </w:r>
      <w:r>
        <w:rPr>
          <w:rFonts w:hint="eastAsia" w:ascii="宋体" w:hAnsi="宋体" w:eastAsia="宋体" w:cs="宋体"/>
        </w:rPr>
        <w:t>12</w:t>
      </w:r>
      <w:r>
        <w:rPr>
          <w:rFonts w:ascii="Times New Roman"/>
        </w:rPr>
        <w:t>个红光降落伞信号。</w:t>
      </w:r>
    </w:p>
    <w:p w14:paraId="1277C47C">
      <w:pPr>
        <w:pStyle w:val="326"/>
        <w:rPr>
          <w:rFonts w:ascii="Times New Roman"/>
        </w:rPr>
      </w:pPr>
      <w:r>
        <w:rPr>
          <w:rFonts w:ascii="Times New Roman"/>
        </w:rPr>
        <w:t>红光降落伞信号应符合下列要求：</w:t>
      </w:r>
    </w:p>
    <w:p w14:paraId="696063B3">
      <w:pPr>
        <w:pStyle w:val="305"/>
        <w:numPr>
          <w:ilvl w:val="0"/>
          <w:numId w:val="118"/>
        </w:numPr>
      </w:pPr>
      <w:r>
        <w:t>应装在防水外壳内</w:t>
      </w:r>
      <w:r>
        <w:rPr>
          <w:rFonts w:hint="eastAsia"/>
        </w:rPr>
        <w:t>，</w:t>
      </w:r>
      <w:r>
        <w:t>并应配有信号用法的简要说明或图解；</w:t>
      </w:r>
    </w:p>
    <w:p w14:paraId="07F1B263">
      <w:pPr>
        <w:pStyle w:val="305"/>
        <w:numPr>
          <w:ilvl w:val="0"/>
          <w:numId w:val="118"/>
        </w:numPr>
      </w:pPr>
      <w:r>
        <w:t>信号使用时发出明亮的红光，燃烧时间不少于40</w:t>
      </w:r>
      <w:r>
        <w:rPr>
          <w:rFonts w:hint="eastAsia"/>
          <w:sz w:val="10"/>
          <w:szCs w:val="10"/>
        </w:rPr>
        <w:t xml:space="preserve"> </w:t>
      </w:r>
      <w:r>
        <w:rPr>
          <w:rFonts w:hint="eastAsia"/>
        </w:rPr>
        <w:t>s</w:t>
      </w:r>
      <w:r>
        <w:t>，降落速度不大于5</w:t>
      </w:r>
      <w:r>
        <w:rPr>
          <w:rFonts w:hint="eastAsia"/>
          <w:sz w:val="10"/>
          <w:szCs w:val="10"/>
        </w:rPr>
        <w:t xml:space="preserve"> </w:t>
      </w:r>
      <w:r>
        <w:t>m/s，燃烧时不烧损降落伞或附件。</w:t>
      </w:r>
    </w:p>
    <w:p w14:paraId="480D454C">
      <w:pPr>
        <w:pStyle w:val="326"/>
        <w:rPr>
          <w:rFonts w:ascii="Times New Roman"/>
        </w:rPr>
      </w:pPr>
      <w:r>
        <w:rPr>
          <w:rFonts w:ascii="Times New Roman"/>
        </w:rPr>
        <w:t>平台和平台群中带生活区的平台上至少应配</w:t>
      </w:r>
      <w:r>
        <w:rPr>
          <w:rFonts w:hint="eastAsia" w:ascii="宋体" w:hAnsi="宋体" w:eastAsia="宋体" w:cs="宋体"/>
        </w:rPr>
        <w:t>备2</w:t>
      </w:r>
      <w:r>
        <w:rPr>
          <w:rFonts w:ascii="Times New Roman"/>
        </w:rPr>
        <w:t>支橙色烟雾信号。</w:t>
      </w:r>
    </w:p>
    <w:p w14:paraId="0D2C4204">
      <w:pPr>
        <w:pStyle w:val="326"/>
        <w:rPr>
          <w:rFonts w:ascii="Times New Roman"/>
        </w:rPr>
      </w:pPr>
      <w:r>
        <w:rPr>
          <w:rFonts w:ascii="Times New Roman"/>
        </w:rPr>
        <w:t>橙色烟雾信号应符合下列要求：</w:t>
      </w:r>
    </w:p>
    <w:p w14:paraId="19964E4F">
      <w:pPr>
        <w:pStyle w:val="305"/>
        <w:numPr>
          <w:ilvl w:val="0"/>
          <w:numId w:val="119"/>
        </w:numPr>
      </w:pPr>
      <w:r>
        <w:t>应装在防水外壳内，并应配有简明须知或图解；</w:t>
      </w:r>
    </w:p>
    <w:p w14:paraId="74CF0883">
      <w:pPr>
        <w:pStyle w:val="305"/>
        <w:numPr>
          <w:ilvl w:val="0"/>
          <w:numId w:val="119"/>
        </w:numPr>
      </w:pPr>
      <w:r>
        <w:t>在整个喷出烟雾期间不喷出任何火焰、不会爆炸，在石油覆盖的水面上应能安全使用；</w:t>
      </w:r>
    </w:p>
    <w:p w14:paraId="224C75D6">
      <w:pPr>
        <w:pStyle w:val="305"/>
        <w:numPr>
          <w:ilvl w:val="0"/>
          <w:numId w:val="119"/>
        </w:numPr>
      </w:pPr>
      <w:r>
        <w:t>在海浪中烟雾应连续，不被海浪淹没。</w:t>
      </w:r>
    </w:p>
    <w:p w14:paraId="7BDD5E3F">
      <w:pPr>
        <w:pStyle w:val="326"/>
      </w:pPr>
      <w:r>
        <w:rPr>
          <w:rFonts w:ascii="Times New Roman"/>
        </w:rPr>
        <w:t>遇险信号存放在易于到达的地方，其附近不得有热源通过</w:t>
      </w:r>
      <w:r>
        <w:t>。</w:t>
      </w:r>
    </w:p>
    <w:p w14:paraId="6A257268">
      <w:pPr>
        <w:pStyle w:val="260"/>
        <w:outlineLvl w:val="1"/>
      </w:pPr>
      <w:bookmarkStart w:id="284" w:name="_Toc17874"/>
      <w:r>
        <w:rPr>
          <w:rFonts w:hint="eastAsia"/>
        </w:rPr>
        <w:t>急救设施</w:t>
      </w:r>
      <w:bookmarkEnd w:id="284"/>
    </w:p>
    <w:p w14:paraId="6402A025">
      <w:pPr>
        <w:pStyle w:val="326"/>
        <w:rPr>
          <w:rFonts w:ascii="Times New Roman"/>
        </w:rPr>
      </w:pPr>
      <w:bookmarkStart w:id="285" w:name="_Toc17578"/>
      <w:r>
        <w:rPr>
          <w:rFonts w:ascii="Times New Roman"/>
        </w:rPr>
        <w:t>有医务室的平台应配备急救设施，无医务室的平台和无人驻守平台应配备急救物品。</w:t>
      </w:r>
    </w:p>
    <w:p w14:paraId="20AADA82">
      <w:pPr>
        <w:pStyle w:val="326"/>
      </w:pPr>
      <w:r>
        <w:rPr>
          <w:rFonts w:ascii="Times New Roman"/>
        </w:rPr>
        <w:t>有人驻守平台的直升机甲板</w:t>
      </w:r>
      <w:r>
        <w:rPr>
          <w:rFonts w:hint="eastAsia" w:ascii="Times New Roman"/>
        </w:rPr>
        <w:t>应</w:t>
      </w:r>
      <w:r>
        <w:rPr>
          <w:rFonts w:ascii="Times New Roman"/>
        </w:rPr>
        <w:t>配备一套应急救助工具，供直升机遇险时抢救使用。</w:t>
      </w:r>
      <w:r>
        <w:rPr>
          <w:rFonts w:ascii="宋体" w:hAnsi="宋体" w:eastAsia="宋体" w:cs="宋体"/>
          <w:sz w:val="24"/>
          <w:szCs w:val="24"/>
        </w:rPr>
        <w:t xml:space="preserve"> </w:t>
      </w:r>
    </w:p>
    <w:p w14:paraId="330CE657">
      <w:pPr>
        <w:pStyle w:val="260"/>
        <w:outlineLvl w:val="1"/>
      </w:pPr>
      <w:r>
        <w:rPr>
          <w:rFonts w:hint="eastAsia"/>
        </w:rPr>
        <w:t>逃生用具</w:t>
      </w:r>
      <w:bookmarkEnd w:id="285"/>
    </w:p>
    <w:p w14:paraId="6FF35D21">
      <w:pPr>
        <w:pStyle w:val="326"/>
        <w:rPr>
          <w:rFonts w:ascii="Times New Roman"/>
        </w:rPr>
      </w:pPr>
      <w:r>
        <w:rPr>
          <w:rFonts w:ascii="Times New Roman"/>
        </w:rPr>
        <w:t>平台应设置至少两套相互尽量远离的应急逃生梯。还应配备便携式绳梯、打结逃生索或类似用具，其放置地点应邻近救生</w:t>
      </w:r>
      <w:r>
        <w:rPr>
          <w:rFonts w:hint="eastAsia" w:ascii="Times New Roman"/>
        </w:rPr>
        <w:t>筏</w:t>
      </w:r>
      <w:r>
        <w:rPr>
          <w:rFonts w:ascii="Times New Roman"/>
        </w:rPr>
        <w:t>旁。</w:t>
      </w:r>
      <w:r>
        <w:rPr>
          <w:rFonts w:hint="eastAsia" w:ascii="Times New Roman"/>
        </w:rPr>
        <w:t>简易无人井口平台应配置应急</w:t>
      </w:r>
      <w:r>
        <w:rPr>
          <w:rFonts w:ascii="Times New Roman"/>
        </w:rPr>
        <w:t>逃生梯</w:t>
      </w:r>
      <w:r>
        <w:rPr>
          <w:rFonts w:hint="eastAsia" w:ascii="Times New Roman"/>
        </w:rPr>
        <w:t>或</w:t>
      </w:r>
      <w:r>
        <w:rPr>
          <w:rFonts w:ascii="Times New Roman"/>
        </w:rPr>
        <w:t>配备便携式绳梯、打结逃生索</w:t>
      </w:r>
      <w:r>
        <w:rPr>
          <w:rFonts w:hint="eastAsia" w:ascii="Times New Roman"/>
        </w:rPr>
        <w:t>以及类似用具。</w:t>
      </w:r>
    </w:p>
    <w:p w14:paraId="7E41A636">
      <w:pPr>
        <w:pStyle w:val="326"/>
        <w:rPr>
          <w:rFonts w:ascii="Times New Roman"/>
        </w:rPr>
      </w:pPr>
      <w:r>
        <w:rPr>
          <w:rFonts w:ascii="Times New Roman"/>
        </w:rPr>
        <w:t>逃生用具应能从最顶一层甲板或通常有人的处所，依次延伸到每层下面的甲板，并延至人员到达水面的着落处。</w:t>
      </w:r>
    </w:p>
    <w:p w14:paraId="5DC9E3C4">
      <w:pPr>
        <w:pStyle w:val="260"/>
        <w:outlineLvl w:val="1"/>
        <w:rPr>
          <w:rFonts w:ascii="Times New Roman"/>
        </w:rPr>
      </w:pPr>
      <w:bookmarkStart w:id="286" w:name="_Toc5671"/>
      <w:r>
        <w:rPr>
          <w:rFonts w:ascii="Times New Roman"/>
        </w:rPr>
        <w:t>人员防护</w:t>
      </w:r>
      <w:r>
        <w:rPr>
          <w:rFonts w:hint="eastAsia" w:ascii="Times New Roman"/>
        </w:rPr>
        <w:t>装置与装备</w:t>
      </w:r>
      <w:bookmarkEnd w:id="286"/>
    </w:p>
    <w:p w14:paraId="2D2529D1">
      <w:pPr>
        <w:pStyle w:val="326"/>
      </w:pPr>
      <w:r>
        <w:t>所有无防护的露天甲板区、走道和甲板开口的边缘，均应设置可靠的安全防护栏杆。</w:t>
      </w:r>
    </w:p>
    <w:p w14:paraId="2A6DBE04">
      <w:pPr>
        <w:pStyle w:val="326"/>
        <w:rPr>
          <w:rFonts w:hint="eastAsia" w:ascii="宋体" w:hAnsi="宋体" w:eastAsia="宋体" w:cs="宋体"/>
        </w:rPr>
      </w:pPr>
      <w:r>
        <w:rPr>
          <w:rFonts w:hint="eastAsia" w:ascii="宋体" w:hAnsi="宋体" w:eastAsia="宋体" w:cs="宋体"/>
        </w:rPr>
        <w:t>所有高度超过6</w:t>
      </w:r>
      <w:r>
        <w:rPr>
          <w:rFonts w:hint="eastAsia" w:ascii="宋体" w:hAnsi="宋体" w:eastAsia="宋体" w:cs="宋体"/>
          <w:sz w:val="10"/>
          <w:szCs w:val="10"/>
        </w:rPr>
        <w:t xml:space="preserve"> </w:t>
      </w:r>
      <w:r>
        <w:rPr>
          <w:rFonts w:hint="eastAsia" w:ascii="宋体" w:hAnsi="宋体" w:eastAsia="宋体" w:cs="宋体"/>
        </w:rPr>
        <w:t>m的直梯应设安全防护笼或其他的安全装置。</w:t>
      </w:r>
    </w:p>
    <w:p w14:paraId="0B8AFB83">
      <w:pPr>
        <w:pStyle w:val="326"/>
        <w:rPr>
          <w:rFonts w:hint="eastAsia" w:ascii="宋体" w:hAnsi="宋体" w:eastAsia="宋体" w:cs="宋体"/>
        </w:rPr>
      </w:pPr>
      <w:r>
        <w:rPr>
          <w:rFonts w:hint="eastAsia" w:ascii="宋体" w:hAnsi="宋体" w:eastAsia="宋体" w:cs="宋体"/>
        </w:rPr>
        <w:t>对于含有H</w:t>
      </w:r>
      <w:r>
        <w:rPr>
          <w:rFonts w:hint="eastAsia" w:ascii="宋体" w:hAnsi="宋体" w:eastAsia="宋体" w:cs="宋体"/>
          <w:vertAlign w:val="subscript"/>
        </w:rPr>
        <w:t>2</w:t>
      </w:r>
      <w:r>
        <w:rPr>
          <w:rFonts w:hint="eastAsia" w:ascii="宋体" w:hAnsi="宋体" w:eastAsia="宋体" w:cs="宋体"/>
        </w:rPr>
        <w:t>S、高浓度CO</w:t>
      </w:r>
      <w:r>
        <w:rPr>
          <w:rFonts w:hint="eastAsia" w:ascii="宋体" w:hAnsi="宋体" w:eastAsia="宋体" w:cs="宋体"/>
          <w:vertAlign w:val="subscript"/>
        </w:rPr>
        <w:t>2</w:t>
      </w:r>
      <w:r>
        <w:rPr>
          <w:rFonts w:hint="eastAsia" w:ascii="宋体" w:hAnsi="宋体" w:eastAsia="宋体" w:cs="宋体"/>
        </w:rPr>
        <w:t>等有毒有害物质的平台，应配备相应的人员防护装备。</w:t>
      </w:r>
    </w:p>
    <w:p w14:paraId="30075C25">
      <w:pPr>
        <w:pStyle w:val="326"/>
        <w:rPr>
          <w:rFonts w:hint="eastAsia" w:ascii="宋体" w:hAnsi="宋体" w:eastAsia="宋体" w:cs="宋体"/>
        </w:rPr>
      </w:pPr>
      <w:r>
        <w:rPr>
          <w:rFonts w:hint="eastAsia" w:ascii="宋体" w:hAnsi="宋体" w:eastAsia="宋体" w:cs="宋体"/>
        </w:rPr>
        <w:t>在平台上有可能遭遇到H</w:t>
      </w:r>
      <w:r>
        <w:rPr>
          <w:rFonts w:hint="eastAsia" w:ascii="宋体" w:hAnsi="宋体" w:eastAsia="宋体" w:cs="宋体"/>
          <w:vertAlign w:val="subscript"/>
        </w:rPr>
        <w:t>2</w:t>
      </w:r>
      <w:r>
        <w:rPr>
          <w:rFonts w:hint="eastAsia" w:ascii="宋体" w:hAnsi="宋体" w:eastAsia="宋体" w:cs="宋体"/>
        </w:rPr>
        <w:t>S气体或高浓度CO</w:t>
      </w:r>
      <w:r>
        <w:rPr>
          <w:rFonts w:hint="eastAsia" w:ascii="宋体" w:hAnsi="宋体" w:eastAsia="宋体" w:cs="宋体"/>
          <w:vertAlign w:val="subscript"/>
        </w:rPr>
        <w:t>2</w:t>
      </w:r>
      <w:r>
        <w:rPr>
          <w:rFonts w:hint="eastAsia" w:ascii="宋体" w:hAnsi="宋体" w:eastAsia="宋体" w:cs="宋体"/>
        </w:rPr>
        <w:t>的工作处所，每一位现场操作人员应配备一套全面罩式、正压自给式呼吸装置，该装置的额定供气时间应至少为30 min。必要时可配备集中式供气系统；</w:t>
      </w:r>
    </w:p>
    <w:p w14:paraId="54910AC0">
      <w:pPr>
        <w:pStyle w:val="326"/>
        <w:rPr>
          <w:rFonts w:ascii="Times New Roman"/>
        </w:rPr>
      </w:pPr>
      <w:r>
        <w:rPr>
          <w:rFonts w:hint="eastAsia" w:ascii="Times New Roman"/>
        </w:rPr>
        <w:t>生活区按照平台总人数</w:t>
      </w:r>
      <w:r>
        <w:rPr>
          <w:rFonts w:ascii="Times New Roman"/>
        </w:rPr>
        <w:t>配备全面罩式、正压自给式呼吸装置，额定供气时间</w:t>
      </w:r>
      <w:r>
        <w:rPr>
          <w:rFonts w:hint="eastAsia" w:ascii="Times New Roman"/>
        </w:rPr>
        <w:t>不应少于</w:t>
      </w:r>
      <w:r>
        <w:rPr>
          <w:rFonts w:hint="eastAsia" w:ascii="宋体" w:hAnsi="宋体" w:eastAsia="宋体" w:cs="宋体"/>
        </w:rPr>
        <w:t>15 min</w:t>
      </w:r>
      <w:r>
        <w:rPr>
          <w:rFonts w:hint="eastAsia" w:ascii="Times New Roman"/>
        </w:rPr>
        <w:t>；其他区域根据作业人数和作业性质配备正压自给式呼吸器。</w:t>
      </w:r>
    </w:p>
    <w:p w14:paraId="41CB454E">
      <w:pPr>
        <w:pStyle w:val="326"/>
        <w:rPr>
          <w:rFonts w:ascii="Times New Roman"/>
        </w:rPr>
      </w:pPr>
      <w:r>
        <w:rPr>
          <w:rFonts w:ascii="Times New Roman"/>
        </w:rPr>
        <w:t>对平台上存在高温设备（如蒸汽锅炉）的工作处所，应为每一位现场操作人员配备一套高温防烫服。</w:t>
      </w:r>
    </w:p>
    <w:p w14:paraId="2349C2F4">
      <w:pPr>
        <w:pStyle w:val="326"/>
      </w:pPr>
      <w:r>
        <w:rPr>
          <w:rFonts w:ascii="Times New Roman"/>
        </w:rPr>
        <w:t>对于可能接触腐蚀性/毒性介质的区域</w:t>
      </w:r>
      <w:r>
        <w:rPr>
          <w:rFonts w:hint="eastAsia" w:ascii="Times New Roman"/>
        </w:rPr>
        <w:t>（如井口区、化学药剂调配、电池间等）</w:t>
      </w:r>
      <w:r>
        <w:rPr>
          <w:rFonts w:ascii="Times New Roman"/>
        </w:rPr>
        <w:t>，应设置洗眼站/洗眼器</w:t>
      </w:r>
      <w:r>
        <w:t>。</w:t>
      </w:r>
    </w:p>
    <w:p w14:paraId="215BA7F4">
      <w:pPr>
        <w:pStyle w:val="260"/>
        <w:outlineLvl w:val="1"/>
      </w:pPr>
      <w:bookmarkStart w:id="287" w:name="_Toc978"/>
      <w:r>
        <w:rPr>
          <w:rFonts w:hint="eastAsia"/>
        </w:rPr>
        <w:t>逃生通道</w:t>
      </w:r>
      <w:bookmarkEnd w:id="287"/>
    </w:p>
    <w:p w14:paraId="3C5C46ED">
      <w:pPr>
        <w:pStyle w:val="326"/>
      </w:pPr>
      <w:r>
        <w:rPr>
          <w:rFonts w:hint="eastAsia"/>
        </w:rPr>
        <w:t>甲板及甲板间的逃生通道应满足以下要求：</w:t>
      </w:r>
    </w:p>
    <w:p w14:paraId="79F9F13D">
      <w:pPr>
        <w:pStyle w:val="305"/>
        <w:numPr>
          <w:ilvl w:val="0"/>
          <w:numId w:val="120"/>
        </w:numPr>
      </w:pPr>
      <w:r>
        <w:t>每层甲板应至少设有两条尽可能远离，便于到达救生艇甲板的</w:t>
      </w:r>
      <w:r>
        <w:rPr>
          <w:rFonts w:hint="eastAsia"/>
        </w:rPr>
        <w:t>逃生</w:t>
      </w:r>
      <w:r>
        <w:t>通道，对于狭小的局部甲板，经常工作人员的数量</w:t>
      </w:r>
      <w:r>
        <w:rPr>
          <w:rFonts w:hint="eastAsia"/>
        </w:rPr>
        <w:t>少，逃生</w:t>
      </w:r>
      <w:r>
        <w:t>通道可仅设一条</w:t>
      </w:r>
      <w:r>
        <w:rPr>
          <w:rFonts w:hint="eastAsia"/>
        </w:rPr>
        <w:t>；</w:t>
      </w:r>
    </w:p>
    <w:p w14:paraId="7A5F0213">
      <w:pPr>
        <w:pStyle w:val="305"/>
        <w:numPr>
          <w:ilvl w:val="0"/>
          <w:numId w:val="120"/>
        </w:numPr>
      </w:pPr>
      <w:r>
        <w:t>每条</w:t>
      </w:r>
      <w:r>
        <w:rPr>
          <w:rFonts w:hint="eastAsia"/>
        </w:rPr>
        <w:t>逃生</w:t>
      </w:r>
      <w:r>
        <w:t>通道应便于通过并且没有障碍，沿通道所有出口的门应朝</w:t>
      </w:r>
      <w:r>
        <w:rPr>
          <w:rFonts w:hint="eastAsia"/>
        </w:rPr>
        <w:t>逃生</w:t>
      </w:r>
      <w:r>
        <w:t>方向开启</w:t>
      </w:r>
      <w:r>
        <w:rPr>
          <w:rFonts w:hint="eastAsia"/>
        </w:rPr>
        <w:t>；</w:t>
      </w:r>
    </w:p>
    <w:p w14:paraId="346E2608">
      <w:pPr>
        <w:pStyle w:val="305"/>
        <w:numPr>
          <w:ilvl w:val="0"/>
          <w:numId w:val="120"/>
        </w:numPr>
      </w:pPr>
      <w:r>
        <w:rPr>
          <w:rFonts w:hint="eastAsia"/>
        </w:rPr>
        <w:t>逃生通道</w:t>
      </w:r>
      <w:r>
        <w:t>应从顶层甲板依次延伸向下至底层甲板，并与导管架上的</w:t>
      </w:r>
      <w:r>
        <w:rPr>
          <w:rFonts w:hint="eastAsia"/>
        </w:rPr>
        <w:t>逃生通道</w:t>
      </w:r>
      <w:r>
        <w:t>相连通</w:t>
      </w:r>
      <w:r>
        <w:rPr>
          <w:rFonts w:hint="eastAsia"/>
        </w:rPr>
        <w:t>；</w:t>
      </w:r>
    </w:p>
    <w:p w14:paraId="648BA02B">
      <w:pPr>
        <w:pStyle w:val="305"/>
        <w:numPr>
          <w:ilvl w:val="0"/>
          <w:numId w:val="120"/>
        </w:numPr>
      </w:pPr>
      <w:r>
        <w:rPr>
          <w:rFonts w:hint="eastAsia"/>
        </w:rPr>
        <w:t>主要逃生通道净宽不小于1.0</w:t>
      </w:r>
      <w:r>
        <w:rPr>
          <w:rFonts w:hint="eastAsia"/>
          <w:sz w:val="10"/>
          <w:szCs w:val="10"/>
        </w:rPr>
        <w:t xml:space="preserve"> </w:t>
      </w:r>
      <w:r>
        <w:rPr>
          <w:rFonts w:hint="eastAsia"/>
        </w:rPr>
        <w:t>m，净高不小于2.3</w:t>
      </w:r>
      <w:r>
        <w:rPr>
          <w:rFonts w:hint="eastAsia"/>
          <w:sz w:val="10"/>
          <w:szCs w:val="10"/>
        </w:rPr>
        <w:t xml:space="preserve"> </w:t>
      </w:r>
      <w:r>
        <w:rPr>
          <w:rFonts w:hint="eastAsia"/>
        </w:rPr>
        <w:t>m；辅助逃生通道净宽不小于0.8</w:t>
      </w:r>
      <w:r>
        <w:rPr>
          <w:rFonts w:hint="eastAsia"/>
          <w:sz w:val="10"/>
          <w:szCs w:val="10"/>
        </w:rPr>
        <w:t xml:space="preserve"> </w:t>
      </w:r>
      <w:r>
        <w:rPr>
          <w:rFonts w:hint="eastAsia"/>
        </w:rPr>
        <w:t>m，净高不小于2.2</w:t>
      </w:r>
      <w:r>
        <w:rPr>
          <w:rFonts w:hint="eastAsia"/>
          <w:sz w:val="10"/>
          <w:szCs w:val="10"/>
        </w:rPr>
        <w:t xml:space="preserve"> </w:t>
      </w:r>
      <w:r>
        <w:rPr>
          <w:rFonts w:hint="eastAsia"/>
        </w:rPr>
        <w:t>m；</w:t>
      </w:r>
    </w:p>
    <w:p w14:paraId="64C7ACAD">
      <w:pPr>
        <w:pStyle w:val="305"/>
        <w:numPr>
          <w:ilvl w:val="0"/>
          <w:numId w:val="120"/>
        </w:numPr>
      </w:pPr>
      <w:r>
        <w:rPr>
          <w:rFonts w:hint="eastAsia"/>
        </w:rPr>
        <w:t>作为逃生通道的梯道应为钢质固定型，宽度应与逃生通道的宽度一致，斜度不大于50</w:t>
      </w:r>
      <w:r>
        <w:rPr>
          <w:rFonts w:hint="eastAsia"/>
          <w:sz w:val="10"/>
          <w:szCs w:val="10"/>
        </w:rPr>
        <w:t xml:space="preserve"> </w:t>
      </w:r>
      <w:r>
        <w:rPr>
          <w:rFonts w:hint="eastAsia"/>
        </w:rPr>
        <w:t>°，两侧设有扶手栏杆，梯步板应为防滑型。</w:t>
      </w:r>
    </w:p>
    <w:p w14:paraId="33701749">
      <w:pPr>
        <w:pStyle w:val="326"/>
      </w:pPr>
      <w:r>
        <w:rPr>
          <w:rFonts w:hint="eastAsia"/>
        </w:rPr>
        <w:t>生活区的逃生通道应满足以下要求：</w:t>
      </w:r>
    </w:p>
    <w:p w14:paraId="070C9AC3">
      <w:pPr>
        <w:pStyle w:val="305"/>
        <w:numPr>
          <w:ilvl w:val="0"/>
          <w:numId w:val="121"/>
        </w:numPr>
      </w:pPr>
      <w:r>
        <w:rPr>
          <w:rFonts w:hint="eastAsia"/>
        </w:rPr>
        <w:t>应至少设有两个相互尽可能远离的便于到达露天甲板和登艇甲板的逃生通道；</w:t>
      </w:r>
    </w:p>
    <w:p w14:paraId="30A7F432">
      <w:pPr>
        <w:pStyle w:val="305"/>
        <w:numPr>
          <w:ilvl w:val="0"/>
          <w:numId w:val="121"/>
        </w:numPr>
      </w:pPr>
      <w:r>
        <w:rPr>
          <w:rFonts w:hint="eastAsia"/>
        </w:rPr>
        <w:t>应以钢质梯道作逃生通道，当梯道的安装不可行时，垂直梯也可用作逃生通道；</w:t>
      </w:r>
    </w:p>
    <w:p w14:paraId="688022D6">
      <w:pPr>
        <w:pStyle w:val="305"/>
        <w:numPr>
          <w:ilvl w:val="0"/>
          <w:numId w:val="121"/>
        </w:numPr>
      </w:pPr>
      <w:r>
        <w:rPr>
          <w:rFonts w:hint="eastAsia"/>
        </w:rPr>
        <w:t>每个逃生通道应便于通过并且没有障碍，沿通道所有出口的门应朝逃生方向开启。</w:t>
      </w:r>
    </w:p>
    <w:p w14:paraId="6C51D89A">
      <w:pPr>
        <w:pStyle w:val="326"/>
      </w:pPr>
      <w:r>
        <w:rPr>
          <w:rFonts w:hint="eastAsia"/>
        </w:rPr>
        <w:t>封闭处所应设置两个向外开的门，处所内通道长度小于7</w:t>
      </w:r>
      <w:r>
        <w:rPr>
          <w:rFonts w:hint="eastAsia"/>
          <w:sz w:val="10"/>
          <w:szCs w:val="10"/>
        </w:rPr>
        <w:t xml:space="preserve"> </w:t>
      </w:r>
      <w:r>
        <w:rPr>
          <w:rFonts w:hint="eastAsia"/>
        </w:rPr>
        <w:t>m可免除其中的一个门。</w:t>
      </w:r>
    </w:p>
    <w:p w14:paraId="32226B79">
      <w:pPr>
        <w:pStyle w:val="326"/>
      </w:pPr>
      <w:r>
        <w:rPr>
          <w:rFonts w:hint="eastAsia"/>
        </w:rPr>
        <w:t>封闭区域内不应设置长度超过7</w:t>
      </w:r>
      <w:r>
        <w:rPr>
          <w:rFonts w:hint="eastAsia"/>
          <w:sz w:val="10"/>
          <w:szCs w:val="10"/>
        </w:rPr>
        <w:t xml:space="preserve"> </w:t>
      </w:r>
      <w:r>
        <w:rPr>
          <w:rFonts w:hint="eastAsia"/>
        </w:rPr>
        <w:t>m而一端不通的通道。</w:t>
      </w:r>
    </w:p>
    <w:p w14:paraId="2C7A9B72">
      <w:pPr>
        <w:pStyle w:val="326"/>
      </w:pPr>
      <w:r>
        <w:rPr>
          <w:rFonts w:hint="eastAsia"/>
        </w:rPr>
        <w:t>逃生通道应有明显的区别于其他通道的标记。沿逃生通道应设有显示出口和逃离方向的警示牌。</w:t>
      </w:r>
    </w:p>
    <w:p w14:paraId="013CFCA0">
      <w:pPr>
        <w:pStyle w:val="326"/>
      </w:pPr>
      <w:r>
        <w:t>升降机不应作为逃生措施。</w:t>
      </w:r>
    </w:p>
    <w:p w14:paraId="5E1F89CE">
      <w:pPr>
        <w:pStyle w:val="326"/>
      </w:pPr>
      <w:r>
        <w:t>平台布置时应考虑在钻井甲板和油（气）生产区失火情况下</w:t>
      </w:r>
      <w:r>
        <w:rPr>
          <w:rFonts w:hint="eastAsia"/>
        </w:rPr>
        <w:t>，</w:t>
      </w:r>
      <w:r>
        <w:t>尽可能有一个到登船位置和救生艇处的脱险通道</w:t>
      </w:r>
      <w:r>
        <w:rPr>
          <w:rFonts w:hint="eastAsia"/>
          <w:lang w:eastAsia="zh-CN"/>
        </w:rPr>
        <w:t>，</w:t>
      </w:r>
      <w:r>
        <w:t>可免于受到火的热</w:t>
      </w:r>
      <w:r>
        <w:rPr>
          <w:rFonts w:hint="eastAsia"/>
        </w:rPr>
        <w:t>辐</w:t>
      </w:r>
      <w:r>
        <w:t>射危害。</w:t>
      </w:r>
    </w:p>
    <w:p w14:paraId="252EC5FC">
      <w:pPr>
        <w:pStyle w:val="260"/>
        <w:outlineLvl w:val="1"/>
      </w:pPr>
      <w:bookmarkStart w:id="288" w:name="_Toc28641"/>
      <w:r>
        <w:rPr>
          <w:rFonts w:hint="eastAsia"/>
        </w:rPr>
        <w:t>登艇集合区</w:t>
      </w:r>
      <w:bookmarkEnd w:id="288"/>
    </w:p>
    <w:p w14:paraId="6758498A">
      <w:pPr>
        <w:pStyle w:val="326"/>
        <w:rPr>
          <w:rFonts w:ascii="Times New Roman"/>
        </w:rPr>
      </w:pPr>
      <w:r>
        <w:rPr>
          <w:rFonts w:hint="eastAsia"/>
        </w:rPr>
        <w:t>登艇</w:t>
      </w:r>
      <w:r>
        <w:rPr>
          <w:rFonts w:ascii="Times New Roman"/>
        </w:rPr>
        <w:t>集合区的面积应不低于</w:t>
      </w:r>
      <w:r>
        <w:rPr>
          <w:rFonts w:hint="eastAsia" w:ascii="宋体" w:hAnsi="宋体" w:eastAsia="宋体" w:cs="宋体"/>
        </w:rPr>
        <w:t>0.35</w:t>
      </w:r>
      <w:r>
        <w:rPr>
          <w:rFonts w:hint="eastAsia" w:ascii="宋体" w:hAnsi="宋体" w:eastAsia="宋体" w:cs="宋体"/>
          <w:sz w:val="10"/>
          <w:szCs w:val="10"/>
        </w:rPr>
        <w:t xml:space="preserve"> </w:t>
      </w:r>
      <w:r>
        <w:rPr>
          <w:rFonts w:hint="eastAsia" w:ascii="宋体" w:hAnsi="宋体" w:eastAsia="宋体" w:cs="宋体"/>
        </w:rPr>
        <w:t>m</w:t>
      </w:r>
      <w:r>
        <w:rPr>
          <w:rFonts w:hint="eastAsia" w:ascii="宋体" w:hAnsi="宋体" w:eastAsia="宋体" w:cs="宋体"/>
          <w:vertAlign w:val="superscript"/>
        </w:rPr>
        <w:t>2</w:t>
      </w:r>
      <w:r>
        <w:rPr>
          <w:rFonts w:hint="eastAsia" w:ascii="宋体" w:hAnsi="宋体" w:eastAsia="宋体" w:cs="宋体"/>
        </w:rPr>
        <w:t>/</w:t>
      </w:r>
      <w:r>
        <w:rPr>
          <w:rFonts w:ascii="Times New Roman"/>
        </w:rPr>
        <w:t>人。配置呼吸器的平台，集合区面积不低于</w:t>
      </w:r>
      <w:r>
        <w:rPr>
          <w:rFonts w:hint="eastAsia" w:ascii="宋体" w:hAnsi="宋体" w:eastAsia="宋体" w:cs="宋体"/>
        </w:rPr>
        <w:t>0.56</w:t>
      </w:r>
      <w:r>
        <w:rPr>
          <w:rFonts w:hint="eastAsia" w:ascii="宋体" w:hAnsi="宋体" w:eastAsia="宋体" w:cs="宋体"/>
          <w:sz w:val="10"/>
          <w:szCs w:val="10"/>
        </w:rPr>
        <w:t xml:space="preserve"> </w:t>
      </w:r>
      <w:r>
        <w:rPr>
          <w:rFonts w:hint="eastAsia" w:ascii="宋体" w:hAnsi="宋体" w:eastAsia="宋体" w:cs="宋体"/>
        </w:rPr>
        <w:t>m</w:t>
      </w:r>
      <w:r>
        <w:rPr>
          <w:rFonts w:hint="eastAsia" w:ascii="宋体" w:hAnsi="宋体" w:eastAsia="宋体" w:cs="宋体"/>
          <w:vertAlign w:val="superscript"/>
        </w:rPr>
        <w:t>2</w:t>
      </w:r>
      <w:r>
        <w:rPr>
          <w:rFonts w:ascii="Times New Roman"/>
        </w:rPr>
        <w:t>/人。</w:t>
      </w:r>
    </w:p>
    <w:p w14:paraId="2CD9CA5D">
      <w:pPr>
        <w:pStyle w:val="326"/>
        <w:rPr>
          <w:rFonts w:ascii="Times New Roman"/>
        </w:rPr>
      </w:pPr>
      <w:r>
        <w:rPr>
          <w:rFonts w:hint="eastAsia"/>
        </w:rPr>
        <w:t>登艇</w:t>
      </w:r>
      <w:r>
        <w:rPr>
          <w:rFonts w:ascii="Times New Roman"/>
        </w:rPr>
        <w:t>集合区应采取防止火灾热辐射的措施，保障集合区人员安全。</w:t>
      </w:r>
    </w:p>
    <w:p w14:paraId="68BB2642">
      <w:pPr>
        <w:pStyle w:val="260"/>
        <w:outlineLvl w:val="1"/>
      </w:pPr>
      <w:bookmarkStart w:id="289" w:name="_Toc14900"/>
      <w:r>
        <w:rPr>
          <w:rFonts w:hint="eastAsia"/>
        </w:rPr>
        <w:t>临时避难所</w:t>
      </w:r>
      <w:bookmarkEnd w:id="289"/>
    </w:p>
    <w:p w14:paraId="6FE00C66">
      <w:pPr>
        <w:pStyle w:val="326"/>
      </w:pPr>
      <w:r>
        <w:rPr>
          <w:rFonts w:hint="eastAsia"/>
        </w:rPr>
        <w:t>经</w:t>
      </w:r>
      <w:r>
        <w:rPr>
          <w:rFonts w:hint="eastAsia" w:ascii="Times New Roman"/>
        </w:rPr>
        <w:t>安全风险分析</w:t>
      </w:r>
      <w:r>
        <w:rPr>
          <w:rFonts w:hint="eastAsia"/>
        </w:rPr>
        <w:t>，对于火灾爆炸、有毒有害气体泄漏高风险的平台，应设置临时避难所。</w:t>
      </w:r>
    </w:p>
    <w:p w14:paraId="0CA9E069">
      <w:pPr>
        <w:pStyle w:val="326"/>
      </w:pPr>
      <w:r>
        <w:rPr>
          <w:rFonts w:hint="eastAsia"/>
        </w:rPr>
        <w:t>临时避难所应设置独立的结构支撑系统、生命支持系统、应急指挥支持系统。</w:t>
      </w:r>
    </w:p>
    <w:p w14:paraId="47887E6A">
      <w:pPr>
        <w:pStyle w:val="326"/>
      </w:pPr>
      <w:r>
        <w:rPr>
          <w:rFonts w:hint="eastAsia"/>
        </w:rPr>
        <w:t>临时避难所应与逃生通道连通。</w:t>
      </w:r>
    </w:p>
    <w:p w14:paraId="03D557E7">
      <w:pPr>
        <w:pStyle w:val="259"/>
        <w:outlineLvl w:val="0"/>
        <w:rPr>
          <w:rFonts w:ascii="Times New Roman"/>
        </w:rPr>
      </w:pPr>
      <w:bookmarkStart w:id="290" w:name="_Toc26280"/>
      <w:r>
        <w:rPr>
          <w:rFonts w:ascii="Times New Roman"/>
        </w:rPr>
        <w:t>助航标志与信号</w:t>
      </w:r>
      <w:bookmarkEnd w:id="290"/>
    </w:p>
    <w:p w14:paraId="3791B488">
      <w:pPr>
        <w:pStyle w:val="260"/>
        <w:outlineLvl w:val="1"/>
      </w:pPr>
      <w:bookmarkStart w:id="291" w:name="_Toc23093"/>
      <w:r>
        <w:t>一般规定</w:t>
      </w:r>
      <w:bookmarkEnd w:id="291"/>
    </w:p>
    <w:p w14:paraId="1CAFA982">
      <w:pPr>
        <w:pStyle w:val="326"/>
        <w:rPr>
          <w:rFonts w:ascii="Times New Roman"/>
        </w:rPr>
      </w:pPr>
      <w:r>
        <w:rPr>
          <w:rFonts w:ascii="Times New Roman"/>
        </w:rPr>
        <w:t>助航标志应能标示</w:t>
      </w:r>
      <w:r>
        <w:rPr>
          <w:rFonts w:hint="eastAsia" w:ascii="Times New Roman"/>
        </w:rPr>
        <w:t>单个平台</w:t>
      </w:r>
      <w:r>
        <w:rPr>
          <w:rFonts w:ascii="Times New Roman"/>
        </w:rPr>
        <w:t>的位置和平台群的</w:t>
      </w:r>
      <w:r>
        <w:rPr>
          <w:rFonts w:hint="eastAsia" w:ascii="Times New Roman"/>
        </w:rPr>
        <w:t>区域</w:t>
      </w:r>
      <w:r>
        <w:rPr>
          <w:rFonts w:ascii="Times New Roman"/>
        </w:rPr>
        <w:t>。</w:t>
      </w:r>
    </w:p>
    <w:p w14:paraId="74F92A65">
      <w:pPr>
        <w:pStyle w:val="326"/>
        <w:rPr>
          <w:rFonts w:ascii="Times New Roman"/>
        </w:rPr>
      </w:pPr>
      <w:r>
        <w:rPr>
          <w:rFonts w:ascii="Times New Roman"/>
        </w:rPr>
        <w:t>在平台</w:t>
      </w:r>
      <w:r>
        <w:rPr>
          <w:rFonts w:hint="eastAsia" w:ascii="Times New Roman"/>
        </w:rPr>
        <w:t>群</w:t>
      </w:r>
      <w:r>
        <w:rPr>
          <w:rFonts w:ascii="Times New Roman"/>
        </w:rPr>
        <w:t>区域航行安全可以得到保障的情况下，每一座平台可不独立安装所有的助航标志。其助航标志应按平台群的总体助航标志</w:t>
      </w:r>
      <w:r>
        <w:rPr>
          <w:rFonts w:hint="eastAsia" w:ascii="Times New Roman"/>
        </w:rPr>
        <w:t>需求</w:t>
      </w:r>
      <w:r>
        <w:rPr>
          <w:rFonts w:ascii="Times New Roman"/>
        </w:rPr>
        <w:t>进行配置，助航标志与信号应得到发证检验机构的认可。</w:t>
      </w:r>
    </w:p>
    <w:p w14:paraId="0A52BDC8">
      <w:pPr>
        <w:pStyle w:val="326"/>
        <w:rPr>
          <w:rFonts w:ascii="Times New Roman"/>
        </w:rPr>
      </w:pPr>
      <w:r>
        <w:rPr>
          <w:rFonts w:ascii="Times New Roman"/>
        </w:rPr>
        <w:t>助航标志与信号的安装应与</w:t>
      </w:r>
      <w:r>
        <w:rPr>
          <w:rFonts w:hint="eastAsia" w:ascii="Times New Roman"/>
        </w:rPr>
        <w:t>海洋石油固定平台</w:t>
      </w:r>
      <w:r>
        <w:rPr>
          <w:rFonts w:ascii="Times New Roman"/>
        </w:rPr>
        <w:t>的建设同步。</w:t>
      </w:r>
    </w:p>
    <w:p w14:paraId="6ED10767">
      <w:pPr>
        <w:pStyle w:val="326"/>
        <w:rPr>
          <w:rFonts w:ascii="Times New Roman"/>
        </w:rPr>
      </w:pPr>
      <w:r>
        <w:rPr>
          <w:rFonts w:ascii="Times New Roman"/>
        </w:rPr>
        <w:t>无人</w:t>
      </w:r>
      <w:r>
        <w:rPr>
          <w:rFonts w:hint="eastAsia" w:ascii="Times New Roman"/>
        </w:rPr>
        <w:t>驻守</w:t>
      </w:r>
      <w:r>
        <w:rPr>
          <w:rFonts w:ascii="Times New Roman"/>
        </w:rPr>
        <w:t>平台</w:t>
      </w:r>
      <w:r>
        <w:rPr>
          <w:rFonts w:hint="eastAsia"/>
        </w:rPr>
        <w:t>可根据具体情况设置</w:t>
      </w:r>
      <w:r>
        <w:rPr>
          <w:rFonts w:ascii="Times New Roman"/>
        </w:rPr>
        <w:t>雾笛</w:t>
      </w:r>
      <w:r>
        <w:rPr>
          <w:rFonts w:hint="eastAsia" w:ascii="Times New Roman"/>
        </w:rPr>
        <w:t>助航</w:t>
      </w:r>
      <w:r>
        <w:rPr>
          <w:rFonts w:ascii="Times New Roman"/>
        </w:rPr>
        <w:t>系统远程监控</w:t>
      </w:r>
      <w:r>
        <w:rPr>
          <w:rFonts w:hint="eastAsia" w:ascii="Times New Roman"/>
        </w:rPr>
        <w:t>功能。</w:t>
      </w:r>
    </w:p>
    <w:p w14:paraId="235358EB">
      <w:pPr>
        <w:pStyle w:val="260"/>
        <w:outlineLvl w:val="1"/>
      </w:pPr>
      <w:bookmarkStart w:id="292" w:name="_Toc836"/>
      <w:r>
        <w:t>技术要求</w:t>
      </w:r>
      <w:bookmarkEnd w:id="292"/>
    </w:p>
    <w:p w14:paraId="5502EC7F">
      <w:pPr>
        <w:pStyle w:val="261"/>
        <w:spacing w:before="156" w:after="156"/>
        <w:outlineLvl w:val="2"/>
      </w:pPr>
      <w:r>
        <w:t>助航标识灯</w:t>
      </w:r>
    </w:p>
    <w:p w14:paraId="6E7DE6E8">
      <w:pPr>
        <w:pStyle w:val="327"/>
        <w:numPr>
          <w:ilvl w:val="3"/>
          <w:numId w:val="0"/>
        </w:numPr>
        <w:ind w:firstLine="420" w:firstLineChars="200"/>
        <w:rPr>
          <w:rFonts w:ascii="Times New Roman"/>
        </w:rPr>
      </w:pPr>
      <w:r>
        <w:rPr>
          <w:rFonts w:ascii="Times New Roman"/>
        </w:rPr>
        <w:t>平台上应安装一盏或多盏在夜间显白色的助航标识灯（同步发光）。灯的结构和安装位置应保证航行从任何方向驶近平台的船舶至少看见一个灯光。</w:t>
      </w:r>
    </w:p>
    <w:p w14:paraId="71D23813">
      <w:pPr>
        <w:pStyle w:val="327"/>
        <w:spacing w:before="156" w:beforeLines="50" w:after="156" w:afterLines="50"/>
        <w:outlineLvl w:val="4"/>
        <w:rPr>
          <w:rFonts w:hint="eastAsia" w:ascii="黑体" w:hAnsi="黑体" w:eastAsia="黑体" w:cs="黑体"/>
        </w:rPr>
      </w:pPr>
      <w:r>
        <w:rPr>
          <w:rFonts w:ascii="黑体" w:hAnsi="黑体" w:eastAsia="黑体" w:cs="黑体"/>
        </w:rPr>
        <w:t>光强和射程</w:t>
      </w:r>
    </w:p>
    <w:p w14:paraId="4A0EE101">
      <w:pPr>
        <w:ind w:firstLine="420" w:firstLineChars="200"/>
        <w:rPr>
          <w:rFonts w:hint="eastAsia" w:ascii="宋体" w:hAnsi="宋体" w:eastAsia="宋体" w:cs="宋体"/>
          <w:lang w:val="en-US" w:eastAsia="zh-CN"/>
        </w:rPr>
      </w:pPr>
      <w:r>
        <w:t>助航标识灯的最小视光强度</w:t>
      </w:r>
      <w:r>
        <w:rPr>
          <w:rFonts w:hint="eastAsia" w:ascii="宋体" w:hAnsi="宋体" w:cs="宋体"/>
        </w:rPr>
        <w:t>为1400</w:t>
      </w:r>
      <w:r>
        <w:rPr>
          <w:rFonts w:hint="eastAsia" w:ascii="宋体" w:hAnsi="宋体" w:cs="宋体"/>
          <w:sz w:val="10"/>
          <w:szCs w:val="10"/>
        </w:rPr>
        <w:t xml:space="preserve"> </w:t>
      </w:r>
      <w:r>
        <w:rPr>
          <w:rFonts w:hint="eastAsia" w:ascii="宋体" w:hAnsi="宋体" w:cs="宋体"/>
        </w:rPr>
        <w:t>cd，射出光束的垂直分布应保证自平台近旁至灯光的最大射程都能看见。</w:t>
      </w:r>
      <w:r>
        <w:rPr>
          <w:rFonts w:hint="eastAsia" w:ascii="宋体" w:hAnsi="宋体" w:cs="宋体"/>
          <w:lang w:val="en-US" w:eastAsia="zh-CN"/>
        </w:rPr>
        <w:t xml:space="preserve"> </w:t>
      </w:r>
    </w:p>
    <w:p w14:paraId="4092309F">
      <w:pPr>
        <w:ind w:firstLine="420" w:firstLineChars="200"/>
        <w:rPr>
          <w:rFonts w:hint="eastAsia" w:ascii="宋体" w:hAnsi="宋体" w:cs="宋体"/>
        </w:rPr>
      </w:pPr>
      <w:r>
        <w:rPr>
          <w:rFonts w:hint="eastAsia" w:ascii="宋体" w:hAnsi="宋体" w:cs="宋体"/>
        </w:rPr>
        <w:t>考虑背景光影响情况下的灯光射程应不低于10n mile，同一海区水中设置两座及以上助航标志时，其射程应不低于5n mile。</w:t>
      </w:r>
    </w:p>
    <w:p w14:paraId="16917EAB">
      <w:pPr>
        <w:pStyle w:val="327"/>
        <w:spacing w:before="156" w:beforeLines="50" w:after="156" w:afterLines="50"/>
        <w:outlineLvl w:val="4"/>
        <w:rPr>
          <w:rFonts w:hint="eastAsia" w:ascii="黑体" w:hAnsi="黑体" w:eastAsia="黑体" w:cs="黑体"/>
        </w:rPr>
      </w:pPr>
      <w:r>
        <w:rPr>
          <w:rFonts w:ascii="黑体" w:hAnsi="黑体" w:eastAsia="黑体" w:cs="黑体"/>
        </w:rPr>
        <w:t>闪光特性</w:t>
      </w:r>
    </w:p>
    <w:p w14:paraId="3F6F64A4">
      <w:pPr>
        <w:ind w:firstLine="420" w:firstLineChars="200"/>
        <w:rPr>
          <w:rFonts w:hint="eastAsia" w:ascii="宋体" w:hAnsi="宋体" w:eastAsia="宋体" w:cs="宋体"/>
        </w:rPr>
      </w:pPr>
      <w:r>
        <w:t>助航标识灯</w:t>
      </w:r>
      <w:r>
        <w:rPr>
          <w:rFonts w:hint="eastAsia" w:ascii="宋体" w:hAnsi="宋体" w:eastAsia="宋体" w:cs="宋体"/>
        </w:rPr>
        <w:t>的闪光特性为莫尔斯信号“U”（</w:t>
      </w:r>
      <w:r>
        <w:rPr>
          <w:rFonts w:hint="eastAsia" w:ascii="宋体" w:hAnsi="宋体" w:eastAsia="宋体" w:cs="宋体"/>
          <w:kern w:val="0"/>
          <w:szCs w:val="21"/>
        </w:rPr>
        <w:t>··—</w:t>
      </w:r>
      <w:r>
        <w:rPr>
          <w:rFonts w:hint="eastAsia" w:ascii="宋体" w:hAnsi="宋体" w:eastAsia="宋体" w:cs="宋体"/>
        </w:rPr>
        <w:t>），最大周期15</w:t>
      </w:r>
      <w:r>
        <w:rPr>
          <w:rFonts w:hint="eastAsia" w:ascii="宋体" w:hAnsi="宋体" w:eastAsia="宋体" w:cs="宋体"/>
          <w:sz w:val="10"/>
          <w:szCs w:val="10"/>
        </w:rPr>
        <w:t xml:space="preserve"> </w:t>
      </w:r>
      <w:r>
        <w:rPr>
          <w:rFonts w:hint="eastAsia" w:ascii="宋体" w:hAnsi="宋体" w:eastAsia="宋体" w:cs="宋体"/>
        </w:rPr>
        <w:t>s，其莫尔斯信号“U”应符合20.2.4 a)的要求。</w:t>
      </w:r>
    </w:p>
    <w:p w14:paraId="7591A8D2">
      <w:pPr>
        <w:pStyle w:val="327"/>
        <w:spacing w:before="156" w:beforeLines="50" w:after="156" w:afterLines="50"/>
        <w:outlineLvl w:val="4"/>
        <w:rPr>
          <w:rFonts w:hint="eastAsia" w:ascii="黑体" w:hAnsi="黑体" w:eastAsia="黑体" w:cs="黑体"/>
        </w:rPr>
      </w:pPr>
      <w:r>
        <w:rPr>
          <w:rFonts w:ascii="黑体" w:hAnsi="黑体" w:eastAsia="黑体" w:cs="黑体"/>
        </w:rPr>
        <w:t>配置要求</w:t>
      </w:r>
    </w:p>
    <w:p w14:paraId="6B799BC2">
      <w:pPr>
        <w:pStyle w:val="305"/>
        <w:numPr>
          <w:ilvl w:val="0"/>
          <w:numId w:val="122"/>
        </w:numPr>
        <w:rPr>
          <w:rFonts w:ascii="Times New Roman"/>
        </w:rPr>
      </w:pPr>
      <w:r>
        <w:rPr>
          <w:rFonts w:ascii="Times New Roman"/>
        </w:rPr>
        <w:t>助航标识灯应安装在平台的四周</w:t>
      </w:r>
      <w:r>
        <w:rPr>
          <w:rFonts w:hint="eastAsia" w:ascii="Times New Roman"/>
        </w:rPr>
        <w:t>；</w:t>
      </w:r>
    </w:p>
    <w:p w14:paraId="434AC38A">
      <w:pPr>
        <w:pStyle w:val="305"/>
        <w:numPr>
          <w:ilvl w:val="0"/>
          <w:numId w:val="122"/>
        </w:numPr>
        <w:rPr>
          <w:rFonts w:ascii="Times New Roman"/>
        </w:rPr>
      </w:pPr>
      <w:r>
        <w:rPr>
          <w:rFonts w:ascii="Times New Roman"/>
        </w:rPr>
        <w:t>助航标识灯的设置高度应在平均大潮高潮面以</w:t>
      </w:r>
      <w:r>
        <w:rPr>
          <w:rFonts w:hint="eastAsia" w:hAnsi="宋体" w:cs="宋体"/>
        </w:rPr>
        <w:t>上6 m</w:t>
      </w:r>
      <w:r>
        <w:rPr>
          <w:rFonts w:ascii="Times New Roman"/>
        </w:rPr>
        <w:t>~</w:t>
      </w:r>
      <w:r>
        <w:rPr>
          <w:rFonts w:hint="eastAsia" w:hAnsi="宋体" w:cs="宋体"/>
        </w:rPr>
        <w:t>30 m。</w:t>
      </w:r>
      <w:r>
        <w:rPr>
          <w:rFonts w:ascii="Times New Roman"/>
        </w:rPr>
        <w:t>特殊情况下不能安装在该范围内时，在满足灯光射程的要求下，可适当调整安装高度。</w:t>
      </w:r>
    </w:p>
    <w:p w14:paraId="6490236E">
      <w:pPr>
        <w:pStyle w:val="327"/>
        <w:spacing w:before="156" w:beforeLines="50" w:after="156" w:afterLines="50"/>
        <w:outlineLvl w:val="4"/>
        <w:rPr>
          <w:rFonts w:hint="eastAsia" w:ascii="黑体" w:hAnsi="黑体" w:eastAsia="黑体" w:cs="黑体"/>
        </w:rPr>
      </w:pPr>
      <w:r>
        <w:rPr>
          <w:rFonts w:ascii="黑体" w:hAnsi="黑体" w:eastAsia="黑体" w:cs="黑体"/>
        </w:rPr>
        <w:t xml:space="preserve">控制系统 </w:t>
      </w:r>
    </w:p>
    <w:p w14:paraId="3C6EDB1F">
      <w:pPr>
        <w:ind w:firstLine="420" w:firstLineChars="200"/>
      </w:pPr>
      <w:r>
        <w:t>应有光源故障报警系统。</w:t>
      </w:r>
    </w:p>
    <w:p w14:paraId="640262C5">
      <w:pPr>
        <w:pStyle w:val="261"/>
        <w:spacing w:before="156" w:after="156"/>
        <w:outlineLvl w:val="2"/>
      </w:pPr>
      <w:r>
        <w:t>障碍灯</w:t>
      </w:r>
    </w:p>
    <w:p w14:paraId="524514D4">
      <w:pPr>
        <w:pStyle w:val="327"/>
      </w:pPr>
      <w:r>
        <w:rPr>
          <w:rFonts w:hint="eastAsia"/>
        </w:rPr>
        <w:t>在直升机障碍限制区，高出着陆</w:t>
      </w:r>
      <w:r>
        <w:rPr>
          <w:rFonts w:ascii="Times New Roman"/>
        </w:rPr>
        <w:t>区</w:t>
      </w:r>
      <w:r>
        <w:rPr>
          <w:rFonts w:hint="eastAsia" w:ascii="宋体" w:hAnsi="宋体" w:eastAsia="宋体" w:cs="宋体"/>
        </w:rPr>
        <w:t>15</w:t>
      </w:r>
      <w:r>
        <w:rPr>
          <w:rFonts w:hint="eastAsia" w:ascii="宋体" w:hAnsi="宋体" w:eastAsia="宋体" w:cs="宋体"/>
          <w:sz w:val="10"/>
          <w:szCs w:val="10"/>
        </w:rPr>
        <w:t xml:space="preserve"> </w:t>
      </w:r>
      <w:r>
        <w:rPr>
          <w:rFonts w:hint="eastAsia" w:ascii="宋体" w:hAnsi="宋体" w:eastAsia="宋体" w:cs="宋体"/>
        </w:rPr>
        <w:t>m</w:t>
      </w:r>
      <w:r>
        <w:rPr>
          <w:rFonts w:ascii="Times New Roman"/>
        </w:rPr>
        <w:t>以上</w:t>
      </w:r>
      <w:r>
        <w:rPr>
          <w:rFonts w:hint="eastAsia"/>
        </w:rPr>
        <w:t>的物体，应安装中低强度稳定的红色障碍灯，红色障碍灯在10</w:t>
      </w:r>
      <w:r>
        <w:rPr>
          <w:rFonts w:hint="eastAsia" w:ascii="宋体" w:hAnsi="宋体" w:eastAsia="宋体" w:cs="宋体"/>
          <w:sz w:val="10"/>
          <w:szCs w:val="10"/>
        </w:rPr>
        <w:t xml:space="preserve"> </w:t>
      </w:r>
      <w:r>
        <w:rPr>
          <w:rFonts w:hint="eastAsia"/>
        </w:rPr>
        <w:t>m的间隔内应保持相同的强度。</w:t>
      </w:r>
    </w:p>
    <w:p w14:paraId="68648236">
      <w:pPr>
        <w:pStyle w:val="327"/>
        <w:rPr>
          <w:rFonts w:ascii="Times New Roman" w:eastAsia="宋体"/>
        </w:rPr>
      </w:pPr>
      <w:r>
        <w:rPr>
          <w:rFonts w:hint="eastAsia" w:ascii="Times New Roman" w:eastAsia="宋体"/>
        </w:rPr>
        <w:t>障碍灯应符合</w:t>
      </w:r>
      <w:r>
        <w:rPr>
          <w:rFonts w:hint="eastAsia" w:ascii="宋体" w:hAnsi="宋体" w:eastAsia="宋体" w:cs="宋体"/>
        </w:rPr>
        <w:t>MH/T 6012</w:t>
      </w:r>
      <w:r>
        <w:rPr>
          <w:rFonts w:hint="eastAsia" w:ascii="Times New Roman" w:eastAsia="宋体"/>
        </w:rPr>
        <w:t>中最小发光强度要求。</w:t>
      </w:r>
    </w:p>
    <w:p w14:paraId="1B6A0392">
      <w:pPr>
        <w:pStyle w:val="327"/>
      </w:pPr>
      <w:r>
        <w:rPr>
          <w:rFonts w:hint="eastAsia"/>
        </w:rPr>
        <w:t>障碍灯的结构应采用防水型灯具，其灯头应具有防止灯泡自行松脱的结构。</w:t>
      </w:r>
    </w:p>
    <w:p w14:paraId="56B550B9">
      <w:pPr>
        <w:pStyle w:val="261"/>
        <w:spacing w:before="156" w:after="156"/>
        <w:outlineLvl w:val="2"/>
      </w:pPr>
      <w:r>
        <w:t>雾笛</w:t>
      </w:r>
    </w:p>
    <w:p w14:paraId="328B9767">
      <w:pPr>
        <w:pStyle w:val="327"/>
        <w:numPr>
          <w:ilvl w:val="3"/>
          <w:numId w:val="0"/>
        </w:numPr>
        <w:ind w:firstLine="420" w:firstLineChars="200"/>
        <w:rPr>
          <w:rFonts w:ascii="Times New Roman"/>
        </w:rPr>
      </w:pPr>
      <w:r>
        <w:rPr>
          <w:rFonts w:ascii="Times New Roman"/>
        </w:rPr>
        <w:t>平台上应设置主雾笛和备用雾笛，其结构及所在位置应能够保证从任何方向驶近平台的船舶都可以听见。当主雾笛完全失效或部分失效致使任何方向的一般听程小于</w:t>
      </w:r>
      <w:r>
        <w:rPr>
          <w:rFonts w:hint="eastAsia" w:ascii="宋体" w:hAnsi="宋体" w:eastAsia="宋体" w:cs="宋体"/>
        </w:rPr>
        <w:t xml:space="preserve"> 0.5 n mile</w:t>
      </w:r>
      <w:r>
        <w:rPr>
          <w:rFonts w:ascii="Times New Roman"/>
        </w:rPr>
        <w:t>时，备用雾笛应能立即投入工作。主雾笛应采用自动雾笛</w:t>
      </w:r>
      <w:r>
        <w:rPr>
          <w:rFonts w:hint="eastAsia" w:ascii="Times New Roman"/>
        </w:rPr>
        <w:t>（</w:t>
      </w:r>
      <w:r>
        <w:rPr>
          <w:rFonts w:ascii="Times New Roman"/>
        </w:rPr>
        <w:t>或遥控起动</w:t>
      </w:r>
      <w:r>
        <w:rPr>
          <w:rFonts w:hint="eastAsia" w:ascii="Times New Roman"/>
        </w:rPr>
        <w:t>）</w:t>
      </w:r>
      <w:r>
        <w:rPr>
          <w:rFonts w:ascii="Times New Roman"/>
        </w:rPr>
        <w:t>，而备用雾笛则可采用自动雾笛或手动雾笛。</w:t>
      </w:r>
    </w:p>
    <w:p w14:paraId="2A8D43AF">
      <w:pPr>
        <w:pStyle w:val="327"/>
        <w:spacing w:before="156" w:beforeLines="50" w:after="156" w:afterLines="50"/>
        <w:outlineLvl w:val="4"/>
        <w:rPr>
          <w:rFonts w:hint="eastAsia" w:ascii="黑体" w:hAnsi="黑体" w:eastAsia="黑体" w:cs="黑体"/>
        </w:rPr>
      </w:pPr>
      <w:r>
        <w:rPr>
          <w:rFonts w:ascii="黑体" w:hAnsi="黑体" w:eastAsia="黑体" w:cs="黑体"/>
        </w:rPr>
        <w:t>听程</w:t>
      </w:r>
    </w:p>
    <w:p w14:paraId="0334FA23">
      <w:pPr>
        <w:ind w:firstLine="420" w:firstLineChars="200"/>
      </w:pPr>
      <w:r>
        <w:t>主雾笛在任何方向的一般听程，至少应有</w:t>
      </w:r>
      <w:r>
        <w:rPr>
          <w:rFonts w:hint="eastAsia" w:ascii="宋体" w:hAnsi="宋体" w:eastAsia="宋体" w:cs="宋体"/>
        </w:rPr>
        <w:t>2 n mile</w:t>
      </w:r>
      <w:r>
        <w:t xml:space="preserve">。备用雾笛在任何方向的一般听程，至少应有 </w:t>
      </w:r>
      <w:r>
        <w:rPr>
          <w:rFonts w:hint="eastAsia" w:ascii="宋体" w:hAnsi="宋体" w:cs="宋体"/>
        </w:rPr>
        <w:t>0.5 n mile</w:t>
      </w:r>
      <w:r>
        <w:t>。</w:t>
      </w:r>
    </w:p>
    <w:p w14:paraId="092350EA">
      <w:pPr>
        <w:pStyle w:val="327"/>
        <w:spacing w:before="156" w:beforeLines="50" w:after="156" w:afterLines="50"/>
        <w:outlineLvl w:val="4"/>
        <w:rPr>
          <w:rFonts w:hint="eastAsia" w:ascii="黑体" w:hAnsi="黑体" w:eastAsia="黑体" w:cs="黑体"/>
        </w:rPr>
      </w:pPr>
      <w:r>
        <w:rPr>
          <w:rFonts w:ascii="黑体" w:hAnsi="黑体" w:eastAsia="黑体" w:cs="黑体"/>
        </w:rPr>
        <w:t>音响信号</w:t>
      </w:r>
    </w:p>
    <w:p w14:paraId="0A1DFD7B">
      <w:pPr>
        <w:ind w:firstLine="420" w:firstLineChars="200"/>
        <w:rPr>
          <w:rFonts w:hint="eastAsia" w:ascii="宋体" w:hAnsi="宋体" w:cs="宋体"/>
        </w:rPr>
      </w:pPr>
      <w:r>
        <w:t>主雾笛及备用雾笛的音响节奏特征为莫尔斯信号</w:t>
      </w:r>
      <w:r>
        <w:rPr>
          <w:rFonts w:hint="eastAsia" w:ascii="宋体" w:hAnsi="宋体" w:cs="宋体"/>
        </w:rPr>
        <w:t>“U”（</w:t>
      </w:r>
      <w:r>
        <w:rPr>
          <w:rFonts w:hint="eastAsia" w:ascii="宋体" w:hAnsi="宋体" w:cs="宋体"/>
          <w:kern w:val="0"/>
          <w:szCs w:val="21"/>
        </w:rPr>
        <w:t>··—</w:t>
      </w:r>
      <w:r>
        <w:rPr>
          <w:rFonts w:hint="eastAsia" w:ascii="宋体" w:hAnsi="宋体" w:cs="宋体"/>
        </w:rPr>
        <w:t>），最大周期为 30</w:t>
      </w:r>
      <w:r>
        <w:rPr>
          <w:rFonts w:hint="eastAsia" w:ascii="宋体" w:hAnsi="宋体" w:cs="宋体"/>
          <w:sz w:val="10"/>
          <w:szCs w:val="10"/>
        </w:rPr>
        <w:t xml:space="preserve"> </w:t>
      </w:r>
      <w:r>
        <w:rPr>
          <w:rFonts w:hint="eastAsia" w:ascii="宋体" w:hAnsi="宋体" w:cs="宋体"/>
        </w:rPr>
        <w:t>s，其莫尔斯信号“U”应符合20.2.4 b)的要求。</w:t>
      </w:r>
    </w:p>
    <w:p w14:paraId="7CF3ED1C">
      <w:pPr>
        <w:pStyle w:val="327"/>
        <w:spacing w:before="156" w:beforeLines="50" w:after="156" w:afterLines="50"/>
        <w:outlineLvl w:val="4"/>
        <w:rPr>
          <w:rFonts w:hint="eastAsia" w:ascii="黑体" w:hAnsi="黑体" w:eastAsia="黑体" w:cs="黑体"/>
        </w:rPr>
      </w:pPr>
      <w:r>
        <w:rPr>
          <w:rFonts w:ascii="黑体" w:hAnsi="黑体" w:eastAsia="黑体" w:cs="黑体"/>
        </w:rPr>
        <w:t>配置</w:t>
      </w:r>
    </w:p>
    <w:p w14:paraId="7885489A">
      <w:pPr>
        <w:autoSpaceDE w:val="0"/>
        <w:autoSpaceDN w:val="0"/>
        <w:adjustRightInd w:val="0"/>
        <w:spacing w:line="312" w:lineRule="exact"/>
        <w:ind w:left="180" w:firstLine="420" w:firstLineChars="200"/>
        <w:jc w:val="left"/>
        <w:rPr>
          <w:kern w:val="0"/>
          <w:sz w:val="24"/>
        </w:rPr>
      </w:pPr>
      <w:r>
        <w:t>音响信号安装高度应在平均大潮高潮面以上</w:t>
      </w:r>
      <w:r>
        <w:rPr>
          <w:rFonts w:hint="eastAsia" w:ascii="宋体" w:hAnsi="宋体" w:cs="宋体"/>
        </w:rPr>
        <w:t xml:space="preserve"> 6 m </w:t>
      </w:r>
      <w:r>
        <w:t xml:space="preserve">~ </w:t>
      </w:r>
      <w:r>
        <w:rPr>
          <w:rFonts w:hint="eastAsia" w:ascii="宋体" w:hAnsi="宋体" w:cs="宋体"/>
        </w:rPr>
        <w:t xml:space="preserve">30 m </w:t>
      </w:r>
      <w:r>
        <w:rPr>
          <w:rFonts w:hint="eastAsia" w:ascii="宋体" w:hAnsi="宋体" w:cs="宋体"/>
          <w:kern w:val="0"/>
          <w:position w:val="-1"/>
          <w:sz w:val="24"/>
        </w:rPr>
        <w:t>。</w:t>
      </w:r>
    </w:p>
    <w:p w14:paraId="326304E4">
      <w:pPr>
        <w:pStyle w:val="327"/>
        <w:spacing w:before="156" w:beforeLines="50" w:after="156" w:afterLines="50"/>
        <w:outlineLvl w:val="4"/>
        <w:rPr>
          <w:rFonts w:hint="eastAsia" w:ascii="黑体" w:hAnsi="黑体" w:eastAsia="黑体" w:cs="黑体"/>
        </w:rPr>
      </w:pPr>
      <w:r>
        <w:rPr>
          <w:rFonts w:ascii="黑体" w:hAnsi="黑体" w:eastAsia="黑体" w:cs="黑体"/>
        </w:rPr>
        <w:t>控制系统</w:t>
      </w:r>
    </w:p>
    <w:p w14:paraId="3D9D533D">
      <w:pPr>
        <w:ind w:firstLine="420" w:firstLineChars="200"/>
      </w:pPr>
      <w:r>
        <w:t>所有雾笛的控制设备</w:t>
      </w:r>
      <w:r>
        <w:rPr>
          <w:rFonts w:hint="eastAsia"/>
        </w:rPr>
        <w:t>，</w:t>
      </w:r>
      <w:r>
        <w:t>均应满足手动停止鸣放雾号和手控鸣号以及故障报警的要求。</w:t>
      </w:r>
    </w:p>
    <w:p w14:paraId="41923728">
      <w:pPr>
        <w:pStyle w:val="261"/>
        <w:spacing w:before="156" w:after="156"/>
        <w:outlineLvl w:val="2"/>
      </w:pPr>
      <w:r>
        <w:rPr>
          <w:rFonts w:hint="eastAsia"/>
        </w:rPr>
        <w:t>灯光信号和音响信号技术性能</w:t>
      </w:r>
    </w:p>
    <w:p w14:paraId="20B6022B">
      <w:pPr>
        <w:ind w:firstLine="420" w:firstLineChars="200"/>
      </w:pPr>
      <w:r>
        <w:t>安装于平台的灯光信号和音响信号的技术性能规定为：</w:t>
      </w:r>
    </w:p>
    <w:p w14:paraId="13491A91">
      <w:pPr>
        <w:numPr>
          <w:ilvl w:val="0"/>
          <w:numId w:val="123"/>
        </w:numPr>
        <w:ind w:firstLine="420" w:firstLineChars="200"/>
      </w:pPr>
      <w:r>
        <w:rPr>
          <w:rFonts w:hint="eastAsia"/>
        </w:rPr>
        <w:t>灯光的莫尔斯信号“</w:t>
      </w:r>
      <w:r>
        <w:rPr>
          <w:rFonts w:hint="eastAsia" w:ascii="宋体" w:hAnsi="宋体" w:eastAsia="宋体" w:cs="宋体"/>
        </w:rPr>
        <w:t>U</w:t>
      </w:r>
      <w:r>
        <w:rPr>
          <w:rFonts w:hint="eastAsia"/>
        </w:rPr>
        <w:t>”</w:t>
      </w:r>
    </w:p>
    <w:p w14:paraId="59802EA5">
      <w:pPr>
        <w:widowControl/>
        <w:spacing w:before="156" w:beforeLines="50" w:after="156" w:afterLines="50"/>
        <w:jc w:val="center"/>
        <w:rPr>
          <w:rFonts w:hint="eastAsia" w:ascii="黑体" w:hAnsi="黑体" w:eastAsia="黑体" w:cs="宋体"/>
          <w:kern w:val="0"/>
          <w:szCs w:val="21"/>
        </w:rPr>
      </w:pPr>
      <w:r>
        <w:rPr>
          <w:rFonts w:ascii="黑体" w:hAnsi="黑体" w:eastAsia="黑体" w:cs="宋体"/>
          <w:kern w:val="0"/>
          <w:szCs w:val="21"/>
        </w:rPr>
        <w:t>表 4  灯光的摩尔斯信号</w:t>
      </w:r>
    </w:p>
    <w:p w14:paraId="03D43C77">
      <w:pPr>
        <w:widowControl/>
        <w:adjustRightInd w:val="0"/>
        <w:snapToGrid w:val="0"/>
        <w:spacing w:line="240" w:lineRule="atLeast"/>
        <w:jc w:val="right"/>
        <w:rPr>
          <w:rFonts w:hint="eastAsia" w:ascii="宋体" w:hAnsi="宋体" w:cs="宋体"/>
          <w:kern w:val="0"/>
          <w:sz w:val="15"/>
          <w:szCs w:val="15"/>
        </w:rPr>
      </w:pPr>
      <w:r>
        <w:rPr>
          <w:rFonts w:ascii="宋体" w:hAnsi="宋体" w:cs="宋体"/>
          <w:kern w:val="0"/>
          <w:sz w:val="15"/>
          <w:szCs w:val="15"/>
        </w:rPr>
        <w:t>单位</w:t>
      </w:r>
      <w:r>
        <w:rPr>
          <w:rFonts w:hint="eastAsia" w:ascii="宋体" w:hAnsi="宋体" w:cs="宋体"/>
          <w:kern w:val="0"/>
          <w:sz w:val="15"/>
          <w:szCs w:val="15"/>
        </w:rPr>
        <w:t>：秒</w:t>
      </w:r>
    </w:p>
    <w:tbl>
      <w:tblPr>
        <w:tblStyle w:val="88"/>
        <w:tblW w:w="0" w:type="auto"/>
        <w:tblInd w:w="108" w:type="dxa"/>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Layout w:type="autofit"/>
        <w:tblCellMar>
          <w:top w:w="0" w:type="dxa"/>
          <w:left w:w="108" w:type="dxa"/>
          <w:bottom w:w="0" w:type="dxa"/>
          <w:right w:w="108" w:type="dxa"/>
        </w:tblCellMar>
      </w:tblPr>
      <w:tblGrid>
        <w:gridCol w:w="4677"/>
        <w:gridCol w:w="4679"/>
      </w:tblGrid>
      <w:tr w14:paraId="584FA016">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454" w:hRule="atLeast"/>
        </w:trPr>
        <w:tc>
          <w:tcPr>
            <w:tcW w:w="4677" w:type="dxa"/>
            <w:tcBorders>
              <w:top w:val="single" w:color="000000" w:sz="6" w:space="0"/>
              <w:bottom w:val="single" w:color="000000" w:sz="6" w:space="0"/>
            </w:tcBorders>
            <w:vAlign w:val="center"/>
          </w:tcPr>
          <w:p w14:paraId="65E9A99B">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信号</w:t>
            </w:r>
          </w:p>
        </w:tc>
        <w:tc>
          <w:tcPr>
            <w:tcW w:w="4679" w:type="dxa"/>
            <w:tcBorders>
              <w:top w:val="single" w:color="000000" w:sz="6" w:space="0"/>
              <w:bottom w:val="single" w:color="000000" w:sz="6" w:space="0"/>
            </w:tcBorders>
            <w:vAlign w:val="center"/>
          </w:tcPr>
          <w:p w14:paraId="3D3F3645">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时间</w:t>
            </w:r>
          </w:p>
        </w:tc>
      </w:tr>
      <w:tr w14:paraId="19BC777E">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tcBorders>
              <w:top w:val="single" w:color="000000" w:sz="6" w:space="0"/>
            </w:tcBorders>
            <w:vAlign w:val="center"/>
          </w:tcPr>
          <w:p w14:paraId="0222A736">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短明（点）</w:t>
            </w:r>
          </w:p>
        </w:tc>
        <w:tc>
          <w:tcPr>
            <w:tcW w:w="4679" w:type="dxa"/>
            <w:tcBorders>
              <w:top w:val="single" w:color="000000" w:sz="6" w:space="0"/>
            </w:tcBorders>
            <w:vAlign w:val="center"/>
          </w:tcPr>
          <w:p w14:paraId="6014E3B8">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0.5</w:t>
            </w:r>
          </w:p>
        </w:tc>
      </w:tr>
      <w:tr w14:paraId="1544F27C">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27515B00">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喑</w:t>
            </w:r>
          </w:p>
        </w:tc>
        <w:tc>
          <w:tcPr>
            <w:tcW w:w="4679" w:type="dxa"/>
            <w:vAlign w:val="center"/>
          </w:tcPr>
          <w:p w14:paraId="6B3EBB8D">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0.5</w:t>
            </w:r>
          </w:p>
        </w:tc>
      </w:tr>
      <w:tr w14:paraId="2A2B3E74">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0F17F781">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短明（点）</w:t>
            </w:r>
          </w:p>
        </w:tc>
        <w:tc>
          <w:tcPr>
            <w:tcW w:w="4679" w:type="dxa"/>
            <w:vAlign w:val="center"/>
          </w:tcPr>
          <w:p w14:paraId="7518E349">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0.5</w:t>
            </w:r>
          </w:p>
        </w:tc>
      </w:tr>
      <w:tr w14:paraId="3BC6840E">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37920F54">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喑</w:t>
            </w:r>
          </w:p>
        </w:tc>
        <w:tc>
          <w:tcPr>
            <w:tcW w:w="4679" w:type="dxa"/>
            <w:vAlign w:val="center"/>
          </w:tcPr>
          <w:p w14:paraId="6DCFF8CD">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0.5</w:t>
            </w:r>
          </w:p>
        </w:tc>
      </w:tr>
      <w:tr w14:paraId="442780A6">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38A395D9">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长明（划）</w:t>
            </w:r>
          </w:p>
        </w:tc>
        <w:tc>
          <w:tcPr>
            <w:tcW w:w="4679" w:type="dxa"/>
            <w:vAlign w:val="center"/>
          </w:tcPr>
          <w:p w14:paraId="3FB8CF4A">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1.5</w:t>
            </w:r>
          </w:p>
        </w:tc>
      </w:tr>
      <w:tr w14:paraId="46FEC44E">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0C6E5FB4">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停</w:t>
            </w:r>
          </w:p>
        </w:tc>
        <w:tc>
          <w:tcPr>
            <w:tcW w:w="4679" w:type="dxa"/>
            <w:vAlign w:val="center"/>
          </w:tcPr>
          <w:p w14:paraId="7FF53313">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8.5或11.5</w:t>
            </w:r>
          </w:p>
        </w:tc>
      </w:tr>
      <w:tr w14:paraId="29BF6757">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02A7C686">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灯光周期</w:t>
            </w:r>
          </w:p>
        </w:tc>
        <w:tc>
          <w:tcPr>
            <w:tcW w:w="4679" w:type="dxa"/>
            <w:vAlign w:val="center"/>
          </w:tcPr>
          <w:p w14:paraId="54B442AA">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12或15</w:t>
            </w:r>
          </w:p>
        </w:tc>
      </w:tr>
    </w:tbl>
    <w:p w14:paraId="06D6580E">
      <w:pPr>
        <w:ind w:firstLine="420" w:firstLineChars="200"/>
        <w:jc w:val="center"/>
      </w:pPr>
    </w:p>
    <w:p w14:paraId="1A3AB692">
      <w:pPr>
        <w:numPr>
          <w:ilvl w:val="0"/>
          <w:numId w:val="123"/>
        </w:numPr>
        <w:ind w:firstLine="420" w:firstLineChars="200"/>
      </w:pPr>
      <w:r>
        <w:rPr>
          <w:rFonts w:hint="eastAsia"/>
        </w:rPr>
        <w:t>音响的莫尔斯信号“</w:t>
      </w:r>
      <w:r>
        <w:rPr>
          <w:rFonts w:hint="eastAsia" w:ascii="宋体" w:hAnsi="宋体" w:eastAsia="宋体" w:cs="宋体"/>
        </w:rPr>
        <w:t>U</w:t>
      </w:r>
      <w:r>
        <w:rPr>
          <w:rFonts w:hint="eastAsia"/>
        </w:rPr>
        <w:t>”</w:t>
      </w:r>
    </w:p>
    <w:p w14:paraId="631FDC72">
      <w:pPr>
        <w:widowControl/>
        <w:spacing w:before="156" w:beforeLines="50" w:after="156" w:afterLines="50"/>
        <w:jc w:val="center"/>
        <w:rPr>
          <w:rFonts w:hint="eastAsia" w:ascii="黑体" w:hAnsi="黑体" w:eastAsia="黑体" w:cs="宋体"/>
          <w:kern w:val="0"/>
          <w:szCs w:val="21"/>
        </w:rPr>
      </w:pPr>
      <w:r>
        <w:rPr>
          <w:rFonts w:ascii="黑体" w:hAnsi="黑体" w:eastAsia="黑体" w:cs="宋体"/>
          <w:kern w:val="0"/>
          <w:szCs w:val="21"/>
        </w:rPr>
        <w:t xml:space="preserve">表 5  </w:t>
      </w:r>
      <w:r>
        <w:rPr>
          <w:rFonts w:hint="eastAsia" w:ascii="黑体" w:hAnsi="黑体" w:eastAsia="黑体" w:cs="宋体"/>
          <w:kern w:val="0"/>
          <w:szCs w:val="21"/>
        </w:rPr>
        <w:t>音响</w:t>
      </w:r>
      <w:r>
        <w:rPr>
          <w:rFonts w:ascii="黑体" w:hAnsi="黑体" w:eastAsia="黑体" w:cs="宋体"/>
          <w:kern w:val="0"/>
          <w:szCs w:val="21"/>
        </w:rPr>
        <w:t>的摩尔斯信号</w:t>
      </w:r>
    </w:p>
    <w:p w14:paraId="6CD4BF98">
      <w:pPr>
        <w:widowControl/>
        <w:adjustRightInd w:val="0"/>
        <w:snapToGrid w:val="0"/>
        <w:spacing w:line="240" w:lineRule="atLeast"/>
        <w:jc w:val="right"/>
        <w:rPr>
          <w:rFonts w:hint="eastAsia" w:ascii="宋体" w:hAnsi="宋体" w:cs="宋体"/>
          <w:kern w:val="0"/>
          <w:sz w:val="15"/>
          <w:szCs w:val="15"/>
        </w:rPr>
      </w:pPr>
      <w:r>
        <w:rPr>
          <w:rFonts w:ascii="宋体" w:hAnsi="宋体" w:cs="宋体"/>
          <w:kern w:val="0"/>
          <w:sz w:val="15"/>
          <w:szCs w:val="15"/>
        </w:rPr>
        <w:t>单位</w:t>
      </w:r>
      <w:r>
        <w:rPr>
          <w:rFonts w:hint="eastAsia" w:ascii="宋体" w:hAnsi="宋体" w:cs="宋体"/>
          <w:kern w:val="0"/>
          <w:sz w:val="15"/>
          <w:szCs w:val="15"/>
        </w:rPr>
        <w:t>：秒</w:t>
      </w:r>
    </w:p>
    <w:tbl>
      <w:tblPr>
        <w:tblStyle w:val="88"/>
        <w:tblW w:w="0" w:type="auto"/>
        <w:tblInd w:w="108" w:type="dxa"/>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Layout w:type="autofit"/>
        <w:tblCellMar>
          <w:top w:w="0" w:type="dxa"/>
          <w:left w:w="108" w:type="dxa"/>
          <w:bottom w:w="0" w:type="dxa"/>
          <w:right w:w="108" w:type="dxa"/>
        </w:tblCellMar>
      </w:tblPr>
      <w:tblGrid>
        <w:gridCol w:w="4677"/>
        <w:gridCol w:w="4679"/>
      </w:tblGrid>
      <w:tr w14:paraId="5CC4590E">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454" w:hRule="atLeast"/>
        </w:trPr>
        <w:tc>
          <w:tcPr>
            <w:tcW w:w="4677" w:type="dxa"/>
            <w:tcBorders>
              <w:top w:val="single" w:color="000000" w:sz="6" w:space="0"/>
              <w:bottom w:val="single" w:color="000000" w:sz="6" w:space="0"/>
            </w:tcBorders>
            <w:vAlign w:val="center"/>
          </w:tcPr>
          <w:p w14:paraId="5DFAB3C1">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信号</w:t>
            </w:r>
          </w:p>
        </w:tc>
        <w:tc>
          <w:tcPr>
            <w:tcW w:w="4679" w:type="dxa"/>
            <w:tcBorders>
              <w:top w:val="single" w:color="000000" w:sz="6" w:space="0"/>
              <w:bottom w:val="single" w:color="000000" w:sz="6" w:space="0"/>
            </w:tcBorders>
            <w:vAlign w:val="center"/>
          </w:tcPr>
          <w:p w14:paraId="385B1649">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时间</w:t>
            </w:r>
          </w:p>
        </w:tc>
      </w:tr>
      <w:tr w14:paraId="02B977FB">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tcBorders>
              <w:top w:val="single" w:color="000000" w:sz="6" w:space="0"/>
            </w:tcBorders>
            <w:vAlign w:val="center"/>
          </w:tcPr>
          <w:p w14:paraId="179C7F1A">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短鸣</w:t>
            </w:r>
          </w:p>
        </w:tc>
        <w:tc>
          <w:tcPr>
            <w:tcW w:w="4679" w:type="dxa"/>
            <w:tcBorders>
              <w:top w:val="single" w:color="000000" w:sz="6" w:space="0"/>
            </w:tcBorders>
            <w:vAlign w:val="center"/>
          </w:tcPr>
          <w:p w14:paraId="40C9E03D">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1</w:t>
            </w:r>
          </w:p>
        </w:tc>
      </w:tr>
      <w:tr w14:paraId="6F518131">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701940C1">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停</w:t>
            </w:r>
          </w:p>
        </w:tc>
        <w:tc>
          <w:tcPr>
            <w:tcW w:w="4679" w:type="dxa"/>
            <w:vAlign w:val="center"/>
          </w:tcPr>
          <w:p w14:paraId="73EC0E1D">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1</w:t>
            </w:r>
          </w:p>
        </w:tc>
      </w:tr>
      <w:tr w14:paraId="15A76FF7">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053F5D07">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短鸣</w:t>
            </w:r>
          </w:p>
        </w:tc>
        <w:tc>
          <w:tcPr>
            <w:tcW w:w="4679" w:type="dxa"/>
            <w:vAlign w:val="center"/>
          </w:tcPr>
          <w:p w14:paraId="6DEB92ED">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1</w:t>
            </w:r>
          </w:p>
        </w:tc>
      </w:tr>
      <w:tr w14:paraId="29B58C7E">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41007CCB">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停</w:t>
            </w:r>
          </w:p>
        </w:tc>
        <w:tc>
          <w:tcPr>
            <w:tcW w:w="4679" w:type="dxa"/>
            <w:vAlign w:val="center"/>
          </w:tcPr>
          <w:p w14:paraId="5A036EE7">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1</w:t>
            </w:r>
          </w:p>
        </w:tc>
      </w:tr>
      <w:tr w14:paraId="2FD7A4F3">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0318B78C">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长鸣</w:t>
            </w:r>
          </w:p>
        </w:tc>
        <w:tc>
          <w:tcPr>
            <w:tcW w:w="4679" w:type="dxa"/>
            <w:vAlign w:val="center"/>
          </w:tcPr>
          <w:p w14:paraId="01D34BE1">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3</w:t>
            </w:r>
          </w:p>
        </w:tc>
      </w:tr>
      <w:tr w14:paraId="61EEA452">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24643F71">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长停</w:t>
            </w:r>
          </w:p>
        </w:tc>
        <w:tc>
          <w:tcPr>
            <w:tcW w:w="4679" w:type="dxa"/>
            <w:vAlign w:val="center"/>
          </w:tcPr>
          <w:p w14:paraId="6C7F4EB9">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23</w:t>
            </w:r>
          </w:p>
        </w:tc>
      </w:tr>
      <w:tr w14:paraId="63E15741">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3E684C75">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周期</w:t>
            </w:r>
          </w:p>
        </w:tc>
        <w:tc>
          <w:tcPr>
            <w:tcW w:w="4679" w:type="dxa"/>
            <w:vAlign w:val="center"/>
          </w:tcPr>
          <w:p w14:paraId="73FA07C1">
            <w:pPr>
              <w:widowControl/>
              <w:adjustRightInd w:val="0"/>
              <w:snapToGrid w:val="0"/>
              <w:spacing w:line="240" w:lineRule="atLeast"/>
              <w:jc w:val="center"/>
              <w:rPr>
                <w:rFonts w:hint="eastAsia" w:ascii="宋体" w:hAnsi="宋体" w:cs="宋体"/>
                <w:kern w:val="0"/>
                <w:sz w:val="15"/>
                <w:szCs w:val="15"/>
              </w:rPr>
            </w:pPr>
            <w:r>
              <w:rPr>
                <w:rFonts w:ascii="宋体" w:hAnsi="宋体" w:cs="宋体"/>
                <w:kern w:val="0"/>
                <w:sz w:val="15"/>
                <w:szCs w:val="15"/>
              </w:rPr>
              <w:t>30</w:t>
            </w:r>
          </w:p>
        </w:tc>
      </w:tr>
    </w:tbl>
    <w:p w14:paraId="44248B3E">
      <w:pPr>
        <w:ind w:left="420" w:leftChars="200"/>
      </w:pPr>
    </w:p>
    <w:p w14:paraId="0CF3F41C">
      <w:pPr>
        <w:pStyle w:val="261"/>
        <w:spacing w:before="156" w:after="156"/>
        <w:outlineLvl w:val="2"/>
      </w:pPr>
      <w:bookmarkStart w:id="293" w:name="_Toc26015"/>
      <w:r>
        <w:rPr>
          <w:rFonts w:hint="eastAsia"/>
        </w:rPr>
        <w:t>供电电源</w:t>
      </w:r>
    </w:p>
    <w:p w14:paraId="6F7A2ACF">
      <w:pPr>
        <w:ind w:firstLine="420" w:firstLineChars="200"/>
      </w:pPr>
      <w:r>
        <w:rPr>
          <w:rFonts w:hint="eastAsia" w:ascii="宋体" w:hAnsi="宋体" w:eastAsia="宋体" w:cs="宋体"/>
        </w:rPr>
        <w:t>当供给助航标志与信号设备的主电源发生故障时，应能自动地切换至应急电源，其供电应符合14.3.3 至 14.3.4 的有</w:t>
      </w:r>
      <w:r>
        <w:rPr>
          <w:rFonts w:hint="eastAsia"/>
        </w:rPr>
        <w:t>关要求。</w:t>
      </w:r>
    </w:p>
    <w:p w14:paraId="7698B76A">
      <w:pPr>
        <w:pStyle w:val="261"/>
        <w:spacing w:before="156" w:after="156"/>
        <w:outlineLvl w:val="2"/>
      </w:pPr>
      <w:r>
        <w:rPr>
          <w:rFonts w:hint="eastAsia"/>
        </w:rPr>
        <w:t>平台标志牌</w:t>
      </w:r>
    </w:p>
    <w:p w14:paraId="1B8FFD8D">
      <w:pPr>
        <w:ind w:firstLine="420" w:firstLineChars="200"/>
      </w:pPr>
      <w:r>
        <w:rPr>
          <w:rFonts w:hint="eastAsia"/>
        </w:rPr>
        <w:t>平台应在适当位置设置黄底黑字，文字(中、英文)或号码</w:t>
      </w:r>
      <w:r>
        <w:rPr>
          <w:rFonts w:hint="eastAsia" w:ascii="宋体" w:hAnsi="宋体" w:eastAsia="宋体" w:cs="宋体"/>
        </w:rPr>
        <w:t>高1</w:t>
      </w:r>
      <w:r>
        <w:rPr>
          <w:rFonts w:hint="eastAsia" w:ascii="宋体" w:hAnsi="宋体" w:eastAsia="宋体" w:cs="宋体"/>
          <w:sz w:val="10"/>
          <w:szCs w:val="10"/>
        </w:rPr>
        <w:t xml:space="preserve"> </w:t>
      </w:r>
      <w:r>
        <w:rPr>
          <w:rFonts w:hint="eastAsia" w:ascii="宋体" w:hAnsi="宋体" w:eastAsia="宋体" w:cs="宋体"/>
        </w:rPr>
        <w:t>m</w:t>
      </w:r>
      <w:r>
        <w:rPr>
          <w:rFonts w:hint="eastAsia"/>
        </w:rPr>
        <w:t>的标志牌。标志牌或用照明，或用反光材料，使其在白天或夜间都能清晰地被看见。</w:t>
      </w:r>
    </w:p>
    <w:p w14:paraId="18BB9E36">
      <w:pPr>
        <w:pStyle w:val="260"/>
        <w:outlineLvl w:val="1"/>
      </w:pPr>
      <w:bookmarkStart w:id="294" w:name="_Toc29094"/>
      <w:bookmarkStart w:id="295" w:name="_Toc1355"/>
      <w:r>
        <w:rPr>
          <w:rFonts w:hint="eastAsia"/>
        </w:rPr>
        <w:t>防爆</w:t>
      </w:r>
      <w:bookmarkEnd w:id="294"/>
    </w:p>
    <w:p w14:paraId="043AAA45">
      <w:pPr>
        <w:ind w:firstLine="420" w:firstLineChars="200"/>
      </w:pPr>
      <w:r>
        <w:rPr>
          <w:rFonts w:hint="eastAsia"/>
        </w:rPr>
        <w:t>安装在危险区内的助航标识灯、雾笛、电池等以及控制装置应是防爆型的，并符合所在处所防爆等级的要求。</w:t>
      </w:r>
      <w:bookmarkEnd w:id="295"/>
    </w:p>
    <w:bookmarkEnd w:id="293"/>
    <w:p w14:paraId="4BB7DA8D">
      <w:pPr>
        <w:pStyle w:val="259"/>
        <w:outlineLvl w:val="0"/>
        <w:rPr>
          <w:rFonts w:ascii="Times New Roman"/>
        </w:rPr>
      </w:pPr>
      <w:bookmarkStart w:id="296" w:name="_Toc19393"/>
      <w:r>
        <w:rPr>
          <w:rFonts w:ascii="Times New Roman"/>
        </w:rPr>
        <w:t>通信</w:t>
      </w:r>
      <w:bookmarkEnd w:id="296"/>
    </w:p>
    <w:p w14:paraId="18DEB66E">
      <w:pPr>
        <w:pStyle w:val="260"/>
        <w:outlineLvl w:val="1"/>
        <w:rPr>
          <w:rFonts w:ascii="Times New Roman"/>
        </w:rPr>
      </w:pPr>
      <w:bookmarkStart w:id="297" w:name="_Toc5782"/>
      <w:bookmarkStart w:id="298" w:name="_Toc26589"/>
      <w:r>
        <w:rPr>
          <w:rFonts w:ascii="Times New Roman"/>
        </w:rPr>
        <w:t>一般规定</w:t>
      </w:r>
      <w:bookmarkEnd w:id="297"/>
      <w:bookmarkEnd w:id="298"/>
    </w:p>
    <w:p w14:paraId="28739E7A">
      <w:pPr>
        <w:pStyle w:val="326"/>
        <w:rPr>
          <w:rFonts w:ascii="Times New Roman"/>
        </w:rPr>
      </w:pPr>
      <w:r>
        <w:rPr>
          <w:rFonts w:ascii="Times New Roman"/>
        </w:rPr>
        <w:t>平台及平台群用的通信设备包括外部通信设备和内部通信设备。</w:t>
      </w:r>
    </w:p>
    <w:p w14:paraId="6AC9D9E1">
      <w:pPr>
        <w:pStyle w:val="326"/>
        <w:rPr>
          <w:rFonts w:ascii="Times New Roman"/>
        </w:rPr>
      </w:pPr>
      <w:r>
        <w:rPr>
          <w:rFonts w:ascii="Times New Roman"/>
        </w:rPr>
        <w:t>平台及平台群用的通信设备应经发证检验机构检验认可，无线电设备应取得政府颁发的电台执照及水上移动业务标识码</w:t>
      </w:r>
      <w:r>
        <w:rPr>
          <w:rFonts w:hint="eastAsia" w:ascii="Times New Roman"/>
        </w:rPr>
        <w:t>（</w:t>
      </w:r>
      <w:r>
        <w:rPr>
          <w:rFonts w:hint="eastAsia" w:ascii="宋体" w:hAnsi="宋体" w:eastAsia="宋体" w:cs="宋体"/>
        </w:rPr>
        <w:t>MMSI</w:t>
      </w:r>
      <w:r>
        <w:rPr>
          <w:rFonts w:hint="eastAsia" w:ascii="Times New Roman"/>
        </w:rPr>
        <w:t>）</w:t>
      </w:r>
      <w:r>
        <w:rPr>
          <w:rFonts w:ascii="Times New Roman"/>
        </w:rPr>
        <w:t>证书。</w:t>
      </w:r>
    </w:p>
    <w:p w14:paraId="50DE6221">
      <w:pPr>
        <w:pStyle w:val="260"/>
        <w:outlineLvl w:val="1"/>
        <w:rPr>
          <w:rFonts w:ascii="Times New Roman"/>
        </w:rPr>
      </w:pPr>
      <w:bookmarkStart w:id="299" w:name="_Toc14268"/>
      <w:bookmarkStart w:id="300" w:name="_Toc1456"/>
      <w:r>
        <w:rPr>
          <w:rFonts w:ascii="Times New Roman"/>
        </w:rPr>
        <w:t>配置</w:t>
      </w:r>
      <w:bookmarkEnd w:id="299"/>
      <w:bookmarkEnd w:id="300"/>
    </w:p>
    <w:p w14:paraId="475D6115">
      <w:pPr>
        <w:pStyle w:val="261"/>
        <w:spacing w:before="156" w:after="156"/>
        <w:outlineLvl w:val="2"/>
      </w:pPr>
      <w:r>
        <w:t>外部通信设备</w:t>
      </w:r>
    </w:p>
    <w:p w14:paraId="5C2DD5DF">
      <w:pPr>
        <w:pStyle w:val="327"/>
        <w:rPr>
          <w:rFonts w:ascii="Times New Roman"/>
        </w:rPr>
      </w:pPr>
      <w:r>
        <w:rPr>
          <w:rFonts w:hint="eastAsia" w:ascii="Times New Roman"/>
        </w:rPr>
        <w:t>油气田群</w:t>
      </w:r>
      <w:r>
        <w:rPr>
          <w:rFonts w:ascii="Times New Roman"/>
        </w:rPr>
        <w:t>的一个</w:t>
      </w:r>
      <w:r>
        <w:rPr>
          <w:rFonts w:hint="eastAsia" w:ascii="Times New Roman"/>
        </w:rPr>
        <w:t>平台（下称</w:t>
      </w:r>
      <w:r>
        <w:rPr>
          <w:rFonts w:ascii="Times New Roman"/>
        </w:rPr>
        <w:t>通信中心平台</w:t>
      </w:r>
      <w:r>
        <w:rPr>
          <w:rFonts w:hint="eastAsia" w:ascii="Times New Roman"/>
        </w:rPr>
        <w:t>）</w:t>
      </w:r>
      <w:r>
        <w:rPr>
          <w:rFonts w:ascii="Times New Roman"/>
        </w:rPr>
        <w:t>按海区配备外部通信设备。</w:t>
      </w:r>
    </w:p>
    <w:p w14:paraId="2152EAA8">
      <w:pPr>
        <w:pStyle w:val="327"/>
        <w:rPr>
          <w:rFonts w:hint="eastAsia" w:ascii="宋体" w:hAnsi="宋体" w:eastAsia="宋体" w:cs="宋体"/>
        </w:rPr>
      </w:pPr>
      <w:r>
        <w:rPr>
          <w:rFonts w:hint="eastAsia" w:ascii="宋体" w:hAnsi="宋体" w:eastAsia="宋体" w:cs="宋体"/>
        </w:rPr>
        <w:t>位于*A1海区的通信中心平台至少须配备如下外部通信设备：</w:t>
      </w:r>
    </w:p>
    <w:p w14:paraId="784AD115">
      <w:pPr>
        <w:pStyle w:val="305"/>
        <w:numPr>
          <w:ilvl w:val="0"/>
          <w:numId w:val="124"/>
        </w:numPr>
        <w:rPr>
          <w:rFonts w:hint="eastAsia" w:hAnsi="宋体" w:cs="宋体"/>
        </w:rPr>
      </w:pPr>
      <w:r>
        <w:rPr>
          <w:rFonts w:hint="eastAsia" w:hAnsi="宋体" w:cs="宋体"/>
        </w:rPr>
        <w:t>甚高频调频无线电话（VHF）一台；</w:t>
      </w:r>
    </w:p>
    <w:p w14:paraId="3AC4A289">
      <w:pPr>
        <w:pStyle w:val="305"/>
        <w:numPr>
          <w:ilvl w:val="0"/>
          <w:numId w:val="124"/>
        </w:numPr>
        <w:rPr>
          <w:rFonts w:hint="eastAsia" w:hAnsi="宋体" w:cs="宋体"/>
        </w:rPr>
      </w:pPr>
      <w:r>
        <w:rPr>
          <w:rFonts w:hint="eastAsia" w:hAnsi="宋体" w:cs="宋体"/>
        </w:rPr>
        <w:t>应急无线电示位标两台；</w:t>
      </w:r>
    </w:p>
    <w:p w14:paraId="6CE1DC96">
      <w:pPr>
        <w:pStyle w:val="305"/>
        <w:numPr>
          <w:ilvl w:val="0"/>
          <w:numId w:val="124"/>
        </w:numPr>
        <w:rPr>
          <w:rFonts w:hint="eastAsia" w:hAnsi="宋体" w:cs="宋体"/>
        </w:rPr>
      </w:pPr>
      <w:r>
        <w:rPr>
          <w:rFonts w:hint="eastAsia" w:hAnsi="宋体" w:cs="宋体"/>
        </w:rPr>
        <w:t>双向甚高频无线电话三只（TWO—WAY VHF）；</w:t>
      </w:r>
    </w:p>
    <w:p w14:paraId="6D736F80">
      <w:pPr>
        <w:pStyle w:val="305"/>
        <w:numPr>
          <w:ilvl w:val="0"/>
          <w:numId w:val="124"/>
        </w:numPr>
        <w:rPr>
          <w:rFonts w:hint="eastAsia" w:hAnsi="宋体" w:cs="宋体"/>
        </w:rPr>
      </w:pPr>
      <w:r>
        <w:rPr>
          <w:rFonts w:hint="eastAsia" w:hAnsi="宋体" w:cs="宋体"/>
        </w:rPr>
        <w:t>搜救雷达应答器（SART）两台；</w:t>
      </w:r>
    </w:p>
    <w:p w14:paraId="5AAF1CE1">
      <w:pPr>
        <w:pStyle w:val="305"/>
        <w:numPr>
          <w:ilvl w:val="0"/>
          <w:numId w:val="124"/>
        </w:numPr>
        <w:rPr>
          <w:rFonts w:hint="eastAsia" w:hAnsi="宋体" w:cs="宋体"/>
        </w:rPr>
      </w:pPr>
      <w:r>
        <w:rPr>
          <w:rFonts w:hint="eastAsia" w:hAnsi="宋体" w:cs="宋体"/>
        </w:rPr>
        <w:t>奈伏泰斯（NAVTEX）接收机一台。</w:t>
      </w:r>
    </w:p>
    <w:p w14:paraId="18B81122">
      <w:pPr>
        <w:pStyle w:val="327"/>
        <w:rPr>
          <w:rFonts w:hint="eastAsia" w:ascii="宋体" w:hAnsi="宋体" w:eastAsia="宋体" w:cs="宋体"/>
        </w:rPr>
      </w:pPr>
      <w:r>
        <w:rPr>
          <w:rFonts w:hint="eastAsia" w:ascii="宋体" w:hAnsi="宋体" w:eastAsia="宋体" w:cs="宋体"/>
        </w:rPr>
        <w:t>位于A1以外海区的通信中心平台至少须配备如下外部通信设备：</w:t>
      </w:r>
    </w:p>
    <w:p w14:paraId="4B7F92FC">
      <w:pPr>
        <w:pStyle w:val="305"/>
        <w:numPr>
          <w:ilvl w:val="0"/>
          <w:numId w:val="125"/>
        </w:numPr>
        <w:rPr>
          <w:rFonts w:hint="eastAsia" w:hAnsi="宋体" w:cs="宋体"/>
        </w:rPr>
      </w:pPr>
      <w:r>
        <w:rPr>
          <w:rFonts w:hint="eastAsia" w:hAnsi="宋体" w:cs="宋体"/>
        </w:rPr>
        <w:t>中/高频无线电装置（MF/HF）一套；</w:t>
      </w:r>
    </w:p>
    <w:p w14:paraId="040ABF15">
      <w:pPr>
        <w:pStyle w:val="305"/>
        <w:numPr>
          <w:ilvl w:val="0"/>
          <w:numId w:val="125"/>
        </w:numPr>
        <w:rPr>
          <w:rFonts w:hint="eastAsia" w:hAnsi="宋体" w:cs="宋体"/>
        </w:rPr>
      </w:pPr>
      <w:r>
        <w:rPr>
          <w:rFonts w:hint="eastAsia" w:hAnsi="宋体" w:cs="宋体"/>
        </w:rPr>
        <w:t>备用中/高频无线电装置（MF/HF）一套；</w:t>
      </w:r>
    </w:p>
    <w:p w14:paraId="6DCF3835">
      <w:pPr>
        <w:pStyle w:val="305"/>
        <w:numPr>
          <w:ilvl w:val="0"/>
          <w:numId w:val="125"/>
        </w:numPr>
        <w:rPr>
          <w:rFonts w:hint="eastAsia" w:hAnsi="宋体" w:cs="宋体"/>
        </w:rPr>
      </w:pPr>
      <w:r>
        <w:rPr>
          <w:rFonts w:hint="eastAsia" w:hAnsi="宋体" w:cs="宋体"/>
        </w:rPr>
        <w:t>甚高频无线电话（VHF）一台；</w:t>
      </w:r>
    </w:p>
    <w:p w14:paraId="156882C2">
      <w:pPr>
        <w:pStyle w:val="305"/>
        <w:numPr>
          <w:ilvl w:val="0"/>
          <w:numId w:val="125"/>
        </w:numPr>
        <w:rPr>
          <w:rFonts w:hint="eastAsia" w:hAnsi="宋体" w:cs="宋体"/>
        </w:rPr>
      </w:pPr>
      <w:r>
        <w:rPr>
          <w:rFonts w:hint="eastAsia" w:hAnsi="宋体" w:cs="宋体"/>
        </w:rPr>
        <w:t>应急无线电示位标两台；其中至少有一台为极轨道或静止卫星应急无线电示位标；</w:t>
      </w:r>
    </w:p>
    <w:p w14:paraId="1773FA2E">
      <w:pPr>
        <w:pStyle w:val="305"/>
        <w:numPr>
          <w:ilvl w:val="0"/>
          <w:numId w:val="125"/>
        </w:numPr>
        <w:rPr>
          <w:rFonts w:hint="eastAsia" w:hAnsi="宋体" w:cs="宋体"/>
        </w:rPr>
      </w:pPr>
      <w:r>
        <w:rPr>
          <w:rFonts w:hint="eastAsia" w:hAnsi="宋体" w:cs="宋体"/>
        </w:rPr>
        <w:t>双向甚高频无线电话三只（TWO—WAY VHF）；</w:t>
      </w:r>
    </w:p>
    <w:p w14:paraId="798ECBC5">
      <w:pPr>
        <w:pStyle w:val="305"/>
        <w:numPr>
          <w:ilvl w:val="0"/>
          <w:numId w:val="125"/>
        </w:numPr>
        <w:rPr>
          <w:rFonts w:hint="eastAsia" w:hAnsi="宋体" w:cs="宋体"/>
        </w:rPr>
      </w:pPr>
      <w:r>
        <w:rPr>
          <w:rFonts w:hint="eastAsia" w:hAnsi="宋体" w:cs="宋体"/>
        </w:rPr>
        <w:t>搜救雷达应答器（SART）两台；</w:t>
      </w:r>
    </w:p>
    <w:p w14:paraId="4CB36B32">
      <w:pPr>
        <w:pStyle w:val="305"/>
        <w:numPr>
          <w:ilvl w:val="0"/>
          <w:numId w:val="125"/>
        </w:numPr>
        <w:rPr>
          <w:rFonts w:hint="eastAsia" w:hAnsi="宋体" w:cs="宋体"/>
        </w:rPr>
      </w:pPr>
      <w:r>
        <w:rPr>
          <w:rFonts w:hint="eastAsia" w:hAnsi="宋体" w:cs="宋体"/>
        </w:rPr>
        <w:t>奈伏泰斯（NAVTEX）接收机一台。</w:t>
      </w:r>
    </w:p>
    <w:p w14:paraId="7D92C880">
      <w:pPr>
        <w:autoSpaceDE w:val="0"/>
        <w:autoSpaceDN w:val="0"/>
        <w:adjustRightInd w:val="0"/>
        <w:spacing w:before="10" w:line="312" w:lineRule="exact"/>
        <w:ind w:left="120" w:right="182" w:firstLine="420" w:firstLineChars="200"/>
        <w:jc w:val="left"/>
        <w:rPr>
          <w:rFonts w:hint="eastAsia" w:ascii="宋体" w:hAnsi="宋体" w:eastAsia="宋体" w:cs="宋体"/>
          <w:kern w:val="0"/>
          <w:szCs w:val="21"/>
        </w:rPr>
      </w:pPr>
      <w:r>
        <w:rPr>
          <w:kern w:val="0"/>
          <w:szCs w:val="21"/>
        </w:rPr>
        <w:t>根据情况可采用组合式设备</w:t>
      </w:r>
      <w:r>
        <w:rPr>
          <w:rFonts w:hint="eastAsia" w:ascii="宋体" w:hAnsi="宋体" w:eastAsia="宋体" w:cs="宋体"/>
          <w:kern w:val="0"/>
          <w:szCs w:val="21"/>
        </w:rPr>
        <w:t>代替上述a）、b）所列设备，也可采用其它可靠通信设备（如卫星通信系统）。</w:t>
      </w:r>
    </w:p>
    <w:p w14:paraId="05D3E449">
      <w:pPr>
        <w:pStyle w:val="327"/>
        <w:rPr>
          <w:rFonts w:ascii="Times New Roman"/>
        </w:rPr>
      </w:pPr>
      <w:r>
        <w:rPr>
          <w:rFonts w:hint="eastAsia" w:ascii="宋体" w:hAnsi="宋体" w:eastAsia="宋体" w:cs="宋体"/>
        </w:rPr>
        <w:t xml:space="preserve">油气田群中除通信中心平台以外非栈桥连接的有人驻守平台应配备本节 </w:t>
      </w:r>
      <w:r>
        <w:rPr>
          <w:rFonts w:hint="eastAsia" w:ascii="宋体" w:hAnsi="宋体" w:eastAsia="宋体" w:cs="宋体"/>
          <w:bCs/>
          <w:kern w:val="2"/>
          <w:szCs w:val="20"/>
        </w:rPr>
        <w:t>21.2.1.2</w:t>
      </w:r>
      <w:r>
        <w:rPr>
          <w:rFonts w:hint="eastAsia" w:ascii="宋体" w:hAnsi="宋体" w:eastAsia="宋体" w:cs="宋体"/>
        </w:rPr>
        <w:t xml:space="preserve"> 中a）、b）、c）、d）所要求的通信设备；无人驻守平台及有栈桥连接并设有救生艇筏的平台须配备如本节 </w:t>
      </w:r>
      <w:r>
        <w:rPr>
          <w:rFonts w:hint="eastAsia" w:ascii="宋体" w:hAnsi="宋体" w:eastAsia="宋体" w:cs="宋体"/>
          <w:bCs/>
          <w:kern w:val="2"/>
          <w:szCs w:val="20"/>
        </w:rPr>
        <w:t xml:space="preserve">21.2.1.2 </w:t>
      </w:r>
      <w:r>
        <w:rPr>
          <w:rFonts w:hint="eastAsia" w:ascii="宋体" w:hAnsi="宋体" w:eastAsia="宋体" w:cs="宋体"/>
        </w:rPr>
        <w:t>b）、c）、d）所述设备至</w:t>
      </w:r>
      <w:r>
        <w:rPr>
          <w:rFonts w:ascii="Times New Roman"/>
        </w:rPr>
        <w:t>少</w:t>
      </w:r>
      <w:r>
        <w:rPr>
          <w:rFonts w:hint="eastAsia" w:ascii="Times New Roman"/>
        </w:rPr>
        <w:t>各</w:t>
      </w:r>
      <w:r>
        <w:rPr>
          <w:rFonts w:ascii="Times New Roman"/>
        </w:rPr>
        <w:t>一台。</w:t>
      </w:r>
    </w:p>
    <w:p w14:paraId="1C257CF9">
      <w:pPr>
        <w:pStyle w:val="327"/>
        <w:rPr>
          <w:rFonts w:ascii="Times New Roman"/>
        </w:rPr>
      </w:pPr>
      <w:r>
        <w:rPr>
          <w:rFonts w:ascii="Times New Roman"/>
        </w:rPr>
        <w:t>有直升机运输服务的油气田群通信中心平台应：</w:t>
      </w:r>
    </w:p>
    <w:p w14:paraId="27C21BC0">
      <w:pPr>
        <w:pStyle w:val="305"/>
        <w:numPr>
          <w:ilvl w:val="0"/>
          <w:numId w:val="126"/>
        </w:numPr>
        <w:rPr>
          <w:rFonts w:ascii="Times New Roman"/>
        </w:rPr>
      </w:pPr>
      <w:r>
        <w:rPr>
          <w:rFonts w:ascii="Times New Roman"/>
        </w:rPr>
        <w:t>至少配备甚高频调幅无线电话设备；</w:t>
      </w:r>
    </w:p>
    <w:p w14:paraId="1F98D122">
      <w:pPr>
        <w:pStyle w:val="305"/>
        <w:numPr>
          <w:ilvl w:val="0"/>
          <w:numId w:val="126"/>
        </w:numPr>
        <w:rPr>
          <w:rFonts w:ascii="Times New Roman"/>
        </w:rPr>
      </w:pPr>
      <w:r>
        <w:rPr>
          <w:rFonts w:ascii="Times New Roman"/>
        </w:rPr>
        <w:t>配备一台全向中波无线电导航信标发射机；</w:t>
      </w:r>
    </w:p>
    <w:p w14:paraId="1548B675">
      <w:pPr>
        <w:pStyle w:val="305"/>
        <w:numPr>
          <w:ilvl w:val="0"/>
          <w:numId w:val="126"/>
        </w:numPr>
        <w:rPr>
          <w:rFonts w:ascii="Times New Roman"/>
        </w:rPr>
      </w:pPr>
      <w:r>
        <w:rPr>
          <w:rFonts w:ascii="Times New Roman"/>
        </w:rPr>
        <w:t>配备一套气象台站，其中包括风标、计风仪、场压计、温度计等。</w:t>
      </w:r>
    </w:p>
    <w:p w14:paraId="0633832A">
      <w:pPr>
        <w:pStyle w:val="327"/>
        <w:rPr>
          <w:rFonts w:ascii="Times New Roman"/>
        </w:rPr>
      </w:pPr>
      <w:r>
        <w:rPr>
          <w:rFonts w:ascii="Times New Roman"/>
        </w:rPr>
        <w:t>在距</w:t>
      </w:r>
      <w:r>
        <w:rPr>
          <w:rFonts w:hint="eastAsia" w:ascii="宋体" w:hAnsi="宋体" w:eastAsia="宋体" w:cs="宋体"/>
        </w:rPr>
        <w:t xml:space="preserve"> 21.2.1.5</w:t>
      </w:r>
      <w:r>
        <w:rPr>
          <w:rFonts w:ascii="Times New Roman"/>
        </w:rPr>
        <w:t>中所述通信中心平台</w:t>
      </w:r>
      <w:r>
        <w:rPr>
          <w:rFonts w:hint="eastAsia" w:ascii="宋体" w:hAnsi="宋体" w:eastAsia="宋体" w:cs="宋体"/>
        </w:rPr>
        <w:t>20</w:t>
      </w:r>
      <w:r>
        <w:rPr>
          <w:rFonts w:hint="eastAsia" w:ascii="宋体" w:hAnsi="宋体" w:eastAsia="宋体" w:cs="宋体"/>
          <w:sz w:val="10"/>
          <w:szCs w:val="10"/>
        </w:rPr>
        <w:t xml:space="preserve"> </w:t>
      </w:r>
      <w:r>
        <w:rPr>
          <w:rFonts w:hint="eastAsia" w:ascii="宋体" w:hAnsi="宋体" w:eastAsia="宋体" w:cs="宋体"/>
        </w:rPr>
        <w:t>km</w:t>
      </w:r>
      <w:r>
        <w:rPr>
          <w:rFonts w:ascii="Times New Roman"/>
        </w:rPr>
        <w:t>范围内的其它有直升飞机服务的平台可只配备一台甚高频调幅无线电话设备。</w:t>
      </w:r>
    </w:p>
    <w:p w14:paraId="5B68B93D">
      <w:pPr>
        <w:pStyle w:val="327"/>
        <w:rPr>
          <w:rFonts w:ascii="Times New Roman"/>
        </w:rPr>
      </w:pPr>
      <w:r>
        <w:rPr>
          <w:rFonts w:ascii="Times New Roman"/>
        </w:rPr>
        <w:t>登上无人驻守平台的人员，</w:t>
      </w:r>
      <w:r>
        <w:rPr>
          <w:rFonts w:hint="eastAsia" w:ascii="Times New Roman"/>
        </w:rPr>
        <w:t>应</w:t>
      </w:r>
      <w:r>
        <w:rPr>
          <w:rFonts w:ascii="Times New Roman"/>
        </w:rPr>
        <w:t>携带可靠的便携式对外无线通信设备和呼救设备。</w:t>
      </w:r>
    </w:p>
    <w:p w14:paraId="1F985FB6">
      <w:pPr>
        <w:pStyle w:val="327"/>
        <w:rPr>
          <w:rFonts w:ascii="Times New Roman"/>
        </w:rPr>
      </w:pPr>
      <w:r>
        <w:rPr>
          <w:rFonts w:ascii="Times New Roman"/>
        </w:rPr>
        <w:t>油气田群内的平台之间优先采用光纤通信，没有光</w:t>
      </w:r>
      <w:r>
        <w:rPr>
          <w:rFonts w:hint="eastAsia" w:ascii="Times New Roman"/>
        </w:rPr>
        <w:t>纤</w:t>
      </w:r>
      <w:r>
        <w:rPr>
          <w:rFonts w:ascii="Times New Roman"/>
        </w:rPr>
        <w:t>应</w:t>
      </w:r>
      <w:r>
        <w:rPr>
          <w:rFonts w:hint="eastAsia" w:ascii="Times New Roman"/>
        </w:rPr>
        <w:t>采用尽量可靠的通信方式</w:t>
      </w:r>
      <w:r>
        <w:rPr>
          <w:rFonts w:ascii="Times New Roman"/>
        </w:rPr>
        <w:t>。</w:t>
      </w:r>
    </w:p>
    <w:p w14:paraId="3620535F">
      <w:pPr>
        <w:pStyle w:val="261"/>
        <w:spacing w:before="156" w:after="156"/>
        <w:outlineLvl w:val="2"/>
      </w:pPr>
      <w:r>
        <w:t>内部通信设备</w:t>
      </w:r>
    </w:p>
    <w:p w14:paraId="7291D3A6">
      <w:pPr>
        <w:pStyle w:val="327"/>
        <w:rPr>
          <w:rFonts w:ascii="Times New Roman"/>
        </w:rPr>
      </w:pPr>
      <w:r>
        <w:rPr>
          <w:rFonts w:ascii="Times New Roman"/>
        </w:rPr>
        <w:t>中央控制室与无线电室之间</w:t>
      </w:r>
      <w:r>
        <w:rPr>
          <w:rFonts w:hint="eastAsia" w:ascii="Times New Roman"/>
        </w:rPr>
        <w:t>、</w:t>
      </w:r>
      <w:r>
        <w:rPr>
          <w:rFonts w:ascii="Times New Roman"/>
        </w:rPr>
        <w:t>中央控制室与应急配电室之间等重要地点应设有可靠的通信设备。</w:t>
      </w:r>
    </w:p>
    <w:p w14:paraId="6721C692">
      <w:pPr>
        <w:pStyle w:val="327"/>
        <w:rPr>
          <w:rFonts w:ascii="Times New Roman"/>
        </w:rPr>
      </w:pPr>
      <w:r>
        <w:rPr>
          <w:rFonts w:ascii="Times New Roman"/>
        </w:rPr>
        <w:t>根据工作岗位和人员定额配备自动电话。</w:t>
      </w:r>
    </w:p>
    <w:p w14:paraId="1390D1BD">
      <w:pPr>
        <w:pStyle w:val="327"/>
        <w:rPr>
          <w:rFonts w:ascii="Times New Roman"/>
        </w:rPr>
      </w:pPr>
      <w:r>
        <w:rPr>
          <w:rFonts w:ascii="Times New Roman"/>
        </w:rPr>
        <w:t>平台群与其它平台之间有栈桥连接的</w:t>
      </w:r>
      <w:r>
        <w:rPr>
          <w:rFonts w:hint="eastAsia" w:ascii="Times New Roman"/>
        </w:rPr>
        <w:t>平台</w:t>
      </w:r>
      <w:r>
        <w:rPr>
          <w:rFonts w:ascii="Times New Roman"/>
        </w:rPr>
        <w:t>应配置适当数量的对讲机。</w:t>
      </w:r>
    </w:p>
    <w:p w14:paraId="270B1A89">
      <w:pPr>
        <w:pStyle w:val="327"/>
        <w:rPr>
          <w:rFonts w:ascii="Times New Roman"/>
        </w:rPr>
      </w:pPr>
      <w:r>
        <w:rPr>
          <w:rFonts w:ascii="Times New Roman"/>
        </w:rPr>
        <w:t>应配备广播</w:t>
      </w:r>
      <w:r>
        <w:rPr>
          <w:rFonts w:hint="eastAsia" w:ascii="Times New Roman"/>
        </w:rPr>
        <w:t>告警</w:t>
      </w:r>
      <w:r>
        <w:rPr>
          <w:rFonts w:ascii="Times New Roman"/>
        </w:rPr>
        <w:t>系统</w:t>
      </w:r>
      <w:r>
        <w:rPr>
          <w:rFonts w:hint="eastAsia" w:ascii="Times New Roman"/>
        </w:rPr>
        <w:t>，</w:t>
      </w:r>
      <w:r>
        <w:rPr>
          <w:rFonts w:ascii="Times New Roman"/>
        </w:rPr>
        <w:t>通信中心平台应配备冗余广播告警系统（</w:t>
      </w:r>
      <w:r>
        <w:rPr>
          <w:rFonts w:hint="eastAsia" w:ascii="宋体" w:hAnsi="宋体" w:eastAsia="宋体" w:cs="宋体"/>
        </w:rPr>
        <w:t>A/B</w:t>
      </w:r>
      <w:r>
        <w:rPr>
          <w:rFonts w:ascii="Times New Roman"/>
        </w:rPr>
        <w:t>双主机）。中央控制室应安装广播系统遥控装置，遥控装置应有多种音响报警控制功能并能优先控制报警。多种音响报警功能应包括</w:t>
      </w:r>
      <w:r>
        <w:rPr>
          <w:rFonts w:hint="eastAsia" w:ascii="Times New Roman"/>
        </w:rPr>
        <w:t>：</w:t>
      </w:r>
      <w:r>
        <w:rPr>
          <w:rFonts w:ascii="Times New Roman"/>
        </w:rPr>
        <w:t>火灾报警、可燃性气体报警及弃平台报警。</w:t>
      </w:r>
    </w:p>
    <w:p w14:paraId="38808445">
      <w:pPr>
        <w:pStyle w:val="326"/>
      </w:pPr>
      <w:r>
        <w:t>应配备视频监控系统，视频监控</w:t>
      </w:r>
      <w:r>
        <w:rPr>
          <w:rFonts w:hint="eastAsia"/>
        </w:rPr>
        <w:t>应</w:t>
      </w:r>
      <w:r>
        <w:t>覆盖重点监控区域。</w:t>
      </w:r>
    </w:p>
    <w:p w14:paraId="3A5C1813">
      <w:pPr>
        <w:pStyle w:val="326"/>
      </w:pPr>
      <w:r>
        <w:t>平台（除栈桥连接的平台）应配备AIS船舶自动识别系统。</w:t>
      </w:r>
    </w:p>
    <w:p w14:paraId="08A1663D">
      <w:pPr>
        <w:pStyle w:val="260"/>
        <w:outlineLvl w:val="1"/>
        <w:rPr>
          <w:rFonts w:ascii="Times New Roman"/>
        </w:rPr>
      </w:pPr>
      <w:bookmarkStart w:id="301" w:name="_Toc16754"/>
      <w:bookmarkStart w:id="302" w:name="_Toc5914"/>
      <w:r>
        <w:rPr>
          <w:rFonts w:ascii="Times New Roman"/>
        </w:rPr>
        <w:t>安全技术要求</w:t>
      </w:r>
      <w:bookmarkEnd w:id="301"/>
      <w:bookmarkEnd w:id="302"/>
    </w:p>
    <w:p w14:paraId="21E22B7E">
      <w:pPr>
        <w:pStyle w:val="261"/>
        <w:spacing w:before="156" w:after="156"/>
        <w:outlineLvl w:val="2"/>
      </w:pPr>
      <w:r>
        <w:t>通信设备的安装与选型</w:t>
      </w:r>
    </w:p>
    <w:p w14:paraId="0B1556F6">
      <w:pPr>
        <w:pStyle w:val="327"/>
        <w:rPr>
          <w:rFonts w:ascii="Times New Roman"/>
        </w:rPr>
      </w:pPr>
      <w:r>
        <w:rPr>
          <w:rFonts w:ascii="Times New Roman"/>
        </w:rPr>
        <w:t>工作环境条件</w:t>
      </w:r>
    </w:p>
    <w:p w14:paraId="39F41213">
      <w:pPr>
        <w:pStyle w:val="305"/>
        <w:numPr>
          <w:ilvl w:val="0"/>
          <w:numId w:val="127"/>
        </w:numPr>
        <w:rPr>
          <w:rFonts w:ascii="Times New Roman"/>
        </w:rPr>
      </w:pPr>
      <w:r>
        <w:rPr>
          <w:rFonts w:hint="eastAsia" w:ascii="Times New Roman"/>
        </w:rPr>
        <w:t>通信设备应适合海洋气候环境。</w:t>
      </w:r>
    </w:p>
    <w:p w14:paraId="0FD97B0C">
      <w:pPr>
        <w:pStyle w:val="305"/>
        <w:numPr>
          <w:ilvl w:val="0"/>
          <w:numId w:val="0"/>
        </w:numPr>
        <w:tabs>
          <w:tab w:val="clear" w:pos="840"/>
        </w:tabs>
        <w:ind w:left="420"/>
        <w:rPr>
          <w:rFonts w:ascii="Times New Roman"/>
        </w:rPr>
      </w:pPr>
      <w:r>
        <w:rPr>
          <w:rFonts w:ascii="Times New Roman"/>
        </w:rPr>
        <w:t>环境温度</w:t>
      </w:r>
    </w:p>
    <w:p w14:paraId="145827F0">
      <w:pPr>
        <w:pStyle w:val="305"/>
        <w:numPr>
          <w:ilvl w:val="0"/>
          <w:numId w:val="0"/>
        </w:numPr>
        <w:ind w:left="420"/>
        <w:rPr>
          <w:rFonts w:hint="eastAsia" w:hAnsi="宋体" w:cs="宋体"/>
          <w:szCs w:val="21"/>
        </w:rPr>
      </w:pPr>
      <w:r>
        <w:rPr>
          <w:rFonts w:hint="eastAsia" w:hAnsi="宋体" w:cs="宋体"/>
        </w:rPr>
        <w:t>室内：＋</w:t>
      </w:r>
      <w:r>
        <w:rPr>
          <w:rFonts w:hint="eastAsia" w:hAnsi="宋体" w:cs="宋体"/>
          <w:szCs w:val="21"/>
        </w:rPr>
        <w:t xml:space="preserve">5℃至＋40℃ </w:t>
      </w:r>
    </w:p>
    <w:p w14:paraId="6F2963A7">
      <w:pPr>
        <w:pStyle w:val="305"/>
        <w:numPr>
          <w:ilvl w:val="0"/>
          <w:numId w:val="0"/>
        </w:numPr>
        <w:ind w:left="420"/>
        <w:rPr>
          <w:rFonts w:hint="eastAsia" w:hAnsi="宋体" w:cs="宋体"/>
        </w:rPr>
      </w:pPr>
      <w:r>
        <w:rPr>
          <w:rFonts w:hint="eastAsia" w:hAnsi="宋体" w:cs="宋体"/>
          <w:szCs w:val="21"/>
        </w:rPr>
        <w:t>室外：－22℃至＋55℃</w:t>
      </w:r>
    </w:p>
    <w:p w14:paraId="1CAA44AC">
      <w:pPr>
        <w:pStyle w:val="305"/>
        <w:numPr>
          <w:ilvl w:val="0"/>
          <w:numId w:val="0"/>
        </w:numPr>
        <w:tabs>
          <w:tab w:val="clear" w:pos="840"/>
        </w:tabs>
        <w:ind w:left="420"/>
        <w:rPr>
          <w:rFonts w:hint="eastAsia" w:hAnsi="宋体" w:cs="宋体"/>
        </w:rPr>
      </w:pPr>
      <w:r>
        <w:rPr>
          <w:rFonts w:hint="eastAsia" w:hAnsi="宋体" w:cs="宋体"/>
        </w:rPr>
        <w:t>相对湿度</w:t>
      </w:r>
    </w:p>
    <w:p w14:paraId="60866B57">
      <w:pPr>
        <w:pStyle w:val="305"/>
        <w:numPr>
          <w:ilvl w:val="0"/>
          <w:numId w:val="0"/>
        </w:numPr>
        <w:ind w:left="420"/>
        <w:rPr>
          <w:rFonts w:hint="eastAsia" w:hAnsi="宋体" w:cs="宋体"/>
          <w:szCs w:val="21"/>
        </w:rPr>
      </w:pPr>
      <w:r>
        <w:rPr>
          <w:rFonts w:hint="eastAsia" w:hAnsi="宋体" w:cs="宋体"/>
        </w:rPr>
        <w:t>环境空气温度40℃时，相对湿度为95%±3%。</w:t>
      </w:r>
    </w:p>
    <w:p w14:paraId="6451F285">
      <w:pPr>
        <w:pStyle w:val="305"/>
        <w:numPr>
          <w:ilvl w:val="0"/>
          <w:numId w:val="127"/>
        </w:numPr>
        <w:rPr>
          <w:rFonts w:ascii="Times New Roman"/>
        </w:rPr>
      </w:pPr>
      <w:r>
        <w:rPr>
          <w:rFonts w:ascii="Times New Roman"/>
        </w:rPr>
        <w:t>通信设备应考虑大气环境中盐雾及霉菌的影响。</w:t>
      </w:r>
    </w:p>
    <w:p w14:paraId="4D6895EA">
      <w:pPr>
        <w:pStyle w:val="327"/>
        <w:rPr>
          <w:rFonts w:ascii="Times New Roman"/>
        </w:rPr>
      </w:pPr>
      <w:r>
        <w:rPr>
          <w:rFonts w:ascii="Times New Roman"/>
        </w:rPr>
        <w:t>安全技术要求</w:t>
      </w:r>
    </w:p>
    <w:p w14:paraId="34C30958">
      <w:pPr>
        <w:pStyle w:val="305"/>
        <w:numPr>
          <w:ilvl w:val="0"/>
          <w:numId w:val="128"/>
        </w:numPr>
        <w:rPr>
          <w:rFonts w:ascii="Times New Roman"/>
        </w:rPr>
      </w:pPr>
      <w:r>
        <w:t>通信设备的外壳应尽可能容易开启。外壳开启后，在发信机高压线路中的电容器应能自动放电</w:t>
      </w:r>
      <w:r>
        <w:rPr>
          <w:rFonts w:hint="eastAsia"/>
        </w:rPr>
        <w:t>；</w:t>
      </w:r>
    </w:p>
    <w:p w14:paraId="621FC495">
      <w:pPr>
        <w:pStyle w:val="305"/>
        <w:numPr>
          <w:ilvl w:val="0"/>
          <w:numId w:val="128"/>
        </w:numPr>
      </w:pPr>
      <w:r>
        <w:t>通信设备的外壳应设有可靠的接地装置，但不应由此而引起电源任一端接地</w:t>
      </w:r>
      <w:r>
        <w:rPr>
          <w:rFonts w:hint="eastAsia"/>
        </w:rPr>
        <w:t>；</w:t>
      </w:r>
    </w:p>
    <w:p w14:paraId="1F62F462">
      <w:pPr>
        <w:pStyle w:val="305"/>
        <w:numPr>
          <w:ilvl w:val="0"/>
          <w:numId w:val="128"/>
        </w:numPr>
      </w:pPr>
      <w:r>
        <w:t>电缆与通信设备的连接应保持连续屏蔽，并可靠接地</w:t>
      </w:r>
      <w:r>
        <w:rPr>
          <w:rFonts w:hint="eastAsia"/>
        </w:rPr>
        <w:t>；</w:t>
      </w:r>
    </w:p>
    <w:p w14:paraId="77A5670F">
      <w:pPr>
        <w:pStyle w:val="305"/>
        <w:numPr>
          <w:ilvl w:val="0"/>
          <w:numId w:val="128"/>
        </w:numPr>
      </w:pPr>
      <w:r>
        <w:t>通信设备的外壳防护型式与安装使用的场所相适应</w:t>
      </w:r>
      <w:r>
        <w:rPr>
          <w:rFonts w:hint="eastAsia"/>
        </w:rPr>
        <w:t>；</w:t>
      </w:r>
    </w:p>
    <w:p w14:paraId="19BE4CB2">
      <w:pPr>
        <w:pStyle w:val="305"/>
        <w:numPr>
          <w:ilvl w:val="0"/>
          <w:numId w:val="128"/>
        </w:numPr>
      </w:pPr>
      <w:r>
        <w:t>应急通信设备应尽量避免使用继电器、接触器及电解电容器</w:t>
      </w:r>
      <w:r>
        <w:rPr>
          <w:rFonts w:hint="eastAsia"/>
        </w:rPr>
        <w:t>；</w:t>
      </w:r>
    </w:p>
    <w:p w14:paraId="69EE9822">
      <w:pPr>
        <w:pStyle w:val="305"/>
        <w:numPr>
          <w:ilvl w:val="0"/>
          <w:numId w:val="128"/>
        </w:numPr>
      </w:pPr>
      <w:r>
        <w:t>天线突然拉断或碰平台钢结构（接地）以及天线电路失谐时，均不应损坏发信机的电子器件及零件，但在高压电路内允许熔断器熔断</w:t>
      </w:r>
      <w:r>
        <w:rPr>
          <w:rFonts w:hint="eastAsia"/>
        </w:rPr>
        <w:t>；</w:t>
      </w:r>
    </w:p>
    <w:p w14:paraId="7618CBAB">
      <w:pPr>
        <w:pStyle w:val="305"/>
        <w:numPr>
          <w:ilvl w:val="0"/>
          <w:numId w:val="128"/>
        </w:numPr>
      </w:pPr>
      <w:r>
        <w:t>外部通信设备应在国际呼救及遇险频率上有明显识别标志。</w:t>
      </w:r>
    </w:p>
    <w:p w14:paraId="4D57FBCF">
      <w:pPr>
        <w:pStyle w:val="261"/>
        <w:spacing w:before="156" w:after="156"/>
        <w:outlineLvl w:val="2"/>
      </w:pPr>
      <w:r>
        <w:t>无线电室的布置与安装</w:t>
      </w:r>
    </w:p>
    <w:p w14:paraId="0E682DD6">
      <w:pPr>
        <w:pStyle w:val="327"/>
        <w:rPr>
          <w:rFonts w:ascii="Times New Roman"/>
        </w:rPr>
      </w:pPr>
      <w:r>
        <w:rPr>
          <w:rFonts w:ascii="Times New Roman"/>
        </w:rPr>
        <w:t>发信天线应设置在露天甲板，其馈线应尽量短。</w:t>
      </w:r>
    </w:p>
    <w:p w14:paraId="13CB965E">
      <w:pPr>
        <w:pStyle w:val="327"/>
        <w:rPr>
          <w:rFonts w:ascii="Times New Roman"/>
        </w:rPr>
      </w:pPr>
      <w:r>
        <w:rPr>
          <w:rFonts w:ascii="Times New Roman"/>
        </w:rPr>
        <w:t>无线电室与蓄电池室、配电室间敷设的电缆长度应尽量短。</w:t>
      </w:r>
    </w:p>
    <w:p w14:paraId="3905B1D8">
      <w:pPr>
        <w:pStyle w:val="327"/>
        <w:rPr>
          <w:rFonts w:ascii="Times New Roman"/>
        </w:rPr>
      </w:pPr>
      <w:r>
        <w:rPr>
          <w:rFonts w:ascii="Times New Roman"/>
        </w:rPr>
        <w:t>无线电室应远离产生噪声及大量热量的设备和处所。</w:t>
      </w:r>
    </w:p>
    <w:p w14:paraId="5C4C6FF1">
      <w:pPr>
        <w:pStyle w:val="327"/>
        <w:rPr>
          <w:rFonts w:ascii="Times New Roman"/>
        </w:rPr>
      </w:pPr>
      <w:r>
        <w:rPr>
          <w:rFonts w:ascii="Times New Roman"/>
        </w:rPr>
        <w:t>无线电室除开口外，应连续屏蔽，其墙壁、天花板应有隔音及隔热绝缘，并覆以把金属板、梁、扶强材等构件全部覆盖的铺板。地面应覆以电气绝缘材料。</w:t>
      </w:r>
    </w:p>
    <w:p w14:paraId="4FC56FE6">
      <w:pPr>
        <w:pStyle w:val="327"/>
        <w:rPr>
          <w:rFonts w:ascii="Times New Roman"/>
        </w:rPr>
      </w:pPr>
      <w:r>
        <w:rPr>
          <w:rFonts w:ascii="Times New Roman"/>
        </w:rPr>
        <w:t>无线电室应设有两扇门，其中一扇门应尽可能靠近逃生通道和救生艇。无线电室不允许做为通向其它处所的通道，但允许和报务员住室相通。</w:t>
      </w:r>
    </w:p>
    <w:p w14:paraId="6A1623C6">
      <w:pPr>
        <w:pStyle w:val="327"/>
        <w:rPr>
          <w:rFonts w:ascii="Times New Roman"/>
        </w:rPr>
      </w:pPr>
      <w:r>
        <w:rPr>
          <w:rFonts w:ascii="Times New Roman"/>
        </w:rPr>
        <w:t>无线电室应有良好的空调、通风。应在无线电室设置独立空调，满足应急工况下正常工作。</w:t>
      </w:r>
    </w:p>
    <w:p w14:paraId="7CD1EB6D">
      <w:pPr>
        <w:pStyle w:val="327"/>
        <w:rPr>
          <w:rFonts w:ascii="Times New Roman"/>
        </w:rPr>
      </w:pPr>
      <w:r>
        <w:rPr>
          <w:rFonts w:ascii="Times New Roman"/>
        </w:rPr>
        <w:t>与无线电室无关的电缆和管系不</w:t>
      </w:r>
      <w:r>
        <w:rPr>
          <w:rFonts w:hint="eastAsia" w:ascii="Times New Roman"/>
        </w:rPr>
        <w:t>应</w:t>
      </w:r>
      <w:r>
        <w:rPr>
          <w:rFonts w:ascii="Times New Roman"/>
        </w:rPr>
        <w:t>穿过无线电室。</w:t>
      </w:r>
    </w:p>
    <w:p w14:paraId="49AD101F">
      <w:pPr>
        <w:pStyle w:val="327"/>
        <w:rPr>
          <w:rFonts w:ascii="Times New Roman"/>
        </w:rPr>
      </w:pPr>
      <w:r>
        <w:rPr>
          <w:rFonts w:ascii="Times New Roman"/>
        </w:rPr>
        <w:t>除由应急电源向无线电室室内的应急照明供电外，还应由作为备用电源的蓄电池组供电，并应由无线电室门附近及报务员工作地点通过双联开关控制或自动接通。</w:t>
      </w:r>
    </w:p>
    <w:p w14:paraId="6BDF8625">
      <w:pPr>
        <w:pStyle w:val="260"/>
        <w:outlineLvl w:val="1"/>
        <w:rPr>
          <w:rFonts w:ascii="Times New Roman"/>
        </w:rPr>
      </w:pPr>
      <w:bookmarkStart w:id="303" w:name="_Toc21441"/>
      <w:bookmarkStart w:id="304" w:name="_Toc19308"/>
      <w:r>
        <w:rPr>
          <w:rFonts w:ascii="Times New Roman"/>
        </w:rPr>
        <w:t>电源</w:t>
      </w:r>
      <w:bookmarkEnd w:id="303"/>
      <w:bookmarkEnd w:id="304"/>
    </w:p>
    <w:p w14:paraId="5FFEFC43">
      <w:pPr>
        <w:pStyle w:val="326"/>
        <w:rPr>
          <w:rFonts w:ascii="Times New Roman"/>
        </w:rPr>
      </w:pPr>
      <w:r>
        <w:rPr>
          <w:rFonts w:ascii="Times New Roman"/>
        </w:rPr>
        <w:t>主电源和应急电源应能向全部通信设备供电及作为通信设备备用电源的蓄电池组充电。</w:t>
      </w:r>
    </w:p>
    <w:p w14:paraId="1F6DECF4">
      <w:pPr>
        <w:pStyle w:val="326"/>
        <w:rPr>
          <w:rFonts w:ascii="Times New Roman"/>
        </w:rPr>
      </w:pPr>
      <w:r>
        <w:rPr>
          <w:rFonts w:ascii="Times New Roman"/>
        </w:rPr>
        <w:t>主电源应由平台上</w:t>
      </w:r>
      <w:r>
        <w:rPr>
          <w:rFonts w:hint="eastAsia" w:ascii="宋体" w:hAnsi="宋体" w:eastAsia="宋体" w:cs="宋体"/>
        </w:rPr>
        <w:t>UPS</w:t>
      </w:r>
      <w:r>
        <w:rPr>
          <w:rFonts w:ascii="Times New Roman"/>
        </w:rPr>
        <w:t>供电。</w:t>
      </w:r>
    </w:p>
    <w:p w14:paraId="693DFBEC">
      <w:pPr>
        <w:pStyle w:val="326"/>
        <w:rPr>
          <w:rFonts w:ascii="Times New Roman"/>
        </w:rPr>
      </w:pPr>
      <w:r>
        <w:rPr>
          <w:rFonts w:ascii="Times New Roman"/>
        </w:rPr>
        <w:t>蓄电池组应能在主电源和应急电源供电失效时，自动为主要通信设备供电，使通信设备能够进行遇险</w:t>
      </w:r>
      <w:r>
        <w:rPr>
          <w:rFonts w:hint="eastAsia" w:ascii="宋体" w:hAnsi="宋体" w:eastAsia="宋体" w:cs="宋体"/>
        </w:rPr>
        <w:t>和安全通信，其容量应保证通信设备的应急照明和本章第二节</w:t>
      </w:r>
      <w:r>
        <w:rPr>
          <w:rFonts w:hint="eastAsia" w:ascii="宋体" w:hAnsi="宋体" w:eastAsia="宋体" w:cs="宋体"/>
          <w:bCs/>
          <w:kern w:val="2"/>
          <w:szCs w:val="20"/>
        </w:rPr>
        <w:t xml:space="preserve">21.2.1.3 </w:t>
      </w:r>
      <w:r>
        <w:rPr>
          <w:rFonts w:hint="eastAsia" w:ascii="宋体" w:hAnsi="宋体" w:eastAsia="宋体" w:cs="宋体"/>
        </w:rPr>
        <w:t>a）、b）、c）项的设备工作1h</w:t>
      </w:r>
      <w:r>
        <w:rPr>
          <w:rFonts w:ascii="Times New Roman"/>
        </w:rPr>
        <w:t>。</w:t>
      </w:r>
    </w:p>
    <w:p w14:paraId="081EFADD">
      <w:pPr>
        <w:pStyle w:val="326"/>
        <w:rPr>
          <w:rFonts w:ascii="Times New Roman"/>
        </w:rPr>
      </w:pPr>
      <w:r>
        <w:rPr>
          <w:rFonts w:ascii="Times New Roman"/>
        </w:rPr>
        <w:t>作为备用电源的蓄电池组应</w:t>
      </w:r>
      <w:r>
        <w:rPr>
          <w:rFonts w:hint="eastAsia" w:ascii="Times New Roman"/>
        </w:rPr>
        <w:t>满足</w:t>
      </w:r>
      <w:r>
        <w:rPr>
          <w:rFonts w:hint="eastAsia" w:ascii="宋体" w:hAnsi="宋体" w:eastAsia="宋体" w:cs="宋体"/>
        </w:rPr>
        <w:t>14.3.4.6</w:t>
      </w:r>
      <w:r>
        <w:rPr>
          <w:rFonts w:hint="eastAsia" w:ascii="Times New Roman"/>
        </w:rPr>
        <w:t>的要求。</w:t>
      </w:r>
    </w:p>
    <w:p w14:paraId="753CDA67">
      <w:pPr>
        <w:pStyle w:val="260"/>
        <w:outlineLvl w:val="1"/>
        <w:rPr>
          <w:rFonts w:ascii="Times New Roman"/>
        </w:rPr>
      </w:pPr>
      <w:bookmarkStart w:id="305" w:name="_Toc16110"/>
      <w:bookmarkStart w:id="306" w:name="_Toc25588"/>
      <w:r>
        <w:rPr>
          <w:rFonts w:ascii="Times New Roman"/>
        </w:rPr>
        <w:t>天线</w:t>
      </w:r>
      <w:bookmarkEnd w:id="305"/>
      <w:bookmarkEnd w:id="306"/>
    </w:p>
    <w:p w14:paraId="6088833F">
      <w:pPr>
        <w:pStyle w:val="326"/>
        <w:rPr>
          <w:rFonts w:ascii="Times New Roman"/>
        </w:rPr>
      </w:pPr>
      <w:r>
        <w:rPr>
          <w:rFonts w:ascii="Times New Roman"/>
        </w:rPr>
        <w:t>平台应安装使无线电通信设备具有高效率的天线，其结构应能承受当地最大风荷载。天线的设置不应妨碍直升机起降。</w:t>
      </w:r>
    </w:p>
    <w:p w14:paraId="41E44881">
      <w:pPr>
        <w:pStyle w:val="326"/>
        <w:rPr>
          <w:rFonts w:ascii="Times New Roman"/>
        </w:rPr>
      </w:pPr>
      <w:r>
        <w:rPr>
          <w:rFonts w:ascii="Times New Roman"/>
        </w:rPr>
        <w:t>发信天线应满足下列要求</w:t>
      </w:r>
      <w:r>
        <w:rPr>
          <w:rFonts w:hint="eastAsia" w:ascii="Times New Roman"/>
        </w:rPr>
        <w:t>：</w:t>
      </w:r>
    </w:p>
    <w:p w14:paraId="7BE15567">
      <w:pPr>
        <w:pStyle w:val="305"/>
        <w:numPr>
          <w:ilvl w:val="0"/>
          <w:numId w:val="129"/>
        </w:numPr>
      </w:pPr>
      <w:r>
        <w:t>发信天线的结构应能清除电晕效应。</w:t>
      </w:r>
    </w:p>
    <w:p w14:paraId="326CB0B0">
      <w:pPr>
        <w:pStyle w:val="305"/>
        <w:numPr>
          <w:ilvl w:val="0"/>
          <w:numId w:val="129"/>
        </w:numPr>
      </w:pPr>
      <w:r>
        <w:t>中波发信机在载波频率上的天线功率不应超过500</w:t>
      </w:r>
      <w:r>
        <w:rPr>
          <w:rFonts w:hint="eastAsia"/>
        </w:rPr>
        <w:t xml:space="preserve"> </w:t>
      </w:r>
      <w:r>
        <w:t>W，此时中波发信机的峰包功率应不超过1000</w:t>
      </w:r>
      <w:r>
        <w:rPr>
          <w:rFonts w:hint="eastAsia"/>
        </w:rPr>
        <w:t xml:space="preserve"> </w:t>
      </w:r>
      <w:r>
        <w:t>W。</w:t>
      </w:r>
    </w:p>
    <w:p w14:paraId="379B7183">
      <w:pPr>
        <w:pStyle w:val="305"/>
        <w:numPr>
          <w:ilvl w:val="0"/>
          <w:numId w:val="129"/>
        </w:numPr>
      </w:pPr>
      <w:r>
        <w:t>备用发信天线应使中波发信机在2187.5</w:t>
      </w:r>
      <w:r>
        <w:rPr>
          <w:rFonts w:hint="eastAsia"/>
        </w:rPr>
        <w:t xml:space="preserve"> </w:t>
      </w:r>
      <w:r>
        <w:t>kHz上易于调谐。</w:t>
      </w:r>
    </w:p>
    <w:p w14:paraId="5BA509D5">
      <w:pPr>
        <w:pStyle w:val="326"/>
        <w:rPr>
          <w:rFonts w:ascii="Times New Roman"/>
        </w:rPr>
      </w:pPr>
      <w:r>
        <w:rPr>
          <w:rFonts w:ascii="Times New Roman"/>
        </w:rPr>
        <w:t>收信天线应满足下列要求</w:t>
      </w:r>
      <w:r>
        <w:rPr>
          <w:rFonts w:hint="eastAsia" w:ascii="Times New Roman"/>
        </w:rPr>
        <w:t>：</w:t>
      </w:r>
    </w:p>
    <w:p w14:paraId="3C1DD38A">
      <w:pPr>
        <w:pStyle w:val="305"/>
        <w:numPr>
          <w:ilvl w:val="0"/>
          <w:numId w:val="130"/>
        </w:numPr>
      </w:pPr>
      <w:r>
        <w:rPr>
          <w:rFonts w:hint="eastAsia"/>
        </w:rPr>
        <w:t>油气田</w:t>
      </w:r>
      <w:r>
        <w:t>群的通信中心平台应装设主用和备用收信天线。无线电话遇险频率值班收信机应有保证其连续工作的收信天线。</w:t>
      </w:r>
    </w:p>
    <w:p w14:paraId="5A3C40A3">
      <w:pPr>
        <w:pStyle w:val="305"/>
        <w:numPr>
          <w:ilvl w:val="0"/>
          <w:numId w:val="130"/>
        </w:numPr>
      </w:pPr>
      <w:r>
        <w:t>收信天线与发信天线应尽量远离。</w:t>
      </w:r>
    </w:p>
    <w:p w14:paraId="627D7846">
      <w:pPr>
        <w:pStyle w:val="260"/>
        <w:outlineLvl w:val="1"/>
        <w:rPr>
          <w:rFonts w:ascii="Times New Roman"/>
        </w:rPr>
      </w:pPr>
      <w:bookmarkStart w:id="307" w:name="_Toc5260"/>
      <w:bookmarkStart w:id="308" w:name="_Toc7572"/>
      <w:r>
        <w:rPr>
          <w:rFonts w:ascii="Times New Roman"/>
        </w:rPr>
        <w:t>电缆及接地</w:t>
      </w:r>
      <w:bookmarkEnd w:id="307"/>
      <w:bookmarkEnd w:id="308"/>
    </w:p>
    <w:p w14:paraId="6A7AFA85">
      <w:pPr>
        <w:pStyle w:val="326"/>
        <w:rPr>
          <w:rFonts w:ascii="Times New Roman"/>
        </w:rPr>
      </w:pPr>
      <w:r>
        <w:rPr>
          <w:rFonts w:hint="eastAsia" w:ascii="Times New Roman"/>
        </w:rPr>
        <w:t>应自总配电盘或应急配电盘向无线电室敷设独立馈电线路。各种与通信设备无关的用电部分，不得接入通信设备的电路内。</w:t>
      </w:r>
    </w:p>
    <w:p w14:paraId="2E7E9E13">
      <w:pPr>
        <w:pStyle w:val="326"/>
        <w:rPr>
          <w:rFonts w:ascii="Times New Roman"/>
        </w:rPr>
      </w:pPr>
      <w:r>
        <w:rPr>
          <w:rFonts w:hint="eastAsia" w:ascii="Times New Roman"/>
        </w:rPr>
        <w:t>进入无线电室的电缆，应采用屏蔽电缆，并可靠接地。</w:t>
      </w:r>
    </w:p>
    <w:p w14:paraId="0797FD39">
      <w:pPr>
        <w:pStyle w:val="326"/>
        <w:rPr>
          <w:rFonts w:ascii="Times New Roman"/>
        </w:rPr>
      </w:pPr>
      <w:r>
        <w:rPr>
          <w:rFonts w:hint="eastAsia" w:ascii="Times New Roman"/>
        </w:rPr>
        <w:t>通信电缆及危险区内的通信电缆应符合</w:t>
      </w:r>
      <w:r>
        <w:rPr>
          <w:rFonts w:hint="eastAsia" w:ascii="宋体" w:hAnsi="宋体" w:eastAsia="宋体" w:cs="宋体"/>
        </w:rPr>
        <w:t>14.7、14.9.3</w:t>
      </w:r>
      <w:r>
        <w:rPr>
          <w:rFonts w:hint="eastAsia" w:ascii="Times New Roman"/>
        </w:rPr>
        <w:t>的有关规定。</w:t>
      </w:r>
    </w:p>
    <w:p w14:paraId="094D3019">
      <w:pPr>
        <w:pStyle w:val="326"/>
        <w:rPr>
          <w:rFonts w:ascii="Times New Roman"/>
        </w:rPr>
      </w:pPr>
      <w:r>
        <w:rPr>
          <w:rFonts w:hint="eastAsia" w:ascii="Times New Roman"/>
        </w:rPr>
        <w:t>无线电设备应有可靠的高频接地和保护接地。</w:t>
      </w:r>
    </w:p>
    <w:p w14:paraId="5917E8AA">
      <w:pPr>
        <w:pStyle w:val="260"/>
        <w:outlineLvl w:val="1"/>
        <w:rPr>
          <w:rFonts w:ascii="Times New Roman"/>
        </w:rPr>
      </w:pPr>
      <w:bookmarkStart w:id="309" w:name="_Toc15352"/>
      <w:bookmarkStart w:id="310" w:name="_Toc5617"/>
      <w:r>
        <w:rPr>
          <w:rFonts w:ascii="Times New Roman"/>
        </w:rPr>
        <w:t>危险区内的通信设备</w:t>
      </w:r>
      <w:bookmarkEnd w:id="309"/>
      <w:bookmarkEnd w:id="310"/>
    </w:p>
    <w:p w14:paraId="2F42C731">
      <w:pPr>
        <w:pStyle w:val="326"/>
        <w:rPr>
          <w:rFonts w:ascii="Times New Roman"/>
        </w:rPr>
      </w:pPr>
      <w:r>
        <w:rPr>
          <w:rFonts w:hint="eastAsia" w:ascii="Times New Roman"/>
        </w:rPr>
        <w:t>禁止在危险区内架设中波、短波发信天线。</w:t>
      </w:r>
    </w:p>
    <w:p w14:paraId="2DDB3066">
      <w:pPr>
        <w:pStyle w:val="326"/>
        <w:rPr>
          <w:rFonts w:ascii="Times New Roman"/>
        </w:rPr>
      </w:pPr>
      <w:r>
        <w:rPr>
          <w:rFonts w:ascii="Times New Roman"/>
        </w:rPr>
        <w:t>无线电对讲机必须适应于该危险区的防爆要求。</w:t>
      </w:r>
    </w:p>
    <w:p w14:paraId="097151CB">
      <w:pPr>
        <w:pStyle w:val="326"/>
        <w:rPr>
          <w:rFonts w:ascii="Times New Roman"/>
        </w:rPr>
      </w:pPr>
      <w:r>
        <w:rPr>
          <w:rFonts w:ascii="Times New Roman"/>
        </w:rPr>
        <w:t>本质安全型对讲机的电池充电应在</w:t>
      </w:r>
      <w:r>
        <w:rPr>
          <w:rFonts w:hint="eastAsia" w:ascii="Times New Roman"/>
        </w:rPr>
        <w:t>非危险区</w:t>
      </w:r>
      <w:r>
        <w:rPr>
          <w:rFonts w:ascii="Times New Roman"/>
        </w:rPr>
        <w:t>内进行，该电池不能用非本质安全型电池替换。</w:t>
      </w:r>
    </w:p>
    <w:p w14:paraId="6EF0DC9E">
      <w:pPr>
        <w:pStyle w:val="326"/>
        <w:rPr>
          <w:rFonts w:ascii="Times New Roman"/>
        </w:rPr>
      </w:pPr>
      <w:r>
        <w:rPr>
          <w:rFonts w:ascii="Times New Roman"/>
        </w:rPr>
        <w:t>安装于危险区内的电话</w:t>
      </w:r>
      <w:r>
        <w:rPr>
          <w:rFonts w:hint="eastAsia" w:ascii="Times New Roman"/>
        </w:rPr>
        <w:t>、</w:t>
      </w:r>
      <w:r>
        <w:rPr>
          <w:rFonts w:ascii="Times New Roman"/>
        </w:rPr>
        <w:t>广播</w:t>
      </w:r>
      <w:r>
        <w:rPr>
          <w:rFonts w:hint="eastAsia" w:ascii="Times New Roman"/>
        </w:rPr>
        <w:t>等通信设备</w:t>
      </w:r>
      <w:r>
        <w:rPr>
          <w:rFonts w:ascii="Times New Roman"/>
        </w:rPr>
        <w:t>必须适应于该危险区的防爆要求。</w:t>
      </w:r>
    </w:p>
    <w:p w14:paraId="66DBCB91">
      <w:pPr>
        <w:pStyle w:val="326"/>
        <w:numPr>
          <w:ilvl w:val="255"/>
          <w:numId w:val="0"/>
        </w:numPr>
        <w:ind w:firstLine="420" w:firstLineChars="200"/>
        <w:rPr>
          <w:rFonts w:ascii="Times New Roman"/>
        </w:rPr>
      </w:pPr>
    </w:p>
    <w:p w14:paraId="163A03BB">
      <w:pPr>
        <w:pStyle w:val="326"/>
        <w:numPr>
          <w:ilvl w:val="2"/>
          <w:numId w:val="0"/>
        </w:numPr>
        <w:rPr>
          <w:rFonts w:ascii="Times New Roman"/>
        </w:rPr>
      </w:pPr>
      <w:r>
        <w:rPr>
          <w:rFonts w:hint="eastAsia" w:ascii="Times New Roman"/>
        </w:rPr>
        <w:t>注：</w:t>
      </w:r>
      <w:r>
        <w:rPr>
          <w:rFonts w:hint="eastAsia" w:ascii="宋体" w:hAnsi="宋体" w:eastAsia="宋体" w:cs="宋体"/>
        </w:rPr>
        <w:t>A1海区系指至少由一个具有连续DSC报警能力的甚高频(VHF)海岸电台的无线电话所覆盖的区域，该区域可由各缔国政府规定。（详见国际海上人命安全公约。中国A1海区参见“海事局公告2009年第5号-关于发布我国A1A2海区覆盖范围的公告”）。</w:t>
      </w:r>
    </w:p>
    <w:p w14:paraId="5BF05C20">
      <w:pPr>
        <w:pStyle w:val="326"/>
        <w:numPr>
          <w:ilvl w:val="2"/>
          <w:numId w:val="0"/>
        </w:numPr>
        <w:rPr>
          <w:rFonts w:ascii="Times New Roman"/>
        </w:rPr>
      </w:pPr>
    </w:p>
    <w:p w14:paraId="715B61AA">
      <w:pPr>
        <w:pStyle w:val="326"/>
        <w:numPr>
          <w:ilvl w:val="255"/>
          <w:numId w:val="0"/>
        </w:numPr>
        <w:ind w:firstLine="420" w:firstLineChars="200"/>
        <w:rPr>
          <w:rFonts w:ascii="Times New Roman"/>
        </w:rPr>
        <w:sectPr>
          <w:headerReference r:id="rId14" w:type="first"/>
          <w:footerReference r:id="rId17" w:type="first"/>
          <w:headerReference r:id="rId12" w:type="default"/>
          <w:footerReference r:id="rId15" w:type="default"/>
          <w:headerReference r:id="rId13" w:type="even"/>
          <w:footerReference r:id="rId16" w:type="even"/>
          <w:pgSz w:w="11907" w:h="16839"/>
          <w:pgMar w:top="1418" w:right="1134" w:bottom="1134" w:left="1418" w:header="1418" w:footer="1134" w:gutter="0"/>
          <w:pgNumType w:fmt="decimal" w:start="1"/>
          <w:cols w:space="425" w:num="1"/>
          <w:docGrid w:type="lines" w:linePitch="312" w:charSpace="0"/>
        </w:sectPr>
      </w:pPr>
    </w:p>
    <w:p w14:paraId="0D8719F0">
      <w:pPr>
        <w:pStyle w:val="258"/>
        <w:ind w:firstLine="0" w:firstLineChars="0"/>
      </w:pPr>
      <w:bookmarkStart w:id="311" w:name="标准参考文献"/>
      <w:bookmarkEnd w:id="311"/>
      <w:bookmarkStart w:id="312" w:name="SectionMark5"/>
    </w:p>
    <w:bookmarkEnd w:id="312"/>
    <w:p w14:paraId="2E180BE0">
      <w:pPr>
        <w:pStyle w:val="257"/>
        <w:numPr>
          <w:ilvl w:val="255"/>
          <w:numId w:val="0"/>
        </w:numPr>
        <w:ind w:firstLine="420" w:firstLineChars="200"/>
      </w:pPr>
      <w:bookmarkStart w:id="313" w:name="_Toc4345"/>
      <w:r>
        <w:rPr>
          <w:rFonts w:hint="eastAsia"/>
        </w:rPr>
        <w:t>参  考  文  献</w:t>
      </w:r>
      <w:bookmarkEnd w:id="313"/>
    </w:p>
    <w:p w14:paraId="1C2219F5">
      <w:pPr>
        <w:pStyle w:val="258"/>
        <w:numPr>
          <w:ilvl w:val="0"/>
          <w:numId w:val="131"/>
        </w:numPr>
        <w:autoSpaceDE w:val="0"/>
        <w:autoSpaceDN w:val="0"/>
        <w:ind w:firstLine="420"/>
      </w:pPr>
      <w:r>
        <w:rPr>
          <w:rFonts w:hint="eastAsia"/>
        </w:rPr>
        <w:t>GB 50052 供配电系统设计规范</w:t>
      </w:r>
    </w:p>
    <w:p w14:paraId="663CAA97">
      <w:pPr>
        <w:pStyle w:val="258"/>
        <w:numPr>
          <w:ilvl w:val="0"/>
          <w:numId w:val="131"/>
        </w:numPr>
        <w:autoSpaceDE w:val="0"/>
        <w:autoSpaceDN w:val="0"/>
        <w:ind w:firstLine="420"/>
      </w:pPr>
      <w:r>
        <w:rPr>
          <w:rFonts w:hint="eastAsia"/>
        </w:rPr>
        <w:t>GB 50140　建筑灭火器配置设计规范</w:t>
      </w:r>
    </w:p>
    <w:p w14:paraId="05DA9CF9">
      <w:pPr>
        <w:pStyle w:val="258"/>
        <w:numPr>
          <w:ilvl w:val="0"/>
          <w:numId w:val="131"/>
        </w:numPr>
        <w:autoSpaceDE w:val="0"/>
        <w:autoSpaceDN w:val="0"/>
        <w:ind w:firstLine="420"/>
      </w:pPr>
      <w:r>
        <w:rPr>
          <w:rFonts w:hint="eastAsia"/>
        </w:rPr>
        <w:t>GB 50151 泡沫灭火系统技术标准</w:t>
      </w:r>
    </w:p>
    <w:p w14:paraId="73F58822">
      <w:pPr>
        <w:pStyle w:val="258"/>
        <w:numPr>
          <w:ilvl w:val="0"/>
          <w:numId w:val="131"/>
        </w:numPr>
        <w:autoSpaceDE w:val="0"/>
        <w:autoSpaceDN w:val="0"/>
        <w:ind w:firstLine="420"/>
      </w:pPr>
      <w:r>
        <w:rPr>
          <w:rFonts w:hint="eastAsia"/>
        </w:rPr>
        <w:t>GB 50219 水喷雾灭火系统技术规范</w:t>
      </w:r>
    </w:p>
    <w:p w14:paraId="416EBE63">
      <w:pPr>
        <w:pStyle w:val="258"/>
        <w:numPr>
          <w:ilvl w:val="0"/>
          <w:numId w:val="131"/>
        </w:numPr>
        <w:autoSpaceDE w:val="0"/>
        <w:autoSpaceDN w:val="0"/>
        <w:ind w:firstLine="420"/>
      </w:pPr>
      <w:r>
        <w:rPr>
          <w:rFonts w:hint="eastAsia"/>
        </w:rPr>
        <w:t>GB 50370　气体灭火系统设计规范</w:t>
      </w:r>
    </w:p>
    <w:p w14:paraId="46BD281E">
      <w:pPr>
        <w:pStyle w:val="258"/>
        <w:numPr>
          <w:ilvl w:val="0"/>
          <w:numId w:val="131"/>
        </w:numPr>
        <w:autoSpaceDE w:val="0"/>
        <w:autoSpaceDN w:val="0"/>
        <w:ind w:firstLine="420"/>
      </w:pPr>
      <w:r>
        <w:rPr>
          <w:rFonts w:hint="eastAsia"/>
        </w:rPr>
        <w:t>GB 50898　细水雾灭火系统技术规范</w:t>
      </w:r>
    </w:p>
    <w:p w14:paraId="0E7FFFCF">
      <w:pPr>
        <w:pStyle w:val="258"/>
        <w:numPr>
          <w:ilvl w:val="0"/>
          <w:numId w:val="131"/>
        </w:numPr>
        <w:autoSpaceDE w:val="0"/>
        <w:autoSpaceDN w:val="0"/>
        <w:ind w:firstLine="420"/>
      </w:pPr>
      <w:r>
        <w:rPr>
          <w:rFonts w:hint="eastAsia"/>
        </w:rPr>
        <w:t>GB 50974　消防给水及消火栓系统技术规范</w:t>
      </w:r>
    </w:p>
    <w:p w14:paraId="1E5D5AFE">
      <w:pPr>
        <w:pStyle w:val="258"/>
        <w:numPr>
          <w:ilvl w:val="0"/>
          <w:numId w:val="131"/>
        </w:numPr>
        <w:autoSpaceDE w:val="0"/>
        <w:autoSpaceDN w:val="0"/>
        <w:ind w:firstLine="420"/>
      </w:pPr>
      <w:r>
        <w:rPr>
          <w:rFonts w:hint="eastAsia"/>
        </w:rPr>
        <w:t>GB/T 11651　个体防护装备选用规范</w:t>
      </w:r>
    </w:p>
    <w:p w14:paraId="1A917563">
      <w:pPr>
        <w:pStyle w:val="258"/>
        <w:numPr>
          <w:ilvl w:val="0"/>
          <w:numId w:val="131"/>
        </w:numPr>
        <w:autoSpaceDE w:val="0"/>
        <w:autoSpaceDN w:val="0"/>
        <w:ind w:firstLine="420"/>
      </w:pPr>
      <w:r>
        <w:rPr>
          <w:rFonts w:hint="eastAsia"/>
        </w:rPr>
        <w:t>SY/T 6277　硫化氢环境人身防护规范</w:t>
      </w:r>
    </w:p>
    <w:p w14:paraId="66E1DA52">
      <w:pPr>
        <w:pStyle w:val="258"/>
        <w:numPr>
          <w:ilvl w:val="0"/>
          <w:numId w:val="131"/>
        </w:numPr>
        <w:autoSpaceDE w:val="0"/>
        <w:autoSpaceDN w:val="0"/>
        <w:ind w:firstLine="420"/>
      </w:pPr>
      <w:r>
        <w:rPr>
          <w:rFonts w:hint="eastAsia"/>
        </w:rPr>
        <w:t>SY/T 6671 石油设施电气设备安装区域一级、0区、1区和2区区域划分推荐作法</w:t>
      </w:r>
    </w:p>
    <w:p w14:paraId="65F4A871">
      <w:pPr>
        <w:pStyle w:val="258"/>
        <w:numPr>
          <w:ilvl w:val="0"/>
          <w:numId w:val="131"/>
        </w:numPr>
        <w:autoSpaceDE w:val="0"/>
        <w:autoSpaceDN w:val="0"/>
        <w:ind w:firstLine="420"/>
      </w:pPr>
      <w:r>
        <w:t>LSA</w:t>
      </w:r>
      <w:r>
        <w:rPr>
          <w:rFonts w:hint="eastAsia"/>
        </w:rPr>
        <w:t>规则</w:t>
      </w:r>
      <w:r>
        <w:t xml:space="preserve">  国际救生设备规则</w:t>
      </w:r>
    </w:p>
    <w:p w14:paraId="7EB6837D">
      <w:pPr>
        <w:pStyle w:val="258"/>
        <w:numPr>
          <w:ilvl w:val="0"/>
          <w:numId w:val="131"/>
        </w:numPr>
        <w:autoSpaceDE w:val="0"/>
        <w:autoSpaceDN w:val="0"/>
        <w:ind w:firstLine="420"/>
      </w:pPr>
      <w:r>
        <w:t>SOLAS  国际海上人命安全公约</w:t>
      </w:r>
    </w:p>
    <w:p w14:paraId="7EEB61F3">
      <w:pPr>
        <w:ind w:firstLine="420" w:firstLineChars="200"/>
        <w:outlineLvl w:val="0"/>
      </w:pPr>
    </w:p>
    <w:p w14:paraId="4385A645">
      <w:pPr>
        <w:ind w:firstLine="420" w:firstLineChars="200"/>
        <w:outlineLvl w:val="0"/>
      </w:pPr>
    </w:p>
    <w:p w14:paraId="742027BF">
      <w:pPr>
        <w:ind w:firstLine="420" w:firstLineChars="200"/>
        <w:outlineLvl w:val="0"/>
      </w:pPr>
    </w:p>
    <w:p w14:paraId="296AB876">
      <w:pPr>
        <w:ind w:firstLine="420" w:firstLineChars="200"/>
        <w:outlineLvl w:val="0"/>
      </w:pPr>
    </w:p>
    <w:p w14:paraId="769AB9C8">
      <w:pPr>
        <w:pStyle w:val="258"/>
        <w:ind w:firstLine="420"/>
      </w:pPr>
    </w:p>
    <w:p w14:paraId="54F9BCF5"/>
    <w:p w14:paraId="04B8ECDF"/>
    <w:p w14:paraId="189E47FD">
      <w:pPr>
        <w:widowControl/>
        <w:jc w:val="left"/>
      </w:pPr>
      <w:r>
        <w:br w:type="page"/>
      </w:r>
    </w:p>
    <w:p w14:paraId="725240AC">
      <w:pPr>
        <w:rPr>
          <w:sz w:val="44"/>
          <w:szCs w:val="44"/>
        </w:rPr>
      </w:pPr>
    </w:p>
    <w:p w14:paraId="00DDA4B1">
      <w:pPr>
        <w:rPr>
          <w:sz w:val="44"/>
          <w:szCs w:val="44"/>
        </w:rPr>
      </w:pPr>
    </w:p>
    <w:p w14:paraId="7C1408A9">
      <w:pPr>
        <w:rPr>
          <w:sz w:val="44"/>
          <w:szCs w:val="44"/>
        </w:rPr>
      </w:pPr>
    </w:p>
    <w:p w14:paraId="3925E452">
      <w:pPr>
        <w:rPr>
          <w:sz w:val="44"/>
          <w:szCs w:val="44"/>
        </w:rPr>
      </w:pPr>
    </w:p>
    <w:p w14:paraId="7D382200">
      <w:pPr>
        <w:rPr>
          <w:sz w:val="44"/>
          <w:szCs w:val="44"/>
        </w:rPr>
      </w:pPr>
    </w:p>
    <w:p w14:paraId="11A3BCC0">
      <w:pPr>
        <w:rPr>
          <w:sz w:val="44"/>
          <w:szCs w:val="44"/>
        </w:rPr>
      </w:pPr>
    </w:p>
    <w:p w14:paraId="1A9CFD4A">
      <w:pPr>
        <w:jc w:val="center"/>
        <w:rPr>
          <w:rFonts w:eastAsia="黑体"/>
          <w:b/>
          <w:spacing w:val="44"/>
          <w:sz w:val="52"/>
          <w:szCs w:val="52"/>
        </w:rPr>
      </w:pPr>
      <w:r>
        <w:rPr>
          <w:rFonts w:eastAsia="黑体"/>
          <w:b/>
          <w:spacing w:val="44"/>
          <w:sz w:val="52"/>
          <w:szCs w:val="52"/>
        </w:rPr>
        <w:t>《</w:t>
      </w:r>
      <w:r>
        <w:rPr>
          <w:rFonts w:eastAsia="黑体"/>
          <w:b/>
          <w:spacing w:val="32"/>
          <w:sz w:val="52"/>
          <w:szCs w:val="52"/>
        </w:rPr>
        <w:t>海上固定平台安全规范</w:t>
      </w:r>
      <w:r>
        <w:rPr>
          <w:rFonts w:eastAsia="黑体"/>
          <w:b/>
          <w:spacing w:val="44"/>
          <w:sz w:val="52"/>
          <w:szCs w:val="52"/>
        </w:rPr>
        <w:t>》</w:t>
      </w:r>
    </w:p>
    <w:p w14:paraId="6857CAEF">
      <w:pPr>
        <w:jc w:val="center"/>
        <w:rPr>
          <w:rFonts w:eastAsia="黑体"/>
          <w:b/>
          <w:spacing w:val="44"/>
          <w:sz w:val="52"/>
          <w:szCs w:val="52"/>
        </w:rPr>
      </w:pPr>
      <w:r>
        <w:rPr>
          <w:rFonts w:eastAsia="黑体"/>
          <w:b/>
          <w:spacing w:val="44"/>
          <w:sz w:val="52"/>
          <w:szCs w:val="52"/>
        </w:rPr>
        <w:t>（征求意见稿）</w:t>
      </w:r>
    </w:p>
    <w:p w14:paraId="19B680D4">
      <w:pPr>
        <w:jc w:val="center"/>
        <w:rPr>
          <w:rFonts w:eastAsia="黑体"/>
          <w:b/>
          <w:spacing w:val="44"/>
          <w:sz w:val="52"/>
          <w:szCs w:val="52"/>
        </w:rPr>
      </w:pPr>
      <w:r>
        <w:rPr>
          <w:rFonts w:eastAsia="黑体"/>
          <w:b/>
          <w:spacing w:val="44"/>
          <w:sz w:val="52"/>
          <w:szCs w:val="52"/>
        </w:rPr>
        <w:t>编制说明</w:t>
      </w:r>
    </w:p>
    <w:p w14:paraId="62785208">
      <w:pPr>
        <w:jc w:val="center"/>
        <w:rPr>
          <w:spacing w:val="44"/>
          <w:sz w:val="32"/>
          <w:szCs w:val="32"/>
        </w:rPr>
      </w:pPr>
    </w:p>
    <w:p w14:paraId="5FFC2C18">
      <w:pPr>
        <w:jc w:val="center"/>
        <w:rPr>
          <w:spacing w:val="44"/>
          <w:sz w:val="32"/>
          <w:szCs w:val="32"/>
        </w:rPr>
      </w:pPr>
    </w:p>
    <w:p w14:paraId="0B515F3A">
      <w:pPr>
        <w:jc w:val="center"/>
        <w:rPr>
          <w:spacing w:val="44"/>
          <w:sz w:val="32"/>
          <w:szCs w:val="32"/>
        </w:rPr>
      </w:pPr>
    </w:p>
    <w:p w14:paraId="36ABA8D3">
      <w:pPr>
        <w:jc w:val="center"/>
        <w:rPr>
          <w:spacing w:val="44"/>
          <w:sz w:val="32"/>
          <w:szCs w:val="32"/>
        </w:rPr>
      </w:pPr>
    </w:p>
    <w:p w14:paraId="0AD37489">
      <w:pPr>
        <w:jc w:val="center"/>
        <w:rPr>
          <w:spacing w:val="44"/>
          <w:sz w:val="32"/>
          <w:szCs w:val="32"/>
        </w:rPr>
      </w:pPr>
    </w:p>
    <w:p w14:paraId="11D0EF35">
      <w:pPr>
        <w:jc w:val="center"/>
        <w:rPr>
          <w:spacing w:val="44"/>
          <w:sz w:val="32"/>
          <w:szCs w:val="32"/>
        </w:rPr>
      </w:pPr>
    </w:p>
    <w:p w14:paraId="63E123B4">
      <w:pPr>
        <w:jc w:val="center"/>
        <w:rPr>
          <w:spacing w:val="44"/>
          <w:sz w:val="32"/>
          <w:szCs w:val="32"/>
        </w:rPr>
      </w:pPr>
    </w:p>
    <w:p w14:paraId="5A94905A">
      <w:pPr>
        <w:jc w:val="center"/>
        <w:rPr>
          <w:spacing w:val="44"/>
          <w:sz w:val="32"/>
          <w:szCs w:val="32"/>
        </w:rPr>
      </w:pPr>
    </w:p>
    <w:p w14:paraId="4848D54F">
      <w:pPr>
        <w:jc w:val="center"/>
        <w:rPr>
          <w:b/>
          <w:bCs/>
          <w:spacing w:val="44"/>
          <w:sz w:val="32"/>
          <w:szCs w:val="32"/>
        </w:rPr>
      </w:pPr>
      <w:r>
        <w:rPr>
          <w:b/>
          <w:bCs/>
          <w:spacing w:val="44"/>
          <w:sz w:val="32"/>
          <w:szCs w:val="32"/>
        </w:rPr>
        <w:t>标准编制工作组</w:t>
      </w:r>
    </w:p>
    <w:p w14:paraId="2BFF3DD2">
      <w:pPr>
        <w:jc w:val="center"/>
        <w:rPr>
          <w:rFonts w:eastAsia="黑体"/>
          <w:sz w:val="32"/>
          <w:szCs w:val="32"/>
        </w:rPr>
      </w:pPr>
      <w:r>
        <w:rPr>
          <w:rFonts w:hint="eastAsia"/>
          <w:b/>
          <w:bCs/>
          <w:spacing w:val="44"/>
          <w:sz w:val="32"/>
          <w:szCs w:val="32"/>
        </w:rPr>
        <w:t>202</w:t>
      </w:r>
      <w:r>
        <w:rPr>
          <w:rFonts w:hint="eastAsia"/>
          <w:b/>
          <w:bCs/>
          <w:spacing w:val="44"/>
          <w:sz w:val="32"/>
          <w:szCs w:val="32"/>
          <w:lang w:val="en-US" w:eastAsia="zh-CN"/>
        </w:rPr>
        <w:t>5</w:t>
      </w:r>
      <w:r>
        <w:rPr>
          <w:b/>
          <w:bCs/>
          <w:spacing w:val="44"/>
          <w:sz w:val="32"/>
          <w:szCs w:val="32"/>
        </w:rPr>
        <w:t>年</w:t>
      </w:r>
      <w:r>
        <w:rPr>
          <w:rFonts w:hint="eastAsia"/>
          <w:b/>
          <w:bCs/>
          <w:spacing w:val="44"/>
          <w:sz w:val="32"/>
          <w:szCs w:val="32"/>
        </w:rPr>
        <w:t>1</w:t>
      </w:r>
      <w:r>
        <w:rPr>
          <w:b/>
          <w:bCs/>
          <w:spacing w:val="44"/>
          <w:sz w:val="32"/>
          <w:szCs w:val="32"/>
        </w:rPr>
        <w:t>月</w:t>
      </w:r>
    </w:p>
    <w:p w14:paraId="1E2CF16A">
      <w:pPr>
        <w:jc w:val="center"/>
        <w:rPr>
          <w:rFonts w:eastAsia="黑体"/>
          <w:sz w:val="32"/>
          <w:szCs w:val="32"/>
        </w:rPr>
        <w:sectPr>
          <w:headerReference r:id="rId19" w:type="first"/>
          <w:footerReference r:id="rId21" w:type="first"/>
          <w:headerReference r:id="rId18" w:type="default"/>
          <w:footerReference r:id="rId20" w:type="default"/>
          <w:pgSz w:w="11906" w:h="16838"/>
          <w:pgMar w:top="1440" w:right="1800" w:bottom="1440" w:left="1800" w:header="851" w:footer="992" w:gutter="0"/>
          <w:pgNumType w:fmt="decimal"/>
          <w:cols w:space="720" w:num="1"/>
          <w:titlePg/>
          <w:docGrid w:type="lines" w:linePitch="312" w:charSpace="0"/>
        </w:sectPr>
      </w:pPr>
    </w:p>
    <w:p w14:paraId="75F6B4D4">
      <w:pPr>
        <w:keepNext w:val="0"/>
        <w:keepLines w:val="0"/>
        <w:pageBreakBefore w:val="0"/>
        <w:widowControl/>
        <w:suppressLineNumbers w:val="0"/>
        <w:kinsoku/>
        <w:wordWrap/>
        <w:overflowPunct/>
        <w:topLinePunct w:val="0"/>
        <w:autoSpaceDE/>
        <w:autoSpaceDN/>
        <w:bidi w:val="0"/>
        <w:adjustRightInd/>
        <w:snapToGrid/>
        <w:spacing w:line="560" w:lineRule="exact"/>
        <w:ind w:firstLine="3600" w:firstLineChars="900"/>
        <w:jc w:val="left"/>
        <w:textAlignment w:val="auto"/>
        <w:rPr>
          <w:rFonts w:hint="eastAsia" w:ascii="方正黑体_GBK" w:hAnsi="方正黑体_GBK" w:eastAsia="方正黑体_GBK" w:cs="方正黑体_GBK"/>
          <w:kern w:val="0"/>
          <w:sz w:val="40"/>
          <w:szCs w:val="40"/>
          <w:lang w:val="en-US" w:eastAsia="zh-CN" w:bidi="ar"/>
        </w:rPr>
      </w:pPr>
      <w:r>
        <w:rPr>
          <w:rFonts w:hint="eastAsia" w:ascii="方正黑体_GBK" w:hAnsi="方正黑体_GBK" w:eastAsia="方正黑体_GBK" w:cs="方正黑体_GBK"/>
          <w:kern w:val="0"/>
          <w:sz w:val="40"/>
          <w:szCs w:val="40"/>
          <w:lang w:val="en-US" w:eastAsia="zh-CN" w:bidi="ar"/>
        </w:rPr>
        <w:t xml:space="preserve">说 明 </w:t>
      </w:r>
    </w:p>
    <w:p w14:paraId="0C037C7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720" w:firstLineChars="300"/>
        <w:jc w:val="left"/>
        <w:textAlignment w:val="auto"/>
        <w:rPr>
          <w:rFonts w:hint="eastAsia" w:ascii="宋体" w:hAnsi="宋体" w:cs="宋体"/>
          <w:kern w:val="0"/>
          <w:sz w:val="24"/>
          <w:szCs w:val="24"/>
          <w:lang w:val="en-US" w:eastAsia="zh-CN" w:bidi="ar"/>
        </w:rPr>
      </w:pPr>
    </w:p>
    <w:p w14:paraId="012FAE95">
      <w:pPr>
        <w:spacing w:line="360" w:lineRule="auto"/>
        <w:ind w:firstLine="480" w:firstLineChars="200"/>
        <w:rPr>
          <w:rFonts w:ascii="Times New Roman" w:hAnsi="Times New Roman" w:eastAsia="仿宋_GB2312"/>
          <w:sz w:val="24"/>
          <w:szCs w:val="21"/>
          <w:lang w:val="en-US" w:eastAsia="zh-CN"/>
        </w:rPr>
      </w:pPr>
      <w:r>
        <w:rPr>
          <w:rFonts w:hint="eastAsia" w:ascii="Times New Roman" w:hAnsi="Times New Roman" w:eastAsia="仿宋_GB2312"/>
          <w:sz w:val="24"/>
          <w:szCs w:val="21"/>
          <w:lang w:val="en-US" w:eastAsia="zh-CN"/>
        </w:rPr>
        <w:t>1.</w:t>
      </w:r>
      <w:r>
        <w:rPr>
          <w:rFonts w:ascii="Times New Roman" w:hAnsi="Times New Roman" w:eastAsia="仿宋_GB2312"/>
          <w:sz w:val="24"/>
          <w:szCs w:val="21"/>
          <w:lang w:val="en-US" w:eastAsia="zh-CN"/>
        </w:rPr>
        <w:t xml:space="preserve">标准编制说明的封面 </w:t>
      </w:r>
    </w:p>
    <w:p w14:paraId="2CD22861">
      <w:pPr>
        <w:spacing w:line="360" w:lineRule="auto"/>
        <w:ind w:firstLine="480" w:firstLineChars="200"/>
        <w:rPr>
          <w:rFonts w:ascii="Times New Roman" w:hAnsi="Times New Roman" w:eastAsia="仿宋_GB2312"/>
          <w:sz w:val="24"/>
          <w:szCs w:val="21"/>
          <w:lang w:val="en-US" w:eastAsia="zh-CN"/>
        </w:rPr>
      </w:pPr>
      <w:r>
        <w:rPr>
          <w:rFonts w:ascii="Times New Roman" w:hAnsi="Times New Roman" w:eastAsia="仿宋_GB2312"/>
          <w:sz w:val="24"/>
          <w:szCs w:val="21"/>
          <w:lang w:val="en-US" w:eastAsia="zh-CN"/>
        </w:rPr>
        <w:t>（1）标准名称。应在封面靠上居中位置，与标准稿名称保持一致。字体字号为 方正小标宋二号。</w:t>
      </w:r>
    </w:p>
    <w:p w14:paraId="72B46197">
      <w:pPr>
        <w:spacing w:line="360" w:lineRule="auto"/>
        <w:ind w:firstLine="480" w:firstLineChars="200"/>
        <w:rPr>
          <w:rFonts w:ascii="Times New Roman" w:hAnsi="Times New Roman" w:eastAsia="仿宋_GB2312"/>
          <w:sz w:val="24"/>
          <w:szCs w:val="21"/>
          <w:lang w:val="en-US" w:eastAsia="zh-CN"/>
        </w:rPr>
      </w:pPr>
      <w:r>
        <w:rPr>
          <w:rFonts w:ascii="Times New Roman" w:hAnsi="Times New Roman" w:eastAsia="仿宋_GB2312"/>
          <w:sz w:val="24"/>
          <w:szCs w:val="21"/>
          <w:lang w:val="en-US" w:eastAsia="zh-CN"/>
        </w:rPr>
        <w:t xml:space="preserve">（2）标准文稿版次。在标准名称下方“征求意见稿、送审稿、报批稿”前的方 框凃选其一，例如“■征求意见稿”。字体字号为仿宋三号。 </w:t>
      </w:r>
    </w:p>
    <w:p w14:paraId="5673AC5F">
      <w:pPr>
        <w:spacing w:line="360" w:lineRule="auto"/>
        <w:ind w:firstLine="480" w:firstLineChars="200"/>
        <w:rPr>
          <w:rFonts w:ascii="Times New Roman" w:hAnsi="Times New Roman" w:eastAsia="仿宋_GB2312"/>
          <w:sz w:val="24"/>
          <w:szCs w:val="21"/>
          <w:lang w:val="en-US" w:eastAsia="zh-CN"/>
        </w:rPr>
      </w:pPr>
      <w:r>
        <w:rPr>
          <w:rFonts w:ascii="Times New Roman" w:hAnsi="Times New Roman" w:eastAsia="仿宋_GB2312"/>
          <w:sz w:val="24"/>
          <w:szCs w:val="21"/>
          <w:lang w:val="en-US" w:eastAsia="zh-CN"/>
        </w:rPr>
        <w:t xml:space="preserve">（3）标准编制组。在封面靠下居中位置。字体字号为仿宋三号。 </w:t>
      </w:r>
    </w:p>
    <w:p w14:paraId="0B7D16F3">
      <w:pPr>
        <w:spacing w:line="360" w:lineRule="auto"/>
        <w:ind w:firstLine="480" w:firstLineChars="200"/>
        <w:rPr>
          <w:rFonts w:ascii="Times New Roman" w:hAnsi="Times New Roman" w:eastAsia="仿宋_GB2312"/>
          <w:sz w:val="24"/>
          <w:szCs w:val="21"/>
          <w:lang w:val="en-US" w:eastAsia="zh-CN"/>
        </w:rPr>
      </w:pPr>
      <w:r>
        <w:rPr>
          <w:rFonts w:ascii="Times New Roman" w:hAnsi="Times New Roman" w:eastAsia="仿宋_GB2312"/>
          <w:sz w:val="24"/>
          <w:szCs w:val="21"/>
          <w:lang w:val="en-US" w:eastAsia="zh-CN"/>
        </w:rPr>
        <w:t>（4）编制日期。编制日期为本阶段完成的日期，以数字格式书写，字体为宋体</w:t>
      </w:r>
      <w:r>
        <w:rPr>
          <w:rFonts w:hint="eastAsia" w:eastAsia="仿宋_GB2312"/>
          <w:sz w:val="24"/>
          <w:szCs w:val="21"/>
          <w:lang w:val="en-US" w:eastAsia="zh-CN"/>
        </w:rPr>
        <w:t>，</w:t>
      </w:r>
      <w:r>
        <w:rPr>
          <w:rFonts w:ascii="Times New Roman" w:hAnsi="Times New Roman" w:eastAsia="仿宋_GB2312"/>
          <w:sz w:val="24"/>
          <w:szCs w:val="21"/>
          <w:lang w:val="en-US" w:eastAsia="zh-CN"/>
        </w:rPr>
        <w:t xml:space="preserve">字号为三号。如：“2020 年 3 月 30 日”。 </w:t>
      </w:r>
    </w:p>
    <w:p w14:paraId="6C944B4C">
      <w:pPr>
        <w:spacing w:line="360" w:lineRule="auto"/>
        <w:ind w:firstLine="480" w:firstLineChars="200"/>
        <w:rPr>
          <w:rFonts w:ascii="Times New Roman" w:hAnsi="Times New Roman" w:eastAsia="仿宋_GB2312"/>
          <w:sz w:val="24"/>
          <w:szCs w:val="21"/>
          <w:lang w:val="en-US" w:eastAsia="zh-CN"/>
        </w:rPr>
      </w:pPr>
      <w:r>
        <w:rPr>
          <w:rFonts w:ascii="Times New Roman" w:hAnsi="Times New Roman" w:eastAsia="仿宋_GB2312"/>
          <w:sz w:val="24"/>
          <w:szCs w:val="21"/>
          <w:lang w:val="en-US" w:eastAsia="zh-CN"/>
        </w:rPr>
        <w:t xml:space="preserve">2．标准编制说明的正文 </w:t>
      </w:r>
    </w:p>
    <w:p w14:paraId="6AAF1AEA">
      <w:pPr>
        <w:spacing w:line="360" w:lineRule="auto"/>
        <w:ind w:firstLine="480" w:firstLineChars="200"/>
        <w:rPr>
          <w:rFonts w:ascii="Times New Roman" w:hAnsi="Times New Roman" w:eastAsia="仿宋_GB2312"/>
          <w:sz w:val="24"/>
          <w:szCs w:val="21"/>
          <w:lang w:val="en-US" w:eastAsia="zh-CN"/>
        </w:rPr>
      </w:pPr>
      <w:r>
        <w:rPr>
          <w:rFonts w:ascii="Times New Roman" w:hAnsi="Times New Roman" w:eastAsia="仿宋_GB2312"/>
          <w:sz w:val="24"/>
          <w:szCs w:val="21"/>
          <w:lang w:val="en-US" w:eastAsia="zh-CN"/>
        </w:rPr>
        <w:t>（1）正文页边距为上 3cm、下 2.6cm、左 2.8cm、右 2.6cm。</w:t>
      </w:r>
    </w:p>
    <w:p w14:paraId="12E9FFA3">
      <w:pPr>
        <w:spacing w:line="360" w:lineRule="auto"/>
        <w:ind w:firstLine="480" w:firstLineChars="200"/>
        <w:rPr>
          <w:rFonts w:ascii="Times New Roman" w:hAnsi="Times New Roman" w:eastAsia="仿宋_GB2312"/>
          <w:sz w:val="24"/>
          <w:szCs w:val="21"/>
          <w:lang w:val="en-US" w:eastAsia="zh-CN"/>
        </w:rPr>
      </w:pPr>
      <w:r>
        <w:rPr>
          <w:rFonts w:ascii="Times New Roman" w:hAnsi="Times New Roman" w:eastAsia="仿宋_GB2312"/>
          <w:sz w:val="24"/>
          <w:szCs w:val="21"/>
          <w:lang w:val="en-US" w:eastAsia="zh-CN"/>
        </w:rPr>
        <w:t>（2）正文标题，一级标题用黑体三号字，二级标题用楷体三号字不加粗。三级、 四级标题用仿宋 GB-2312 三号字不加粗。文中结构层次序数为“一、”“（一）”“1.”“（1）” 标注。</w:t>
      </w:r>
    </w:p>
    <w:p w14:paraId="61ED862A">
      <w:pPr>
        <w:spacing w:line="360" w:lineRule="auto"/>
        <w:ind w:firstLine="480" w:firstLineChars="200"/>
        <w:rPr>
          <w:rFonts w:ascii="Times New Roman" w:hAnsi="Times New Roman" w:eastAsia="仿宋_GB2312"/>
          <w:sz w:val="24"/>
          <w:szCs w:val="21"/>
          <w:lang w:val="en-US" w:eastAsia="zh-CN"/>
        </w:rPr>
      </w:pPr>
      <w:r>
        <w:rPr>
          <w:rFonts w:ascii="Times New Roman" w:hAnsi="Times New Roman" w:eastAsia="仿宋_GB2312"/>
          <w:sz w:val="24"/>
          <w:szCs w:val="21"/>
          <w:lang w:val="en-US" w:eastAsia="zh-CN"/>
        </w:rPr>
        <w:t xml:space="preserve">（3）正文中文字体字号为仿宋 GB-2312 三号字，数字、字母等西文字体为宋体 三号字，段落行距为 28 磅，首行缩进 2 字符。 </w:t>
      </w:r>
    </w:p>
    <w:p w14:paraId="4BAABC51">
      <w:pPr>
        <w:spacing w:line="360" w:lineRule="auto"/>
        <w:ind w:firstLine="480" w:firstLineChars="200"/>
        <w:rPr>
          <w:rFonts w:ascii="Times New Roman" w:hAnsi="Times New Roman" w:eastAsia="仿宋_GB2312"/>
          <w:sz w:val="24"/>
          <w:szCs w:val="21"/>
          <w:lang w:val="en-US" w:eastAsia="zh-CN"/>
        </w:rPr>
      </w:pPr>
      <w:r>
        <w:rPr>
          <w:rFonts w:ascii="Times New Roman" w:hAnsi="Times New Roman" w:eastAsia="仿宋_GB2312"/>
          <w:sz w:val="24"/>
          <w:szCs w:val="21"/>
          <w:lang w:val="en-US" w:eastAsia="zh-CN"/>
        </w:rPr>
        <w:t>3.编制说明的内容</w:t>
      </w:r>
    </w:p>
    <w:p w14:paraId="3DCD2717">
      <w:pPr>
        <w:spacing w:line="360" w:lineRule="auto"/>
        <w:ind w:firstLine="480" w:firstLineChars="200"/>
        <w:rPr>
          <w:rFonts w:ascii="Times New Roman" w:hAnsi="Times New Roman" w:eastAsia="仿宋_GB2312"/>
          <w:sz w:val="24"/>
          <w:szCs w:val="21"/>
          <w:lang w:val="en-US" w:eastAsia="zh-CN"/>
        </w:rPr>
      </w:pPr>
      <w:r>
        <w:rPr>
          <w:rFonts w:ascii="Times New Roman" w:hAnsi="Times New Roman" w:eastAsia="仿宋_GB2312"/>
          <w:sz w:val="24"/>
          <w:szCs w:val="21"/>
          <w:lang w:val="en-US" w:eastAsia="zh-CN"/>
        </w:rPr>
        <w:t>（1）应按照格式要求逐条说明，不涉及的填“无”。</w:t>
      </w:r>
    </w:p>
    <w:p w14:paraId="2C654172">
      <w:pPr>
        <w:spacing w:line="360" w:lineRule="auto"/>
        <w:ind w:firstLine="480" w:firstLineChars="200"/>
        <w:rPr>
          <w:rFonts w:ascii="Times New Roman" w:hAnsi="Times New Roman" w:eastAsia="仿宋_GB2312"/>
          <w:sz w:val="24"/>
          <w:szCs w:val="21"/>
          <w:lang w:val="en-US" w:eastAsia="zh-CN"/>
        </w:rPr>
      </w:pPr>
      <w:r>
        <w:rPr>
          <w:rFonts w:ascii="Times New Roman" w:hAnsi="Times New Roman" w:eastAsia="仿宋_GB2312"/>
          <w:sz w:val="24"/>
          <w:szCs w:val="21"/>
          <w:lang w:val="en-US" w:eastAsia="zh-CN"/>
        </w:rPr>
        <w:t>（2）应根据工作进度不断补充完善，工作过程有连续性。</w:t>
      </w:r>
    </w:p>
    <w:p w14:paraId="36BCA3B8">
      <w:pPr>
        <w:spacing w:line="360" w:lineRule="auto"/>
        <w:ind w:firstLine="480" w:firstLineChars="200"/>
        <w:rPr>
          <w:rFonts w:ascii="Times New Roman" w:hAnsi="Times New Roman" w:eastAsia="仿宋_GB2312"/>
          <w:sz w:val="24"/>
          <w:szCs w:val="21"/>
          <w:lang w:val="en-US" w:eastAsia="zh-CN"/>
        </w:rPr>
      </w:pPr>
      <w:r>
        <w:rPr>
          <w:rFonts w:ascii="Times New Roman" w:hAnsi="Times New Roman" w:eastAsia="仿宋_GB2312"/>
          <w:sz w:val="24"/>
          <w:szCs w:val="21"/>
          <w:lang w:val="en-US" w:eastAsia="zh-CN"/>
        </w:rPr>
        <w:t xml:space="preserve">（3）编制说明不是对标准内容的复制。 </w:t>
      </w:r>
    </w:p>
    <w:p w14:paraId="0F96AB2C">
      <w:pPr>
        <w:spacing w:line="360" w:lineRule="auto"/>
        <w:ind w:firstLine="480" w:firstLineChars="200"/>
        <w:rPr>
          <w:rFonts w:ascii="Times New Roman" w:hAnsi="Times New Roman" w:eastAsia="仿宋_GB2312"/>
          <w:sz w:val="24"/>
          <w:szCs w:val="21"/>
          <w:lang w:val="en-US" w:eastAsia="zh-CN"/>
        </w:rPr>
      </w:pPr>
      <w:r>
        <w:rPr>
          <w:rFonts w:ascii="Times New Roman" w:hAnsi="Times New Roman" w:eastAsia="仿宋_GB2312"/>
          <w:sz w:val="24"/>
          <w:szCs w:val="21"/>
          <w:lang w:val="en-US" w:eastAsia="zh-CN"/>
        </w:rPr>
        <w:t>（4）应关注强制性标准的依据、修订标准的主要技术内容比对、标准实施过渡 期、强制性标准实施政策等重要内容的编写，详见下文模板。</w:t>
      </w:r>
    </w:p>
    <w:p w14:paraId="7E9A3F75">
      <w:pPr>
        <w:spacing w:line="360" w:lineRule="auto"/>
        <w:ind w:firstLine="480" w:firstLineChars="200"/>
        <w:rPr>
          <w:rFonts w:ascii="Times New Roman" w:hAnsi="Times New Roman" w:eastAsia="仿宋_GB2312"/>
          <w:sz w:val="24"/>
          <w:szCs w:val="21"/>
          <w:lang w:val="en-US" w:eastAsia="zh-CN"/>
        </w:rPr>
      </w:pPr>
      <w:r>
        <w:rPr>
          <w:rFonts w:ascii="Times New Roman" w:hAnsi="Times New Roman" w:eastAsia="仿宋_GB2312"/>
          <w:sz w:val="24"/>
          <w:szCs w:val="21"/>
          <w:lang w:val="en-US" w:eastAsia="zh-CN"/>
        </w:rPr>
        <w:t xml:space="preserve"> 4.其他 </w:t>
      </w:r>
    </w:p>
    <w:p w14:paraId="580ACEE4">
      <w:pPr>
        <w:spacing w:line="360" w:lineRule="auto"/>
        <w:ind w:firstLine="480" w:firstLineChars="200"/>
        <w:rPr>
          <w:rFonts w:ascii="Times New Roman" w:hAnsi="Times New Roman" w:eastAsia="仿宋_GB2312"/>
          <w:sz w:val="24"/>
          <w:szCs w:val="21"/>
          <w:lang w:val="en-US" w:eastAsia="zh-CN"/>
        </w:rPr>
      </w:pPr>
      <w:r>
        <w:rPr>
          <w:rFonts w:ascii="Times New Roman" w:hAnsi="Times New Roman" w:eastAsia="仿宋_GB2312"/>
          <w:sz w:val="24"/>
          <w:szCs w:val="21"/>
          <w:lang w:val="en-US" w:eastAsia="zh-CN"/>
        </w:rPr>
        <w:t xml:space="preserve">（1）编制说明内容模板中的斜体文字内容为参考，正式提交后应删除。 </w:t>
      </w:r>
    </w:p>
    <w:p w14:paraId="2DE45ABF">
      <w:pPr>
        <w:spacing w:line="360" w:lineRule="auto"/>
        <w:ind w:firstLine="480" w:firstLineChars="200"/>
        <w:rPr>
          <w:rFonts w:ascii="Times New Roman" w:hAnsi="Times New Roman" w:eastAsia="仿宋_GB2312"/>
          <w:sz w:val="24"/>
          <w:szCs w:val="21"/>
          <w:lang w:val="en-US" w:eastAsia="zh-CN"/>
        </w:rPr>
      </w:pPr>
      <w:r>
        <w:rPr>
          <w:rFonts w:ascii="Times New Roman" w:hAnsi="Times New Roman" w:eastAsia="仿宋_GB2312"/>
          <w:sz w:val="24"/>
          <w:szCs w:val="21"/>
          <w:lang w:val="en-US" w:eastAsia="zh-CN"/>
        </w:rPr>
        <w:t>（2）编制说明应正反面打印。本说明保留，打印首页反面。</w:t>
      </w:r>
    </w:p>
    <w:p w14:paraId="4A4FF20A">
      <w:pPr>
        <w:spacing w:line="360" w:lineRule="auto"/>
        <w:ind w:firstLine="480" w:firstLineChars="200"/>
        <w:rPr>
          <w:rFonts w:ascii="Times New Roman" w:hAnsi="Times New Roman" w:eastAsia="仿宋_GB2312"/>
          <w:sz w:val="24"/>
          <w:szCs w:val="21"/>
          <w:lang w:val="en-US" w:eastAsia="zh-CN"/>
        </w:rPr>
      </w:pPr>
      <w:r>
        <w:rPr>
          <w:rFonts w:ascii="Times New Roman" w:hAnsi="Times New Roman" w:eastAsia="仿宋_GB2312"/>
          <w:sz w:val="24"/>
          <w:szCs w:val="21"/>
          <w:lang w:val="en-US" w:eastAsia="zh-CN"/>
        </w:rPr>
        <w:t>（3）页码从第三页开始编，起始页码为“1”，页码为五号宋体。</w:t>
      </w:r>
    </w:p>
    <w:p w14:paraId="4D707C74">
      <w:pPr>
        <w:spacing w:before="312" w:beforeLines="100" w:after="312" w:afterLines="100" w:line="360" w:lineRule="auto"/>
        <w:jc w:val="center"/>
        <w:rPr>
          <w:rFonts w:eastAsia="仿宋"/>
          <w:b/>
          <w:bCs/>
          <w:sz w:val="32"/>
          <w:szCs w:val="32"/>
        </w:rPr>
      </w:pPr>
    </w:p>
    <w:p w14:paraId="1ECD5144">
      <w:pPr>
        <w:spacing w:before="312" w:beforeLines="100" w:after="312" w:afterLines="100" w:line="360" w:lineRule="auto"/>
        <w:jc w:val="center"/>
        <w:rPr>
          <w:rFonts w:eastAsia="仿宋"/>
          <w:b/>
          <w:bCs/>
          <w:sz w:val="32"/>
          <w:szCs w:val="32"/>
        </w:rPr>
        <w:sectPr>
          <w:footerReference r:id="rId23" w:type="first"/>
          <w:footerReference r:id="rId22" w:type="default"/>
          <w:pgSz w:w="11906" w:h="16838"/>
          <w:pgMar w:top="1440" w:right="1800" w:bottom="1440" w:left="1800" w:header="851" w:footer="992" w:gutter="0"/>
          <w:pgNumType w:fmt="decimal"/>
          <w:cols w:space="720" w:num="1"/>
          <w:titlePg/>
          <w:docGrid w:type="lines" w:linePitch="312" w:charSpace="0"/>
        </w:sectPr>
      </w:pPr>
    </w:p>
    <w:p w14:paraId="2002E7C4">
      <w:pPr>
        <w:spacing w:line="360" w:lineRule="auto"/>
        <w:ind w:firstLine="640" w:firstLineChars="200"/>
        <w:rPr>
          <w:rFonts w:eastAsia="黑体"/>
          <w:sz w:val="32"/>
          <w:szCs w:val="32"/>
        </w:rPr>
      </w:pPr>
    </w:p>
    <w:p w14:paraId="3E8EF12B">
      <w:pPr>
        <w:pStyle w:val="258"/>
        <w:keepNext w:val="0"/>
        <w:keepLines w:val="0"/>
        <w:pageBreakBefore w:val="0"/>
        <w:tabs>
          <w:tab w:val="center" w:pos="4201"/>
          <w:tab w:val="right" w:leader="dot" w:pos="9298"/>
        </w:tabs>
        <w:kinsoku/>
        <w:wordWrap/>
        <w:overflowPunct/>
        <w:topLinePunct w:val="0"/>
        <w:autoSpaceDE/>
        <w:autoSpaceDN/>
        <w:bidi w:val="0"/>
        <w:adjustRightInd/>
        <w:snapToGrid/>
        <w:spacing w:line="560" w:lineRule="exact"/>
        <w:ind w:firstLine="480" w:firstLineChars="150"/>
        <w:textAlignment w:val="auto"/>
        <w:outlineLvl w:val="0"/>
        <w:rPr>
          <w:rFonts w:ascii="Times New Roman" w:eastAsia="黑体"/>
          <w:color w:val="000000"/>
          <w:sz w:val="32"/>
          <w:szCs w:val="32"/>
        </w:rPr>
      </w:pPr>
      <w:r>
        <w:rPr>
          <w:rFonts w:ascii="Times New Roman" w:eastAsia="黑体"/>
          <w:color w:val="000000"/>
          <w:sz w:val="32"/>
          <w:szCs w:val="32"/>
        </w:rPr>
        <w:t>一、工作简况</w:t>
      </w:r>
    </w:p>
    <w:p w14:paraId="57394C69">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K" w:hAnsi="方正楷体_GBK" w:eastAsia="方正楷体_GBK" w:cs="方正楷体_GBK"/>
          <w:b/>
          <w:bCs/>
          <w:color w:val="000000"/>
          <w:sz w:val="32"/>
          <w:szCs w:val="32"/>
        </w:rPr>
      </w:pPr>
      <w:r>
        <w:rPr>
          <w:rFonts w:hint="eastAsia" w:ascii="方正楷体_GBK" w:hAnsi="方正楷体_GBK" w:eastAsia="方正楷体_GBK" w:cs="方正楷体_GBK"/>
          <w:b/>
          <w:bCs/>
          <w:color w:val="000000"/>
          <w:sz w:val="32"/>
          <w:szCs w:val="32"/>
          <w:lang w:eastAsia="zh-CN"/>
        </w:rPr>
        <w:t>（一）</w:t>
      </w:r>
      <w:r>
        <w:rPr>
          <w:rFonts w:hint="eastAsia" w:ascii="方正楷体_GBK" w:hAnsi="方正楷体_GBK" w:eastAsia="方正楷体_GBK" w:cs="方正楷体_GBK"/>
          <w:b/>
          <w:bCs/>
          <w:color w:val="000000"/>
          <w:sz w:val="32"/>
          <w:szCs w:val="32"/>
        </w:rPr>
        <w:t>任务来源</w:t>
      </w:r>
    </w:p>
    <w:p w14:paraId="576E817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2024年3月25日《国家标准化管理委员会关于下达《家用燃气快速热水器》等27项强制性国家标准制修订计划及相关标准外文版计划的通知》，强制性国家标准《海洋石油固定平台安全规范》制定计划正式下达，计划号为20240619-Q-450。本标准项目由应急管理部归口，委托SAC TC288/SC10 全国安全生产标准化技术委员会石油天然气开采安全分技术委员会组织制订。根据应急管理危化监管二司“编制《海洋石油固定平台安全规范》安全标准委托业务协议书”（项目编号：危险化学品安全监管专项-危化监管二司-202301），由中海油研究总院有限责任公司负责《海洋石油固定平台安全规范》标准编制起草工作。</w:t>
      </w:r>
    </w:p>
    <w:p w14:paraId="0141264E">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K" w:hAnsi="方正楷体_GBK" w:eastAsia="方正楷体_GBK" w:cs="方正楷体_GBK"/>
          <w:b/>
          <w:bCs/>
          <w:color w:val="000000"/>
          <w:sz w:val="32"/>
          <w:szCs w:val="32"/>
          <w:lang w:eastAsia="zh-CN"/>
        </w:rPr>
      </w:pPr>
      <w:bookmarkStart w:id="314" w:name="_Toc21906"/>
      <w:bookmarkStart w:id="315" w:name="_Toc9618"/>
      <w:bookmarkStart w:id="316" w:name="_Toc27170"/>
      <w:bookmarkStart w:id="317" w:name="_Toc4888"/>
      <w:r>
        <w:rPr>
          <w:rFonts w:hint="eastAsia" w:ascii="方正楷体_GBK" w:hAnsi="方正楷体_GBK" w:eastAsia="方正楷体_GBK" w:cs="方正楷体_GBK"/>
          <w:b/>
          <w:bCs/>
          <w:color w:val="000000"/>
          <w:sz w:val="32"/>
          <w:szCs w:val="32"/>
          <w:lang w:eastAsia="zh-CN"/>
        </w:rPr>
        <w:t>（二）起草单位</w:t>
      </w:r>
      <w:bookmarkEnd w:id="314"/>
      <w:bookmarkEnd w:id="315"/>
      <w:bookmarkEnd w:id="316"/>
      <w:bookmarkEnd w:id="317"/>
    </w:p>
    <w:p w14:paraId="0A6D7B3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本标准由中海油研究总院有限责任公司牵头起草，海洋石油工程股份有限公司、中石化石油工程设计有限公司、中国石油集团海洋工程有限公司、中海油能源发展装备技术有限公司、中国船级社参与起草。</w:t>
      </w:r>
    </w:p>
    <w:p w14:paraId="033A91B7">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K" w:hAnsi="方正楷体_GBK" w:eastAsia="方正楷体_GBK" w:cs="方正楷体_GBK"/>
          <w:b/>
          <w:bCs/>
          <w:color w:val="000000"/>
          <w:sz w:val="32"/>
          <w:szCs w:val="32"/>
          <w:lang w:eastAsia="zh-CN"/>
        </w:rPr>
      </w:pPr>
      <w:bookmarkStart w:id="318" w:name="_Toc24917"/>
      <w:bookmarkStart w:id="319" w:name="_Toc19071"/>
      <w:bookmarkStart w:id="320" w:name="_Toc32741"/>
      <w:bookmarkStart w:id="321" w:name="_Toc31452"/>
      <w:r>
        <w:rPr>
          <w:rFonts w:hint="eastAsia" w:ascii="方正楷体_GBK" w:hAnsi="方正楷体_GBK" w:eastAsia="方正楷体_GBK" w:cs="方正楷体_GBK"/>
          <w:b/>
          <w:bCs/>
          <w:color w:val="000000"/>
          <w:sz w:val="32"/>
          <w:szCs w:val="32"/>
          <w:lang w:eastAsia="zh-CN"/>
        </w:rPr>
        <w:t>（三）标准制订的目的及意义</w:t>
      </w:r>
      <w:bookmarkEnd w:id="318"/>
      <w:bookmarkEnd w:id="319"/>
      <w:bookmarkEnd w:id="320"/>
      <w:bookmarkEnd w:id="321"/>
    </w:p>
    <w:p w14:paraId="12F2EC9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322" w:name="_Toc39385876"/>
      <w:r>
        <w:rPr>
          <w:rFonts w:hint="eastAsia" w:ascii="仿宋_GB2312" w:hAnsi="仿宋_GB2312" w:eastAsia="仿宋_GB2312" w:cs="仿宋_GB2312"/>
          <w:sz w:val="32"/>
          <w:szCs w:val="32"/>
        </w:rPr>
        <w:t>为贯彻落实习近平总书记关于全面依法治国和安全生产工作的重要论述精神，完善健全海洋石油天然气开采安全作业活动安全要求，全面规范海洋石油固定平台从设计、建造、安装、检验、生产运行及弃置各个阶段的安全生产要求，保障海洋石油天然气开采安全形势持续稳定好转，应急管理部计划起草国家标准《海洋石油固定平台安全规范》。</w:t>
      </w:r>
    </w:p>
    <w:p w14:paraId="36BDB46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《海洋石油固定平台安全规范》主要解决以下问题：</w:t>
      </w:r>
    </w:p>
    <w:p w14:paraId="47F66DC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海洋石油固定平台是一个涉及多专业的系统工程，需要从系统化的角度规范其安全技术要求，进而从系统化的角度认识其潜在的安全风险。我国海洋石油行业发展了近40年，海洋石油固定平台涉及的各个专业采用国外海洋石油相关技术标准，积累并形成了服务本专业的技术能力，形成了各自专业相对完整的安全技术要求，但我国以海洋石油固定平台为规范对象的国家标准建设工作相对滞后。迄今为止，缺少一部以“海洋石油固定平台”为规范主体，从“安全”角度出发，系统化阐述海洋石油固定平台所有专业和全生命周期安全技术要求的国家标准。</w:t>
      </w:r>
    </w:p>
    <w:p w14:paraId="6C59700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目前海洋石油固定平台设计、建造、安装、发证检验、生产等过程按照部门规章《海上固定平台安全规则》进行规范，该安全规则已颁布实施23年，存在引用文件过时、部分要求不具体、技术方法落后等问题，需要进一步出台强制性标准进行规范。</w:t>
      </w:r>
    </w:p>
    <w:p w14:paraId="1183EAC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随着海洋石油行业开发能力的不断提升，我国海洋石油开发海域逐渐从滩浅海深入到深远海，开发油田的油品物性逐渐从轻质油扩展到重质油、稠油，开发方式从简单的自喷、注水方式发展到注气、热采等方式。随着自动化技术和通信水平的提高，大量无人化、智能化海上平台投入运营。因此海洋石油固定平台安全技术要求从宏观的整体要求到微观的专业要求均发生了变化。现今的海洋石油开发行业，出现了针对不同海洋环境、气象条件、油品物性、开采方式的不同类型海洋石油固定平台。针对此情况，需要从国家层面出台一部统筹各类型固定平台安全技术要求的国家标准。</w:t>
      </w:r>
    </w:p>
    <w:p w14:paraId="5334335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有部门规章中的强制性技术条款、石油行业类标准和安全类标准，在规范海洋石油固定平台设计、建造、安装、试运行和生产等相关作业活动方面，存在专业界限不明、交叉重复使用的的情况，亟需从国家层面进行规范。</w:t>
      </w:r>
    </w:p>
    <w:p w14:paraId="142CABB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着海洋石油相关法律、法规及国家标准的陆续修订和出台，以及海洋石油新技术、新方法和新开发模式的应用发展，结合国家防范化解海洋石油重特大事故风险安全要求，需要从国家标准层面出台适应于海洋石油固定平台安全生产的标准，本标准的制定与实施，将为海洋石油固定平台在设计、建造、安装、试运行及生产活动中作业单位安全管理及各级安全生产监管提供有力的技术支撑。</w:t>
      </w:r>
    </w:p>
    <w:p w14:paraId="134F2816">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K" w:hAnsi="方正楷体_GBK" w:eastAsia="方正楷体_GBK" w:cs="方正楷体_GBK"/>
          <w:b/>
          <w:bCs/>
          <w:color w:val="000000"/>
          <w:sz w:val="32"/>
          <w:szCs w:val="32"/>
          <w:lang w:eastAsia="zh-CN"/>
        </w:rPr>
      </w:pPr>
      <w:bookmarkStart w:id="323" w:name="_Toc25935"/>
      <w:bookmarkStart w:id="324" w:name="_Toc21179"/>
      <w:bookmarkStart w:id="325" w:name="_Toc24522"/>
      <w:bookmarkStart w:id="326" w:name="_Toc7448"/>
      <w:r>
        <w:rPr>
          <w:rFonts w:hint="eastAsia" w:ascii="方正楷体_GBK" w:hAnsi="方正楷体_GBK" w:eastAsia="方正楷体_GBK" w:cs="方正楷体_GBK"/>
          <w:b/>
          <w:bCs/>
          <w:color w:val="000000"/>
          <w:sz w:val="32"/>
          <w:szCs w:val="32"/>
          <w:lang w:eastAsia="zh-CN"/>
        </w:rPr>
        <w:t>（四）标准编制过程</w:t>
      </w:r>
      <w:bookmarkEnd w:id="323"/>
      <w:bookmarkEnd w:id="324"/>
      <w:bookmarkEnd w:id="325"/>
      <w:bookmarkEnd w:id="326"/>
    </w:p>
    <w:p w14:paraId="5205242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327" w:name="_Toc6393"/>
      <w:bookmarkStart w:id="328" w:name="_Toc6900"/>
      <w:bookmarkStart w:id="329" w:name="_Toc15836"/>
      <w:bookmarkStart w:id="330" w:name="_Toc21356"/>
      <w:bookmarkStart w:id="331" w:name="_Toc4630"/>
      <w:r>
        <w:rPr>
          <w:rFonts w:hint="eastAsia" w:ascii="仿宋_GB2312" w:hAnsi="仿宋_GB2312" w:eastAsia="仿宋_GB2312" w:cs="仿宋_GB2312"/>
          <w:sz w:val="32"/>
          <w:szCs w:val="32"/>
        </w:rPr>
        <w:t>《标准》起草工作从2023年3月立项完成之后正式启动，形成了《标准》编制工作方案，在起草过程中，中海油成立了编制工作组，抽调研究总院钻采和海洋工程具有丰富设计经验的专业技术人员，以《安全生产法》为总领，在现有部门规章《海上固定平台安全规则》基础上，通过对标海洋石油天然气工程等国家、行业标准和安全标准，参考现行海上固定平台设计和作业管理良好做法后，先后召开3次内部专题讨论，编写了标准总体框架设计，并经过交流、讨论，形成标准草稿，中海油组织对标准草案进行了专题讨论，并在中海油下属天津分公司、海洋石油工程股份有限公司征求了意见，提出了多项修改建议和编制要求。研究总院积极响应，立即开展《标准》的编制完善工作，并于9月25日形成了《标准》草案，具体的工作进度如下：</w:t>
      </w:r>
    </w:p>
    <w:p w14:paraId="223CCAB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2023年4月：工作启动，编制《标准》总体框架</w:t>
      </w:r>
    </w:p>
    <w:p w14:paraId="45CF314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做好《标准》的起草工作，总院成立了由各专业总师、专业首席工程师牵头、资深工程师以上为专业负责人的标准编制组。编制组明确各起草单位及人员职责，按照《强制性国家标准管理办法》相关要求，制定标准工作计划。</w:t>
      </w:r>
    </w:p>
    <w:p w14:paraId="390D3E0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2023年4-5月：总院标准编制组组织各专业开展《标准》初稿的编制工作，随后广泛咨询、调研、收集有关资料，编制了《标准》框架提纲和标准草稿，各专业于5月13日完成标准各章节部分初稿编制。</w:t>
      </w:r>
    </w:p>
    <w:p w14:paraId="0DBC51A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2023年6月～2023年7月：2023年6月30号，《海洋石油固定平台安全规范》编制项目组召开标准讨论会，就标准目录框架进行了广泛讨论，在现有《海上固定平台安全规则》框架基础上增加“噪声和振动控制”、“延寿和弃置”章节，删除“舾装系统”，同时对标准二级目录调整达成一致。编制组根据审查意见修改完善标准框架和初稿。</w:t>
      </w:r>
    </w:p>
    <w:p w14:paraId="555B18E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2023年8-9月：各专业按照标准讨论会意见，根据重新确定的标准框架和内容要求对标准初稿进行修改，并于8月25前陆续提交项目组。总院标准编制组对各专业提交内容进行总体统稿，并于9月25日提交应急管理部初稿。</w:t>
      </w:r>
    </w:p>
    <w:p w14:paraId="1EAEFEA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2023年11月，应急管理部和石油天然气安全分标委对标准初稿进行了讨论，重点对标准编制重点、标准编制框架进行了梳理和讨论，明确本标准重点对海上固定平台设计方面进行规范要求，删除行政许可方面的条款描述；建设、施工、检验、延寿、弃置等方面仅写与设计有关的内容，相关技术条款并入相关专业章节。</w:t>
      </w:r>
    </w:p>
    <w:p w14:paraId="6046C0E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2023年11月下旬，编制组收到来自中石油、中石化、中国船级社等相关单位提出的意见，编制组对意见进行了梳理，并对意见逐一认真研讨和处理，根据采纳和部分采纳的意见，对标准初稿进行修改。</w:t>
      </w:r>
    </w:p>
    <w:p w14:paraId="6CDE7F7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2023年12月</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2024年1月，编制组由各专业总师钻井、工艺公用、水消防安全、总图、机械暖通、仪控通讯、结构、舾装、防腐等专业标准草案开展专业内审，并根据内审意见完善草案和编制说明。</w:t>
      </w:r>
    </w:p>
    <w:p w14:paraId="3A64211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2024年2月</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月，各专业在海油系统内召开标准草案审查会，并进一步征询海油系统内海油工程设计院、有限公司勘探开发部、工程技术部、各分公司工程建设中心等部门的意见，编制组对意见进行梳理、并对征询意见进行反馈、回复。</w:t>
      </w:r>
    </w:p>
    <w:p w14:paraId="61EEA26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2024年8月15日，海油安监办海油分部召开标准草案审查会，编制组根据专家审查意见修改完善标准草案，并对意见进行反馈；</w:t>
      </w:r>
    </w:p>
    <w:p w14:paraId="4B0A5B0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2024年8月21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22日，全国安全生产标准化技术委员会石油天然气分技术委员会召开标准草案审核会，编制组根据专家审查意见修改完善标准草案，并对意见进行反馈；</w:t>
      </w:r>
    </w:p>
    <w:p w14:paraId="2E41040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2024年9月29日，编制组提交征求意见稿和编制说明。</w:t>
      </w:r>
    </w:p>
    <w:p w14:paraId="6944A9F9">
      <w:pPr>
        <w:pStyle w:val="258"/>
        <w:keepNext w:val="0"/>
        <w:keepLines w:val="0"/>
        <w:pageBreakBefore w:val="0"/>
        <w:tabs>
          <w:tab w:val="center" w:pos="4201"/>
          <w:tab w:val="right" w:leader="dot" w:pos="9298"/>
        </w:tabs>
        <w:kinsoku/>
        <w:wordWrap/>
        <w:overflowPunct/>
        <w:topLinePunct w:val="0"/>
        <w:autoSpaceDE/>
        <w:autoSpaceDN/>
        <w:bidi w:val="0"/>
        <w:adjustRightInd/>
        <w:snapToGrid/>
        <w:spacing w:line="560" w:lineRule="exact"/>
        <w:ind w:firstLine="480" w:firstLineChars="150"/>
        <w:textAlignment w:val="auto"/>
        <w:outlineLvl w:val="0"/>
        <w:rPr>
          <w:rFonts w:ascii="Times New Roman" w:eastAsia="黑体"/>
          <w:color w:val="000000"/>
          <w:sz w:val="32"/>
          <w:szCs w:val="32"/>
        </w:rPr>
      </w:pPr>
      <w:r>
        <w:rPr>
          <w:rFonts w:ascii="Times New Roman" w:eastAsia="黑体"/>
          <w:color w:val="000000"/>
          <w:sz w:val="32"/>
          <w:szCs w:val="32"/>
        </w:rPr>
        <w:t>二、标准编制原则和强制性国家标准主要技术要求的论据</w:t>
      </w:r>
      <w:bookmarkEnd w:id="322"/>
      <w:bookmarkEnd w:id="327"/>
      <w:bookmarkEnd w:id="328"/>
      <w:bookmarkEnd w:id="329"/>
      <w:bookmarkEnd w:id="330"/>
      <w:bookmarkEnd w:id="331"/>
    </w:p>
    <w:p w14:paraId="391662E7">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K" w:hAnsi="方正楷体_GBK" w:eastAsia="方正楷体_GBK" w:cs="方正楷体_GBK"/>
          <w:b/>
          <w:bCs/>
          <w:color w:val="000000"/>
          <w:sz w:val="32"/>
          <w:szCs w:val="32"/>
          <w:lang w:eastAsia="zh-CN"/>
        </w:rPr>
      </w:pPr>
      <w:bookmarkStart w:id="332" w:name="_Toc1866"/>
      <w:bookmarkStart w:id="333" w:name="_Toc39385877"/>
      <w:bookmarkStart w:id="334" w:name="_Toc19078"/>
      <w:bookmarkStart w:id="335" w:name="_Toc6982"/>
      <w:bookmarkStart w:id="336" w:name="_Toc21650"/>
      <w:r>
        <w:rPr>
          <w:rFonts w:hint="eastAsia" w:ascii="方正楷体_GBK" w:hAnsi="方正楷体_GBK" w:eastAsia="方正楷体_GBK" w:cs="方正楷体_GBK"/>
          <w:b/>
          <w:bCs/>
          <w:color w:val="000000"/>
          <w:sz w:val="32"/>
          <w:szCs w:val="32"/>
          <w:lang w:eastAsia="zh-CN"/>
        </w:rPr>
        <w:t>（一）标准编制原则</w:t>
      </w:r>
      <w:bookmarkEnd w:id="332"/>
      <w:bookmarkEnd w:id="333"/>
      <w:bookmarkEnd w:id="334"/>
      <w:bookmarkEnd w:id="335"/>
      <w:bookmarkEnd w:id="336"/>
    </w:p>
    <w:p w14:paraId="3D7AE44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标准以我国海洋石油安全生产法律、法规、标准为依据，坚持安全第一、预防为主的指导原则，按照科学性、规范性、协调性和实用性的原则，结合海洋石油行业海上固定平台安全生产和安全监管现状进行编制，考虑海洋石油行业各单位习惯，仍保持了《海上固定平台安全规则》的主要目次内容框架，确保标准安全性强、适用性强，有利于实际操作。标准的文件结构按照GB/T 1.1-2020给出的规则进行编写，内容力求简单明了，通俗易懂。</w:t>
      </w:r>
    </w:p>
    <w:p w14:paraId="18F29FE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本标准制订工作遵循以下原则：</w:t>
      </w:r>
      <w:bookmarkStart w:id="399" w:name="_GoBack"/>
      <w:bookmarkEnd w:id="399"/>
    </w:p>
    <w:p w14:paraId="4754C60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符合相关法律法规，满足海上固定平台作业安全需要的原则。</w:t>
      </w:r>
    </w:p>
    <w:p w14:paraId="7ACB901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标准制定过程中，以我国海洋石油天然气行业安全生产相关法律法规、标准规范为依据，符合《中华人民共和国安全生产法》《海洋石油安全生产规定》《海洋石油安全管理细则》等国家有关法律、法规和方针、政策，同时参考国外同类技术标准中的先进内容，在此基础上充分考虑国内海洋石油固定平台安全现状和安全监管需求制定标准条款。</w:t>
      </w:r>
    </w:p>
    <w:p w14:paraId="64931CE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保持与其他标准、规范衔接和配套的原则</w:t>
      </w:r>
    </w:p>
    <w:p w14:paraId="3068154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本标准的适用范围内，尽量引用和提炼出原部门规章、国家标准和安全标准中的成熟技术条款，充分考虑并保持与国家相关标准、规范的整体协调、衔接和配套。对国家推荐标准、行业标准、企业标准中适合于作为强制标准的内容，将其中的具体条款纳入本标准；现行标准中引用的其它标准，尽可能将其相关内容作为条款列入本标准，不引用整个标准，发挥基础标准的功能。</w:t>
      </w:r>
    </w:p>
    <w:p w14:paraId="55DD555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体现普适性、科学性、先进性和可操作性的原则</w:t>
      </w:r>
    </w:p>
    <w:p w14:paraId="51AB23A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本标准的内容具有普遍适用性，既要考虑海上平台现状，也要考虑不同公司的实际情况，同时也要反映当前海上固定平台技术发展的水平，又不限制新技术的发展，总体要求是满足海洋石油风险管控基本要求。</w:t>
      </w:r>
    </w:p>
    <w:p w14:paraId="56F2F5C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本标准适用于所有涉及中华人民共和国境内建设和使用的海洋石油天然海上平台。由于作业海域、平台功能、平台类型存在差异的特点，对于尚存在较大争议的条款，不纳入本标准。</w:t>
      </w:r>
    </w:p>
    <w:p w14:paraId="42F1D4C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按规范化要求编写的原则</w:t>
      </w:r>
    </w:p>
    <w:p w14:paraId="1B62D94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在编写格式及标准用语上，按照国家标准《标准化工作导则 第1部分：标准化文件的结构和起草规则》（GB/T 1.1-2020）的要求进行编写。</w:t>
      </w:r>
    </w:p>
    <w:p w14:paraId="1BED5D77">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K" w:hAnsi="方正楷体_GBK" w:eastAsia="方正楷体_GBK" w:cs="方正楷体_GBK"/>
          <w:b/>
          <w:bCs/>
          <w:color w:val="000000"/>
          <w:sz w:val="32"/>
          <w:szCs w:val="32"/>
          <w:lang w:eastAsia="zh-CN"/>
        </w:rPr>
      </w:pPr>
      <w:bookmarkStart w:id="337" w:name="_Toc19240"/>
      <w:bookmarkStart w:id="338" w:name="_Toc20571"/>
      <w:bookmarkStart w:id="339" w:name="_Toc7587"/>
      <w:bookmarkStart w:id="340" w:name="_Toc27050"/>
      <w:r>
        <w:rPr>
          <w:rFonts w:hint="eastAsia" w:ascii="方正楷体_GBK" w:hAnsi="方正楷体_GBK" w:eastAsia="方正楷体_GBK" w:cs="方正楷体_GBK"/>
          <w:b/>
          <w:bCs/>
          <w:color w:val="000000"/>
          <w:sz w:val="32"/>
          <w:szCs w:val="32"/>
          <w:lang w:eastAsia="zh-CN"/>
        </w:rPr>
        <w:t>（二）标准框架和主要内容</w:t>
      </w:r>
    </w:p>
    <w:p w14:paraId="3A5CBD9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本文件共包括21部分的技术内容。</w:t>
      </w:r>
    </w:p>
    <w:p w14:paraId="6D8BE0E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rPr>
        <w:t>范围</w:t>
      </w:r>
    </w:p>
    <w:p w14:paraId="1649B9A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本文件规定了海洋石油固定平台在设计、建造、安装、试运行及生产的安全技术要求。</w:t>
      </w:r>
    </w:p>
    <w:p w14:paraId="798DD43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本文件适用于中华人民共和国管辖海域内的新建、改建、扩建的钢质导管架海洋石油固定平台。</w:t>
      </w:r>
    </w:p>
    <w:p w14:paraId="6F43A30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规范性引用文件</w:t>
      </w:r>
    </w:p>
    <w:p w14:paraId="08170E5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本文件共引用《标准电压》（GB/T 156）、《爆炸性环境第15部分：电气装置的设计、选型和安装》（GB/T3836.15）、《移动式和固定式近海设施 电气装置 第2部分：系统设计》（GB/T 25444.2）等多个规范性文件。</w:t>
      </w:r>
    </w:p>
    <w:p w14:paraId="7C5BCE6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术语和定义</w:t>
      </w:r>
    </w:p>
    <w:p w14:paraId="4F726C0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统一和明确行业相关用语表述，本文件列出了文中涉及的行业术语和定义。界定了隔离、危险性介质、锁开/锁关、海洋石油固定平台、平台群、油气田群、平台总人数、生活区固定床位数、职业接触限值共9个术语和定义。部分根据行业内统一认识并结合专家评审会意见修改相关行业用语的表述。</w:t>
      </w:r>
    </w:p>
    <w:p w14:paraId="1548AEE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缩略语</w:t>
      </w:r>
    </w:p>
    <w:p w14:paraId="47F33E7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本文件中给出了涉及工艺阀门、传感器、高压力完整性压力保护系统等共计24个缩略语。</w:t>
      </w:r>
    </w:p>
    <w:p w14:paraId="1D09F25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总体要求</w:t>
      </w:r>
    </w:p>
    <w:p w14:paraId="230EF53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文件第五章为海洋石油固定平台的总体要求，从平台总体方位、结构设计、环境条件、油气工艺系统、机器设备、锅炉、压力容器及其管道和附件、仪表和控制系统、消防系统和救逃生系统、发证检验制度、废弃处置和工艺风险分析（危险与可操作分析（HAZOP）和安全完整性等级分析（SIL））等10个方面规定了总体要求。</w:t>
      </w:r>
    </w:p>
    <w:p w14:paraId="4C7D8DF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平台布置</w:t>
      </w:r>
    </w:p>
    <w:p w14:paraId="294F33F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本章从平台布置的一般规定、布置原则、井口区、设备区、房间区、生活区和其它（起重及卸货区、火炬臂和冷放空臂、直升机甲板、立管、危险物品存放、无人驻守平台）等方面对总体布置做出了相关规定。</w:t>
      </w:r>
    </w:p>
    <w:p w14:paraId="7E2F973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平台结构</w:t>
      </w:r>
    </w:p>
    <w:p w14:paraId="4938B11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包括平台结构的一般规定、设计基础（环境条件和场址调查）、荷载及荷载组合、结构分析、整体分析（在位、施工、局部分析、附属结构分析、平台结构延寿评估）、结构设计（钢结构设计和桩基础设计）、材料、建造、焊接及其他连接等方面进行了规定。</w:t>
      </w:r>
    </w:p>
    <w:p w14:paraId="7EADA22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防腐</w:t>
      </w:r>
    </w:p>
    <w:p w14:paraId="59B6D8B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本章从防腐设计一般规定、涂层、阴极保护、內腐蚀防护、腐蚀监测和检测要求等方面对防腐提出了要求。</w:t>
      </w:r>
    </w:p>
    <w:p w14:paraId="69863D1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钻修井系统</w:t>
      </w:r>
    </w:p>
    <w:p w14:paraId="29842C3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规定了钻修井系统的范围、发证检验、救逃生、防爆电气设备、机械防护以及火气系统的一般安全要求，同时规定了钻修井系统提升设备与钻台面、井控系统、防喷器组、防喷器控制系统、分流系统、分流器控制系统、节流管汇、压井管汇、节流及压井管线、液气分离器、钻井液计量罐）、动力系统、有毒有害气体及可燃气体监测及防控、其他主要系统等6个方面的安全要求。</w:t>
      </w:r>
    </w:p>
    <w:p w14:paraId="1618D60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油气生产工艺系统</w:t>
      </w:r>
    </w:p>
    <w:p w14:paraId="28FFCE3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本章规定了平台油气工艺设计的系统安全设计原则、隔离原则、泄压及减压原则3个方面安全原则要求。规定了工艺设备及设施、工艺系统特殊设施、工艺安全分析、保温和伴热、保冷及防冻5个方面的安全要求。</w:t>
      </w:r>
    </w:p>
    <w:p w14:paraId="48FB069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艺设备及设施的安全保护一节主要内容：（1）规定了井口装置及出油管线压力保护系统和流动安全保护的安全要求。（2）规定了井口注入管道压力保护系统和流动安全保护的安全要求。（3）规定了管汇压力保护系统安全要求。（4）规定了进行分离、脱水、储存、缓冲和增压用的压力容器的压力、液位、温度、流动安全保护要求。（5）规定了常压容器的压力、液位、温度、流动安全保护要求。（6）规定了受火设备和废热回收设备的温度、流动、压力安全保护要求。（7）规定了各种烃类输送泵的压力、流动、振动安全保护要求。（8）规定了各种压缩机的压力、流动、天然气探测装置、振动安全保护要求。（9）规定了（进出平台）海底管道平台段的压力、流动安全保护要求。（10）规定了换热器的压力、温度安全保护要求。</w:t>
      </w:r>
    </w:p>
    <w:p w14:paraId="5129C1E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工艺系统其它特殊设施的安全保护主要内容：（1）规定了火炬和冷放空系统在泄放及扩散安全保护、热辐射安全保护、噪音安全保护等方面的要求。（2）规定了开、闭式排放系统的流动、排放安全要求。（3）规定高压注气系统的流动、温度、振动和噪音安全防护要求。（4）规定了稠油热采系统的温度安全防护和防腐安全要求。</w:t>
      </w:r>
    </w:p>
    <w:p w14:paraId="28E2FDD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本章同时规定了工艺安全分析要求和油（气）生产工艺/公用系统中设备与管系的保温和伴热、保冷及防冻要求。</w:t>
      </w:r>
    </w:p>
    <w:p w14:paraId="4BD7115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工艺管道</w:t>
      </w:r>
    </w:p>
    <w:p w14:paraId="6AD9878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本章对平台上部设施的油气生产、钻修井工艺管道、公用管道等管道系统的布置、设计、安装、隔热与伴热、安全装置和标识等方面提出安全要求。</w:t>
      </w:r>
    </w:p>
    <w:p w14:paraId="2815578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机械设备及管系</w:t>
      </w:r>
    </w:p>
    <w:p w14:paraId="29F36D7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本章规定了平台上主要通用机械设备和系统（柴油机、其他往复式发动机、燃气轮机、压缩机、泵、锅炉、压力容器、设备管系、起重机）的基本安全要求。</w:t>
      </w:r>
    </w:p>
    <w:p w14:paraId="155DA65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暖通</w:t>
      </w:r>
    </w:p>
    <w:p w14:paraId="69ACEAC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本章规定了海洋石油固定平台采暖、通风和空气调节系统的一般安全要求，规定了危险区的通风安全要求。</w:t>
      </w:r>
    </w:p>
    <w:p w14:paraId="3706D69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电气</w:t>
      </w:r>
    </w:p>
    <w:p w14:paraId="0002338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本章规定了平台电气系统包括主电源系统、应急电源系统、供配电系统、</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"_Toc24767"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照明</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"_Toc28597"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电伴热设施和电加热设备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"_Toc23554"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电缆</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"_Toc30700"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接地、防雷及防干扰、危险场所内电气设备等</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9个方面的安全要求。</w:t>
      </w:r>
    </w:p>
    <w:p w14:paraId="0609E3D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仪表及控制系统</w:t>
      </w:r>
    </w:p>
    <w:p w14:paraId="610F170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本章规定了平台仪表及控制系统包括报警通用要求、井口安全控制系统、应急关断系统、火灾与可燃/有毒气体探测报警系统、高完整性压力保护系统（HIPPS）、</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_Toc30700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控制系统试验、无人操作、控制电缆、电源、接地等</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11个方面的安全要求。</w:t>
      </w:r>
    </w:p>
    <w:p w14:paraId="7997E1F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本章结合海上HIPPS系统以及无人平台广泛应用，在常规仪表控制基础上，增加了HIPPS和无人操作方面的安全要求。</w:t>
      </w:r>
    </w:p>
    <w:p w14:paraId="20B662B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生活区</w:t>
      </w:r>
    </w:p>
    <w:p w14:paraId="3B3A4B0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本章对生活区包括居住室、餐厅、服务处所、医务室、娱乐室、设备间、通道及出入口</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"_Toc30700"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8个方面提出了安全要求。</w:t>
      </w:r>
    </w:p>
    <w:p w14:paraId="151D640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防火结构</w:t>
      </w:r>
    </w:p>
    <w:p w14:paraId="2438D26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规定了平台防火分隔、耐火材料、阻火材料、钢或等效材料的耐火实验时间和防火分隔要求。规定了关键设备设施及区域（隔壁和甲板、通道及出入口、挡风条、绝缘材料、涂料、通风管道、承载结构）耐火完整性的安全要求。</w:t>
      </w:r>
    </w:p>
    <w:p w14:paraId="1196579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规定了防火消防布置图的要求；规定了危险区按照0区、1区和2区分类以及危险区划分要求。</w:t>
      </w:r>
    </w:p>
    <w:p w14:paraId="1B13B24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明确了被动防火的保护对象、材料选择要求。</w:t>
      </w:r>
    </w:p>
    <w:p w14:paraId="53FF233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消防系统</w:t>
      </w:r>
    </w:p>
    <w:p w14:paraId="460F961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本章对海上平台消防系统包括系统配置要求、水消防系统、气体灭火系统、泡沫灭火系统、细水雾灭火系统、直升机甲板消防系统和消防用品提出了安全要求。</w:t>
      </w:r>
    </w:p>
    <w:p w14:paraId="386987F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消防系统配置中根据消防处所的火灾类型和危险程度对油气处理区域、电气房间、封闭机械处所、油漆间、直升机甲板等区域的消防设施配置提出了要求。</w:t>
      </w:r>
    </w:p>
    <w:p w14:paraId="7A92EF5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消防系统对消防泵的动力源、数量、启动要求、布置、运行压力提出了要求，对消防总管、管线及消防软管站、国际通岸接头、雨淋系统等的设置提出了安全要求。针对无人平台，明确了消防泵的设置条件和要求，对设置消防泵的无人平台要求具备远程遥控测试功能。</w:t>
      </w:r>
    </w:p>
    <w:p w14:paraId="43283DA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提出了气体灭火系统、泡沫灭火系统、高压细水雾系统和直升机甲板消防系统的配置要求。</w:t>
      </w:r>
    </w:p>
    <w:p w14:paraId="7261F91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消防用品部分对消防员装备、不同处所的灭火器提出了安全要求。</w:t>
      </w:r>
    </w:p>
    <w:p w14:paraId="6B9843D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救生和逃生系统</w:t>
      </w:r>
    </w:p>
    <w:p w14:paraId="7B7435B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本章从一般要求、救生艇装置、救助艇、气胀式救生筏、救生圈、救生衣、抛绳设备、遇险信号、急救设施、逃生用具、人员防护设备、脱险通道、集合区和临时避难所等14个方面提出了安全要求。</w:t>
      </w:r>
    </w:p>
    <w:p w14:paraId="4060B53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助航标志与信号</w:t>
      </w:r>
    </w:p>
    <w:p w14:paraId="50BA17F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对助航标志灯和障碍灯的安装、光强和射程、闪光特性及控制系统提出了技术要求。规定了雾笛的安装、听程和音响信号、控制系统的技术要求。明确了平台灯光信号和音响信号技术性能、助航标志与信号设备供电电源要求以及平台标志牌的配置要求。</w:t>
      </w:r>
    </w:p>
    <w:p w14:paraId="1A12E5C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通信</w:t>
      </w:r>
    </w:p>
    <w:p w14:paraId="565F16A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本章对平台及平台群用的通信设备包括外部通信设备和内部通信设备配置、安全技术要求、电源、天线、电缆接地箱和危险区通信设备的技术条件进行规定。</w:t>
      </w:r>
    </w:p>
    <w:bookmarkEnd w:id="337"/>
    <w:bookmarkEnd w:id="338"/>
    <w:bookmarkEnd w:id="339"/>
    <w:bookmarkEnd w:id="340"/>
    <w:p w14:paraId="3E0ABDA0">
      <w:pPr>
        <w:spacing w:line="360" w:lineRule="auto"/>
        <w:ind w:firstLine="643" w:firstLineChars="200"/>
        <w:outlineLvl w:val="1"/>
        <w:rPr>
          <w:rFonts w:hint="eastAsia" w:ascii="方正楷体_GBK" w:hAnsi="方正楷体_GBK" w:eastAsia="方正楷体_GBK" w:cs="方正楷体_GBK"/>
          <w:b/>
          <w:bCs/>
          <w:color w:val="000000"/>
          <w:sz w:val="32"/>
          <w:szCs w:val="32"/>
        </w:rPr>
      </w:pPr>
      <w:r>
        <w:rPr>
          <w:rFonts w:hint="eastAsia" w:ascii="方正楷体_GBK" w:hAnsi="方正楷体_GBK" w:eastAsia="方正楷体_GBK" w:cs="方正楷体_GBK"/>
          <w:b/>
          <w:bCs/>
          <w:color w:val="000000"/>
          <w:sz w:val="32"/>
          <w:szCs w:val="32"/>
          <w:lang w:eastAsia="zh-CN"/>
        </w:rPr>
        <w:t>（三）</w:t>
      </w:r>
      <w:r>
        <w:rPr>
          <w:rFonts w:hint="eastAsia" w:ascii="方正楷体_GBK" w:hAnsi="方正楷体_GBK" w:eastAsia="方正楷体_GBK" w:cs="方正楷体_GBK"/>
          <w:b/>
          <w:bCs/>
          <w:color w:val="000000"/>
          <w:sz w:val="32"/>
          <w:szCs w:val="32"/>
        </w:rPr>
        <w:t>主要技术要求的依据及理由</w:t>
      </w:r>
    </w:p>
    <w:p w14:paraId="501754C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341" w:name="_Toc18137"/>
      <w:bookmarkStart w:id="342" w:name="_Toc27796"/>
      <w:bookmarkStart w:id="343" w:name="_Toc11829"/>
      <w:bookmarkStart w:id="344" w:name="_Toc39385878"/>
      <w:bookmarkStart w:id="345" w:name="_Toc32504"/>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基于已经实施运行多年的经验。</w:t>
      </w:r>
    </w:p>
    <w:p w14:paraId="2B55907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（1）我国经历了40多年在海洋石油天然气开采实践，在安全生产方面积累了大量的宝贵经验，可以作为本部分编制的依据和技术支撑；</w:t>
      </w:r>
    </w:p>
    <w:p w14:paraId="7F74A60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（2）中国海油、中国石油、中国石化作为海洋石油天然气开发的主体单位，已经形成了一系列行之有效的行业及企业安全生产标准，经过系统的梳理优化可以上升为国标。</w:t>
      </w:r>
    </w:p>
    <w:p w14:paraId="7B85F5C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在编制过程中充分参考、借鉴上述已有的、行之有效的法规相关条款中的技术方面的内容，确保技术标准层次结构的合理性和内容的全面性。</w:t>
      </w:r>
    </w:p>
    <w:p w14:paraId="5CBE89E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业内成熟做法与专家建议</w:t>
      </w:r>
    </w:p>
    <w:p w14:paraId="00D12D7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本标准制订过程中，应急管理部海油安监办及各分部、中海油集团公司QHSE部、编制牵头单位组织多次研讨，历经多次内审，既有各作业者单位也有承包者单位，还包括船级社、检验检测机构等，覆盖了海洋石油固定平台设计、建造、安装、生产以及发证检验各单位的专家，标准各部分内容充分征求了业内专家的意见和建议。</w:t>
      </w:r>
    </w:p>
    <w:p w14:paraId="3D06FD6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总体上</w:t>
      </w:r>
      <w:bookmarkEnd w:id="341"/>
      <w:bookmarkEnd w:id="342"/>
      <w:bookmarkEnd w:id="343"/>
      <w:bookmarkEnd w:id="344"/>
      <w:bookmarkEnd w:id="345"/>
      <w:r>
        <w:rPr>
          <w:rFonts w:hint="eastAsia" w:ascii="仿宋_GB2312" w:hAnsi="仿宋_GB2312" w:eastAsia="仿宋_GB2312" w:cs="仿宋_GB2312"/>
          <w:sz w:val="32"/>
          <w:szCs w:val="32"/>
        </w:rPr>
        <w:t>，本标准条款内容从满足对海洋石油固定平台的安全监管、识别重大风险、防范重大隐患的需求出发，对编写内容及条款进行规划，通过广泛对标相关法律法规、国家标准、安全行业标准、石油行业标准，并适当参考中海油、中石油、中石化等企业标准、规章制度和事故案例，结合工程实践后进行编写，规范了海洋石油固定平台总体布置、平台结构、油气生产工艺、机械、电气、仪控、通信、消防、救逃生等专业的安全要求，保障标准的指导性、实用性、专业性和可操作性。</w:t>
      </w:r>
    </w:p>
    <w:p w14:paraId="5611A48F">
      <w:pPr>
        <w:pStyle w:val="258"/>
        <w:keepNext w:val="0"/>
        <w:keepLines w:val="0"/>
        <w:pageBreakBefore w:val="0"/>
        <w:tabs>
          <w:tab w:val="center" w:pos="4201"/>
          <w:tab w:val="right" w:leader="dot" w:pos="9298"/>
        </w:tabs>
        <w:kinsoku/>
        <w:wordWrap/>
        <w:overflowPunct/>
        <w:topLinePunct w:val="0"/>
        <w:autoSpaceDE/>
        <w:autoSpaceDN/>
        <w:bidi w:val="0"/>
        <w:adjustRightInd/>
        <w:snapToGrid/>
        <w:spacing w:line="560" w:lineRule="exact"/>
        <w:ind w:firstLine="480" w:firstLineChars="150"/>
        <w:textAlignment w:val="auto"/>
        <w:outlineLvl w:val="0"/>
        <w:rPr>
          <w:rFonts w:ascii="Times New Roman" w:eastAsia="黑体"/>
          <w:color w:val="000000"/>
          <w:sz w:val="32"/>
          <w:szCs w:val="32"/>
        </w:rPr>
      </w:pPr>
      <w:bookmarkStart w:id="346" w:name="_Toc26536"/>
      <w:bookmarkStart w:id="347" w:name="_Toc2699"/>
      <w:bookmarkStart w:id="348" w:name="_Toc28116"/>
      <w:bookmarkStart w:id="349" w:name="_Toc15147"/>
      <w:bookmarkStart w:id="350" w:name="_Toc15570"/>
      <w:r>
        <w:rPr>
          <w:rFonts w:ascii="Times New Roman" w:eastAsia="黑体"/>
          <w:color w:val="000000"/>
          <w:sz w:val="32"/>
          <w:szCs w:val="32"/>
        </w:rPr>
        <w:t>三、与有关法律、行政法规和其他强制性标准的关系，配套推荐性标准的制定情况</w:t>
      </w:r>
      <w:bookmarkEnd w:id="346"/>
      <w:bookmarkEnd w:id="347"/>
      <w:bookmarkEnd w:id="348"/>
      <w:bookmarkEnd w:id="349"/>
      <w:bookmarkEnd w:id="350"/>
    </w:p>
    <w:p w14:paraId="0CFF0FE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国一直是以《安全生产法》、《海洋石油安全生产规定》、《海洋石油安全管理细则》等法律法规、GB∕T国家推荐类标准、AQ安全标准及SY∕T推荐类石油天然气标准以及企业标准规范海洋石油固定平台各阶段的安全生产。</w:t>
      </w:r>
    </w:p>
    <w:p w14:paraId="27254F9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国家标准方面，涉及海洋石油固定平台的标准主要对海上石油天然气钻采设备、起重机和管道系统等单个系统进行规范，不涉及海洋石油设备设施的安全要求，且该类标准大多为推荐类标准。GB40554.1-2021《海洋石油天然气开采安全规程》规范了海洋石油天然气勘探、开发全周期生产作业活动的安全技术要求，侧重于海洋石油勘探开发生产作业过程，对海洋石油平台设计、建造、安装和运营等过程的安全要求没有规范。</w:t>
      </w:r>
    </w:p>
    <w:p w14:paraId="1372615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（二）安全标准方面。涉及海洋石油的AQ安全标准主要共4个，其中涉及海洋石油安全生产的强制性标准有AQ 2012-2007《石油天然气安全规程》、AQ2078-2020《老龄化海上固定式生产设施主结构安全评估导则》、AQ2079-2020《海洋石油生产设施发证检验工作通则》，但是作为安全规程，AQ 2012-2007对海洋石油天然气开采作业中物探、钻井、录井、测井与测试、海上油气田生产等作业内容进行了规范，AQ2078-2020对老龄平台主结构安全评估进行规范；AQ2079-2020则只对发证检验进行规范，以上安全标准内容无法覆盖海洋石油固定平台的设计、建造、安装等阶段。其余1个标准AQ/T 2044-2012《</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"https://hbba.sacinfo.org.cn/stdDetail/6af212caa7553ffe6bbce852296104f0" \t "https://hbba.sacinfo.org.cn/_blank"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石油行业安全生产标准化 海上油气生产实施规范</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》仅涉及生产实施，是单一的、基础性推荐类标准，无法满足规范海洋石油固定平台安全技术的需要。</w:t>
      </w:r>
    </w:p>
    <w:p w14:paraId="4B47699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（三）石油天然气行业推荐类标准方面，涉及海洋石油固定平台的SY∕T石油天然气标准主要有17个，其中均是对单个系统、设施和作业内容进行规范，如SY/T 10034-2020《</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"https://hbba.sacinfo.org.cn/stdDetail/8bde20bd4a717dded1c6a457da323620ee6732ca0f0cfa0e02d1b17433901585" \t "https://hbba.sacinfo.org.cn/_blank"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敞开式海上生产平台防火与消防的推荐作法</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》对消防安全系统进行了规范；SY/T 10003-2016《海上平台起重机规范》对海上吊机进行了规范、SY/T 10042-2002《</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"https://hbba.sacinfo.org.cn/stdDetail/f7abf66ab90b35ff03ded65933137698" \t "https://hbba.sacinfo.org.cn/_blank"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海上生产平台管道系统设计和安装的推荐作法</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》则对平台管道系统的设计和安装进行了规范。现有的关于海上固定平台SY/T标准多为硬件设备条件要求或单一设施系统及作业内容的技术要求，且该类标准没有强制性，无法作为政府安全监管的执法依据。</w:t>
      </w:r>
    </w:p>
    <w:p w14:paraId="133A570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《海洋石油固定平台安全规范》为新制定标准，纳入了全国安标委石油分标委对于海洋石油安全标准的规划，定位明确，与现行标准无交叉重叠。</w:t>
      </w:r>
    </w:p>
    <w:p w14:paraId="23AC1D3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标准为海洋石油行业安全领域的基础性、通用性标准。本标准在遵循上述相关法律法规的基础上，根据海洋石油固定平台作业特点和需求，提出了更加具体的的技术要求，为法律法规的落实提供有力的抓手。本标准在制订过程中，充分考虑了现行其他强制性标准的相关要求，与其他强制性相关标准进行了有效衔接，提出了适用于海洋石油固定平台安全的通用性要求。</w:t>
      </w:r>
    </w:p>
    <w:p w14:paraId="16F813BE">
      <w:pPr>
        <w:pStyle w:val="258"/>
        <w:keepNext w:val="0"/>
        <w:keepLines w:val="0"/>
        <w:pageBreakBefore w:val="0"/>
        <w:tabs>
          <w:tab w:val="center" w:pos="4201"/>
          <w:tab w:val="right" w:leader="dot" w:pos="9298"/>
        </w:tabs>
        <w:kinsoku/>
        <w:wordWrap/>
        <w:overflowPunct/>
        <w:topLinePunct w:val="0"/>
        <w:autoSpaceDE/>
        <w:autoSpaceDN/>
        <w:bidi w:val="0"/>
        <w:adjustRightInd/>
        <w:snapToGrid/>
        <w:spacing w:line="560" w:lineRule="exact"/>
        <w:ind w:firstLine="480" w:firstLineChars="150"/>
        <w:textAlignment w:val="auto"/>
        <w:outlineLvl w:val="0"/>
        <w:rPr>
          <w:rFonts w:ascii="Times New Roman" w:eastAsia="黑体"/>
          <w:color w:val="000000"/>
          <w:sz w:val="32"/>
          <w:szCs w:val="32"/>
        </w:rPr>
      </w:pPr>
      <w:bookmarkStart w:id="351" w:name="_Toc1945"/>
      <w:bookmarkStart w:id="352" w:name="_Toc25498"/>
      <w:bookmarkStart w:id="353" w:name="_Toc9359"/>
      <w:bookmarkStart w:id="354" w:name="_Toc17165"/>
      <w:bookmarkStart w:id="355" w:name="_Toc32017"/>
      <w:r>
        <w:rPr>
          <w:rFonts w:ascii="Times New Roman" w:eastAsia="黑体"/>
          <w:color w:val="000000"/>
          <w:sz w:val="32"/>
          <w:szCs w:val="32"/>
        </w:rPr>
        <w:t>四、与国际标准化组织、其他国家或者地区有关法律法规和标准的比对分析</w:t>
      </w:r>
      <w:bookmarkEnd w:id="351"/>
      <w:bookmarkEnd w:id="352"/>
      <w:bookmarkEnd w:id="353"/>
      <w:bookmarkEnd w:id="354"/>
      <w:bookmarkEnd w:id="355"/>
    </w:p>
    <w:p w14:paraId="477D653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目前，国外常用的海洋石油平台安全设计与控制相关工业标准主要有国际标准化组织(ISO)、挪威石油标准化组织(NORSOK)和美国石油学会(API)的相关标准。其中大部分国外标准已经由GB标准和SY标准等同采用，如GB/T20660-2006《石油天然气工业 海上生产设施的火灾、爆炸控制、消减措施要求和指南》等同采用ISO13702 《石油天然气工业 海上生产设施的火灾、爆炸控制、消减措施要求和指南》；SY/T10033-2000《海上生产平台基本上部设施安全系统的分析、设计、安装和测试的推荐作法》等同采用API RP14C。其他标准如</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"https://www.antpedia.com/standard/8477862.html" \t "https://www.antpedia.com/standard/sp/_blank"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ISO 17776-2016</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 石油和天然气工业. 海上生产装置. 新装置设计期间的主要事故危害管理》针对海上油气设施各阶段的风险管理技术要求； NORSOK S-001《技术安全》(2018)在挪威海上设施安全技术领域具有基础性的地位，主要适用于海上油气生产平台的结构安全设计和安全风险设计与控制的技术要求；NORSOK Z-013《风险和应急准备分析》规定了海上和陆上油气生产装置的风险和应急准备评估，均是偏重风险管理。</w:t>
      </w:r>
    </w:p>
    <w:p w14:paraId="49A68C0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由于国内外海洋环境条件、国家法律法规及发展策略的差异，国外标准并不能很好满足我国海洋石油固定平台的工程设计需求。总体看，本标准的专业技术水平与国外标准水平基本相当，但在系统性、完整性、广泛性、协调性、本质安全性等方面具有优势。</w:t>
      </w:r>
    </w:p>
    <w:p w14:paraId="72C12D44">
      <w:pPr>
        <w:pStyle w:val="258"/>
        <w:keepNext w:val="0"/>
        <w:keepLines w:val="0"/>
        <w:pageBreakBefore w:val="0"/>
        <w:tabs>
          <w:tab w:val="center" w:pos="4201"/>
          <w:tab w:val="right" w:leader="dot" w:pos="9298"/>
        </w:tabs>
        <w:kinsoku/>
        <w:wordWrap/>
        <w:overflowPunct/>
        <w:topLinePunct w:val="0"/>
        <w:autoSpaceDE/>
        <w:autoSpaceDN/>
        <w:bidi w:val="0"/>
        <w:adjustRightInd/>
        <w:snapToGrid/>
        <w:spacing w:line="560" w:lineRule="exact"/>
        <w:ind w:firstLine="480" w:firstLineChars="150"/>
        <w:textAlignment w:val="auto"/>
        <w:outlineLvl w:val="0"/>
        <w:rPr>
          <w:rFonts w:ascii="Times New Roman" w:eastAsia="黑体"/>
          <w:color w:val="000000"/>
          <w:sz w:val="32"/>
          <w:szCs w:val="32"/>
        </w:rPr>
      </w:pPr>
      <w:bookmarkStart w:id="356" w:name="_Toc27676"/>
      <w:bookmarkStart w:id="357" w:name="_Toc2568"/>
      <w:bookmarkStart w:id="358" w:name="_Toc5503"/>
      <w:bookmarkStart w:id="359" w:name="_Toc3005"/>
      <w:bookmarkStart w:id="360" w:name="_Toc32343"/>
      <w:r>
        <w:rPr>
          <w:rFonts w:ascii="Times New Roman" w:eastAsia="黑体"/>
          <w:color w:val="000000"/>
          <w:sz w:val="32"/>
          <w:szCs w:val="32"/>
        </w:rPr>
        <w:t>五、重大分歧意见的处理经过和依据</w:t>
      </w:r>
      <w:bookmarkEnd w:id="356"/>
      <w:bookmarkEnd w:id="357"/>
      <w:bookmarkEnd w:id="358"/>
      <w:bookmarkEnd w:id="359"/>
      <w:bookmarkEnd w:id="360"/>
    </w:p>
    <w:p w14:paraId="45DDF0F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本标准通过多次研讨会和征求意见过程，无重大分歧意见。</w:t>
      </w:r>
    </w:p>
    <w:p w14:paraId="0FEA7050">
      <w:pPr>
        <w:pStyle w:val="258"/>
        <w:keepNext w:val="0"/>
        <w:keepLines w:val="0"/>
        <w:pageBreakBefore w:val="0"/>
        <w:tabs>
          <w:tab w:val="center" w:pos="4201"/>
          <w:tab w:val="right" w:leader="dot" w:pos="9298"/>
        </w:tabs>
        <w:kinsoku/>
        <w:wordWrap/>
        <w:overflowPunct/>
        <w:topLinePunct w:val="0"/>
        <w:autoSpaceDE/>
        <w:autoSpaceDN/>
        <w:bidi w:val="0"/>
        <w:adjustRightInd/>
        <w:snapToGrid/>
        <w:spacing w:line="560" w:lineRule="exact"/>
        <w:ind w:firstLine="480" w:firstLineChars="150"/>
        <w:textAlignment w:val="auto"/>
        <w:outlineLvl w:val="0"/>
        <w:rPr>
          <w:rFonts w:ascii="Times New Roman" w:eastAsia="黑体"/>
          <w:color w:val="000000"/>
          <w:sz w:val="32"/>
          <w:szCs w:val="32"/>
        </w:rPr>
      </w:pPr>
      <w:bookmarkStart w:id="361" w:name="_Toc30339"/>
      <w:bookmarkStart w:id="362" w:name="_Toc16565"/>
      <w:bookmarkStart w:id="363" w:name="_Toc17747"/>
      <w:bookmarkStart w:id="364" w:name="_Toc7432"/>
      <w:bookmarkStart w:id="365" w:name="_Toc11667"/>
      <w:r>
        <w:rPr>
          <w:rFonts w:ascii="Times New Roman" w:eastAsia="黑体"/>
          <w:color w:val="000000"/>
          <w:sz w:val="32"/>
          <w:szCs w:val="32"/>
        </w:rPr>
        <w:t>六、强制性国家标准自发布日期至实施日期之间的过渡期的建议及理由</w:t>
      </w:r>
      <w:bookmarkEnd w:id="361"/>
      <w:bookmarkEnd w:id="362"/>
      <w:bookmarkEnd w:id="363"/>
      <w:bookmarkEnd w:id="364"/>
      <w:bookmarkEnd w:id="365"/>
    </w:p>
    <w:p w14:paraId="5E2F2BC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366" w:name="_Toc39385885"/>
      <w:r>
        <w:rPr>
          <w:rFonts w:hint="eastAsia" w:ascii="仿宋_GB2312" w:hAnsi="仿宋_GB2312" w:eastAsia="仿宋_GB2312" w:cs="仿宋_GB2312"/>
          <w:sz w:val="32"/>
          <w:szCs w:val="32"/>
          <w:lang w:val="en-US" w:eastAsia="zh-CN"/>
        </w:rPr>
        <w:t>考虑标准发布、宣贯所需时间，本标准发布日期至实施日期之间的过渡期建议为12个月。</w:t>
      </w:r>
      <w:bookmarkEnd w:id="366"/>
    </w:p>
    <w:p w14:paraId="000B8D82">
      <w:pPr>
        <w:pStyle w:val="258"/>
        <w:keepNext w:val="0"/>
        <w:keepLines w:val="0"/>
        <w:pageBreakBefore w:val="0"/>
        <w:tabs>
          <w:tab w:val="center" w:pos="4201"/>
          <w:tab w:val="right" w:leader="dot" w:pos="9298"/>
        </w:tabs>
        <w:kinsoku/>
        <w:wordWrap/>
        <w:overflowPunct/>
        <w:topLinePunct w:val="0"/>
        <w:autoSpaceDE/>
        <w:autoSpaceDN/>
        <w:bidi w:val="0"/>
        <w:adjustRightInd/>
        <w:snapToGrid/>
        <w:spacing w:line="560" w:lineRule="exact"/>
        <w:ind w:firstLine="480" w:firstLineChars="150"/>
        <w:textAlignment w:val="auto"/>
        <w:outlineLvl w:val="0"/>
        <w:rPr>
          <w:rFonts w:ascii="Times New Roman" w:eastAsia="黑体"/>
          <w:color w:val="000000"/>
          <w:sz w:val="32"/>
          <w:szCs w:val="32"/>
        </w:rPr>
      </w:pPr>
      <w:bookmarkStart w:id="367" w:name="_Toc19972"/>
      <w:bookmarkStart w:id="368" w:name="_Toc8691"/>
      <w:bookmarkStart w:id="369" w:name="_Toc15024"/>
      <w:bookmarkStart w:id="370" w:name="_Toc24030"/>
      <w:bookmarkStart w:id="371" w:name="_Toc16356"/>
      <w:r>
        <w:rPr>
          <w:rFonts w:ascii="Times New Roman" w:eastAsia="黑体"/>
          <w:color w:val="000000"/>
          <w:sz w:val="32"/>
          <w:szCs w:val="32"/>
        </w:rPr>
        <w:t>七、实施强制性国家标准有关的政策措施（包括实施监督管理部门以及对违反强制性国家标准的行为进行处理的有关法律、行政法规、部门规章依据等）</w:t>
      </w:r>
      <w:bookmarkEnd w:id="367"/>
      <w:bookmarkEnd w:id="368"/>
      <w:bookmarkEnd w:id="369"/>
      <w:bookmarkEnd w:id="370"/>
      <w:bookmarkEnd w:id="371"/>
    </w:p>
    <w:p w14:paraId="7F9B2E7A">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（一）实施监督管理部门</w:t>
      </w:r>
    </w:p>
    <w:p w14:paraId="3439102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标准文件的实施监督管理部门为应急管理部危险化学品安全监督管理二司。</w:t>
      </w:r>
    </w:p>
    <w:p w14:paraId="06431816">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（二）对违反强制性国家标准的行为进行处理的有关法律、行政法规、部门规章依据等</w:t>
      </w:r>
    </w:p>
    <w:p w14:paraId="4F1C0B2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对违反强制性国家标准的行为，进行处理所依据的法律为《安全生产法》，部门规章为《海洋石油安全生产规定》以及《海洋石油安全管理细则》。</w:t>
      </w:r>
    </w:p>
    <w:p w14:paraId="7A309F2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依据的主要条款包括但不限于：</w:t>
      </w:r>
    </w:p>
    <w:p w14:paraId="1619230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《中华人民共和国安全生产法》</w:t>
      </w:r>
    </w:p>
    <w:p w14:paraId="38CC24F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第十一条规定“生产经营单位必须执行依法制定的保障安全生产的国家标准或者行业标准。”</w:t>
      </w:r>
    </w:p>
    <w:p w14:paraId="5C69287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第二十条规定“生产经营单位应当具备本法和有关法律、行政法规和国家标准或者行业标准规定的安全生产条件；不具备安全生产条件的，不得从事生产经营活动。”</w:t>
      </w:r>
    </w:p>
    <w:p w14:paraId="1046E40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第三十六条规定“安全设备的设计、制造、安装、使用、检测、维修、改造和报废，应当符合国家标准或者行业标准。”</w:t>
      </w:r>
    </w:p>
    <w:p w14:paraId="7E98268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第三十九条规定“生产、经营、运输、储存、使用危险物品或者处置废弃危险物品的，由有关主管部门依照有关法律、法规的规定和国家标准或者行业标准审批并实施监督管理。”</w:t>
      </w:r>
    </w:p>
    <w:p w14:paraId="3774E8B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十三条规定“负有安全生产监督管理职责的部门依照有关法律、法规的规定，对涉及安全生产的事项需要审查批准（包括批准、核准、许可、注册、认证、颁发证照等，）或者验收的，必须严格依照有关法律、法规和国家标准或者行业标准规定的安全生产条件和程序进行审查；不符合有关法律、法规和国家标准或者行业标准规定的安全生产条件的，不得批准或者验收通过。”</w:t>
      </w:r>
    </w:p>
    <w:p w14:paraId="3528626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十五条规定“应急管理部门和其他负有安全生产监督管理职责的部门依法开展安全生产行政执法工作，对生产经营单位执行有关安全生产的法律、法规和国家标准或者行业标准的情况进行监督检查，行使以下职权：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14:paraId="1947319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九十九条规定“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15D71F2B">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w:t>
      </w:r>
      <w:r>
        <w:rPr>
          <w:rFonts w:hint="eastAsia" w:ascii="方正楷体_GBK" w:hAnsi="方正楷体_GBK" w:eastAsia="方正楷体_GBK" w:cs="方正楷体_GBK"/>
          <w:b/>
          <w:bCs/>
          <w:sz w:val="32"/>
          <w:szCs w:val="32"/>
          <w:lang w:eastAsia="zh-CN"/>
        </w:rPr>
        <w:t>三</w:t>
      </w:r>
      <w:r>
        <w:rPr>
          <w:rFonts w:hint="eastAsia" w:ascii="方正楷体_GBK" w:hAnsi="方正楷体_GBK" w:eastAsia="方正楷体_GBK" w:cs="方正楷体_GBK"/>
          <w:b/>
          <w:bCs/>
          <w:sz w:val="32"/>
          <w:szCs w:val="32"/>
        </w:rPr>
        <w:t>）安全设备的安装、使用、检测、改造和报废不符合国家标准或者行业标准的。”</w:t>
      </w:r>
    </w:p>
    <w:p w14:paraId="7C14BDB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百一十三条规定“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14:paraId="2A274722">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w:t>
      </w:r>
      <w:r>
        <w:rPr>
          <w:rFonts w:hint="eastAsia" w:ascii="方正楷体_GBK" w:hAnsi="方正楷体_GBK" w:eastAsia="方正楷体_GBK" w:cs="方正楷体_GBK"/>
          <w:b/>
          <w:bCs/>
          <w:sz w:val="32"/>
          <w:szCs w:val="32"/>
          <w:lang w:eastAsia="zh-CN"/>
        </w:rPr>
        <w:t>四</w:t>
      </w:r>
      <w:r>
        <w:rPr>
          <w:rFonts w:hint="eastAsia" w:ascii="方正楷体_GBK" w:hAnsi="方正楷体_GBK" w:eastAsia="方正楷体_GBK" w:cs="方正楷体_GBK"/>
          <w:b/>
          <w:bCs/>
          <w:sz w:val="32"/>
          <w:szCs w:val="32"/>
        </w:rPr>
        <w:t>）不具备法律、行政法规和国家标准或者行业标准规定的安全生产条件，导致发生重大、特别重大生产安全事故的；”</w:t>
      </w:r>
    </w:p>
    <w:p w14:paraId="5CE5750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《海洋石油安全生产规定》</w:t>
      </w:r>
    </w:p>
    <w:p w14:paraId="4A5B40D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第五条规定“作业者和承包者应当遵守有关安全生产的法律、行政法规、部门规章、国家标准和行业标准，具备安全生产条件。”</w:t>
      </w:r>
    </w:p>
    <w:p w14:paraId="6F16DFE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七条规定“发证检验机构应当依照有关法律、行政法规、部门规章和国家标准、行业标准或者作业者选定的技术标准实施审查、检验，并对审查、检验结果负责。作业者选定的技术标准不得低于国家标准和行业标准。海油安办对发证检验机构实施的设计审查程序、检验程序进行监督。”</w:t>
      </w:r>
    </w:p>
    <w:p w14:paraId="5D03D65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条规定“海油安办及其各分部依法对作业者和承包者执行有关安全生产的法律、行政法规和国家标准或者行业标准的情况进行监督检查，行使以下职权：（四）对有根据认为不符合保障安全生产的国家标准或者行业标准的设施、设备、器材予以查封或者扣押，并应当在 15 日内依法作出处理决定。”</w:t>
      </w:r>
    </w:p>
    <w:p w14:paraId="690FDA1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《海洋石油安全管理细则》</w:t>
      </w:r>
    </w:p>
    <w:p w14:paraId="3627EB7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第十七条规定“在海洋石油生产作业中，作业者和承包者应当确保海洋石油生产、作业设施（以下简称设施）安全条件符合法律、法规、规章和相关国家标准、行业标准的要求，并建立完善的安全管理体系。”</w:t>
      </w:r>
    </w:p>
    <w:p w14:paraId="625A8DE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第二十一条规定“设施上的各种设备应当符合国家有关法律、法规、规章、标准的安全要求，有出厂合格证书或者检验合格证书。”</w:t>
      </w:r>
    </w:p>
    <w:p w14:paraId="41E4EA4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第一百零九条规定“海油安办及其有关分部应当按照法律、行政法规、规章和标准的规定，依法对海洋石油生产经营单位的安全生产实施监督检查。” </w:t>
      </w:r>
    </w:p>
    <w:p w14:paraId="37364FBD">
      <w:pPr>
        <w:pStyle w:val="258"/>
        <w:keepNext w:val="0"/>
        <w:keepLines w:val="0"/>
        <w:pageBreakBefore w:val="0"/>
        <w:tabs>
          <w:tab w:val="center" w:pos="4201"/>
          <w:tab w:val="right" w:leader="dot" w:pos="9298"/>
        </w:tabs>
        <w:kinsoku/>
        <w:wordWrap/>
        <w:overflowPunct/>
        <w:topLinePunct w:val="0"/>
        <w:autoSpaceDE/>
        <w:autoSpaceDN/>
        <w:bidi w:val="0"/>
        <w:adjustRightInd/>
        <w:snapToGrid/>
        <w:spacing w:line="560" w:lineRule="exact"/>
        <w:ind w:firstLine="480" w:firstLineChars="150"/>
        <w:textAlignment w:val="auto"/>
        <w:outlineLvl w:val="0"/>
        <w:rPr>
          <w:rFonts w:ascii="Times New Roman" w:eastAsia="黑体"/>
          <w:color w:val="000000"/>
          <w:sz w:val="32"/>
          <w:szCs w:val="32"/>
        </w:rPr>
      </w:pPr>
      <w:bookmarkStart w:id="372" w:name="_Toc11124"/>
      <w:bookmarkStart w:id="373" w:name="_Toc8061"/>
      <w:bookmarkStart w:id="374" w:name="_Toc18601"/>
      <w:bookmarkStart w:id="375" w:name="_Toc20937"/>
      <w:bookmarkStart w:id="376" w:name="_Toc824"/>
      <w:bookmarkStart w:id="377" w:name="_Toc39385888"/>
      <w:r>
        <w:rPr>
          <w:rFonts w:ascii="Times New Roman" w:eastAsia="黑体"/>
          <w:color w:val="000000"/>
          <w:sz w:val="32"/>
          <w:szCs w:val="32"/>
        </w:rPr>
        <w:t>八、是否需要对外通报的建议及理由</w:t>
      </w:r>
      <w:bookmarkEnd w:id="372"/>
      <w:bookmarkEnd w:id="373"/>
      <w:bookmarkEnd w:id="374"/>
      <w:bookmarkEnd w:id="375"/>
      <w:bookmarkEnd w:id="376"/>
    </w:p>
    <w:p w14:paraId="6864A6A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无需对外通报，主要原因为本标准未直接引用和采用国外标准。另本标准为海洋石油固定平台安全技术标准，非产品标准。</w:t>
      </w:r>
    </w:p>
    <w:bookmarkEnd w:id="377"/>
    <w:p w14:paraId="3DB2AD08">
      <w:pPr>
        <w:pStyle w:val="258"/>
        <w:keepNext w:val="0"/>
        <w:keepLines w:val="0"/>
        <w:pageBreakBefore w:val="0"/>
        <w:tabs>
          <w:tab w:val="center" w:pos="4201"/>
          <w:tab w:val="right" w:leader="dot" w:pos="9298"/>
        </w:tabs>
        <w:kinsoku/>
        <w:wordWrap/>
        <w:overflowPunct/>
        <w:topLinePunct w:val="0"/>
        <w:autoSpaceDE/>
        <w:autoSpaceDN/>
        <w:bidi w:val="0"/>
        <w:adjustRightInd/>
        <w:snapToGrid/>
        <w:spacing w:line="560" w:lineRule="exact"/>
        <w:ind w:firstLine="480" w:firstLineChars="150"/>
        <w:textAlignment w:val="auto"/>
        <w:outlineLvl w:val="0"/>
        <w:rPr>
          <w:rFonts w:ascii="Times New Roman" w:eastAsia="黑体"/>
          <w:color w:val="000000"/>
          <w:sz w:val="32"/>
          <w:szCs w:val="32"/>
        </w:rPr>
      </w:pPr>
      <w:bookmarkStart w:id="378" w:name="_Toc2939"/>
      <w:bookmarkStart w:id="379" w:name="_Toc8663"/>
      <w:bookmarkStart w:id="380" w:name="_Toc18998"/>
      <w:bookmarkStart w:id="381" w:name="_Toc4478"/>
      <w:bookmarkStart w:id="382" w:name="_Toc9465"/>
      <w:r>
        <w:rPr>
          <w:rFonts w:ascii="Times New Roman" w:eastAsia="黑体"/>
          <w:color w:val="000000"/>
          <w:sz w:val="32"/>
          <w:szCs w:val="32"/>
        </w:rPr>
        <w:t>九、废止现行有关标准的建议</w:t>
      </w:r>
      <w:bookmarkEnd w:id="378"/>
      <w:bookmarkEnd w:id="379"/>
      <w:bookmarkEnd w:id="380"/>
      <w:bookmarkEnd w:id="381"/>
      <w:bookmarkEnd w:id="382"/>
    </w:p>
    <w:p w14:paraId="68566FD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仿宋_GB2312" w:hAnsi="仿宋_GB2312" w:eastAsia="仿宋_GB2312" w:cs="仿宋_GB2312"/>
          <w:sz w:val="32"/>
          <w:szCs w:val="32"/>
          <w:lang w:val="en-US" w:eastAsia="zh-CN"/>
        </w:rPr>
        <w:t>无。</w:t>
      </w:r>
    </w:p>
    <w:p w14:paraId="12F9B574">
      <w:pPr>
        <w:pStyle w:val="258"/>
        <w:keepNext w:val="0"/>
        <w:keepLines w:val="0"/>
        <w:pageBreakBefore w:val="0"/>
        <w:tabs>
          <w:tab w:val="center" w:pos="4201"/>
          <w:tab w:val="right" w:leader="dot" w:pos="9298"/>
        </w:tabs>
        <w:kinsoku/>
        <w:wordWrap/>
        <w:overflowPunct/>
        <w:topLinePunct w:val="0"/>
        <w:autoSpaceDE/>
        <w:autoSpaceDN/>
        <w:bidi w:val="0"/>
        <w:adjustRightInd/>
        <w:snapToGrid/>
        <w:spacing w:line="560" w:lineRule="exact"/>
        <w:ind w:firstLine="480" w:firstLineChars="150"/>
        <w:textAlignment w:val="auto"/>
        <w:outlineLvl w:val="0"/>
        <w:rPr>
          <w:rFonts w:ascii="Times New Roman" w:eastAsia="黑体"/>
          <w:color w:val="000000"/>
          <w:sz w:val="32"/>
          <w:szCs w:val="32"/>
        </w:rPr>
      </w:pPr>
      <w:bookmarkStart w:id="383" w:name="_Toc747"/>
      <w:bookmarkStart w:id="384" w:name="_Toc16613"/>
      <w:bookmarkStart w:id="385" w:name="_Toc20557"/>
      <w:bookmarkStart w:id="386" w:name="_Toc22547"/>
      <w:bookmarkStart w:id="387" w:name="_Toc2524"/>
      <w:r>
        <w:rPr>
          <w:rFonts w:ascii="Times New Roman" w:eastAsia="黑体"/>
          <w:color w:val="000000"/>
          <w:sz w:val="32"/>
          <w:szCs w:val="32"/>
        </w:rPr>
        <w:t>十、涉及专利的有关说明</w:t>
      </w:r>
      <w:bookmarkEnd w:id="383"/>
      <w:bookmarkEnd w:id="384"/>
      <w:bookmarkEnd w:id="385"/>
      <w:bookmarkEnd w:id="386"/>
      <w:bookmarkEnd w:id="387"/>
    </w:p>
    <w:p w14:paraId="41BC4DA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14:paraId="3BB54168">
      <w:pPr>
        <w:pStyle w:val="258"/>
        <w:keepNext w:val="0"/>
        <w:keepLines w:val="0"/>
        <w:pageBreakBefore w:val="0"/>
        <w:tabs>
          <w:tab w:val="center" w:pos="4201"/>
          <w:tab w:val="right" w:leader="dot" w:pos="9298"/>
        </w:tabs>
        <w:kinsoku/>
        <w:wordWrap/>
        <w:overflowPunct/>
        <w:topLinePunct w:val="0"/>
        <w:autoSpaceDE/>
        <w:autoSpaceDN/>
        <w:bidi w:val="0"/>
        <w:adjustRightInd/>
        <w:snapToGrid/>
        <w:spacing w:line="560" w:lineRule="exact"/>
        <w:ind w:firstLine="480" w:firstLineChars="150"/>
        <w:textAlignment w:val="auto"/>
        <w:outlineLvl w:val="0"/>
        <w:rPr>
          <w:rFonts w:ascii="Times New Roman" w:eastAsia="黑体"/>
          <w:color w:val="000000"/>
          <w:sz w:val="32"/>
          <w:szCs w:val="32"/>
        </w:rPr>
      </w:pPr>
      <w:bookmarkStart w:id="388" w:name="_Toc4624"/>
      <w:bookmarkStart w:id="389" w:name="_Toc27716"/>
      <w:bookmarkStart w:id="390" w:name="_Toc8554"/>
      <w:bookmarkStart w:id="391" w:name="_Toc28110"/>
      <w:bookmarkStart w:id="392" w:name="_Toc26909"/>
      <w:r>
        <w:rPr>
          <w:rFonts w:ascii="Times New Roman" w:eastAsia="黑体"/>
          <w:color w:val="000000"/>
          <w:sz w:val="32"/>
          <w:szCs w:val="32"/>
        </w:rPr>
        <w:t>十一、强制性国家标准所涉及的产品、过程和服务目录</w:t>
      </w:r>
      <w:bookmarkEnd w:id="388"/>
      <w:bookmarkEnd w:id="389"/>
      <w:bookmarkEnd w:id="390"/>
      <w:bookmarkEnd w:id="391"/>
      <w:bookmarkEnd w:id="392"/>
    </w:p>
    <w:p w14:paraId="26FB0CF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涉及海洋石油固定平台设计、建造、安装和运行过程中使用的柴油机、压缩机、锅炉、起重机等机械设备和消防系统、救逃生系统、仪表及控制系统；涉及到海洋石油固定平台设计技术服务和建造、安装、运行。</w:t>
      </w:r>
    </w:p>
    <w:p w14:paraId="2773B763">
      <w:pPr>
        <w:pStyle w:val="258"/>
        <w:keepNext w:val="0"/>
        <w:keepLines w:val="0"/>
        <w:pageBreakBefore w:val="0"/>
        <w:tabs>
          <w:tab w:val="center" w:pos="4201"/>
          <w:tab w:val="right" w:leader="dot" w:pos="9298"/>
        </w:tabs>
        <w:kinsoku/>
        <w:wordWrap/>
        <w:overflowPunct/>
        <w:topLinePunct w:val="0"/>
        <w:autoSpaceDE/>
        <w:autoSpaceDN/>
        <w:bidi w:val="0"/>
        <w:adjustRightInd/>
        <w:snapToGrid/>
        <w:spacing w:line="560" w:lineRule="exact"/>
        <w:ind w:firstLine="480" w:firstLineChars="150"/>
        <w:textAlignment w:val="auto"/>
        <w:outlineLvl w:val="0"/>
        <w:rPr>
          <w:rFonts w:ascii="Times New Roman" w:eastAsia="黑体"/>
          <w:color w:val="000000"/>
          <w:sz w:val="32"/>
          <w:szCs w:val="32"/>
        </w:rPr>
      </w:pPr>
      <w:bookmarkStart w:id="393" w:name="_Toc28158"/>
      <w:bookmarkStart w:id="394" w:name="_Toc4941"/>
      <w:bookmarkStart w:id="395" w:name="_Toc22277"/>
      <w:bookmarkStart w:id="396" w:name="_Toc9191"/>
      <w:bookmarkStart w:id="397" w:name="_Toc18948"/>
      <w:r>
        <w:rPr>
          <w:rFonts w:ascii="Times New Roman" w:eastAsia="黑体"/>
          <w:color w:val="000000"/>
          <w:sz w:val="32"/>
          <w:szCs w:val="32"/>
        </w:rPr>
        <w:t>十二、其他应予以说明的事项</w:t>
      </w:r>
      <w:bookmarkEnd w:id="393"/>
      <w:bookmarkEnd w:id="394"/>
      <w:bookmarkEnd w:id="395"/>
      <w:bookmarkEnd w:id="396"/>
      <w:bookmarkEnd w:id="397"/>
    </w:p>
    <w:p w14:paraId="35BCC48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无其它需要说明的事项。</w:t>
      </w:r>
    </w:p>
    <w:p w14:paraId="1A5D20FF">
      <w:pPr>
        <w:pStyle w:val="258"/>
        <w:tabs>
          <w:tab w:val="center" w:pos="4201"/>
          <w:tab w:val="right" w:leader="dot" w:pos="9298"/>
        </w:tabs>
        <w:spacing w:line="300" w:lineRule="auto"/>
        <w:ind w:firstLine="420" w:firstLineChars="150"/>
        <w:jc w:val="center"/>
        <w:outlineLvl w:val="0"/>
        <w:rPr>
          <w:rFonts w:ascii="Times New Roman" w:eastAsia="黑体"/>
          <w:color w:val="000000"/>
          <w:sz w:val="28"/>
          <w:szCs w:val="28"/>
        </w:rPr>
      </w:pPr>
      <w:bookmarkStart w:id="398" w:name="_Toc87516197"/>
    </w:p>
    <w:p w14:paraId="2C42F3A8">
      <w:pPr>
        <w:pStyle w:val="258"/>
        <w:tabs>
          <w:tab w:val="center" w:pos="4201"/>
          <w:tab w:val="right" w:leader="dot" w:pos="9298"/>
        </w:tabs>
        <w:spacing w:line="300" w:lineRule="auto"/>
        <w:ind w:firstLine="420" w:firstLineChars="150"/>
        <w:jc w:val="center"/>
        <w:outlineLvl w:val="0"/>
        <w:rPr>
          <w:rFonts w:ascii="Times New Roman" w:eastAsia="黑体"/>
          <w:color w:val="000000"/>
          <w:sz w:val="28"/>
          <w:szCs w:val="28"/>
        </w:rPr>
      </w:pPr>
    </w:p>
    <w:p w14:paraId="7C711FA9">
      <w:pPr>
        <w:pStyle w:val="258"/>
        <w:tabs>
          <w:tab w:val="center" w:pos="4201"/>
          <w:tab w:val="right" w:leader="dot" w:pos="9298"/>
        </w:tabs>
        <w:spacing w:line="300" w:lineRule="auto"/>
        <w:ind w:firstLine="420" w:firstLineChars="150"/>
        <w:jc w:val="center"/>
        <w:outlineLvl w:val="0"/>
        <w:rPr>
          <w:rFonts w:ascii="Times New Roman" w:eastAsia="黑体"/>
          <w:color w:val="000000"/>
          <w:sz w:val="28"/>
          <w:szCs w:val="28"/>
        </w:rPr>
      </w:pPr>
    </w:p>
    <w:p w14:paraId="088E24A1">
      <w:pPr>
        <w:pStyle w:val="258"/>
        <w:tabs>
          <w:tab w:val="center" w:pos="4201"/>
          <w:tab w:val="right" w:leader="dot" w:pos="9298"/>
        </w:tabs>
        <w:spacing w:line="300" w:lineRule="auto"/>
        <w:ind w:firstLine="420" w:firstLineChars="150"/>
        <w:jc w:val="center"/>
        <w:outlineLvl w:val="0"/>
        <w:rPr>
          <w:rFonts w:ascii="Times New Roman" w:eastAsia="黑体"/>
          <w:color w:val="000000"/>
          <w:sz w:val="28"/>
          <w:szCs w:val="28"/>
        </w:rPr>
      </w:pPr>
    </w:p>
    <w:p w14:paraId="06163BED">
      <w:pPr>
        <w:pStyle w:val="258"/>
        <w:tabs>
          <w:tab w:val="center" w:pos="4201"/>
          <w:tab w:val="right" w:leader="dot" w:pos="9298"/>
        </w:tabs>
        <w:spacing w:line="300" w:lineRule="auto"/>
        <w:ind w:firstLine="420" w:firstLineChars="150"/>
        <w:jc w:val="center"/>
        <w:outlineLvl w:val="0"/>
        <w:rPr>
          <w:rFonts w:ascii="Times New Roman" w:eastAsia="黑体"/>
          <w:color w:val="000000"/>
          <w:sz w:val="28"/>
          <w:szCs w:val="28"/>
        </w:rPr>
      </w:pPr>
    </w:p>
    <w:p w14:paraId="4EDE9688">
      <w:pPr>
        <w:pStyle w:val="258"/>
        <w:tabs>
          <w:tab w:val="center" w:pos="4201"/>
          <w:tab w:val="right" w:leader="dot" w:pos="9298"/>
        </w:tabs>
        <w:spacing w:line="300" w:lineRule="auto"/>
        <w:ind w:firstLine="420" w:firstLineChars="150"/>
        <w:jc w:val="center"/>
        <w:outlineLvl w:val="0"/>
        <w:rPr>
          <w:rFonts w:ascii="Times New Roman" w:eastAsia="黑体"/>
          <w:color w:val="000000"/>
          <w:sz w:val="28"/>
          <w:szCs w:val="28"/>
        </w:rPr>
      </w:pPr>
    </w:p>
    <w:p w14:paraId="1269C759">
      <w:pPr>
        <w:pStyle w:val="258"/>
        <w:tabs>
          <w:tab w:val="center" w:pos="4201"/>
          <w:tab w:val="right" w:leader="dot" w:pos="9298"/>
        </w:tabs>
        <w:spacing w:line="300" w:lineRule="auto"/>
        <w:ind w:firstLine="420" w:firstLineChars="150"/>
        <w:jc w:val="center"/>
        <w:outlineLvl w:val="0"/>
        <w:rPr>
          <w:rFonts w:ascii="Times New Roman" w:eastAsia="黑体"/>
          <w:color w:val="000000"/>
          <w:sz w:val="28"/>
          <w:szCs w:val="28"/>
        </w:rPr>
      </w:pPr>
    </w:p>
    <w:p w14:paraId="2AB51FA2">
      <w:pPr>
        <w:pStyle w:val="258"/>
        <w:tabs>
          <w:tab w:val="center" w:pos="4201"/>
          <w:tab w:val="right" w:leader="dot" w:pos="9298"/>
        </w:tabs>
        <w:spacing w:line="300" w:lineRule="auto"/>
        <w:ind w:firstLine="420" w:firstLineChars="150"/>
        <w:jc w:val="center"/>
        <w:outlineLvl w:val="0"/>
        <w:rPr>
          <w:rFonts w:ascii="Times New Roman" w:eastAsia="黑体"/>
          <w:color w:val="000000"/>
          <w:sz w:val="28"/>
          <w:szCs w:val="28"/>
        </w:rPr>
      </w:pPr>
    </w:p>
    <w:p w14:paraId="08243893">
      <w:pPr>
        <w:pStyle w:val="258"/>
        <w:tabs>
          <w:tab w:val="center" w:pos="4201"/>
          <w:tab w:val="right" w:leader="dot" w:pos="9298"/>
        </w:tabs>
        <w:spacing w:line="300" w:lineRule="auto"/>
        <w:ind w:firstLine="420" w:firstLineChars="150"/>
        <w:jc w:val="center"/>
        <w:outlineLvl w:val="0"/>
        <w:rPr>
          <w:rFonts w:ascii="Times New Roman" w:eastAsia="黑体"/>
          <w:color w:val="000000"/>
          <w:sz w:val="28"/>
          <w:szCs w:val="28"/>
        </w:rPr>
      </w:pPr>
      <w:r>
        <w:rPr>
          <w:rFonts w:ascii="Times New Roman" w:eastAsia="黑体"/>
          <w:color w:val="000000"/>
          <w:sz w:val="28"/>
          <w:szCs w:val="28"/>
        </w:rPr>
        <w:t>附件：《海上固定平台安全规范》条款说明</w:t>
      </w:r>
      <w:bookmarkEnd w:id="398"/>
    </w:p>
    <w:tbl>
      <w:tblPr>
        <w:tblStyle w:val="88"/>
        <w:tblW w:w="899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6"/>
        <w:gridCol w:w="1172"/>
        <w:gridCol w:w="2725"/>
        <w:gridCol w:w="4401"/>
      </w:tblGrid>
      <w:tr w14:paraId="2DD44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blHeader/>
        </w:trPr>
        <w:tc>
          <w:tcPr>
            <w:tcW w:w="696" w:type="dxa"/>
            <w:vAlign w:val="center"/>
          </w:tcPr>
          <w:p w14:paraId="09622071">
            <w:pPr>
              <w:jc w:val="center"/>
              <w:rPr>
                <w:szCs w:val="21"/>
              </w:rPr>
            </w:pPr>
            <w:r>
              <w:rPr>
                <w:szCs w:val="21"/>
              </w:rPr>
              <w:t>序号</w:t>
            </w:r>
          </w:p>
        </w:tc>
        <w:tc>
          <w:tcPr>
            <w:tcW w:w="1172" w:type="dxa"/>
            <w:vAlign w:val="center"/>
          </w:tcPr>
          <w:p w14:paraId="3DF8295C">
            <w:pPr>
              <w:jc w:val="center"/>
              <w:rPr>
                <w:szCs w:val="21"/>
              </w:rPr>
            </w:pPr>
            <w:r>
              <w:rPr>
                <w:szCs w:val="21"/>
              </w:rPr>
              <w:t>条款号</w:t>
            </w:r>
          </w:p>
        </w:tc>
        <w:tc>
          <w:tcPr>
            <w:tcW w:w="2725" w:type="dxa"/>
            <w:vAlign w:val="center"/>
          </w:tcPr>
          <w:p w14:paraId="5C19875B">
            <w:pPr>
              <w:jc w:val="center"/>
              <w:rPr>
                <w:szCs w:val="21"/>
              </w:rPr>
            </w:pPr>
            <w:r>
              <w:rPr>
                <w:szCs w:val="21"/>
              </w:rPr>
              <w:t>条款内容</w:t>
            </w:r>
          </w:p>
        </w:tc>
        <w:tc>
          <w:tcPr>
            <w:tcW w:w="4401" w:type="dxa"/>
            <w:vAlign w:val="center"/>
          </w:tcPr>
          <w:p w14:paraId="5127B5C8">
            <w:pPr>
              <w:jc w:val="center"/>
              <w:rPr>
                <w:szCs w:val="21"/>
              </w:rPr>
            </w:pPr>
            <w:r>
              <w:rPr>
                <w:szCs w:val="21"/>
              </w:rPr>
              <w:t>依据</w:t>
            </w:r>
          </w:p>
        </w:tc>
      </w:tr>
      <w:tr w14:paraId="2DEA5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8994" w:type="dxa"/>
            <w:gridSpan w:val="4"/>
            <w:vAlign w:val="center"/>
          </w:tcPr>
          <w:p w14:paraId="0BA2DEBB">
            <w:pPr>
              <w:jc w:val="center"/>
              <w:rPr>
                <w:szCs w:val="21"/>
              </w:rPr>
            </w:pPr>
            <w:r>
              <w:rPr>
                <w:szCs w:val="21"/>
              </w:rPr>
              <w:t>平台布置</w:t>
            </w:r>
          </w:p>
        </w:tc>
      </w:tr>
      <w:tr w14:paraId="419F9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696" w:type="dxa"/>
          </w:tcPr>
          <w:p w14:paraId="2FDB50AC">
            <w:pPr>
              <w:numPr>
                <w:ilvl w:val="0"/>
                <w:numId w:val="132"/>
              </w:numPr>
              <w:jc w:val="center"/>
              <w:rPr>
                <w:szCs w:val="21"/>
              </w:rPr>
            </w:pPr>
          </w:p>
        </w:tc>
        <w:tc>
          <w:tcPr>
            <w:tcW w:w="1172" w:type="dxa"/>
          </w:tcPr>
          <w:p w14:paraId="11AD3EB3">
            <w:pPr>
              <w:jc w:val="center"/>
              <w:rPr>
                <w:szCs w:val="21"/>
              </w:rPr>
            </w:pPr>
            <w:r>
              <w:rPr>
                <w:szCs w:val="21"/>
              </w:rPr>
              <w:t>6.1</w:t>
            </w:r>
          </w:p>
        </w:tc>
        <w:tc>
          <w:tcPr>
            <w:tcW w:w="2725" w:type="dxa"/>
          </w:tcPr>
          <w:p w14:paraId="252AB224">
            <w:pPr>
              <w:jc w:val="center"/>
              <w:rPr>
                <w:szCs w:val="21"/>
              </w:rPr>
            </w:pPr>
            <w:r>
              <w:rPr>
                <w:szCs w:val="21"/>
              </w:rPr>
              <w:t>一般规定</w:t>
            </w:r>
          </w:p>
        </w:tc>
        <w:tc>
          <w:tcPr>
            <w:tcW w:w="4401" w:type="dxa"/>
          </w:tcPr>
          <w:p w14:paraId="63F261BE">
            <w:pPr>
              <w:jc w:val="left"/>
              <w:rPr>
                <w:szCs w:val="21"/>
              </w:rPr>
            </w:pPr>
            <w:r>
              <w:rPr>
                <w:szCs w:val="21"/>
              </w:rPr>
              <w:t>依据《海上固定平台安全规则》2.1.1条款，根据后续条款的具体内容补全调整。</w:t>
            </w:r>
          </w:p>
        </w:tc>
      </w:tr>
      <w:tr w14:paraId="7B4F0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696" w:type="dxa"/>
          </w:tcPr>
          <w:p w14:paraId="4C55907C">
            <w:pPr>
              <w:numPr>
                <w:ilvl w:val="0"/>
                <w:numId w:val="132"/>
              </w:numPr>
              <w:jc w:val="center"/>
              <w:rPr>
                <w:szCs w:val="21"/>
              </w:rPr>
            </w:pPr>
          </w:p>
        </w:tc>
        <w:tc>
          <w:tcPr>
            <w:tcW w:w="1172" w:type="dxa"/>
          </w:tcPr>
          <w:p w14:paraId="1FC3931A">
            <w:pPr>
              <w:jc w:val="center"/>
              <w:rPr>
                <w:szCs w:val="21"/>
              </w:rPr>
            </w:pPr>
            <w:r>
              <w:rPr>
                <w:szCs w:val="21"/>
              </w:rPr>
              <w:t>6.2</w:t>
            </w:r>
          </w:p>
        </w:tc>
        <w:tc>
          <w:tcPr>
            <w:tcW w:w="2725" w:type="dxa"/>
          </w:tcPr>
          <w:p w14:paraId="12D78B5D">
            <w:pPr>
              <w:jc w:val="center"/>
              <w:rPr>
                <w:szCs w:val="21"/>
              </w:rPr>
            </w:pPr>
            <w:r>
              <w:rPr>
                <w:szCs w:val="21"/>
              </w:rPr>
              <w:t>布置原则</w:t>
            </w:r>
          </w:p>
        </w:tc>
        <w:tc>
          <w:tcPr>
            <w:tcW w:w="4401" w:type="dxa"/>
          </w:tcPr>
          <w:p w14:paraId="10BD9392">
            <w:pPr>
              <w:jc w:val="left"/>
              <w:rPr>
                <w:szCs w:val="21"/>
              </w:rPr>
            </w:pPr>
            <w:r>
              <w:rPr>
                <w:szCs w:val="21"/>
              </w:rPr>
              <w:t>依据《海上固定平台安全规则》2.3.1和2.3.3条款，并根据海上固定平台设计经验与时俱进</w:t>
            </w:r>
          </w:p>
        </w:tc>
      </w:tr>
      <w:tr w14:paraId="14849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696" w:type="dxa"/>
          </w:tcPr>
          <w:p w14:paraId="6A0F4276">
            <w:pPr>
              <w:numPr>
                <w:ilvl w:val="0"/>
                <w:numId w:val="132"/>
              </w:numPr>
              <w:jc w:val="center"/>
              <w:rPr>
                <w:szCs w:val="21"/>
              </w:rPr>
            </w:pPr>
          </w:p>
        </w:tc>
        <w:tc>
          <w:tcPr>
            <w:tcW w:w="1172" w:type="dxa"/>
          </w:tcPr>
          <w:p w14:paraId="2F9DBB63">
            <w:pPr>
              <w:jc w:val="center"/>
              <w:rPr>
                <w:szCs w:val="21"/>
              </w:rPr>
            </w:pPr>
            <w:r>
              <w:rPr>
                <w:szCs w:val="21"/>
              </w:rPr>
              <w:t>6.2.3</w:t>
            </w:r>
          </w:p>
        </w:tc>
        <w:tc>
          <w:tcPr>
            <w:tcW w:w="2725" w:type="dxa"/>
          </w:tcPr>
          <w:p w14:paraId="0BB7A2A9">
            <w:pPr>
              <w:rPr>
                <w:szCs w:val="21"/>
              </w:rPr>
            </w:pPr>
            <w:r>
              <w:rPr>
                <w:szCs w:val="21"/>
              </w:rPr>
              <w:t>平台最下层甲板底高程应处于设计环境条件时潮汐与波浪最不利组合情况下的最大波峰高程以上，并留有至少1.5米的间隙。</w:t>
            </w:r>
          </w:p>
        </w:tc>
        <w:tc>
          <w:tcPr>
            <w:tcW w:w="4401" w:type="dxa"/>
          </w:tcPr>
          <w:p w14:paraId="7026EDB3">
            <w:pPr>
              <w:jc w:val="left"/>
              <w:rPr>
                <w:szCs w:val="21"/>
              </w:rPr>
            </w:pPr>
            <w:r>
              <w:rPr>
                <w:szCs w:val="21"/>
              </w:rPr>
              <w:t>依据《海上固定平台安全规则》2.3.2条款，并根据海上固定平台设计经验与时俱进</w:t>
            </w:r>
          </w:p>
        </w:tc>
      </w:tr>
      <w:tr w14:paraId="65E5F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696" w:type="dxa"/>
          </w:tcPr>
          <w:p w14:paraId="1C0EE07A">
            <w:pPr>
              <w:numPr>
                <w:ilvl w:val="0"/>
                <w:numId w:val="132"/>
              </w:numPr>
              <w:jc w:val="center"/>
              <w:rPr>
                <w:szCs w:val="21"/>
              </w:rPr>
            </w:pPr>
          </w:p>
        </w:tc>
        <w:tc>
          <w:tcPr>
            <w:tcW w:w="1172" w:type="dxa"/>
          </w:tcPr>
          <w:p w14:paraId="65D9F251">
            <w:pPr>
              <w:jc w:val="center"/>
              <w:rPr>
                <w:szCs w:val="21"/>
              </w:rPr>
            </w:pPr>
            <w:r>
              <w:rPr>
                <w:szCs w:val="21"/>
              </w:rPr>
              <w:t>6.3.1</w:t>
            </w:r>
          </w:p>
        </w:tc>
        <w:tc>
          <w:tcPr>
            <w:tcW w:w="2725" w:type="dxa"/>
          </w:tcPr>
          <w:p w14:paraId="77D88660">
            <w:pPr>
              <w:pStyle w:val="326"/>
              <w:numPr>
                <w:ilvl w:val="0"/>
                <w:numId w:val="0"/>
              </w:numPr>
              <w:rPr>
                <w:rFonts w:ascii="Times New Roman"/>
                <w:kern w:val="2"/>
              </w:rPr>
            </w:pPr>
            <w:r>
              <w:rPr>
                <w:rFonts w:ascii="Times New Roman"/>
                <w:kern w:val="2"/>
              </w:rPr>
              <w:t>井口区应布置在有良好通风的区域。</w:t>
            </w:r>
          </w:p>
        </w:tc>
        <w:tc>
          <w:tcPr>
            <w:tcW w:w="4401" w:type="dxa"/>
          </w:tcPr>
          <w:p w14:paraId="7EDADA68">
            <w:pPr>
              <w:jc w:val="left"/>
              <w:rPr>
                <w:szCs w:val="21"/>
              </w:rPr>
            </w:pPr>
            <w:r>
              <w:rPr>
                <w:szCs w:val="21"/>
              </w:rPr>
              <w:t>依据《海上固定平台安全规则》2.3.5条款，并根据海上固定平台设计经验与时俱进</w:t>
            </w:r>
          </w:p>
        </w:tc>
      </w:tr>
      <w:tr w14:paraId="6B671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696" w:type="dxa"/>
          </w:tcPr>
          <w:p w14:paraId="49A30A78">
            <w:pPr>
              <w:numPr>
                <w:ilvl w:val="0"/>
                <w:numId w:val="132"/>
              </w:numPr>
              <w:jc w:val="center"/>
              <w:rPr>
                <w:szCs w:val="21"/>
              </w:rPr>
            </w:pPr>
          </w:p>
        </w:tc>
        <w:tc>
          <w:tcPr>
            <w:tcW w:w="1172" w:type="dxa"/>
          </w:tcPr>
          <w:p w14:paraId="534D1777">
            <w:pPr>
              <w:jc w:val="center"/>
              <w:rPr>
                <w:szCs w:val="21"/>
              </w:rPr>
            </w:pPr>
            <w:r>
              <w:rPr>
                <w:szCs w:val="21"/>
              </w:rPr>
              <w:t>6.4.3</w:t>
            </w:r>
          </w:p>
        </w:tc>
        <w:tc>
          <w:tcPr>
            <w:tcW w:w="2725" w:type="dxa"/>
          </w:tcPr>
          <w:p w14:paraId="103CB348">
            <w:pPr>
              <w:pStyle w:val="326"/>
              <w:numPr>
                <w:ilvl w:val="0"/>
                <w:numId w:val="0"/>
              </w:numPr>
              <w:rPr>
                <w:rFonts w:ascii="Times New Roman"/>
                <w:kern w:val="2"/>
              </w:rPr>
            </w:pPr>
            <w:r>
              <w:rPr>
                <w:rFonts w:ascii="Times New Roman"/>
                <w:kern w:val="2"/>
              </w:rPr>
              <w:t>消防泵的布置应保证在平台上任何一个处所失火时，不致使所要求的消防泵同时失去作用。</w:t>
            </w:r>
          </w:p>
        </w:tc>
        <w:tc>
          <w:tcPr>
            <w:tcW w:w="4401" w:type="dxa"/>
          </w:tcPr>
          <w:p w14:paraId="220C0E4A">
            <w:pPr>
              <w:jc w:val="left"/>
              <w:rPr>
                <w:szCs w:val="21"/>
              </w:rPr>
            </w:pPr>
            <w:r>
              <w:rPr>
                <w:szCs w:val="21"/>
              </w:rPr>
              <w:t>依据《海上固定平台安全规则》14.3.2.1条款，并根据海上固定平台设计经验与时俱进</w:t>
            </w:r>
          </w:p>
        </w:tc>
      </w:tr>
      <w:tr w14:paraId="49CA6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696" w:type="dxa"/>
          </w:tcPr>
          <w:p w14:paraId="4E4BE3E6">
            <w:pPr>
              <w:numPr>
                <w:ilvl w:val="0"/>
                <w:numId w:val="132"/>
              </w:numPr>
              <w:jc w:val="center"/>
              <w:rPr>
                <w:szCs w:val="21"/>
              </w:rPr>
            </w:pPr>
          </w:p>
        </w:tc>
        <w:tc>
          <w:tcPr>
            <w:tcW w:w="1172" w:type="dxa"/>
          </w:tcPr>
          <w:p w14:paraId="5B4085B8">
            <w:pPr>
              <w:jc w:val="center"/>
              <w:rPr>
                <w:szCs w:val="21"/>
              </w:rPr>
            </w:pPr>
            <w:r>
              <w:rPr>
                <w:szCs w:val="21"/>
              </w:rPr>
              <w:t>6.5.1</w:t>
            </w:r>
          </w:p>
        </w:tc>
        <w:tc>
          <w:tcPr>
            <w:tcW w:w="2725" w:type="dxa"/>
          </w:tcPr>
          <w:p w14:paraId="05FC89EE">
            <w:pPr>
              <w:pStyle w:val="326"/>
              <w:numPr>
                <w:ilvl w:val="3"/>
                <w:numId w:val="0"/>
              </w:numPr>
              <w:rPr>
                <w:rFonts w:ascii="Times New Roman"/>
                <w:kern w:val="2"/>
              </w:rPr>
            </w:pPr>
            <w:r>
              <w:rPr>
                <w:rFonts w:ascii="Times New Roman"/>
                <w:kern w:val="2"/>
              </w:rPr>
              <w:t>应急电源和应急开关柜的处所应易于直接从开敞甲板到达。应急发电机与应急开关柜应布置在同一处所。</w:t>
            </w:r>
          </w:p>
        </w:tc>
        <w:tc>
          <w:tcPr>
            <w:tcW w:w="4401" w:type="dxa"/>
          </w:tcPr>
          <w:p w14:paraId="4E27DE1A">
            <w:pPr>
              <w:pStyle w:val="326"/>
              <w:numPr>
                <w:ilvl w:val="3"/>
                <w:numId w:val="0"/>
              </w:numPr>
              <w:rPr>
                <w:rFonts w:ascii="Times New Roman"/>
                <w:kern w:val="2"/>
              </w:rPr>
            </w:pPr>
            <w:r>
              <w:rPr>
                <w:rFonts w:ascii="Times New Roman"/>
                <w:kern w:val="2"/>
              </w:rPr>
              <w:t>依据《海上固定平台安全规则》9.3.5.4条款，并根据海上固定平台设计经验与时俱进</w:t>
            </w:r>
          </w:p>
        </w:tc>
      </w:tr>
      <w:tr w14:paraId="60BCC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696" w:type="dxa"/>
          </w:tcPr>
          <w:p w14:paraId="7FCE6AFC">
            <w:pPr>
              <w:numPr>
                <w:ilvl w:val="0"/>
                <w:numId w:val="132"/>
              </w:numPr>
              <w:jc w:val="center"/>
              <w:rPr>
                <w:szCs w:val="21"/>
              </w:rPr>
            </w:pPr>
          </w:p>
        </w:tc>
        <w:tc>
          <w:tcPr>
            <w:tcW w:w="1172" w:type="dxa"/>
          </w:tcPr>
          <w:p w14:paraId="523FDC7C">
            <w:pPr>
              <w:jc w:val="center"/>
              <w:rPr>
                <w:szCs w:val="21"/>
              </w:rPr>
            </w:pPr>
            <w:r>
              <w:rPr>
                <w:szCs w:val="21"/>
              </w:rPr>
              <w:t>6.6.1</w:t>
            </w:r>
          </w:p>
          <w:p w14:paraId="46E757BE">
            <w:pPr>
              <w:jc w:val="center"/>
              <w:rPr>
                <w:szCs w:val="21"/>
              </w:rPr>
            </w:pPr>
            <w:r>
              <w:rPr>
                <w:szCs w:val="21"/>
              </w:rPr>
              <w:t>6.6.2</w:t>
            </w:r>
          </w:p>
        </w:tc>
        <w:tc>
          <w:tcPr>
            <w:tcW w:w="2725" w:type="dxa"/>
          </w:tcPr>
          <w:p w14:paraId="2BA0BE26">
            <w:pPr>
              <w:jc w:val="center"/>
              <w:rPr>
                <w:szCs w:val="21"/>
              </w:rPr>
            </w:pPr>
            <w:r>
              <w:rPr>
                <w:szCs w:val="21"/>
              </w:rPr>
              <w:t>生活区的设置</w:t>
            </w:r>
          </w:p>
        </w:tc>
        <w:tc>
          <w:tcPr>
            <w:tcW w:w="4401" w:type="dxa"/>
          </w:tcPr>
          <w:p w14:paraId="633767F2">
            <w:pPr>
              <w:jc w:val="left"/>
              <w:rPr>
                <w:szCs w:val="21"/>
              </w:rPr>
            </w:pPr>
            <w:r>
              <w:rPr>
                <w:szCs w:val="21"/>
              </w:rPr>
              <w:t>依据《海上固定平台安全规则》2.3.10条款，并根据海上固定平台设计经验与时俱进</w:t>
            </w:r>
          </w:p>
        </w:tc>
      </w:tr>
      <w:tr w14:paraId="63083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696" w:type="dxa"/>
          </w:tcPr>
          <w:p w14:paraId="05E14FAA">
            <w:pPr>
              <w:numPr>
                <w:ilvl w:val="0"/>
                <w:numId w:val="132"/>
              </w:numPr>
              <w:jc w:val="center"/>
              <w:rPr>
                <w:szCs w:val="21"/>
              </w:rPr>
            </w:pPr>
          </w:p>
        </w:tc>
        <w:tc>
          <w:tcPr>
            <w:tcW w:w="1172" w:type="dxa"/>
          </w:tcPr>
          <w:p w14:paraId="0E96EBB4">
            <w:pPr>
              <w:jc w:val="center"/>
              <w:rPr>
                <w:szCs w:val="21"/>
              </w:rPr>
            </w:pPr>
            <w:r>
              <w:rPr>
                <w:szCs w:val="21"/>
              </w:rPr>
              <w:t>6.7.1</w:t>
            </w:r>
          </w:p>
          <w:p w14:paraId="31220678">
            <w:pPr>
              <w:jc w:val="center"/>
              <w:rPr>
                <w:szCs w:val="21"/>
              </w:rPr>
            </w:pPr>
          </w:p>
        </w:tc>
        <w:tc>
          <w:tcPr>
            <w:tcW w:w="2725" w:type="dxa"/>
          </w:tcPr>
          <w:p w14:paraId="39DB1E3D">
            <w:pPr>
              <w:jc w:val="center"/>
              <w:rPr>
                <w:szCs w:val="21"/>
              </w:rPr>
            </w:pPr>
            <w:r>
              <w:rPr>
                <w:szCs w:val="21"/>
              </w:rPr>
              <w:t>起重机及卸货区</w:t>
            </w:r>
          </w:p>
        </w:tc>
        <w:tc>
          <w:tcPr>
            <w:tcW w:w="4401" w:type="dxa"/>
          </w:tcPr>
          <w:p w14:paraId="285DE2B7">
            <w:pPr>
              <w:jc w:val="left"/>
              <w:rPr>
                <w:szCs w:val="21"/>
              </w:rPr>
            </w:pPr>
            <w:r>
              <w:rPr>
                <w:szCs w:val="21"/>
              </w:rPr>
              <w:t>依据《海上固定平台安全规则》8.1.2条款，并根据海上固定平台设计经验与时俱进</w:t>
            </w:r>
          </w:p>
        </w:tc>
      </w:tr>
      <w:tr w14:paraId="731D7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696" w:type="dxa"/>
          </w:tcPr>
          <w:p w14:paraId="458B2EC5">
            <w:pPr>
              <w:numPr>
                <w:ilvl w:val="0"/>
                <w:numId w:val="132"/>
              </w:numPr>
              <w:jc w:val="center"/>
              <w:rPr>
                <w:szCs w:val="21"/>
              </w:rPr>
            </w:pPr>
          </w:p>
        </w:tc>
        <w:tc>
          <w:tcPr>
            <w:tcW w:w="1172" w:type="dxa"/>
          </w:tcPr>
          <w:p w14:paraId="49B25D22">
            <w:pPr>
              <w:jc w:val="center"/>
              <w:rPr>
                <w:szCs w:val="21"/>
              </w:rPr>
            </w:pPr>
            <w:r>
              <w:rPr>
                <w:szCs w:val="21"/>
              </w:rPr>
              <w:t>6.7.3</w:t>
            </w:r>
          </w:p>
          <w:p w14:paraId="5A22711F">
            <w:pPr>
              <w:jc w:val="center"/>
              <w:rPr>
                <w:szCs w:val="21"/>
              </w:rPr>
            </w:pPr>
          </w:p>
        </w:tc>
        <w:tc>
          <w:tcPr>
            <w:tcW w:w="2725" w:type="dxa"/>
          </w:tcPr>
          <w:p w14:paraId="1E7BEEC3">
            <w:pPr>
              <w:rPr>
                <w:szCs w:val="21"/>
              </w:rPr>
            </w:pPr>
            <w:r>
              <w:rPr>
                <w:szCs w:val="21"/>
              </w:rPr>
              <w:t>直升机甲板应布置在火炬或发电机等设备排出的高温烟气影响较小的位置。</w:t>
            </w:r>
          </w:p>
          <w:p w14:paraId="1FCFFB2B">
            <w:pPr>
              <w:rPr>
                <w:szCs w:val="21"/>
              </w:rPr>
            </w:pPr>
            <w:r>
              <w:rPr>
                <w:szCs w:val="21"/>
              </w:rPr>
              <w:t>对于用栈桥连接的平台群，可在其中的一个平台上设直升机甲板。</w:t>
            </w:r>
          </w:p>
        </w:tc>
        <w:tc>
          <w:tcPr>
            <w:tcW w:w="4401" w:type="dxa"/>
          </w:tcPr>
          <w:p w14:paraId="7DFBAAAD">
            <w:pPr>
              <w:jc w:val="left"/>
              <w:rPr>
                <w:szCs w:val="21"/>
              </w:rPr>
            </w:pPr>
            <w:r>
              <w:rPr>
                <w:szCs w:val="21"/>
              </w:rPr>
              <w:t>依据《海上固定平台安全规则》2.3.9条款，并根据海上固定平台设计经验与时俱进</w:t>
            </w:r>
          </w:p>
        </w:tc>
      </w:tr>
      <w:tr w14:paraId="610EC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696" w:type="dxa"/>
          </w:tcPr>
          <w:p w14:paraId="02D43936">
            <w:pPr>
              <w:numPr>
                <w:ilvl w:val="0"/>
                <w:numId w:val="132"/>
              </w:numPr>
              <w:jc w:val="center"/>
              <w:rPr>
                <w:szCs w:val="21"/>
              </w:rPr>
            </w:pPr>
          </w:p>
        </w:tc>
        <w:tc>
          <w:tcPr>
            <w:tcW w:w="1172" w:type="dxa"/>
          </w:tcPr>
          <w:p w14:paraId="19884B3A">
            <w:pPr>
              <w:jc w:val="center"/>
              <w:rPr>
                <w:szCs w:val="21"/>
              </w:rPr>
            </w:pPr>
            <w:r>
              <w:rPr>
                <w:szCs w:val="21"/>
              </w:rPr>
              <w:t>6.7.6</w:t>
            </w:r>
          </w:p>
        </w:tc>
        <w:tc>
          <w:tcPr>
            <w:tcW w:w="2725" w:type="dxa"/>
          </w:tcPr>
          <w:p w14:paraId="3F504BC2">
            <w:pPr>
              <w:jc w:val="center"/>
              <w:rPr>
                <w:szCs w:val="21"/>
              </w:rPr>
            </w:pPr>
            <w:r>
              <w:rPr>
                <w:szCs w:val="21"/>
              </w:rPr>
              <w:t>无人驻守平台</w:t>
            </w:r>
          </w:p>
        </w:tc>
        <w:tc>
          <w:tcPr>
            <w:tcW w:w="4401" w:type="dxa"/>
          </w:tcPr>
          <w:p w14:paraId="58C5401B">
            <w:pPr>
              <w:jc w:val="left"/>
              <w:rPr>
                <w:szCs w:val="21"/>
              </w:rPr>
            </w:pPr>
            <w:r>
              <w:rPr>
                <w:szCs w:val="21"/>
              </w:rPr>
              <w:t>依据《海上固定平台安全规则》2.3.11条款</w:t>
            </w:r>
          </w:p>
        </w:tc>
      </w:tr>
      <w:tr w14:paraId="3FAFB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8994" w:type="dxa"/>
            <w:gridSpan w:val="4"/>
          </w:tcPr>
          <w:p w14:paraId="59DD775C">
            <w:pPr>
              <w:jc w:val="center"/>
              <w:rPr>
                <w:szCs w:val="21"/>
              </w:rPr>
            </w:pPr>
            <w:r>
              <w:rPr>
                <w:szCs w:val="21"/>
              </w:rPr>
              <w:t>平台结构</w:t>
            </w:r>
          </w:p>
        </w:tc>
      </w:tr>
      <w:tr w14:paraId="10B9C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696" w:type="dxa"/>
          </w:tcPr>
          <w:p w14:paraId="63D3F14E">
            <w:pPr>
              <w:numPr>
                <w:ilvl w:val="0"/>
                <w:numId w:val="132"/>
              </w:numPr>
              <w:jc w:val="center"/>
              <w:rPr>
                <w:szCs w:val="21"/>
              </w:rPr>
            </w:pPr>
          </w:p>
        </w:tc>
        <w:tc>
          <w:tcPr>
            <w:tcW w:w="1172" w:type="dxa"/>
          </w:tcPr>
          <w:p w14:paraId="03BDC32C">
            <w:pPr>
              <w:jc w:val="center"/>
              <w:rPr>
                <w:szCs w:val="21"/>
              </w:rPr>
            </w:pPr>
            <w:r>
              <w:rPr>
                <w:szCs w:val="21"/>
              </w:rPr>
              <w:t>7.1</w:t>
            </w:r>
          </w:p>
        </w:tc>
        <w:tc>
          <w:tcPr>
            <w:tcW w:w="2725" w:type="dxa"/>
          </w:tcPr>
          <w:p w14:paraId="6DF4BC0C">
            <w:pPr>
              <w:jc w:val="center"/>
              <w:rPr>
                <w:szCs w:val="21"/>
              </w:rPr>
            </w:pPr>
            <w:r>
              <w:rPr>
                <w:szCs w:val="21"/>
              </w:rPr>
              <w:t>一般规定</w:t>
            </w:r>
          </w:p>
        </w:tc>
        <w:tc>
          <w:tcPr>
            <w:tcW w:w="4401" w:type="dxa"/>
          </w:tcPr>
          <w:p w14:paraId="1FC80B46">
            <w:pPr>
              <w:jc w:val="left"/>
              <w:rPr>
                <w:szCs w:val="21"/>
              </w:rPr>
            </w:pPr>
            <w:r>
              <w:rPr>
                <w:szCs w:val="21"/>
              </w:rPr>
              <w:t>固定平台结构根据实践包括下部结构、上部结构和附属构件，例如靠船件，登船平台、立管护管，电缆护管等。目前固定平台设计采用商业软件进行，并采用相关标准和规范进行设计分析，因此设计软件应是可靠的并被广泛认可的，计算分析应符合被认可的规范。</w:t>
            </w:r>
          </w:p>
        </w:tc>
      </w:tr>
      <w:tr w14:paraId="309E2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696" w:type="dxa"/>
          </w:tcPr>
          <w:p w14:paraId="2F63DBF8">
            <w:pPr>
              <w:numPr>
                <w:ilvl w:val="0"/>
                <w:numId w:val="132"/>
              </w:numPr>
              <w:jc w:val="center"/>
              <w:rPr>
                <w:szCs w:val="21"/>
              </w:rPr>
            </w:pPr>
          </w:p>
        </w:tc>
        <w:tc>
          <w:tcPr>
            <w:tcW w:w="1172" w:type="dxa"/>
          </w:tcPr>
          <w:p w14:paraId="6D8266B6">
            <w:pPr>
              <w:jc w:val="center"/>
              <w:rPr>
                <w:szCs w:val="21"/>
              </w:rPr>
            </w:pPr>
            <w:r>
              <w:rPr>
                <w:szCs w:val="21"/>
              </w:rPr>
              <w:t>7.2</w:t>
            </w:r>
          </w:p>
        </w:tc>
        <w:tc>
          <w:tcPr>
            <w:tcW w:w="2725" w:type="dxa"/>
          </w:tcPr>
          <w:p w14:paraId="2E381AE5">
            <w:pPr>
              <w:jc w:val="center"/>
              <w:rPr>
                <w:szCs w:val="21"/>
              </w:rPr>
            </w:pPr>
            <w:r>
              <w:rPr>
                <w:szCs w:val="21"/>
              </w:rPr>
              <w:t>设计基础</w:t>
            </w:r>
          </w:p>
        </w:tc>
        <w:tc>
          <w:tcPr>
            <w:tcW w:w="4401" w:type="dxa"/>
          </w:tcPr>
          <w:p w14:paraId="1F751DB1">
            <w:pPr>
              <w:jc w:val="left"/>
              <w:rPr>
                <w:szCs w:val="21"/>
              </w:rPr>
            </w:pPr>
            <w:r>
              <w:rPr>
                <w:szCs w:val="21"/>
              </w:rPr>
              <w:t>设计基础主要是指环境条件和场址土壤情况。设计环境条件和土壤资料是固定平台结构设计输入的重要参数，因此相关数据的获得准确性和平台的安全息息相关。</w:t>
            </w:r>
          </w:p>
        </w:tc>
      </w:tr>
      <w:tr w14:paraId="79CC0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696" w:type="dxa"/>
          </w:tcPr>
          <w:p w14:paraId="03380241">
            <w:pPr>
              <w:numPr>
                <w:ilvl w:val="0"/>
                <w:numId w:val="132"/>
              </w:numPr>
              <w:jc w:val="center"/>
              <w:rPr>
                <w:szCs w:val="21"/>
              </w:rPr>
            </w:pPr>
          </w:p>
        </w:tc>
        <w:tc>
          <w:tcPr>
            <w:tcW w:w="1172" w:type="dxa"/>
          </w:tcPr>
          <w:p w14:paraId="531F5885">
            <w:pPr>
              <w:jc w:val="center"/>
              <w:rPr>
                <w:szCs w:val="21"/>
              </w:rPr>
            </w:pPr>
            <w:r>
              <w:rPr>
                <w:szCs w:val="21"/>
              </w:rPr>
              <w:t>7.3</w:t>
            </w:r>
          </w:p>
        </w:tc>
        <w:tc>
          <w:tcPr>
            <w:tcW w:w="2725" w:type="dxa"/>
          </w:tcPr>
          <w:p w14:paraId="6F4136E3">
            <w:pPr>
              <w:jc w:val="center"/>
              <w:rPr>
                <w:szCs w:val="21"/>
              </w:rPr>
            </w:pPr>
            <w:r>
              <w:rPr>
                <w:szCs w:val="21"/>
              </w:rPr>
              <w:t>荷载及荷载组合</w:t>
            </w:r>
          </w:p>
        </w:tc>
        <w:tc>
          <w:tcPr>
            <w:tcW w:w="4401" w:type="dxa"/>
          </w:tcPr>
          <w:p w14:paraId="6B2C3C13">
            <w:pPr>
              <w:jc w:val="left"/>
              <w:rPr>
                <w:szCs w:val="21"/>
              </w:rPr>
            </w:pPr>
            <w:r>
              <w:rPr>
                <w:szCs w:val="21"/>
              </w:rPr>
              <w:t>平台在位和施工阶段有各种荷载作用在平台上，施加什么荷载，如何进行组合需要遵守相关规范的要求。</w:t>
            </w:r>
          </w:p>
        </w:tc>
      </w:tr>
      <w:tr w14:paraId="39B01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696" w:type="dxa"/>
          </w:tcPr>
          <w:p w14:paraId="5291DCDA">
            <w:pPr>
              <w:numPr>
                <w:ilvl w:val="0"/>
                <w:numId w:val="132"/>
              </w:numPr>
              <w:jc w:val="center"/>
              <w:rPr>
                <w:szCs w:val="21"/>
              </w:rPr>
            </w:pPr>
          </w:p>
        </w:tc>
        <w:tc>
          <w:tcPr>
            <w:tcW w:w="1172" w:type="dxa"/>
          </w:tcPr>
          <w:p w14:paraId="78603B90">
            <w:pPr>
              <w:jc w:val="center"/>
              <w:rPr>
                <w:szCs w:val="21"/>
              </w:rPr>
            </w:pPr>
            <w:r>
              <w:rPr>
                <w:szCs w:val="21"/>
              </w:rPr>
              <w:t>7.4</w:t>
            </w:r>
          </w:p>
        </w:tc>
        <w:tc>
          <w:tcPr>
            <w:tcW w:w="2725" w:type="dxa"/>
          </w:tcPr>
          <w:p w14:paraId="39699929">
            <w:pPr>
              <w:jc w:val="center"/>
              <w:rPr>
                <w:szCs w:val="21"/>
              </w:rPr>
            </w:pPr>
            <w:r>
              <w:rPr>
                <w:szCs w:val="21"/>
              </w:rPr>
              <w:t>结构分析</w:t>
            </w:r>
          </w:p>
        </w:tc>
        <w:tc>
          <w:tcPr>
            <w:tcW w:w="4401" w:type="dxa"/>
          </w:tcPr>
          <w:p w14:paraId="16EAE911">
            <w:pPr>
              <w:jc w:val="left"/>
              <w:rPr>
                <w:szCs w:val="21"/>
              </w:rPr>
            </w:pPr>
            <w:r>
              <w:rPr>
                <w:szCs w:val="21"/>
              </w:rPr>
              <w:t>包括在位分析，施工分析，局部分析</w:t>
            </w:r>
            <w:r>
              <w:rPr>
                <w:rFonts w:hint="eastAsia"/>
                <w:szCs w:val="21"/>
              </w:rPr>
              <w:t>，附属构件分析</w:t>
            </w:r>
            <w:r>
              <w:rPr>
                <w:szCs w:val="21"/>
              </w:rPr>
              <w:t>以及延寿评估等相关分析。应根据相关的标准进行施加荷载，并应用软件进行结构分析。平台结构延寿评估可以参考AQ2078-2020《老龄化海上固定式生产设施主结构安全评估导则》具体要求。</w:t>
            </w:r>
          </w:p>
        </w:tc>
      </w:tr>
      <w:tr w14:paraId="7CA02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696" w:type="dxa"/>
          </w:tcPr>
          <w:p w14:paraId="728D781B">
            <w:pPr>
              <w:numPr>
                <w:ilvl w:val="0"/>
                <w:numId w:val="132"/>
              </w:numPr>
              <w:jc w:val="center"/>
              <w:rPr>
                <w:szCs w:val="21"/>
              </w:rPr>
            </w:pPr>
          </w:p>
        </w:tc>
        <w:tc>
          <w:tcPr>
            <w:tcW w:w="1172" w:type="dxa"/>
          </w:tcPr>
          <w:p w14:paraId="5FDD7D9F">
            <w:pPr>
              <w:jc w:val="center"/>
              <w:rPr>
                <w:szCs w:val="21"/>
              </w:rPr>
            </w:pPr>
            <w:r>
              <w:rPr>
                <w:szCs w:val="21"/>
              </w:rPr>
              <w:t>7.5</w:t>
            </w:r>
          </w:p>
        </w:tc>
        <w:tc>
          <w:tcPr>
            <w:tcW w:w="2725" w:type="dxa"/>
          </w:tcPr>
          <w:p w14:paraId="374B5A08">
            <w:pPr>
              <w:jc w:val="center"/>
              <w:rPr>
                <w:szCs w:val="21"/>
              </w:rPr>
            </w:pPr>
            <w:r>
              <w:rPr>
                <w:szCs w:val="21"/>
              </w:rPr>
              <w:t>结构设计</w:t>
            </w:r>
          </w:p>
        </w:tc>
        <w:tc>
          <w:tcPr>
            <w:tcW w:w="4401" w:type="dxa"/>
          </w:tcPr>
          <w:p w14:paraId="20E27734">
            <w:pPr>
              <w:jc w:val="left"/>
              <w:rPr>
                <w:rFonts w:hint="eastAsia"/>
                <w:szCs w:val="21"/>
              </w:rPr>
            </w:pPr>
            <w:r>
              <w:rPr>
                <w:szCs w:val="21"/>
              </w:rPr>
              <w:t>结构设计应以可靠的计算分析为基础。使用的计算软件应是已为工程实际应用证明是可靠和适当的，或是由发证检验机构认可的。所有计算分析和设计使用的方法应满足所用规范、标准的要求。</w:t>
            </w:r>
            <w:r>
              <w:rPr>
                <w:rFonts w:hint="eastAsia"/>
                <w:szCs w:val="21"/>
              </w:rPr>
              <w:t>包括钢结构设计和桩基础设计两部分。</w:t>
            </w:r>
          </w:p>
          <w:p w14:paraId="6CBACDDC">
            <w:pPr>
              <w:jc w:val="left"/>
              <w:rPr>
                <w:szCs w:val="21"/>
              </w:rPr>
            </w:pPr>
            <w:r>
              <w:rPr>
                <w:szCs w:val="21"/>
              </w:rPr>
              <w:t>钢结构主要包括构件（含过渡锥体）、管节点和其他连接，对其进行相应的设计。设计原则应遵守相关规范的要求。</w:t>
            </w:r>
          </w:p>
          <w:p w14:paraId="03D9559B">
            <w:pPr>
              <w:jc w:val="left"/>
              <w:rPr>
                <w:szCs w:val="21"/>
              </w:rPr>
            </w:pPr>
            <w:r>
              <w:rPr>
                <w:szCs w:val="21"/>
              </w:rPr>
              <w:t>桩基础设计应包括在位强度分析、可打入性分析，自由站立分析、吊装分析和桩腿连接分析等。根据提供的相关参数如土壤承载力曲线、P-Y曲线、Q-Z曲线、T-Z曲线以及相关的施工资源等进行设计。设计原则应遵守相关规范的要求。</w:t>
            </w:r>
          </w:p>
        </w:tc>
      </w:tr>
      <w:tr w14:paraId="650F8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696" w:type="dxa"/>
          </w:tcPr>
          <w:p w14:paraId="25C74FFB">
            <w:pPr>
              <w:numPr>
                <w:ilvl w:val="0"/>
                <w:numId w:val="132"/>
              </w:numPr>
              <w:jc w:val="center"/>
              <w:rPr>
                <w:szCs w:val="21"/>
              </w:rPr>
            </w:pPr>
          </w:p>
        </w:tc>
        <w:tc>
          <w:tcPr>
            <w:tcW w:w="1172" w:type="dxa"/>
          </w:tcPr>
          <w:p w14:paraId="4757213C">
            <w:pPr>
              <w:jc w:val="center"/>
              <w:rPr>
                <w:szCs w:val="21"/>
              </w:rPr>
            </w:pPr>
            <w:r>
              <w:rPr>
                <w:szCs w:val="21"/>
              </w:rPr>
              <w:t>7.6</w:t>
            </w:r>
          </w:p>
        </w:tc>
        <w:tc>
          <w:tcPr>
            <w:tcW w:w="2725" w:type="dxa"/>
          </w:tcPr>
          <w:p w14:paraId="4DE8C654">
            <w:pPr>
              <w:jc w:val="center"/>
              <w:rPr>
                <w:szCs w:val="21"/>
              </w:rPr>
            </w:pPr>
            <w:r>
              <w:rPr>
                <w:szCs w:val="21"/>
              </w:rPr>
              <w:t>材料</w:t>
            </w:r>
          </w:p>
        </w:tc>
        <w:tc>
          <w:tcPr>
            <w:tcW w:w="4401" w:type="dxa"/>
          </w:tcPr>
          <w:p w14:paraId="3E2FED36">
            <w:pPr>
              <w:jc w:val="left"/>
              <w:rPr>
                <w:szCs w:val="21"/>
              </w:rPr>
            </w:pPr>
            <w:r>
              <w:rPr>
                <w:szCs w:val="21"/>
              </w:rPr>
              <w:t>用于建造平台的各种材料应满足设计要求，并有相应的措施保障材料在建造过程中的与设计要求相一致。</w:t>
            </w:r>
          </w:p>
        </w:tc>
      </w:tr>
      <w:tr w14:paraId="5DC40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696" w:type="dxa"/>
          </w:tcPr>
          <w:p w14:paraId="32FA7268">
            <w:pPr>
              <w:numPr>
                <w:ilvl w:val="0"/>
                <w:numId w:val="132"/>
              </w:numPr>
              <w:jc w:val="center"/>
              <w:rPr>
                <w:szCs w:val="21"/>
              </w:rPr>
            </w:pPr>
          </w:p>
        </w:tc>
        <w:tc>
          <w:tcPr>
            <w:tcW w:w="1172" w:type="dxa"/>
          </w:tcPr>
          <w:p w14:paraId="74B9D460">
            <w:pPr>
              <w:jc w:val="center"/>
              <w:rPr>
                <w:szCs w:val="21"/>
              </w:rPr>
            </w:pPr>
            <w:r>
              <w:rPr>
                <w:szCs w:val="21"/>
              </w:rPr>
              <w:t>7.7</w:t>
            </w:r>
          </w:p>
        </w:tc>
        <w:tc>
          <w:tcPr>
            <w:tcW w:w="2725" w:type="dxa"/>
          </w:tcPr>
          <w:p w14:paraId="1C1F24E0">
            <w:pPr>
              <w:jc w:val="center"/>
              <w:rPr>
                <w:szCs w:val="21"/>
              </w:rPr>
            </w:pPr>
            <w:r>
              <w:rPr>
                <w:szCs w:val="21"/>
              </w:rPr>
              <w:t>建造</w:t>
            </w:r>
          </w:p>
        </w:tc>
        <w:tc>
          <w:tcPr>
            <w:tcW w:w="4401" w:type="dxa"/>
          </w:tcPr>
          <w:p w14:paraId="18D2666B">
            <w:pPr>
              <w:jc w:val="left"/>
              <w:rPr>
                <w:szCs w:val="21"/>
              </w:rPr>
            </w:pPr>
            <w:r>
              <w:rPr>
                <w:szCs w:val="21"/>
              </w:rPr>
              <w:t>加工图设计及编制建造程序应符合相关的规范、标准以及设计的要求。并对加工过程、组对及总装等进行规范以满足设计要求。</w:t>
            </w:r>
          </w:p>
        </w:tc>
      </w:tr>
      <w:tr w14:paraId="4B809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696" w:type="dxa"/>
          </w:tcPr>
          <w:p w14:paraId="0E9C0680">
            <w:pPr>
              <w:numPr>
                <w:ilvl w:val="0"/>
                <w:numId w:val="132"/>
              </w:numPr>
              <w:jc w:val="center"/>
              <w:rPr>
                <w:szCs w:val="21"/>
              </w:rPr>
            </w:pPr>
          </w:p>
        </w:tc>
        <w:tc>
          <w:tcPr>
            <w:tcW w:w="1172" w:type="dxa"/>
          </w:tcPr>
          <w:p w14:paraId="506630E0">
            <w:pPr>
              <w:jc w:val="center"/>
              <w:rPr>
                <w:szCs w:val="21"/>
              </w:rPr>
            </w:pPr>
            <w:r>
              <w:rPr>
                <w:szCs w:val="21"/>
              </w:rPr>
              <w:t>7.8</w:t>
            </w:r>
          </w:p>
        </w:tc>
        <w:tc>
          <w:tcPr>
            <w:tcW w:w="2725" w:type="dxa"/>
          </w:tcPr>
          <w:p w14:paraId="6FB1F593">
            <w:pPr>
              <w:jc w:val="center"/>
              <w:rPr>
                <w:szCs w:val="21"/>
              </w:rPr>
            </w:pPr>
            <w:r>
              <w:rPr>
                <w:szCs w:val="21"/>
              </w:rPr>
              <w:t>焊接及其它连接</w:t>
            </w:r>
          </w:p>
        </w:tc>
        <w:tc>
          <w:tcPr>
            <w:tcW w:w="4401" w:type="dxa"/>
          </w:tcPr>
          <w:p w14:paraId="53392A00">
            <w:pPr>
              <w:jc w:val="left"/>
              <w:rPr>
                <w:szCs w:val="21"/>
              </w:rPr>
            </w:pPr>
            <w:r>
              <w:rPr>
                <w:szCs w:val="21"/>
              </w:rPr>
              <w:t>焊接质量影响平台结构的安全，</w:t>
            </w:r>
            <w:r>
              <w:t>应编制焊接程序、焊接试验程序和检验程序，焊接施工应按设计要求和所用规范、标准进行。</w:t>
            </w:r>
          </w:p>
        </w:tc>
      </w:tr>
      <w:tr w14:paraId="30CB9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94" w:type="dxa"/>
            <w:gridSpan w:val="4"/>
            <w:vAlign w:val="center"/>
          </w:tcPr>
          <w:p w14:paraId="66F9B6B0">
            <w:pPr>
              <w:jc w:val="center"/>
              <w:rPr>
                <w:szCs w:val="21"/>
              </w:rPr>
            </w:pPr>
            <w:r>
              <w:rPr>
                <w:szCs w:val="21"/>
              </w:rPr>
              <w:t>防腐</w:t>
            </w:r>
          </w:p>
        </w:tc>
      </w:tr>
      <w:tr w14:paraId="471DF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31EA6170">
            <w:pPr>
              <w:numPr>
                <w:ilvl w:val="0"/>
                <w:numId w:val="132"/>
              </w:numPr>
              <w:jc w:val="center"/>
              <w:rPr>
                <w:szCs w:val="21"/>
              </w:rPr>
            </w:pPr>
          </w:p>
        </w:tc>
        <w:tc>
          <w:tcPr>
            <w:tcW w:w="1172" w:type="dxa"/>
            <w:vAlign w:val="center"/>
          </w:tcPr>
          <w:p w14:paraId="5130D6AC">
            <w:pPr>
              <w:jc w:val="center"/>
              <w:rPr>
                <w:szCs w:val="21"/>
              </w:rPr>
            </w:pPr>
            <w:r>
              <w:rPr>
                <w:szCs w:val="21"/>
              </w:rPr>
              <w:t>8.1</w:t>
            </w:r>
          </w:p>
        </w:tc>
        <w:tc>
          <w:tcPr>
            <w:tcW w:w="2725" w:type="dxa"/>
            <w:vAlign w:val="center"/>
          </w:tcPr>
          <w:p w14:paraId="7ECC66F6">
            <w:pPr>
              <w:jc w:val="center"/>
              <w:rPr>
                <w:szCs w:val="21"/>
              </w:rPr>
            </w:pPr>
            <w:r>
              <w:rPr>
                <w:szCs w:val="21"/>
              </w:rPr>
              <w:t>一般规定</w:t>
            </w:r>
          </w:p>
        </w:tc>
        <w:tc>
          <w:tcPr>
            <w:tcW w:w="4401" w:type="dxa"/>
            <w:vAlign w:val="center"/>
          </w:tcPr>
          <w:p w14:paraId="2EE086E0">
            <w:pPr>
              <w:rPr>
                <w:szCs w:val="21"/>
              </w:rPr>
            </w:pPr>
            <w:r>
              <w:rPr>
                <w:szCs w:val="21"/>
              </w:rPr>
              <w:t>平台防腐蚀的设计范围包括导管架、桩、隔水套管以及平台上部设施、立管等。应根据不同海洋环境区域的特点</w:t>
            </w:r>
            <w:r>
              <w:rPr>
                <w:rFonts w:hint="eastAsia"/>
                <w:szCs w:val="21"/>
                <w:lang w:eastAsia="zh-CN"/>
              </w:rPr>
              <w:t>，</w:t>
            </w:r>
            <w:r>
              <w:rPr>
                <w:szCs w:val="21"/>
              </w:rPr>
              <w:t xml:space="preserve"> 对钢结构采取相应的防腐蚀措施。</w:t>
            </w:r>
          </w:p>
        </w:tc>
      </w:tr>
      <w:tr w14:paraId="09C92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17B91A97">
            <w:pPr>
              <w:numPr>
                <w:ilvl w:val="0"/>
                <w:numId w:val="132"/>
              </w:numPr>
              <w:jc w:val="center"/>
              <w:rPr>
                <w:szCs w:val="21"/>
              </w:rPr>
            </w:pPr>
          </w:p>
        </w:tc>
        <w:tc>
          <w:tcPr>
            <w:tcW w:w="1172" w:type="dxa"/>
            <w:vAlign w:val="center"/>
          </w:tcPr>
          <w:p w14:paraId="140DCF01">
            <w:pPr>
              <w:jc w:val="center"/>
              <w:rPr>
                <w:szCs w:val="21"/>
              </w:rPr>
            </w:pPr>
            <w:r>
              <w:rPr>
                <w:szCs w:val="21"/>
              </w:rPr>
              <w:t>8.2</w:t>
            </w:r>
          </w:p>
        </w:tc>
        <w:tc>
          <w:tcPr>
            <w:tcW w:w="2725" w:type="dxa"/>
            <w:vAlign w:val="center"/>
          </w:tcPr>
          <w:p w14:paraId="44CA33DD">
            <w:pPr>
              <w:jc w:val="center"/>
              <w:rPr>
                <w:szCs w:val="21"/>
              </w:rPr>
            </w:pPr>
            <w:r>
              <w:rPr>
                <w:szCs w:val="21"/>
              </w:rPr>
              <w:t>涂层</w:t>
            </w:r>
          </w:p>
        </w:tc>
        <w:tc>
          <w:tcPr>
            <w:tcW w:w="4401" w:type="dxa"/>
            <w:vAlign w:val="center"/>
          </w:tcPr>
          <w:p w14:paraId="39E041CC">
            <w:pPr>
              <w:rPr>
                <w:szCs w:val="21"/>
              </w:rPr>
            </w:pPr>
            <w:r>
              <w:rPr>
                <w:szCs w:val="21"/>
              </w:rPr>
              <w:t>不同的设备设施所处的不同环境决定了不同涂层系统的选取。涂层系统的选取和涂层质量影响涂层的防腐效果。</w:t>
            </w:r>
          </w:p>
        </w:tc>
      </w:tr>
      <w:tr w14:paraId="08A2F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09A5E996">
            <w:pPr>
              <w:numPr>
                <w:ilvl w:val="0"/>
                <w:numId w:val="132"/>
              </w:numPr>
              <w:jc w:val="center"/>
              <w:rPr>
                <w:szCs w:val="21"/>
              </w:rPr>
            </w:pPr>
          </w:p>
        </w:tc>
        <w:tc>
          <w:tcPr>
            <w:tcW w:w="1172" w:type="dxa"/>
            <w:vAlign w:val="center"/>
          </w:tcPr>
          <w:p w14:paraId="0A39FC0B">
            <w:pPr>
              <w:jc w:val="center"/>
              <w:rPr>
                <w:szCs w:val="21"/>
              </w:rPr>
            </w:pPr>
            <w:r>
              <w:rPr>
                <w:szCs w:val="21"/>
              </w:rPr>
              <w:t>8.3</w:t>
            </w:r>
          </w:p>
        </w:tc>
        <w:tc>
          <w:tcPr>
            <w:tcW w:w="2725" w:type="dxa"/>
            <w:vAlign w:val="center"/>
          </w:tcPr>
          <w:p w14:paraId="0FCAF05D">
            <w:pPr>
              <w:jc w:val="center"/>
              <w:rPr>
                <w:szCs w:val="21"/>
              </w:rPr>
            </w:pPr>
            <w:r>
              <w:rPr>
                <w:szCs w:val="21"/>
              </w:rPr>
              <w:t>阴极保护</w:t>
            </w:r>
          </w:p>
        </w:tc>
        <w:tc>
          <w:tcPr>
            <w:tcW w:w="4401" w:type="dxa"/>
            <w:vAlign w:val="center"/>
          </w:tcPr>
          <w:p w14:paraId="0A12E927">
            <w:pPr>
              <w:rPr>
                <w:szCs w:val="21"/>
              </w:rPr>
            </w:pPr>
            <w:r>
              <w:rPr>
                <w:szCs w:val="21"/>
              </w:rPr>
              <w:t>平台阴极保护的保护范围及电流密度的选取决定了阴极保护是否可以达到要求，设计应符合相关的规范、标准的要求。</w:t>
            </w:r>
          </w:p>
        </w:tc>
      </w:tr>
      <w:tr w14:paraId="72336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2C9E1FF5">
            <w:pPr>
              <w:numPr>
                <w:ilvl w:val="0"/>
                <w:numId w:val="132"/>
              </w:numPr>
              <w:jc w:val="center"/>
              <w:rPr>
                <w:szCs w:val="21"/>
              </w:rPr>
            </w:pPr>
          </w:p>
        </w:tc>
        <w:tc>
          <w:tcPr>
            <w:tcW w:w="1172" w:type="dxa"/>
            <w:vAlign w:val="center"/>
          </w:tcPr>
          <w:p w14:paraId="6D1FBC85">
            <w:pPr>
              <w:jc w:val="center"/>
              <w:rPr>
                <w:szCs w:val="21"/>
              </w:rPr>
            </w:pPr>
            <w:r>
              <w:rPr>
                <w:szCs w:val="21"/>
              </w:rPr>
              <w:t>8.4</w:t>
            </w:r>
          </w:p>
        </w:tc>
        <w:tc>
          <w:tcPr>
            <w:tcW w:w="2725" w:type="dxa"/>
            <w:vAlign w:val="center"/>
          </w:tcPr>
          <w:p w14:paraId="03D22584">
            <w:pPr>
              <w:jc w:val="center"/>
              <w:rPr>
                <w:szCs w:val="21"/>
              </w:rPr>
            </w:pPr>
            <w:r>
              <w:rPr>
                <w:szCs w:val="21"/>
              </w:rPr>
              <w:t>内腐蚀防护</w:t>
            </w:r>
          </w:p>
        </w:tc>
        <w:tc>
          <w:tcPr>
            <w:tcW w:w="4401" w:type="dxa"/>
            <w:vAlign w:val="center"/>
          </w:tcPr>
          <w:p w14:paraId="7C593069">
            <w:pPr>
              <w:rPr>
                <w:szCs w:val="21"/>
              </w:rPr>
            </w:pPr>
            <w:r>
              <w:rPr>
                <w:szCs w:val="21"/>
              </w:rPr>
              <w:t>目前上部设施管线的内腐蚀设计采用商业软件进行模拟计算，并采用相关标准和规范进行设计分析，因此设计软件应是可靠的并被广泛认可的，计算分析应符合被认可的规范。</w:t>
            </w:r>
          </w:p>
        </w:tc>
      </w:tr>
      <w:tr w14:paraId="2F5F9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1B9CCD9F">
            <w:pPr>
              <w:numPr>
                <w:ilvl w:val="0"/>
                <w:numId w:val="132"/>
              </w:numPr>
              <w:jc w:val="center"/>
              <w:rPr>
                <w:szCs w:val="21"/>
              </w:rPr>
            </w:pPr>
          </w:p>
        </w:tc>
        <w:tc>
          <w:tcPr>
            <w:tcW w:w="1172" w:type="dxa"/>
            <w:vAlign w:val="center"/>
          </w:tcPr>
          <w:p w14:paraId="3F2A9624">
            <w:pPr>
              <w:jc w:val="center"/>
              <w:rPr>
                <w:szCs w:val="21"/>
              </w:rPr>
            </w:pPr>
            <w:r>
              <w:rPr>
                <w:szCs w:val="21"/>
              </w:rPr>
              <w:t>8.5</w:t>
            </w:r>
          </w:p>
        </w:tc>
        <w:tc>
          <w:tcPr>
            <w:tcW w:w="2725" w:type="dxa"/>
            <w:vAlign w:val="center"/>
          </w:tcPr>
          <w:p w14:paraId="35B34EDF">
            <w:pPr>
              <w:jc w:val="center"/>
              <w:rPr>
                <w:szCs w:val="21"/>
              </w:rPr>
            </w:pPr>
            <w:r>
              <w:rPr>
                <w:szCs w:val="21"/>
              </w:rPr>
              <w:t>腐蚀监测与检测</w:t>
            </w:r>
          </w:p>
        </w:tc>
        <w:tc>
          <w:tcPr>
            <w:tcW w:w="4401" w:type="dxa"/>
            <w:vAlign w:val="center"/>
          </w:tcPr>
          <w:p w14:paraId="6CC51803">
            <w:pPr>
              <w:rPr>
                <w:szCs w:val="21"/>
              </w:rPr>
            </w:pPr>
            <w:r>
              <w:rPr>
                <w:szCs w:val="21"/>
              </w:rPr>
              <w:t>检测用来确定设备的状况，监测用来确定设备状况和腐蚀率的变化情况。</w:t>
            </w:r>
          </w:p>
        </w:tc>
      </w:tr>
      <w:tr w14:paraId="3552A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94" w:type="dxa"/>
            <w:gridSpan w:val="4"/>
            <w:vAlign w:val="center"/>
          </w:tcPr>
          <w:p w14:paraId="58829EC5">
            <w:pPr>
              <w:jc w:val="center"/>
              <w:rPr>
                <w:szCs w:val="21"/>
              </w:rPr>
            </w:pPr>
            <w:r>
              <w:rPr>
                <w:szCs w:val="21"/>
              </w:rPr>
              <w:t>钻修井系统</w:t>
            </w:r>
          </w:p>
        </w:tc>
      </w:tr>
      <w:tr w14:paraId="101D8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3DC75036">
            <w:pPr>
              <w:numPr>
                <w:ilvl w:val="0"/>
                <w:numId w:val="132"/>
              </w:numPr>
              <w:jc w:val="center"/>
              <w:rPr>
                <w:szCs w:val="21"/>
              </w:rPr>
            </w:pPr>
          </w:p>
        </w:tc>
        <w:tc>
          <w:tcPr>
            <w:tcW w:w="1172" w:type="dxa"/>
            <w:vAlign w:val="center"/>
          </w:tcPr>
          <w:p w14:paraId="571E11E1">
            <w:pPr>
              <w:jc w:val="center"/>
              <w:rPr>
                <w:szCs w:val="21"/>
              </w:rPr>
            </w:pPr>
            <w:r>
              <w:rPr>
                <w:szCs w:val="21"/>
              </w:rPr>
              <w:t>9.1.2</w:t>
            </w:r>
          </w:p>
        </w:tc>
        <w:tc>
          <w:tcPr>
            <w:tcW w:w="2725" w:type="dxa"/>
            <w:vAlign w:val="center"/>
          </w:tcPr>
          <w:p w14:paraId="53CEC4D0">
            <w:pPr>
              <w:pStyle w:val="326"/>
              <w:numPr>
                <w:ilvl w:val="0"/>
                <w:numId w:val="0"/>
              </w:numPr>
              <w:rPr>
                <w:rFonts w:ascii="Times New Roman"/>
              </w:rPr>
            </w:pPr>
            <w:r>
              <w:rPr>
                <w:rFonts w:ascii="Times New Roman"/>
                <w:kern w:val="2"/>
              </w:rPr>
              <w:t>所用设备须具有出厂合格证、试验证明，或发证检验机构核发的证书。平台作业者应根据所用规范、标准和设备的重要性确定需要取得发证检验机构证书的设备。</w:t>
            </w:r>
          </w:p>
        </w:tc>
        <w:tc>
          <w:tcPr>
            <w:tcW w:w="4401" w:type="dxa"/>
            <w:vAlign w:val="center"/>
          </w:tcPr>
          <w:p w14:paraId="711797EB">
            <w:pPr>
              <w:jc w:val="center"/>
              <w:rPr>
                <w:szCs w:val="21"/>
              </w:rPr>
            </w:pPr>
            <w:r>
              <w:rPr>
                <w:szCs w:val="21"/>
              </w:rPr>
              <w:t>《海上固定平台安全规则》6.1.2原文，有修改</w:t>
            </w:r>
          </w:p>
        </w:tc>
      </w:tr>
      <w:tr w14:paraId="2E1B6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6171A89B">
            <w:pPr>
              <w:numPr>
                <w:ilvl w:val="0"/>
                <w:numId w:val="132"/>
              </w:numPr>
              <w:jc w:val="center"/>
              <w:rPr>
                <w:szCs w:val="21"/>
              </w:rPr>
            </w:pPr>
          </w:p>
        </w:tc>
        <w:tc>
          <w:tcPr>
            <w:tcW w:w="1172" w:type="dxa"/>
            <w:vAlign w:val="center"/>
          </w:tcPr>
          <w:p w14:paraId="435C3053">
            <w:pPr>
              <w:jc w:val="center"/>
              <w:rPr>
                <w:szCs w:val="21"/>
              </w:rPr>
            </w:pPr>
            <w:r>
              <w:rPr>
                <w:szCs w:val="21"/>
              </w:rPr>
              <w:t>9.1.3</w:t>
            </w:r>
          </w:p>
        </w:tc>
        <w:tc>
          <w:tcPr>
            <w:tcW w:w="2725" w:type="dxa"/>
            <w:vAlign w:val="center"/>
          </w:tcPr>
          <w:p w14:paraId="1719860B">
            <w:pPr>
              <w:rPr>
                <w:szCs w:val="21"/>
              </w:rPr>
            </w:pPr>
            <w:r>
              <w:rPr>
                <w:szCs w:val="21"/>
              </w:rPr>
              <w:t>应划分危险区，并设置逃生路线，且至少有两个逃生出口。</w:t>
            </w:r>
          </w:p>
        </w:tc>
        <w:tc>
          <w:tcPr>
            <w:tcW w:w="4401" w:type="dxa"/>
            <w:vAlign w:val="center"/>
          </w:tcPr>
          <w:p w14:paraId="22249B45">
            <w:pPr>
              <w:rPr>
                <w:szCs w:val="21"/>
              </w:rPr>
            </w:pPr>
            <w:r>
              <w:rPr>
                <w:szCs w:val="21"/>
              </w:rPr>
              <w:t>1.依据《固定平台安全规则》6.2.1节“应根据本《规则》2.3.6有关规定对钻井、固井、录井、完井、修井作业区进行危险区域的划分。”</w:t>
            </w:r>
          </w:p>
          <w:p w14:paraId="2821BBFC">
            <w:pPr>
              <w:rPr>
                <w:szCs w:val="21"/>
              </w:rPr>
            </w:pPr>
            <w:r>
              <w:rPr>
                <w:szCs w:val="21"/>
              </w:rPr>
              <w:t>2.依据《固定平台安全规则》2.3.4“应根据甲板尺度大小、生产作业和人员逃生的需要设置两处或多处甲板通道和甲板间梯道。”</w:t>
            </w:r>
          </w:p>
        </w:tc>
      </w:tr>
      <w:tr w14:paraId="4A287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54712FC1">
            <w:pPr>
              <w:numPr>
                <w:ilvl w:val="0"/>
                <w:numId w:val="132"/>
              </w:numPr>
              <w:jc w:val="center"/>
              <w:rPr>
                <w:szCs w:val="21"/>
              </w:rPr>
            </w:pPr>
          </w:p>
        </w:tc>
        <w:tc>
          <w:tcPr>
            <w:tcW w:w="1172" w:type="dxa"/>
            <w:vAlign w:val="center"/>
          </w:tcPr>
          <w:p w14:paraId="43041E49">
            <w:pPr>
              <w:jc w:val="center"/>
              <w:rPr>
                <w:szCs w:val="21"/>
              </w:rPr>
            </w:pPr>
            <w:r>
              <w:rPr>
                <w:szCs w:val="21"/>
              </w:rPr>
              <w:t>9.1.4</w:t>
            </w:r>
          </w:p>
        </w:tc>
        <w:tc>
          <w:tcPr>
            <w:tcW w:w="2725" w:type="dxa"/>
            <w:vAlign w:val="center"/>
          </w:tcPr>
          <w:p w14:paraId="016F9B0F">
            <w:pPr>
              <w:rPr>
                <w:szCs w:val="21"/>
              </w:rPr>
            </w:pPr>
            <w:r>
              <w:rPr>
                <w:szCs w:val="21"/>
              </w:rPr>
              <w:t>所有的电气设备须具有符合要求的出厂合格证；安装于危险区的电气设备必须具有由有资格的单位颁发的、符合危险区要求的防爆等级证书。</w:t>
            </w:r>
          </w:p>
        </w:tc>
        <w:tc>
          <w:tcPr>
            <w:tcW w:w="4401" w:type="dxa"/>
            <w:vAlign w:val="center"/>
          </w:tcPr>
          <w:p w14:paraId="3F973D32">
            <w:pPr>
              <w:jc w:val="center"/>
              <w:rPr>
                <w:szCs w:val="21"/>
              </w:rPr>
            </w:pPr>
            <w:r>
              <w:rPr>
                <w:szCs w:val="21"/>
              </w:rPr>
              <w:t>《固定平台安全规则》10.1.3原文，有修改</w:t>
            </w:r>
          </w:p>
        </w:tc>
      </w:tr>
      <w:tr w14:paraId="76471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39D12208">
            <w:pPr>
              <w:numPr>
                <w:ilvl w:val="0"/>
                <w:numId w:val="132"/>
              </w:numPr>
              <w:jc w:val="center"/>
              <w:rPr>
                <w:szCs w:val="21"/>
              </w:rPr>
            </w:pPr>
          </w:p>
        </w:tc>
        <w:tc>
          <w:tcPr>
            <w:tcW w:w="1172" w:type="dxa"/>
            <w:vAlign w:val="center"/>
          </w:tcPr>
          <w:p w14:paraId="27355E0C">
            <w:pPr>
              <w:jc w:val="center"/>
              <w:rPr>
                <w:szCs w:val="21"/>
              </w:rPr>
            </w:pPr>
            <w:r>
              <w:rPr>
                <w:szCs w:val="21"/>
              </w:rPr>
              <w:t>9.1.5</w:t>
            </w:r>
          </w:p>
        </w:tc>
        <w:tc>
          <w:tcPr>
            <w:tcW w:w="2725" w:type="dxa"/>
            <w:vAlign w:val="center"/>
          </w:tcPr>
          <w:p w14:paraId="28C7DFAC">
            <w:pPr>
              <w:rPr>
                <w:szCs w:val="21"/>
              </w:rPr>
            </w:pPr>
            <w:r>
              <w:rPr>
                <w:szCs w:val="21"/>
              </w:rPr>
              <w:t>所有外露旋转类设备及零部件例如连接盘、万向轴、离合器、联轴器、皮带轮、刹车盘(毂)等，应设置防护罩等防护设施。</w:t>
            </w:r>
          </w:p>
        </w:tc>
        <w:tc>
          <w:tcPr>
            <w:tcW w:w="4401" w:type="dxa"/>
            <w:vAlign w:val="center"/>
          </w:tcPr>
          <w:p w14:paraId="15633AB8">
            <w:pPr>
              <w:jc w:val="left"/>
              <w:rPr>
                <w:szCs w:val="21"/>
              </w:rPr>
            </w:pPr>
            <w:r>
              <w:rPr>
                <w:szCs w:val="21"/>
              </w:rPr>
              <w:t>依据《石油天然气工业 钻机和修井机》（GB/T 23505-2017） 6.2.4原文</w:t>
            </w:r>
          </w:p>
        </w:tc>
      </w:tr>
      <w:tr w14:paraId="2D636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772E0E85">
            <w:pPr>
              <w:numPr>
                <w:ilvl w:val="0"/>
                <w:numId w:val="132"/>
              </w:numPr>
              <w:jc w:val="center"/>
              <w:rPr>
                <w:szCs w:val="21"/>
              </w:rPr>
            </w:pPr>
          </w:p>
        </w:tc>
        <w:tc>
          <w:tcPr>
            <w:tcW w:w="1172" w:type="dxa"/>
            <w:vAlign w:val="center"/>
          </w:tcPr>
          <w:p w14:paraId="75511193">
            <w:pPr>
              <w:jc w:val="center"/>
              <w:rPr>
                <w:szCs w:val="21"/>
              </w:rPr>
            </w:pPr>
            <w:r>
              <w:rPr>
                <w:szCs w:val="21"/>
              </w:rPr>
              <w:t>9.1.6</w:t>
            </w:r>
          </w:p>
        </w:tc>
        <w:tc>
          <w:tcPr>
            <w:tcW w:w="2725" w:type="dxa"/>
            <w:vAlign w:val="center"/>
          </w:tcPr>
          <w:p w14:paraId="5BE6DC7A">
            <w:pPr>
              <w:rPr>
                <w:szCs w:val="21"/>
              </w:rPr>
            </w:pPr>
            <w:r>
              <w:rPr>
                <w:szCs w:val="21"/>
              </w:rPr>
              <w:t>高压软管活接头两端应有安全链或安全绳。</w:t>
            </w:r>
          </w:p>
        </w:tc>
        <w:tc>
          <w:tcPr>
            <w:tcW w:w="4401" w:type="dxa"/>
            <w:vAlign w:val="center"/>
          </w:tcPr>
          <w:p w14:paraId="0F737F26">
            <w:pPr>
              <w:rPr>
                <w:szCs w:val="21"/>
              </w:rPr>
            </w:pPr>
            <w:r>
              <w:rPr>
                <w:szCs w:val="21"/>
              </w:rPr>
              <w:t xml:space="preserve">1.依据《海洋钻井装置井控系统配置及安装要求》（SY/T 6962-2018）由活接头型式连接的压井管线应设置安全链。 </w:t>
            </w:r>
          </w:p>
          <w:p w14:paraId="18553600">
            <w:pPr>
              <w:rPr>
                <w:szCs w:val="21"/>
              </w:rPr>
            </w:pPr>
            <w:r>
              <w:rPr>
                <w:szCs w:val="21"/>
              </w:rPr>
              <w:t>2.依据《石油天然气工业 钻机和修井机》（GB/T 23505-2017）6.2.27“钻井液循环管汇中在高压软管两端应配置安全绳（链）”</w:t>
            </w:r>
          </w:p>
        </w:tc>
      </w:tr>
      <w:tr w14:paraId="1F240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7BC7337E">
            <w:pPr>
              <w:numPr>
                <w:ilvl w:val="0"/>
                <w:numId w:val="132"/>
              </w:numPr>
              <w:jc w:val="center"/>
              <w:rPr>
                <w:szCs w:val="21"/>
              </w:rPr>
            </w:pPr>
          </w:p>
        </w:tc>
        <w:tc>
          <w:tcPr>
            <w:tcW w:w="1172" w:type="dxa"/>
            <w:vAlign w:val="center"/>
          </w:tcPr>
          <w:p w14:paraId="517AE3E1">
            <w:pPr>
              <w:jc w:val="center"/>
              <w:rPr>
                <w:szCs w:val="21"/>
              </w:rPr>
            </w:pPr>
            <w:r>
              <w:rPr>
                <w:szCs w:val="21"/>
              </w:rPr>
              <w:t>9.2.1</w:t>
            </w:r>
          </w:p>
        </w:tc>
        <w:tc>
          <w:tcPr>
            <w:tcW w:w="2725" w:type="dxa"/>
            <w:vAlign w:val="center"/>
          </w:tcPr>
          <w:p w14:paraId="09BD04B4">
            <w:pPr>
              <w:rPr>
                <w:szCs w:val="21"/>
              </w:rPr>
            </w:pPr>
            <w:r>
              <w:rPr>
                <w:szCs w:val="21"/>
              </w:rPr>
              <w:t>绞车应</w:t>
            </w:r>
            <w:r>
              <w:rPr>
                <w:rFonts w:hint="eastAsia"/>
                <w:szCs w:val="21"/>
              </w:rPr>
              <w:t>至少</w:t>
            </w:r>
            <w:r>
              <w:rPr>
                <w:szCs w:val="21"/>
              </w:rPr>
              <w:t>有两套刹车系统。</w:t>
            </w:r>
          </w:p>
        </w:tc>
        <w:tc>
          <w:tcPr>
            <w:tcW w:w="4401" w:type="dxa"/>
            <w:vAlign w:val="center"/>
          </w:tcPr>
          <w:p w14:paraId="45283F09">
            <w:pPr>
              <w:rPr>
                <w:szCs w:val="21"/>
              </w:rPr>
            </w:pPr>
            <w:r>
              <w:rPr>
                <w:szCs w:val="21"/>
              </w:rPr>
              <w:t>1.依据《石油天然气工业 钻机和修井机》（GB/T 23505-2017）7.3.1“绞车应设计有刹车装置”；</w:t>
            </w:r>
          </w:p>
          <w:p w14:paraId="477FA69F">
            <w:pPr>
              <w:rPr>
                <w:szCs w:val="21"/>
              </w:rPr>
            </w:pPr>
            <w:r>
              <w:rPr>
                <w:szCs w:val="21"/>
              </w:rPr>
              <w:t>2.依据《石油钻井和修井用绞车》（SY/T 5532-2016）6.4.1“绞车应设有主刹车装置和辅助刹车装置”。</w:t>
            </w:r>
          </w:p>
          <w:p w14:paraId="1699C7AA">
            <w:pPr>
              <w:rPr>
                <w:szCs w:val="21"/>
              </w:rPr>
            </w:pPr>
            <w:r>
              <w:rPr>
                <w:szCs w:val="21"/>
              </w:rPr>
              <w:t>3.依据《《石油天然气工业海上钻井和修井设备》（GB/T 35146-2017）4.5.5.2，“主刹车或工作刹车系统应具有在最大作用速度时安全制动最大额定载荷的能力”</w:t>
            </w:r>
          </w:p>
        </w:tc>
      </w:tr>
      <w:tr w14:paraId="2EA6E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307688C9">
            <w:pPr>
              <w:numPr>
                <w:ilvl w:val="0"/>
                <w:numId w:val="132"/>
              </w:numPr>
              <w:jc w:val="center"/>
              <w:rPr>
                <w:szCs w:val="21"/>
              </w:rPr>
            </w:pPr>
          </w:p>
        </w:tc>
        <w:tc>
          <w:tcPr>
            <w:tcW w:w="1172" w:type="dxa"/>
            <w:vAlign w:val="center"/>
          </w:tcPr>
          <w:p w14:paraId="5E92624D">
            <w:pPr>
              <w:jc w:val="center"/>
              <w:rPr>
                <w:szCs w:val="21"/>
              </w:rPr>
            </w:pPr>
            <w:r>
              <w:rPr>
                <w:szCs w:val="21"/>
              </w:rPr>
              <w:t>9.2.2</w:t>
            </w:r>
          </w:p>
        </w:tc>
        <w:tc>
          <w:tcPr>
            <w:tcW w:w="2725" w:type="dxa"/>
            <w:vAlign w:val="center"/>
          </w:tcPr>
          <w:p w14:paraId="43E75AAB">
            <w:pPr>
              <w:rPr>
                <w:szCs w:val="21"/>
              </w:rPr>
            </w:pPr>
            <w:r>
              <w:rPr>
                <w:szCs w:val="21"/>
              </w:rPr>
              <w:t>提升系统应至少有两套相互独立的防碰天车系统。</w:t>
            </w:r>
          </w:p>
        </w:tc>
        <w:tc>
          <w:tcPr>
            <w:tcW w:w="4401" w:type="dxa"/>
            <w:vAlign w:val="center"/>
          </w:tcPr>
          <w:p w14:paraId="5460579B">
            <w:pPr>
              <w:rPr>
                <w:szCs w:val="21"/>
              </w:rPr>
            </w:pPr>
            <w:r>
              <w:rPr>
                <w:szCs w:val="21"/>
              </w:rPr>
              <w:t>1.依据《石油天然气工业 钻机和修井机》（GB/T 23505-2017）6.2.5“应配置防止游动系统上碰下砸的控制系统”；</w:t>
            </w:r>
          </w:p>
        </w:tc>
      </w:tr>
      <w:tr w14:paraId="6F43E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379B685E">
            <w:pPr>
              <w:numPr>
                <w:ilvl w:val="0"/>
                <w:numId w:val="132"/>
              </w:numPr>
              <w:jc w:val="center"/>
              <w:rPr>
                <w:szCs w:val="21"/>
              </w:rPr>
            </w:pPr>
          </w:p>
        </w:tc>
        <w:tc>
          <w:tcPr>
            <w:tcW w:w="1172" w:type="dxa"/>
            <w:vAlign w:val="center"/>
          </w:tcPr>
          <w:p w14:paraId="20A47B78">
            <w:pPr>
              <w:jc w:val="center"/>
              <w:rPr>
                <w:szCs w:val="21"/>
              </w:rPr>
            </w:pPr>
            <w:r>
              <w:rPr>
                <w:szCs w:val="21"/>
              </w:rPr>
              <w:t>9.2.3</w:t>
            </w:r>
          </w:p>
        </w:tc>
        <w:tc>
          <w:tcPr>
            <w:tcW w:w="2725" w:type="dxa"/>
            <w:vAlign w:val="center"/>
          </w:tcPr>
          <w:p w14:paraId="6A261696">
            <w:pPr>
              <w:rPr>
                <w:szCs w:val="21"/>
              </w:rPr>
            </w:pPr>
            <w:r>
              <w:rPr>
                <w:szCs w:val="21"/>
              </w:rPr>
              <w:t>提升系统钢丝绳滑轮应设置防跳槽装置。</w:t>
            </w:r>
          </w:p>
        </w:tc>
        <w:tc>
          <w:tcPr>
            <w:tcW w:w="4401" w:type="dxa"/>
            <w:vAlign w:val="center"/>
          </w:tcPr>
          <w:p w14:paraId="515C0999">
            <w:pPr>
              <w:rPr>
                <w:szCs w:val="21"/>
              </w:rPr>
            </w:pPr>
            <w:r>
              <w:rPr>
                <w:szCs w:val="21"/>
              </w:rPr>
              <w:t>依据《石油天然气工业 钻机和修井机》（GB/T 23505-2017）7.1.8“所有钢丝绳滑轮应设计有防止钢丝绳跳槽装置”；</w:t>
            </w:r>
          </w:p>
        </w:tc>
      </w:tr>
      <w:tr w14:paraId="5EB42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2855A7B7">
            <w:pPr>
              <w:numPr>
                <w:ilvl w:val="0"/>
                <w:numId w:val="132"/>
              </w:numPr>
              <w:jc w:val="center"/>
              <w:rPr>
                <w:szCs w:val="21"/>
              </w:rPr>
            </w:pPr>
          </w:p>
        </w:tc>
        <w:tc>
          <w:tcPr>
            <w:tcW w:w="1172" w:type="dxa"/>
            <w:vAlign w:val="center"/>
          </w:tcPr>
          <w:p w14:paraId="6CAA3A99">
            <w:pPr>
              <w:jc w:val="center"/>
              <w:rPr>
                <w:szCs w:val="21"/>
              </w:rPr>
            </w:pPr>
            <w:r>
              <w:rPr>
                <w:szCs w:val="21"/>
              </w:rPr>
              <w:t>9.2.</w:t>
            </w:r>
            <w:r>
              <w:rPr>
                <w:rFonts w:hint="eastAsia"/>
                <w:szCs w:val="21"/>
              </w:rPr>
              <w:t>4</w:t>
            </w:r>
          </w:p>
        </w:tc>
        <w:tc>
          <w:tcPr>
            <w:tcW w:w="2725" w:type="dxa"/>
            <w:vAlign w:val="center"/>
          </w:tcPr>
          <w:p w14:paraId="48FBCA1D">
            <w:pPr>
              <w:rPr>
                <w:szCs w:val="21"/>
              </w:rPr>
            </w:pPr>
            <w:r>
              <w:rPr>
                <w:szCs w:val="21"/>
              </w:rPr>
              <w:t>钻台应设置两条可供逃生的路线。</w:t>
            </w:r>
          </w:p>
        </w:tc>
        <w:tc>
          <w:tcPr>
            <w:tcW w:w="4401" w:type="dxa"/>
            <w:vAlign w:val="center"/>
          </w:tcPr>
          <w:p w14:paraId="26BBA0DF">
            <w:pPr>
              <w:rPr>
                <w:szCs w:val="21"/>
              </w:rPr>
            </w:pPr>
            <w:r>
              <w:rPr>
                <w:szCs w:val="21"/>
              </w:rPr>
              <w:t>《固定平台安全规则》2.3.4“应根据甲板尺度大小、生产作业和人员逃生的需要设置两处或多处甲板通道和甲板间梯道。”</w:t>
            </w:r>
          </w:p>
        </w:tc>
      </w:tr>
      <w:tr w14:paraId="329BC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2BF8ABB4">
            <w:pPr>
              <w:numPr>
                <w:ilvl w:val="0"/>
                <w:numId w:val="132"/>
              </w:numPr>
              <w:jc w:val="center"/>
              <w:rPr>
                <w:szCs w:val="21"/>
              </w:rPr>
            </w:pPr>
          </w:p>
        </w:tc>
        <w:tc>
          <w:tcPr>
            <w:tcW w:w="1172" w:type="dxa"/>
            <w:vAlign w:val="center"/>
          </w:tcPr>
          <w:p w14:paraId="03B57417">
            <w:pPr>
              <w:jc w:val="center"/>
              <w:rPr>
                <w:szCs w:val="21"/>
              </w:rPr>
            </w:pPr>
            <w:r>
              <w:rPr>
                <w:szCs w:val="21"/>
              </w:rPr>
              <w:t>9.2.</w:t>
            </w:r>
            <w:r>
              <w:rPr>
                <w:rFonts w:hint="eastAsia"/>
                <w:szCs w:val="21"/>
              </w:rPr>
              <w:t>5</w:t>
            </w:r>
          </w:p>
        </w:tc>
        <w:tc>
          <w:tcPr>
            <w:tcW w:w="2725" w:type="dxa"/>
            <w:vAlign w:val="center"/>
          </w:tcPr>
          <w:p w14:paraId="36C6A907">
            <w:pPr>
              <w:rPr>
                <w:szCs w:val="21"/>
              </w:rPr>
            </w:pPr>
            <w:r>
              <w:rPr>
                <w:szCs w:val="21"/>
              </w:rPr>
              <w:t>钻修机猫道斜坡道大门两侧防护立柱之间应配置安全防护门或安全防护链。如采用自动猫道，应根据猫道具体设计型式配置安全防护门或安全防护链，以防止人员坠落。</w:t>
            </w:r>
          </w:p>
        </w:tc>
        <w:tc>
          <w:tcPr>
            <w:tcW w:w="4401" w:type="dxa"/>
            <w:vAlign w:val="center"/>
          </w:tcPr>
          <w:p w14:paraId="1471C63C">
            <w:pPr>
              <w:rPr>
                <w:szCs w:val="21"/>
              </w:rPr>
            </w:pPr>
            <w:r>
              <w:rPr>
                <w:szCs w:val="21"/>
              </w:rPr>
              <w:t>依据《石油天然气工业 钻机和修井机》（GB/T 23505-2017） 6.2.18原文</w:t>
            </w:r>
          </w:p>
        </w:tc>
      </w:tr>
      <w:tr w14:paraId="7F35A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726CAC57">
            <w:pPr>
              <w:numPr>
                <w:ilvl w:val="0"/>
                <w:numId w:val="132"/>
              </w:numPr>
              <w:jc w:val="center"/>
              <w:rPr>
                <w:szCs w:val="21"/>
              </w:rPr>
            </w:pPr>
          </w:p>
        </w:tc>
        <w:tc>
          <w:tcPr>
            <w:tcW w:w="1172" w:type="dxa"/>
            <w:vAlign w:val="center"/>
          </w:tcPr>
          <w:p w14:paraId="79523CDD">
            <w:pPr>
              <w:jc w:val="center"/>
              <w:rPr>
                <w:szCs w:val="21"/>
              </w:rPr>
            </w:pPr>
            <w:r>
              <w:rPr>
                <w:szCs w:val="21"/>
              </w:rPr>
              <w:t>9.3.1</w:t>
            </w:r>
          </w:p>
        </w:tc>
        <w:tc>
          <w:tcPr>
            <w:tcW w:w="2725" w:type="dxa"/>
            <w:vAlign w:val="center"/>
          </w:tcPr>
          <w:p w14:paraId="50AFE2EB">
            <w:pPr>
              <w:rPr>
                <w:szCs w:val="21"/>
              </w:rPr>
            </w:pPr>
            <w:r>
              <w:rPr>
                <w:szCs w:val="21"/>
              </w:rPr>
              <w:t>系统构成</w:t>
            </w:r>
          </w:p>
        </w:tc>
        <w:tc>
          <w:tcPr>
            <w:tcW w:w="4401" w:type="dxa"/>
            <w:vAlign w:val="center"/>
          </w:tcPr>
          <w:p w14:paraId="3DC172D6">
            <w:pPr>
              <w:rPr>
                <w:szCs w:val="21"/>
              </w:rPr>
            </w:pPr>
            <w:r>
              <w:rPr>
                <w:szCs w:val="21"/>
              </w:rPr>
              <w:t>依据《海洋钻井装置井控系统配置及安装要求》（SYT 6962-2018）</w:t>
            </w:r>
          </w:p>
        </w:tc>
      </w:tr>
      <w:tr w14:paraId="710B3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25C97BC9">
            <w:pPr>
              <w:numPr>
                <w:ilvl w:val="0"/>
                <w:numId w:val="132"/>
              </w:numPr>
              <w:jc w:val="center"/>
              <w:rPr>
                <w:szCs w:val="21"/>
              </w:rPr>
            </w:pPr>
          </w:p>
        </w:tc>
        <w:tc>
          <w:tcPr>
            <w:tcW w:w="1172" w:type="dxa"/>
            <w:vAlign w:val="center"/>
          </w:tcPr>
          <w:p w14:paraId="57ECAA09">
            <w:pPr>
              <w:jc w:val="center"/>
              <w:rPr>
                <w:szCs w:val="21"/>
              </w:rPr>
            </w:pPr>
            <w:r>
              <w:rPr>
                <w:szCs w:val="21"/>
              </w:rPr>
              <w:t>9.3.2</w:t>
            </w:r>
          </w:p>
        </w:tc>
        <w:tc>
          <w:tcPr>
            <w:tcW w:w="2725" w:type="dxa"/>
            <w:vAlign w:val="center"/>
          </w:tcPr>
          <w:p w14:paraId="050DAA5A">
            <w:pPr>
              <w:rPr>
                <w:szCs w:val="21"/>
              </w:rPr>
            </w:pPr>
            <w:r>
              <w:rPr>
                <w:szCs w:val="21"/>
              </w:rPr>
              <w:t>防喷器组</w:t>
            </w:r>
          </w:p>
        </w:tc>
        <w:tc>
          <w:tcPr>
            <w:tcW w:w="4401" w:type="dxa"/>
            <w:vAlign w:val="center"/>
          </w:tcPr>
          <w:p w14:paraId="2E378974">
            <w:pPr>
              <w:rPr>
                <w:szCs w:val="21"/>
              </w:rPr>
            </w:pPr>
            <w:r>
              <w:rPr>
                <w:szCs w:val="21"/>
              </w:rPr>
              <w:t>依据《海洋钻井装置井控系统配置及安装要求》（SYT 6962-2018）5.2节。</w:t>
            </w:r>
          </w:p>
        </w:tc>
      </w:tr>
      <w:tr w14:paraId="4BC90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5BFE2603">
            <w:pPr>
              <w:numPr>
                <w:ilvl w:val="0"/>
                <w:numId w:val="132"/>
              </w:numPr>
              <w:jc w:val="center"/>
              <w:rPr>
                <w:szCs w:val="21"/>
              </w:rPr>
            </w:pPr>
          </w:p>
        </w:tc>
        <w:tc>
          <w:tcPr>
            <w:tcW w:w="1172" w:type="dxa"/>
            <w:vAlign w:val="center"/>
          </w:tcPr>
          <w:p w14:paraId="7323385E">
            <w:pPr>
              <w:jc w:val="center"/>
              <w:rPr>
                <w:szCs w:val="21"/>
              </w:rPr>
            </w:pPr>
            <w:r>
              <w:rPr>
                <w:szCs w:val="21"/>
              </w:rPr>
              <w:t>9.3.3</w:t>
            </w:r>
          </w:p>
        </w:tc>
        <w:tc>
          <w:tcPr>
            <w:tcW w:w="2725" w:type="dxa"/>
            <w:vAlign w:val="center"/>
          </w:tcPr>
          <w:p w14:paraId="4A58D920">
            <w:pPr>
              <w:jc w:val="left"/>
              <w:rPr>
                <w:szCs w:val="21"/>
              </w:rPr>
            </w:pPr>
            <w:r>
              <w:rPr>
                <w:szCs w:val="21"/>
              </w:rPr>
              <w:t>防喷器控制系统</w:t>
            </w:r>
          </w:p>
        </w:tc>
        <w:tc>
          <w:tcPr>
            <w:tcW w:w="4401" w:type="dxa"/>
            <w:vAlign w:val="center"/>
          </w:tcPr>
          <w:p w14:paraId="0FAFBFA8">
            <w:pPr>
              <w:rPr>
                <w:szCs w:val="21"/>
              </w:rPr>
            </w:pPr>
            <w:r>
              <w:rPr>
                <w:szCs w:val="21"/>
              </w:rPr>
              <w:t>依据《海洋钻井装置井控系统配置及安装要求》（SYT 6962-2018）5.3.1.2“5.3.1.2应配置主控盘、司钻控制盘和辅助遥控盘，每个控制盘应具备操控所有防喷器及遥控压井和放喷阀的功能。”</w:t>
            </w:r>
          </w:p>
          <w:p w14:paraId="070E08C6">
            <w:pPr>
              <w:rPr>
                <w:szCs w:val="21"/>
              </w:rPr>
            </w:pPr>
            <w:r>
              <w:rPr>
                <w:szCs w:val="21"/>
              </w:rPr>
              <w:t>“5.3.1.3主控盘至防喷器组的液压控制管线应采用满足SYT5053.2的耐火软管，并标识功能。”</w:t>
            </w:r>
          </w:p>
        </w:tc>
      </w:tr>
      <w:tr w14:paraId="73332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1282631E">
            <w:pPr>
              <w:numPr>
                <w:ilvl w:val="0"/>
                <w:numId w:val="132"/>
              </w:numPr>
              <w:jc w:val="center"/>
              <w:rPr>
                <w:szCs w:val="21"/>
              </w:rPr>
            </w:pPr>
          </w:p>
        </w:tc>
        <w:tc>
          <w:tcPr>
            <w:tcW w:w="1172" w:type="dxa"/>
            <w:vAlign w:val="center"/>
          </w:tcPr>
          <w:p w14:paraId="164E95D0">
            <w:pPr>
              <w:jc w:val="center"/>
              <w:rPr>
                <w:szCs w:val="21"/>
              </w:rPr>
            </w:pPr>
            <w:r>
              <w:rPr>
                <w:szCs w:val="21"/>
              </w:rPr>
              <w:t>9.3.4</w:t>
            </w:r>
          </w:p>
        </w:tc>
        <w:tc>
          <w:tcPr>
            <w:tcW w:w="2725" w:type="dxa"/>
            <w:vAlign w:val="center"/>
          </w:tcPr>
          <w:p w14:paraId="69C420C0">
            <w:pPr>
              <w:jc w:val="left"/>
              <w:rPr>
                <w:szCs w:val="21"/>
              </w:rPr>
            </w:pPr>
            <w:r>
              <w:rPr>
                <w:szCs w:val="21"/>
              </w:rPr>
              <w:t>钻井系统分流系统</w:t>
            </w:r>
          </w:p>
        </w:tc>
        <w:tc>
          <w:tcPr>
            <w:tcW w:w="4401" w:type="dxa"/>
            <w:vAlign w:val="center"/>
          </w:tcPr>
          <w:p w14:paraId="6FAD6A33">
            <w:pPr>
              <w:rPr>
                <w:szCs w:val="21"/>
              </w:rPr>
            </w:pPr>
            <w:r>
              <w:rPr>
                <w:szCs w:val="21"/>
              </w:rPr>
              <w:t>依据《海洋钻井装置井控系统配置及安装要求》（SYT 6962-2018）5.1.1节分流器、阀门及管线。</w:t>
            </w:r>
          </w:p>
        </w:tc>
      </w:tr>
      <w:tr w14:paraId="492E6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739DBCA7">
            <w:pPr>
              <w:numPr>
                <w:ilvl w:val="0"/>
                <w:numId w:val="132"/>
              </w:numPr>
              <w:jc w:val="center"/>
              <w:rPr>
                <w:szCs w:val="21"/>
              </w:rPr>
            </w:pPr>
          </w:p>
        </w:tc>
        <w:tc>
          <w:tcPr>
            <w:tcW w:w="1172" w:type="dxa"/>
            <w:vAlign w:val="center"/>
          </w:tcPr>
          <w:p w14:paraId="5AB3B825">
            <w:pPr>
              <w:jc w:val="center"/>
              <w:rPr>
                <w:szCs w:val="21"/>
              </w:rPr>
            </w:pPr>
            <w:r>
              <w:rPr>
                <w:szCs w:val="21"/>
              </w:rPr>
              <w:t>9.3.5</w:t>
            </w:r>
          </w:p>
        </w:tc>
        <w:tc>
          <w:tcPr>
            <w:tcW w:w="2725" w:type="dxa"/>
            <w:vAlign w:val="center"/>
          </w:tcPr>
          <w:p w14:paraId="094FA651">
            <w:pPr>
              <w:jc w:val="left"/>
              <w:rPr>
                <w:szCs w:val="21"/>
              </w:rPr>
            </w:pPr>
            <w:r>
              <w:rPr>
                <w:szCs w:val="21"/>
              </w:rPr>
              <w:t>钻井系统分流器控制系统</w:t>
            </w:r>
          </w:p>
        </w:tc>
        <w:tc>
          <w:tcPr>
            <w:tcW w:w="4401" w:type="dxa"/>
            <w:vAlign w:val="center"/>
          </w:tcPr>
          <w:p w14:paraId="67924EAF">
            <w:pPr>
              <w:rPr>
                <w:szCs w:val="21"/>
              </w:rPr>
            </w:pPr>
            <w:r>
              <w:rPr>
                <w:szCs w:val="21"/>
              </w:rPr>
              <w:t>依据《海洋钻井装置井控系统配置及安装要求》（SYT 6962-2018）5.1.2节控制系统。</w:t>
            </w:r>
          </w:p>
        </w:tc>
      </w:tr>
      <w:tr w14:paraId="50176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682FB8A8">
            <w:pPr>
              <w:numPr>
                <w:ilvl w:val="0"/>
                <w:numId w:val="132"/>
              </w:numPr>
              <w:jc w:val="center"/>
              <w:rPr>
                <w:szCs w:val="21"/>
              </w:rPr>
            </w:pPr>
          </w:p>
        </w:tc>
        <w:tc>
          <w:tcPr>
            <w:tcW w:w="1172" w:type="dxa"/>
            <w:vAlign w:val="center"/>
          </w:tcPr>
          <w:p w14:paraId="583DEB83">
            <w:pPr>
              <w:jc w:val="center"/>
              <w:rPr>
                <w:szCs w:val="21"/>
              </w:rPr>
            </w:pPr>
            <w:r>
              <w:rPr>
                <w:szCs w:val="21"/>
              </w:rPr>
              <w:t>9.3.6</w:t>
            </w:r>
          </w:p>
        </w:tc>
        <w:tc>
          <w:tcPr>
            <w:tcW w:w="2725" w:type="dxa"/>
            <w:vAlign w:val="center"/>
          </w:tcPr>
          <w:p w14:paraId="1D58C24C">
            <w:pPr>
              <w:jc w:val="left"/>
              <w:rPr>
                <w:szCs w:val="21"/>
              </w:rPr>
            </w:pPr>
            <w:r>
              <w:rPr>
                <w:szCs w:val="21"/>
              </w:rPr>
              <w:t>节流管汇</w:t>
            </w:r>
          </w:p>
        </w:tc>
        <w:tc>
          <w:tcPr>
            <w:tcW w:w="4401" w:type="dxa"/>
            <w:vAlign w:val="center"/>
          </w:tcPr>
          <w:p w14:paraId="735B0F8A">
            <w:pPr>
              <w:rPr>
                <w:szCs w:val="21"/>
              </w:rPr>
            </w:pPr>
            <w:r>
              <w:rPr>
                <w:szCs w:val="21"/>
              </w:rPr>
              <w:t>依据《海洋钻井装置井控系统配置及安装要求》（SYT 6962-2018）5.4节节流管汇及管线。</w:t>
            </w:r>
          </w:p>
        </w:tc>
      </w:tr>
      <w:tr w14:paraId="7E21B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trPr>
        <w:tc>
          <w:tcPr>
            <w:tcW w:w="696" w:type="dxa"/>
            <w:vAlign w:val="center"/>
          </w:tcPr>
          <w:p w14:paraId="1C05DDB4">
            <w:pPr>
              <w:numPr>
                <w:ilvl w:val="0"/>
                <w:numId w:val="132"/>
              </w:numPr>
              <w:jc w:val="center"/>
              <w:rPr>
                <w:szCs w:val="21"/>
              </w:rPr>
            </w:pPr>
          </w:p>
        </w:tc>
        <w:tc>
          <w:tcPr>
            <w:tcW w:w="1172" w:type="dxa"/>
            <w:vAlign w:val="center"/>
          </w:tcPr>
          <w:p w14:paraId="09E64C0E">
            <w:pPr>
              <w:jc w:val="center"/>
              <w:rPr>
                <w:szCs w:val="21"/>
              </w:rPr>
            </w:pPr>
            <w:r>
              <w:rPr>
                <w:szCs w:val="21"/>
              </w:rPr>
              <w:t>9.3.7</w:t>
            </w:r>
          </w:p>
        </w:tc>
        <w:tc>
          <w:tcPr>
            <w:tcW w:w="2725" w:type="dxa"/>
            <w:vAlign w:val="center"/>
          </w:tcPr>
          <w:p w14:paraId="3BB04696">
            <w:pPr>
              <w:jc w:val="left"/>
              <w:rPr>
                <w:szCs w:val="21"/>
              </w:rPr>
            </w:pPr>
            <w:r>
              <w:rPr>
                <w:szCs w:val="21"/>
              </w:rPr>
              <w:t>压井管汇</w:t>
            </w:r>
          </w:p>
        </w:tc>
        <w:tc>
          <w:tcPr>
            <w:tcW w:w="4401" w:type="dxa"/>
            <w:vAlign w:val="center"/>
          </w:tcPr>
          <w:p w14:paraId="2ED1150C">
            <w:pPr>
              <w:rPr>
                <w:szCs w:val="21"/>
              </w:rPr>
            </w:pPr>
            <w:r>
              <w:rPr>
                <w:szCs w:val="21"/>
              </w:rPr>
              <w:t>依据《海洋钻井装置井控系统配置及安装要求》（SYT 6962-2018）5.5节节流管汇及管线。5.5.1.2额定工作压力不应小于在用闸板防喷器的额定工作压力，其通径不应小于50.8mm(2i).</w:t>
            </w:r>
          </w:p>
          <w:p w14:paraId="5A8667DD">
            <w:pPr>
              <w:rPr>
                <w:szCs w:val="21"/>
              </w:rPr>
            </w:pPr>
            <w:r>
              <w:rPr>
                <w:szCs w:val="21"/>
              </w:rPr>
              <w:t>5.5.1.3压井管：的阀门应配置全通径闸板阀。</w:t>
            </w:r>
          </w:p>
        </w:tc>
      </w:tr>
      <w:tr w14:paraId="46031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trPr>
        <w:tc>
          <w:tcPr>
            <w:tcW w:w="696" w:type="dxa"/>
            <w:vAlign w:val="center"/>
          </w:tcPr>
          <w:p w14:paraId="03FBD815">
            <w:pPr>
              <w:numPr>
                <w:ilvl w:val="0"/>
                <w:numId w:val="132"/>
              </w:numPr>
              <w:jc w:val="center"/>
              <w:rPr>
                <w:szCs w:val="21"/>
              </w:rPr>
            </w:pPr>
          </w:p>
        </w:tc>
        <w:tc>
          <w:tcPr>
            <w:tcW w:w="1172" w:type="dxa"/>
            <w:vAlign w:val="center"/>
          </w:tcPr>
          <w:p w14:paraId="41847533">
            <w:pPr>
              <w:jc w:val="center"/>
              <w:rPr>
                <w:szCs w:val="21"/>
              </w:rPr>
            </w:pPr>
            <w:r>
              <w:rPr>
                <w:szCs w:val="21"/>
              </w:rPr>
              <w:t>9.3.8</w:t>
            </w:r>
          </w:p>
        </w:tc>
        <w:tc>
          <w:tcPr>
            <w:tcW w:w="2725" w:type="dxa"/>
            <w:vAlign w:val="center"/>
          </w:tcPr>
          <w:p w14:paraId="1852BF8F">
            <w:pPr>
              <w:jc w:val="left"/>
              <w:rPr>
                <w:szCs w:val="21"/>
              </w:rPr>
            </w:pPr>
            <w:r>
              <w:rPr>
                <w:szCs w:val="21"/>
              </w:rPr>
              <w:t>节流及压井管线</w:t>
            </w:r>
          </w:p>
        </w:tc>
        <w:tc>
          <w:tcPr>
            <w:tcW w:w="4401" w:type="dxa"/>
            <w:vAlign w:val="center"/>
          </w:tcPr>
          <w:p w14:paraId="2478E827">
            <w:pPr>
              <w:rPr>
                <w:szCs w:val="21"/>
              </w:rPr>
            </w:pPr>
            <w:r>
              <w:rPr>
                <w:szCs w:val="21"/>
              </w:rPr>
              <w:t>依据《海洋钻井装置井控系统配置及安装要求》（SYT 6962-2018）5.4节节流管汇及管线。</w:t>
            </w:r>
          </w:p>
        </w:tc>
      </w:tr>
      <w:tr w14:paraId="57534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trPr>
        <w:tc>
          <w:tcPr>
            <w:tcW w:w="696" w:type="dxa"/>
            <w:vAlign w:val="center"/>
          </w:tcPr>
          <w:p w14:paraId="49117977">
            <w:pPr>
              <w:numPr>
                <w:ilvl w:val="0"/>
                <w:numId w:val="132"/>
              </w:numPr>
              <w:jc w:val="center"/>
              <w:rPr>
                <w:szCs w:val="21"/>
              </w:rPr>
            </w:pPr>
          </w:p>
        </w:tc>
        <w:tc>
          <w:tcPr>
            <w:tcW w:w="1172" w:type="dxa"/>
            <w:vAlign w:val="center"/>
          </w:tcPr>
          <w:p w14:paraId="19964849">
            <w:pPr>
              <w:jc w:val="center"/>
              <w:rPr>
                <w:szCs w:val="21"/>
              </w:rPr>
            </w:pPr>
            <w:r>
              <w:rPr>
                <w:szCs w:val="21"/>
              </w:rPr>
              <w:t>9.3.9</w:t>
            </w:r>
          </w:p>
        </w:tc>
        <w:tc>
          <w:tcPr>
            <w:tcW w:w="2725" w:type="dxa"/>
            <w:vAlign w:val="center"/>
          </w:tcPr>
          <w:p w14:paraId="5CDCAF5D">
            <w:pPr>
              <w:jc w:val="left"/>
              <w:rPr>
                <w:szCs w:val="21"/>
              </w:rPr>
            </w:pPr>
            <w:r>
              <w:rPr>
                <w:szCs w:val="21"/>
              </w:rPr>
              <w:t>液气分离器</w:t>
            </w:r>
          </w:p>
        </w:tc>
        <w:tc>
          <w:tcPr>
            <w:tcW w:w="4401" w:type="dxa"/>
            <w:vAlign w:val="center"/>
          </w:tcPr>
          <w:p w14:paraId="7929E989">
            <w:pPr>
              <w:rPr>
                <w:szCs w:val="21"/>
              </w:rPr>
            </w:pPr>
            <w:r>
              <w:rPr>
                <w:szCs w:val="21"/>
              </w:rPr>
              <w:t>依据《海洋钻井装置井控系统配置及安装要求》（SYT 6962-2018）5.6.1液气分离器。</w:t>
            </w:r>
          </w:p>
          <w:p w14:paraId="127323C3">
            <w:pPr>
              <w:rPr>
                <w:szCs w:val="21"/>
              </w:rPr>
            </w:pPr>
            <w:r>
              <w:rPr>
                <w:szCs w:val="21"/>
              </w:rPr>
              <w:t>5.6.1.2罐体内径不应小于762mm</w:t>
            </w:r>
            <w:r>
              <w:rPr>
                <w:rFonts w:hint="eastAsia"/>
                <w:szCs w:val="21"/>
                <w:lang w:eastAsia="zh-CN"/>
              </w:rPr>
              <w:t>，</w:t>
            </w:r>
            <w:r>
              <w:rPr>
                <w:szCs w:val="21"/>
              </w:rPr>
              <w:t>处理液量不应小于180m</w:t>
            </w:r>
            <w:r>
              <w:rPr>
                <w:szCs w:val="21"/>
                <w:vertAlign w:val="superscript"/>
              </w:rPr>
              <w:t>3</w:t>
            </w:r>
            <w:r>
              <w:rPr>
                <w:szCs w:val="21"/>
              </w:rPr>
              <w:t>/h.</w:t>
            </w:r>
          </w:p>
          <w:p w14:paraId="3B13D657">
            <w:pPr>
              <w:rPr>
                <w:szCs w:val="21"/>
              </w:rPr>
            </w:pPr>
            <w:r>
              <w:rPr>
                <w:szCs w:val="21"/>
              </w:rPr>
              <w:t>5.6.1.7安装后应进行通液功能试验。</w:t>
            </w:r>
          </w:p>
        </w:tc>
      </w:tr>
      <w:tr w14:paraId="509AA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trPr>
        <w:tc>
          <w:tcPr>
            <w:tcW w:w="696" w:type="dxa"/>
            <w:vAlign w:val="center"/>
          </w:tcPr>
          <w:p w14:paraId="3D4D42AF">
            <w:pPr>
              <w:numPr>
                <w:ilvl w:val="0"/>
                <w:numId w:val="132"/>
              </w:numPr>
              <w:jc w:val="center"/>
              <w:rPr>
                <w:szCs w:val="21"/>
              </w:rPr>
            </w:pPr>
          </w:p>
        </w:tc>
        <w:tc>
          <w:tcPr>
            <w:tcW w:w="1172" w:type="dxa"/>
            <w:vAlign w:val="center"/>
          </w:tcPr>
          <w:p w14:paraId="52FFE6C8">
            <w:pPr>
              <w:jc w:val="center"/>
              <w:rPr>
                <w:szCs w:val="21"/>
              </w:rPr>
            </w:pPr>
            <w:r>
              <w:rPr>
                <w:szCs w:val="21"/>
              </w:rPr>
              <w:t>9.3.10</w:t>
            </w:r>
          </w:p>
        </w:tc>
        <w:tc>
          <w:tcPr>
            <w:tcW w:w="2725" w:type="dxa"/>
            <w:vAlign w:val="center"/>
          </w:tcPr>
          <w:p w14:paraId="753E1FF4">
            <w:pPr>
              <w:jc w:val="left"/>
              <w:rPr>
                <w:szCs w:val="21"/>
              </w:rPr>
            </w:pPr>
            <w:r>
              <w:rPr>
                <w:szCs w:val="21"/>
              </w:rPr>
              <w:t>钻井液计量罐</w:t>
            </w:r>
          </w:p>
        </w:tc>
        <w:tc>
          <w:tcPr>
            <w:tcW w:w="4401" w:type="dxa"/>
            <w:vAlign w:val="center"/>
          </w:tcPr>
          <w:p w14:paraId="6027BD12">
            <w:pPr>
              <w:rPr>
                <w:szCs w:val="21"/>
              </w:rPr>
            </w:pPr>
            <w:r>
              <w:rPr>
                <w:szCs w:val="21"/>
              </w:rPr>
              <w:t>依据《海洋钻井装置井控系统配置及安装要求》（SYT 6962-2018）5.6.3钻井液计量罐。</w:t>
            </w:r>
          </w:p>
          <w:p w14:paraId="6EE66A52">
            <w:pPr>
              <w:rPr>
                <w:szCs w:val="21"/>
              </w:rPr>
            </w:pPr>
            <w:r>
              <w:rPr>
                <w:szCs w:val="21"/>
              </w:rPr>
              <w:t>5.6.3.1应采用无盖的敞开式罐体结构，罐体容积不应大于15m</w:t>
            </w:r>
            <w:r>
              <w:rPr>
                <w:szCs w:val="21"/>
                <w:vertAlign w:val="superscript"/>
              </w:rPr>
              <w:t>3</w:t>
            </w:r>
            <w:r>
              <w:rPr>
                <w:rFonts w:hint="eastAsia"/>
                <w:szCs w:val="21"/>
              </w:rPr>
              <w:t>，</w:t>
            </w:r>
            <w:r>
              <w:rPr>
                <w:szCs w:val="21"/>
              </w:rPr>
              <w:t>并宜分隔为大小两个罐体。</w:t>
            </w:r>
          </w:p>
          <w:p w14:paraId="1757811D">
            <w:pPr>
              <w:rPr>
                <w:szCs w:val="21"/>
              </w:rPr>
            </w:pPr>
            <w:r>
              <w:rPr>
                <w:szCs w:val="21"/>
              </w:rPr>
              <w:t>5.6.3.3罐体内应装有探测液位、液体容积的测量装置，应配备机械式和电子式两种测量装置，测量数据能在计量罐、司钻控制台处读取，并应具有液位高低位报警功能。</w:t>
            </w:r>
          </w:p>
        </w:tc>
      </w:tr>
      <w:tr w14:paraId="577D6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trPr>
        <w:tc>
          <w:tcPr>
            <w:tcW w:w="696" w:type="dxa"/>
            <w:vAlign w:val="center"/>
          </w:tcPr>
          <w:p w14:paraId="5E283DE5">
            <w:pPr>
              <w:numPr>
                <w:ilvl w:val="0"/>
                <w:numId w:val="132"/>
              </w:numPr>
              <w:jc w:val="center"/>
              <w:rPr>
                <w:szCs w:val="21"/>
              </w:rPr>
            </w:pPr>
          </w:p>
        </w:tc>
        <w:tc>
          <w:tcPr>
            <w:tcW w:w="1172" w:type="dxa"/>
          </w:tcPr>
          <w:p w14:paraId="167A9F28">
            <w:pPr>
              <w:jc w:val="center"/>
              <w:rPr>
                <w:szCs w:val="21"/>
              </w:rPr>
            </w:pPr>
            <w:r>
              <w:rPr>
                <w:szCs w:val="21"/>
              </w:rPr>
              <w:t>9.4.1</w:t>
            </w:r>
          </w:p>
        </w:tc>
        <w:tc>
          <w:tcPr>
            <w:tcW w:w="2725" w:type="dxa"/>
            <w:vAlign w:val="center"/>
          </w:tcPr>
          <w:p w14:paraId="2442D3BF">
            <w:pPr>
              <w:jc w:val="left"/>
              <w:rPr>
                <w:szCs w:val="21"/>
              </w:rPr>
            </w:pPr>
            <w:r>
              <w:rPr>
                <w:szCs w:val="21"/>
              </w:rPr>
              <w:t>每台柴油机排气口应设置火花捕捉装置；</w:t>
            </w:r>
          </w:p>
        </w:tc>
        <w:tc>
          <w:tcPr>
            <w:tcW w:w="4401" w:type="dxa"/>
            <w:vAlign w:val="center"/>
          </w:tcPr>
          <w:p w14:paraId="252EE5AF">
            <w:pPr>
              <w:rPr>
                <w:szCs w:val="21"/>
              </w:rPr>
            </w:pPr>
            <w:r>
              <w:rPr>
                <w:szCs w:val="21"/>
              </w:rPr>
              <w:t>依据《石油天然气钻采设备 柴油机》（SY-T 5030-2020）6.9 “安全防护及监控装置”</w:t>
            </w:r>
          </w:p>
        </w:tc>
      </w:tr>
      <w:tr w14:paraId="2F857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trPr>
        <w:tc>
          <w:tcPr>
            <w:tcW w:w="696" w:type="dxa"/>
            <w:vAlign w:val="center"/>
          </w:tcPr>
          <w:p w14:paraId="68F3A9B4">
            <w:pPr>
              <w:numPr>
                <w:ilvl w:val="0"/>
                <w:numId w:val="132"/>
              </w:numPr>
              <w:jc w:val="center"/>
              <w:rPr>
                <w:szCs w:val="21"/>
              </w:rPr>
            </w:pPr>
          </w:p>
        </w:tc>
        <w:tc>
          <w:tcPr>
            <w:tcW w:w="1172" w:type="dxa"/>
          </w:tcPr>
          <w:p w14:paraId="20D4742D">
            <w:pPr>
              <w:jc w:val="center"/>
              <w:rPr>
                <w:szCs w:val="21"/>
              </w:rPr>
            </w:pPr>
            <w:r>
              <w:rPr>
                <w:szCs w:val="21"/>
              </w:rPr>
              <w:t>9.4.2</w:t>
            </w:r>
          </w:p>
        </w:tc>
        <w:tc>
          <w:tcPr>
            <w:tcW w:w="2725" w:type="dxa"/>
            <w:vAlign w:val="center"/>
          </w:tcPr>
          <w:p w14:paraId="35ECDB74">
            <w:pPr>
              <w:rPr>
                <w:szCs w:val="21"/>
              </w:rPr>
            </w:pPr>
            <w:r>
              <w:rPr>
                <w:szCs w:val="21"/>
              </w:rPr>
              <w:t>电传动控制系统应具有系统故障报警指示并具备紧急关停功能。</w:t>
            </w:r>
          </w:p>
        </w:tc>
        <w:tc>
          <w:tcPr>
            <w:tcW w:w="4401" w:type="dxa"/>
            <w:vAlign w:val="center"/>
          </w:tcPr>
          <w:p w14:paraId="22BF7E44">
            <w:pPr>
              <w:rPr>
                <w:szCs w:val="21"/>
              </w:rPr>
            </w:pPr>
            <w:r>
              <w:rPr>
                <w:szCs w:val="21"/>
              </w:rPr>
              <w:t>依据《石油天然气钻采设备 柴油机》（SY-T 5030-2020）6.9.6 “安全防护及监控装置”</w:t>
            </w:r>
          </w:p>
        </w:tc>
      </w:tr>
      <w:tr w14:paraId="3F30D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trPr>
        <w:tc>
          <w:tcPr>
            <w:tcW w:w="696" w:type="dxa"/>
            <w:vAlign w:val="center"/>
          </w:tcPr>
          <w:p w14:paraId="1E0F3BBD">
            <w:pPr>
              <w:numPr>
                <w:ilvl w:val="0"/>
                <w:numId w:val="132"/>
              </w:numPr>
              <w:jc w:val="center"/>
              <w:rPr>
                <w:szCs w:val="21"/>
              </w:rPr>
            </w:pPr>
          </w:p>
        </w:tc>
        <w:tc>
          <w:tcPr>
            <w:tcW w:w="1172" w:type="dxa"/>
          </w:tcPr>
          <w:p w14:paraId="1B37FABA">
            <w:pPr>
              <w:jc w:val="center"/>
              <w:rPr>
                <w:szCs w:val="21"/>
              </w:rPr>
            </w:pPr>
            <w:r>
              <w:rPr>
                <w:szCs w:val="21"/>
              </w:rPr>
              <w:t>9.5</w:t>
            </w:r>
          </w:p>
        </w:tc>
        <w:tc>
          <w:tcPr>
            <w:tcW w:w="2725" w:type="dxa"/>
            <w:vAlign w:val="center"/>
          </w:tcPr>
          <w:p w14:paraId="0CA0786A">
            <w:pPr>
              <w:rPr>
                <w:szCs w:val="21"/>
              </w:rPr>
            </w:pPr>
            <w:r>
              <w:rPr>
                <w:szCs w:val="21"/>
              </w:rPr>
              <w:t>有毒有害气体、可燃气体监测及防控</w:t>
            </w:r>
          </w:p>
        </w:tc>
        <w:tc>
          <w:tcPr>
            <w:tcW w:w="4401" w:type="dxa"/>
            <w:vAlign w:val="center"/>
          </w:tcPr>
          <w:p w14:paraId="48C2EF27">
            <w:pPr>
              <w:rPr>
                <w:szCs w:val="21"/>
              </w:rPr>
            </w:pPr>
            <w:r>
              <w:rPr>
                <w:szCs w:val="21"/>
              </w:rPr>
              <w:t>依据《石油天然气工业 油气开采中用于含硫化氢环境的材料 第1部分：选择抗裂纹材料的一般原则》（GB-T 20972.1-2007 ）</w:t>
            </w:r>
          </w:p>
          <w:p w14:paraId="6AAE5595">
            <w:pPr>
              <w:rPr>
                <w:szCs w:val="21"/>
              </w:rPr>
            </w:pPr>
            <w:r>
              <w:rPr>
                <w:szCs w:val="21"/>
              </w:rPr>
              <w:t>依据《硫化氢环境钻井场所作业安全规范》（SY-T 5087-2017 ）</w:t>
            </w:r>
          </w:p>
        </w:tc>
      </w:tr>
      <w:tr w14:paraId="709A9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94" w:type="dxa"/>
            <w:gridSpan w:val="4"/>
            <w:vAlign w:val="center"/>
          </w:tcPr>
          <w:p w14:paraId="24154D6B">
            <w:pPr>
              <w:jc w:val="center"/>
              <w:rPr>
                <w:szCs w:val="21"/>
              </w:rPr>
            </w:pPr>
            <w:r>
              <w:rPr>
                <w:szCs w:val="21"/>
              </w:rPr>
              <w:t>油气生产工艺系统</w:t>
            </w:r>
          </w:p>
        </w:tc>
      </w:tr>
      <w:tr w14:paraId="76A52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0FF90295">
            <w:pPr>
              <w:numPr>
                <w:ilvl w:val="0"/>
                <w:numId w:val="132"/>
              </w:numPr>
              <w:jc w:val="center"/>
              <w:rPr>
                <w:color w:val="000000"/>
                <w:szCs w:val="21"/>
              </w:rPr>
            </w:pPr>
          </w:p>
        </w:tc>
        <w:tc>
          <w:tcPr>
            <w:tcW w:w="1172" w:type="dxa"/>
          </w:tcPr>
          <w:p w14:paraId="192E1D61">
            <w:pPr>
              <w:jc w:val="left"/>
              <w:rPr>
                <w:szCs w:val="21"/>
              </w:rPr>
            </w:pPr>
            <w:r>
              <w:rPr>
                <w:szCs w:val="21"/>
              </w:rPr>
              <w:t>10.1.1.5</w:t>
            </w:r>
          </w:p>
        </w:tc>
        <w:tc>
          <w:tcPr>
            <w:tcW w:w="2725" w:type="dxa"/>
          </w:tcPr>
          <w:p w14:paraId="4D45020E">
            <w:pPr>
              <w:rPr>
                <w:szCs w:val="21"/>
              </w:rPr>
            </w:pPr>
            <w:r>
              <w:rPr>
                <w:szCs w:val="21"/>
              </w:rPr>
              <w:t>工艺/公用系统设计过程中应充分考虑有毒有害组分对操作人员以及流程和设施的影响。</w:t>
            </w:r>
          </w:p>
        </w:tc>
        <w:tc>
          <w:tcPr>
            <w:tcW w:w="4401" w:type="dxa"/>
          </w:tcPr>
          <w:p w14:paraId="7B62369A">
            <w:pPr>
              <w:rPr>
                <w:szCs w:val="21"/>
              </w:rPr>
            </w:pPr>
            <w:r>
              <w:rPr>
                <w:szCs w:val="21"/>
              </w:rPr>
              <w:t>1.SY/T 6776-2010《海上生产设施设计和危险性分析推荐作法》</w:t>
            </w:r>
          </w:p>
          <w:p w14:paraId="452D3620">
            <w:pPr>
              <w:rPr>
                <w:szCs w:val="21"/>
              </w:rPr>
            </w:pPr>
            <w:r>
              <w:rPr>
                <w:szCs w:val="21"/>
              </w:rPr>
              <w:t>2.2.5特殊的预防措施</w:t>
            </w:r>
          </w:p>
          <w:p w14:paraId="72B352C3">
            <w:pPr>
              <w:rPr>
                <w:color w:val="000000"/>
                <w:spacing w:val="13"/>
                <w:szCs w:val="21"/>
                <w:shd w:val="clear" w:color="auto" w:fill="FFFFFF"/>
              </w:rPr>
            </w:pPr>
            <w:r>
              <w:rPr>
                <w:szCs w:val="21"/>
              </w:rPr>
              <w:t>人员活动区城、出人通道和应急设备应按实际情况尽可能地远离含有碳氢化合物和其他危险物质的设备和管线，以避免潜在危害。应尽可能地避免由于同时进行的钻井、修井和检测作业所引起的设备和管线碰撞和落物损害。应特别注意处理有害气体和腐蚀流体的设备和系统的设计。需采取预防措施防止工艺和仪表系统因低温处理工艺、寒冷气候和水合物、蜡或沥青造成的冻堵。</w:t>
            </w:r>
          </w:p>
        </w:tc>
      </w:tr>
      <w:tr w14:paraId="5FE34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5FBCC08C">
            <w:pPr>
              <w:numPr>
                <w:ilvl w:val="0"/>
                <w:numId w:val="132"/>
              </w:numPr>
              <w:jc w:val="center"/>
              <w:rPr>
                <w:color w:val="000000"/>
                <w:szCs w:val="21"/>
              </w:rPr>
            </w:pPr>
          </w:p>
        </w:tc>
        <w:tc>
          <w:tcPr>
            <w:tcW w:w="1172" w:type="dxa"/>
          </w:tcPr>
          <w:p w14:paraId="658FE8DE">
            <w:pPr>
              <w:jc w:val="center"/>
              <w:rPr>
                <w:szCs w:val="21"/>
              </w:rPr>
            </w:pPr>
            <w:r>
              <w:rPr>
                <w:szCs w:val="21"/>
              </w:rPr>
              <w:t>10.1.2.2</w:t>
            </w:r>
          </w:p>
        </w:tc>
        <w:tc>
          <w:tcPr>
            <w:tcW w:w="2725" w:type="dxa"/>
          </w:tcPr>
          <w:p w14:paraId="5E420F49">
            <w:pPr>
              <w:jc w:val="left"/>
              <w:rPr>
                <w:szCs w:val="21"/>
              </w:rPr>
            </w:pPr>
            <w:r>
              <w:rPr>
                <w:szCs w:val="21"/>
              </w:rPr>
              <w:t xml:space="preserve">根据操作参数和流体特性，隔离的应用场合主要分为高压危险性系统、低压危险性系统、高压非危险性系统和低压非危险性系统等4种，各场合应采用不同的隔离类型和隔离方法。 </w:t>
            </w:r>
          </w:p>
        </w:tc>
        <w:tc>
          <w:tcPr>
            <w:tcW w:w="4401" w:type="dxa"/>
          </w:tcPr>
          <w:p w14:paraId="2786634A">
            <w:pPr>
              <w:jc w:val="left"/>
              <w:rPr>
                <w:szCs w:val="21"/>
              </w:rPr>
            </w:pPr>
            <w:r>
              <w:rPr>
                <w:szCs w:val="21"/>
              </w:rPr>
              <w:t>1.T/CAOE 1-2019《海上油气田工艺设计导则》</w:t>
            </w:r>
          </w:p>
          <w:p w14:paraId="773318C1">
            <w:pPr>
              <w:jc w:val="left"/>
              <w:rPr>
                <w:szCs w:val="21"/>
              </w:rPr>
            </w:pPr>
            <w:r>
              <w:rPr>
                <w:szCs w:val="21"/>
              </w:rPr>
              <w:t>101隔离的应用场合</w:t>
            </w:r>
          </w:p>
          <w:p w14:paraId="2DA1D69F">
            <w:pPr>
              <w:jc w:val="left"/>
              <w:rPr>
                <w:szCs w:val="21"/>
              </w:rPr>
            </w:pPr>
            <w:r>
              <w:rPr>
                <w:szCs w:val="21"/>
              </w:rPr>
              <w:t>根据操作参数和流体特性，隔离的应用场合主要分为高压危验性系统、低压危险性系统、高压非危险性系统和低压非危验性系统等4种，各场合推荐采用不同的隔离类型和隔离方法。</w:t>
            </w:r>
          </w:p>
          <w:p w14:paraId="62DFCD50">
            <w:pPr>
              <w:rPr>
                <w:color w:val="000000"/>
                <w:spacing w:val="13"/>
                <w:szCs w:val="21"/>
                <w:shd w:val="clear" w:color="auto" w:fill="FFFFFF"/>
              </w:rPr>
            </w:pPr>
          </w:p>
        </w:tc>
      </w:tr>
      <w:tr w14:paraId="7CB0D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704473C9">
            <w:pPr>
              <w:numPr>
                <w:ilvl w:val="0"/>
                <w:numId w:val="132"/>
              </w:numPr>
              <w:jc w:val="center"/>
              <w:rPr>
                <w:color w:val="000000"/>
                <w:szCs w:val="21"/>
              </w:rPr>
            </w:pPr>
          </w:p>
        </w:tc>
        <w:tc>
          <w:tcPr>
            <w:tcW w:w="1172" w:type="dxa"/>
          </w:tcPr>
          <w:p w14:paraId="1A4580DA">
            <w:pPr>
              <w:jc w:val="center"/>
              <w:rPr>
                <w:szCs w:val="21"/>
              </w:rPr>
            </w:pPr>
            <w:r>
              <w:rPr>
                <w:szCs w:val="21"/>
              </w:rPr>
              <w:t>10.1.2.3</w:t>
            </w:r>
          </w:p>
        </w:tc>
        <w:tc>
          <w:tcPr>
            <w:tcW w:w="2725" w:type="dxa"/>
          </w:tcPr>
          <w:p w14:paraId="18616D4E">
            <w:pPr>
              <w:rPr>
                <w:szCs w:val="21"/>
              </w:rPr>
            </w:pPr>
            <w:r>
              <w:rPr>
                <w:szCs w:val="21"/>
              </w:rPr>
              <w:t>通常情况下，隔离阀应尽量避免使用锁开(LO)/锁关(LC)。但是，若隔离阀的误操作将导致工艺装置/设备受损或造成不安全隐患时，应将相关的隔离阀设计为锁开（LO）/锁关（LC）。</w:t>
            </w:r>
          </w:p>
        </w:tc>
        <w:tc>
          <w:tcPr>
            <w:tcW w:w="4401" w:type="dxa"/>
          </w:tcPr>
          <w:p w14:paraId="6DFAE330">
            <w:pPr>
              <w:jc w:val="left"/>
              <w:rPr>
                <w:szCs w:val="21"/>
              </w:rPr>
            </w:pPr>
            <w:r>
              <w:rPr>
                <w:szCs w:val="21"/>
              </w:rPr>
              <w:t>1.T/CAOE 1-2019《海上油气田工艺设计导则》</w:t>
            </w:r>
          </w:p>
          <w:p w14:paraId="31D26D21">
            <w:pPr>
              <w:jc w:val="left"/>
              <w:rPr>
                <w:szCs w:val="21"/>
              </w:rPr>
            </w:pPr>
            <w:r>
              <w:rPr>
                <w:szCs w:val="21"/>
              </w:rPr>
              <w:t>10.2.2.4锁间应用场合：</w:t>
            </w:r>
          </w:p>
          <w:p w14:paraId="5129E083">
            <w:pPr>
              <w:jc w:val="left"/>
              <w:rPr>
                <w:szCs w:val="21"/>
              </w:rPr>
            </w:pPr>
            <w:r>
              <w:rPr>
                <w:szCs w:val="21"/>
              </w:rPr>
              <w:t>a）一般情况下，隔离阀应尽量避免使用锁开(LO)/锁关(LC)。但是，若隔离阀的误操作将导致</w:t>
            </w:r>
          </w:p>
          <w:p w14:paraId="5D093AAF">
            <w:pPr>
              <w:jc w:val="left"/>
              <w:rPr>
                <w:color w:val="000000"/>
                <w:spacing w:val="13"/>
                <w:szCs w:val="21"/>
                <w:shd w:val="clear" w:color="auto" w:fill="FFFFFF"/>
              </w:rPr>
            </w:pPr>
            <w:r>
              <w:rPr>
                <w:szCs w:val="21"/>
              </w:rPr>
              <w:t>工艺装置设备受损或造成不安全隐患时，应将相关的隔离阀设计为锁阀。</w:t>
            </w:r>
          </w:p>
        </w:tc>
      </w:tr>
      <w:tr w14:paraId="0E265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7B23EB04">
            <w:pPr>
              <w:numPr>
                <w:ilvl w:val="0"/>
                <w:numId w:val="132"/>
              </w:numPr>
              <w:jc w:val="center"/>
              <w:rPr>
                <w:color w:val="000000"/>
                <w:szCs w:val="21"/>
              </w:rPr>
            </w:pPr>
          </w:p>
        </w:tc>
        <w:tc>
          <w:tcPr>
            <w:tcW w:w="1172" w:type="dxa"/>
          </w:tcPr>
          <w:p w14:paraId="1EB8FA09">
            <w:pPr>
              <w:jc w:val="center"/>
              <w:rPr>
                <w:szCs w:val="21"/>
              </w:rPr>
            </w:pPr>
            <w:r>
              <w:rPr>
                <w:szCs w:val="21"/>
              </w:rPr>
              <w:t>10.1.3.3</w:t>
            </w:r>
          </w:p>
        </w:tc>
        <w:tc>
          <w:tcPr>
            <w:tcW w:w="2725" w:type="dxa"/>
          </w:tcPr>
          <w:p w14:paraId="1678C06B">
            <w:pPr>
              <w:jc w:val="left"/>
              <w:rPr>
                <w:szCs w:val="21"/>
              </w:rPr>
            </w:pPr>
            <w:r>
              <w:rPr>
                <w:szCs w:val="21"/>
              </w:rPr>
              <w:t>发生火灾事故时，为了避免产生过大的瞬时泄放量，经评估后可对不同火区内设备上的泄放阀（BDV）采取分火区延时泄压。</w:t>
            </w:r>
          </w:p>
        </w:tc>
        <w:tc>
          <w:tcPr>
            <w:tcW w:w="4401" w:type="dxa"/>
          </w:tcPr>
          <w:p w14:paraId="00FF0FD0">
            <w:pPr>
              <w:rPr>
                <w:szCs w:val="21"/>
              </w:rPr>
            </w:pPr>
            <w:r>
              <w:rPr>
                <w:szCs w:val="21"/>
              </w:rPr>
              <w:t>1.SH 3009-2013《石油化工可燃性气体排放系统设计规范》6.2.1同一事故引起全厂或几个装置排放时，应对各装置的排放“流量-时间曲线”进行叠加，取最大值为该事故时的最大排放量。无排放流量-时间曲线时，宜按照如下叠加原则确定各排放系统和全最大排放量：</w:t>
            </w:r>
          </w:p>
          <w:p w14:paraId="59BC111A">
            <w:pPr>
              <w:jc w:val="left"/>
              <w:rPr>
                <w:szCs w:val="21"/>
              </w:rPr>
            </w:pPr>
            <w:r>
              <w:rPr>
                <w:szCs w:val="21"/>
              </w:rPr>
              <w:t>2.T/CAOE 1-2019《海上油气田工艺设计导则》</w:t>
            </w:r>
          </w:p>
          <w:p w14:paraId="1112899E">
            <w:pPr>
              <w:jc w:val="left"/>
              <w:rPr>
                <w:color w:val="000000"/>
                <w:spacing w:val="13"/>
                <w:szCs w:val="21"/>
                <w:shd w:val="clear" w:color="auto" w:fill="FFFFFF"/>
              </w:rPr>
            </w:pPr>
            <w:r>
              <w:rPr>
                <w:szCs w:val="21"/>
              </w:rPr>
              <w:t>11.6.3发生火灾事故时，为了避免产生过大的瞬时泄放量，可对不同火区内设备或装置上的BDV采取分火区延时（分时段）泄压。</w:t>
            </w:r>
          </w:p>
        </w:tc>
      </w:tr>
      <w:tr w14:paraId="5A577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204F1400">
            <w:pPr>
              <w:numPr>
                <w:ilvl w:val="0"/>
                <w:numId w:val="132"/>
              </w:numPr>
              <w:jc w:val="center"/>
              <w:rPr>
                <w:color w:val="000000"/>
                <w:szCs w:val="21"/>
              </w:rPr>
            </w:pPr>
          </w:p>
        </w:tc>
        <w:tc>
          <w:tcPr>
            <w:tcW w:w="1172" w:type="dxa"/>
          </w:tcPr>
          <w:p w14:paraId="0D31E497">
            <w:pPr>
              <w:jc w:val="left"/>
              <w:rPr>
                <w:szCs w:val="21"/>
              </w:rPr>
            </w:pPr>
            <w:r>
              <w:rPr>
                <w:szCs w:val="21"/>
              </w:rPr>
              <w:t>10.2.1.1</w:t>
            </w:r>
          </w:p>
        </w:tc>
        <w:tc>
          <w:tcPr>
            <w:tcW w:w="2725" w:type="dxa"/>
          </w:tcPr>
          <w:p w14:paraId="1FE5DA1A">
            <w:pPr>
              <w:rPr>
                <w:szCs w:val="21"/>
              </w:rPr>
            </w:pPr>
            <w:r>
              <w:rPr>
                <w:szCs w:val="21"/>
              </w:rPr>
              <w:t>对油气生产工艺系统应提供两级保护。一级安全保护为最高级保护，二级安全保护为次一级安全保护。两级保护互相独立，由两种不同型式的安全装置完成。超压保护可以由高压传感器（PSH）和压力安全泄放装置（PRD）分别提供两级保护。其中一级保护应关断输入源，二级保护由压力安全泄放装置（PRD）执行。</w:t>
            </w:r>
          </w:p>
        </w:tc>
        <w:tc>
          <w:tcPr>
            <w:tcW w:w="4401" w:type="dxa"/>
          </w:tcPr>
          <w:p w14:paraId="403FF608">
            <w:pPr>
              <w:rPr>
                <w:szCs w:val="21"/>
              </w:rPr>
            </w:pPr>
            <w:r>
              <w:rPr>
                <w:szCs w:val="21"/>
              </w:rPr>
              <w:t>1.国经贸安全2000年944号《海上固定平台安全规则》</w:t>
            </w:r>
          </w:p>
          <w:p w14:paraId="240E4DED">
            <w:pPr>
              <w:rPr>
                <w:szCs w:val="21"/>
              </w:rPr>
            </w:pPr>
            <w:r>
              <w:rPr>
                <w:szCs w:val="21"/>
              </w:rPr>
              <w:t>6.3.1 总则</w:t>
            </w:r>
          </w:p>
          <w:p w14:paraId="1749902B">
            <w:pPr>
              <w:rPr>
                <w:szCs w:val="21"/>
              </w:rPr>
            </w:pPr>
            <w:r>
              <w:rPr>
                <w:szCs w:val="21"/>
              </w:rPr>
              <w:t>对油（气）生产工艺系统应提供两级保护。一级安全保护为最高级保护</w:t>
            </w:r>
            <w:r>
              <w:rPr>
                <w:rFonts w:hint="eastAsia"/>
                <w:szCs w:val="21"/>
              </w:rPr>
              <w:t>，</w:t>
            </w:r>
            <w:r>
              <w:rPr>
                <w:szCs w:val="21"/>
              </w:rPr>
              <w:t>二级安全保护为次一级安全保护。这两级保护是互相独立的</w:t>
            </w:r>
            <w:r>
              <w:rPr>
                <w:rFonts w:hint="eastAsia"/>
                <w:szCs w:val="21"/>
              </w:rPr>
              <w:t>，</w:t>
            </w:r>
            <w:r>
              <w:rPr>
                <w:szCs w:val="21"/>
              </w:rPr>
              <w:t>由两种不同型式的安全装置完成。安全装置不能做为一般操作装置使用。操作中的不安全因素可以用一个或几个超出操作范围的异常工艺参数来表明。这些异常被传感器察知后启动关断阀保护工艺设备。</w:t>
            </w:r>
          </w:p>
          <w:p w14:paraId="04893F27">
            <w:pPr>
              <w:rPr>
                <w:szCs w:val="21"/>
              </w:rPr>
            </w:pPr>
            <w:r>
              <w:rPr>
                <w:szCs w:val="21"/>
              </w:rPr>
              <w:t>2.SY/T 10033-2002《海上生产平台基本上部设施安全系统的分析设计安装和测试的推荐做法》3.4基本的分析和设计前提</w:t>
            </w:r>
          </w:p>
          <w:p w14:paraId="1F7EC3CE">
            <w:pPr>
              <w:rPr>
                <w:szCs w:val="21"/>
              </w:rPr>
            </w:pPr>
            <w:r>
              <w:rPr>
                <w:szCs w:val="21"/>
              </w:rPr>
              <w:t>推荐的平台安全系统分析和设计方法是基于下列前提：</w:t>
            </w:r>
          </w:p>
          <w:p w14:paraId="040E7FB7">
            <w:pPr>
              <w:rPr>
                <w:szCs w:val="21"/>
              </w:rPr>
            </w:pPr>
            <w:r>
              <w:rPr>
                <w:szCs w:val="21"/>
              </w:rPr>
              <w:t>a.为了安全操作，工艺设施的设计要依据切实可行的工程作法。</w:t>
            </w:r>
          </w:p>
          <w:p w14:paraId="07BE2C2B">
            <w:pPr>
              <w:rPr>
                <w:szCs w:val="21"/>
              </w:rPr>
            </w:pPr>
            <w:r>
              <w:rPr>
                <w:szCs w:val="21"/>
              </w:rPr>
              <w:t>b.安全系统要有两级保护，以防止或减小工艺系统内设备故障的影响。这两级保护应独立于工艺系烧正常操作的控制装置之外。通常，为了有一个较宽的作用范围，这两级保护系统安全装置的类型在功能上要不同。两个完全相同的装置具有相同的性能，就可能具有相同的固有的弱点。</w:t>
            </w:r>
          </w:p>
          <w:p w14:paraId="77B17454">
            <w:pPr>
              <w:rPr>
                <w:szCs w:val="21"/>
              </w:rPr>
            </w:pPr>
            <w:r>
              <w:rPr>
                <w:szCs w:val="21"/>
              </w:rPr>
              <w:t>c.两级保护应该是最高等级（一级）和次高等缓（二级）。对于具体情况需要判斯以确定这两个最高等级保护系统。例如，由于过压面引起设备破裂可以由PSH和PSL提供两级保护。在压力过高之前，为防止设备破裂，PSH把受影响的设备关闭：在破裂发生后，PSL则关闭受影响的设备。然面，有时选用PSV代替PSL</w:t>
            </w:r>
            <w:r>
              <w:rPr>
                <w:rFonts w:hint="eastAsia"/>
                <w:szCs w:val="21"/>
                <w:lang w:eastAsia="zh-CN"/>
              </w:rPr>
              <w:t>，</w:t>
            </w:r>
            <w:r>
              <w:rPr>
                <w:szCs w:val="21"/>
              </w:rPr>
              <w:t>因为它可以把过量的体积释放到安全的地方以防止设备破裂。而且，PSV反应迅速可以防止设备破裂，而PSH在一些情况下不能有效而快速地执行动作。</w:t>
            </w:r>
          </w:p>
          <w:p w14:paraId="3CF4E4A3">
            <w:pPr>
              <w:rPr>
                <w:szCs w:val="21"/>
              </w:rPr>
            </w:pPr>
            <w:r>
              <w:rPr>
                <w:szCs w:val="21"/>
              </w:rPr>
              <w:t>d</w:t>
            </w:r>
            <w:r>
              <w:rPr>
                <w:rFonts w:hint="eastAsia"/>
                <w:szCs w:val="21"/>
                <w:lang w:eastAsia="zh-CN"/>
              </w:rPr>
              <w:t>，</w:t>
            </w:r>
            <w:r>
              <w:rPr>
                <w:szCs w:val="21"/>
              </w:rPr>
              <w:t>采用已证实的并为生产工艺采纳的系统分析方法可以确定工艺设备的最低安全要求。如果把这种分析应用于一个独立的设备，并假设最坏的输人和输出条件，那么在任何工艺系统中这种分析对于该设备来说都会是有效的。</w:t>
            </w:r>
          </w:p>
        </w:tc>
      </w:tr>
      <w:tr w14:paraId="414BC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3171B933">
            <w:pPr>
              <w:numPr>
                <w:ilvl w:val="0"/>
                <w:numId w:val="132"/>
              </w:numPr>
              <w:jc w:val="center"/>
              <w:rPr>
                <w:color w:val="000000"/>
                <w:szCs w:val="21"/>
              </w:rPr>
            </w:pPr>
          </w:p>
        </w:tc>
        <w:tc>
          <w:tcPr>
            <w:tcW w:w="1172" w:type="dxa"/>
          </w:tcPr>
          <w:p w14:paraId="156A0E40">
            <w:pPr>
              <w:jc w:val="left"/>
              <w:rPr>
                <w:szCs w:val="21"/>
              </w:rPr>
            </w:pPr>
            <w:r>
              <w:rPr>
                <w:szCs w:val="21"/>
              </w:rPr>
              <w:t>10.2.1.3</w:t>
            </w:r>
          </w:p>
        </w:tc>
        <w:tc>
          <w:tcPr>
            <w:tcW w:w="2725" w:type="dxa"/>
          </w:tcPr>
          <w:p w14:paraId="38CFD81D">
            <w:pPr>
              <w:rPr>
                <w:szCs w:val="21"/>
              </w:rPr>
            </w:pPr>
            <w:r>
              <w:rPr>
                <w:szCs w:val="21"/>
              </w:rPr>
              <w:t>操作中的不安全因素可以用一个或几个超出操作范围的异常工艺参数来表明。相关异常被传感器检测到后触发关断阀（SDV）关断，关停泵或压缩机等增压设备以保护工艺设备。</w:t>
            </w:r>
          </w:p>
        </w:tc>
        <w:tc>
          <w:tcPr>
            <w:tcW w:w="4401" w:type="dxa"/>
          </w:tcPr>
          <w:p w14:paraId="7FA17344">
            <w:pPr>
              <w:jc w:val="left"/>
              <w:rPr>
                <w:szCs w:val="21"/>
              </w:rPr>
            </w:pPr>
            <w:r>
              <w:rPr>
                <w:szCs w:val="21"/>
              </w:rPr>
              <w:t>1.国经贸安全2000年944号《海上固定平台安全规则》</w:t>
            </w:r>
          </w:p>
          <w:p w14:paraId="769F3656">
            <w:pPr>
              <w:jc w:val="left"/>
              <w:rPr>
                <w:szCs w:val="21"/>
              </w:rPr>
            </w:pPr>
            <w:r>
              <w:rPr>
                <w:szCs w:val="21"/>
              </w:rPr>
              <w:t>6.3.1 总则</w:t>
            </w:r>
          </w:p>
          <w:p w14:paraId="1297B15F">
            <w:pPr>
              <w:jc w:val="left"/>
              <w:rPr>
                <w:szCs w:val="21"/>
              </w:rPr>
            </w:pPr>
            <w:r>
              <w:rPr>
                <w:szCs w:val="21"/>
              </w:rPr>
              <w:t>对油（气）生产工艺系统应提供两级保护。一级安全保护为最高级保护</w:t>
            </w:r>
            <w:r>
              <w:rPr>
                <w:rFonts w:hint="eastAsia"/>
                <w:szCs w:val="21"/>
              </w:rPr>
              <w:t>，</w:t>
            </w:r>
            <w:r>
              <w:rPr>
                <w:szCs w:val="21"/>
              </w:rPr>
              <w:t>二级安全保护为次一级安全保护。这两级保护是互相独立的</w:t>
            </w:r>
            <w:r>
              <w:rPr>
                <w:rFonts w:hint="eastAsia"/>
                <w:szCs w:val="21"/>
              </w:rPr>
              <w:t>，</w:t>
            </w:r>
            <w:r>
              <w:rPr>
                <w:szCs w:val="21"/>
              </w:rPr>
              <w:t>由两种不同型式的安全装置完成。安全装置不能做为一般操作装置使用。</w:t>
            </w:r>
          </w:p>
          <w:p w14:paraId="3CDB1FD5">
            <w:pPr>
              <w:rPr>
                <w:szCs w:val="21"/>
              </w:rPr>
            </w:pPr>
            <w:r>
              <w:rPr>
                <w:szCs w:val="21"/>
              </w:rPr>
              <w:t>操作中的不安全因素可以用一个或几个超出操作范围的异常工艺参数来表明。这些异常被传感器察知后启动关断阀保护工艺设备。</w:t>
            </w:r>
          </w:p>
          <w:p w14:paraId="1C90367E">
            <w:pPr>
              <w:jc w:val="left"/>
              <w:rPr>
                <w:szCs w:val="21"/>
              </w:rPr>
            </w:pPr>
            <w:r>
              <w:rPr>
                <w:szCs w:val="21"/>
              </w:rPr>
              <w:t>油(气)生产工艺系统的保护应参照*《中华人民共和国石油天然气行业标准》SY/T4808最新版本执行。</w:t>
            </w:r>
          </w:p>
          <w:p w14:paraId="2D1A66C1">
            <w:pPr>
              <w:rPr>
                <w:color w:val="000000"/>
                <w:spacing w:val="13"/>
                <w:szCs w:val="21"/>
                <w:shd w:val="clear" w:color="auto" w:fill="FFFFFF"/>
              </w:rPr>
            </w:pPr>
            <w:r>
              <w:rPr>
                <w:szCs w:val="21"/>
              </w:rPr>
              <w:t>注:《中华人民共和国石油天然气行业标准》ST/T4808为等同采用API PR14C，修订后版本为SY/T 10033-2002。</w:t>
            </w:r>
          </w:p>
        </w:tc>
      </w:tr>
      <w:tr w14:paraId="58B64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0ACEC98F">
            <w:pPr>
              <w:numPr>
                <w:ilvl w:val="0"/>
                <w:numId w:val="132"/>
              </w:numPr>
              <w:jc w:val="center"/>
              <w:rPr>
                <w:color w:val="000000"/>
                <w:szCs w:val="21"/>
              </w:rPr>
            </w:pPr>
          </w:p>
        </w:tc>
        <w:tc>
          <w:tcPr>
            <w:tcW w:w="1172" w:type="dxa"/>
          </w:tcPr>
          <w:p w14:paraId="58A87137">
            <w:pPr>
              <w:jc w:val="left"/>
              <w:rPr>
                <w:szCs w:val="21"/>
              </w:rPr>
            </w:pPr>
            <w:r>
              <w:rPr>
                <w:szCs w:val="21"/>
              </w:rPr>
              <w:t>10.2.2.1</w:t>
            </w:r>
          </w:p>
        </w:tc>
        <w:tc>
          <w:tcPr>
            <w:tcW w:w="2725" w:type="dxa"/>
          </w:tcPr>
          <w:p w14:paraId="2F5106E2">
            <w:pPr>
              <w:jc w:val="left"/>
              <w:rPr>
                <w:szCs w:val="21"/>
              </w:rPr>
            </w:pPr>
            <w:r>
              <w:rPr>
                <w:szCs w:val="21"/>
              </w:rPr>
              <w:t>压力安全保护</w:t>
            </w:r>
          </w:p>
          <w:p w14:paraId="4A1D9421">
            <w:pPr>
              <w:pStyle w:val="305"/>
              <w:numPr>
                <w:ilvl w:val="0"/>
                <w:numId w:val="0"/>
              </w:numPr>
              <w:tabs>
                <w:tab w:val="left" w:pos="839"/>
                <w:tab w:val="clear" w:pos="840"/>
              </w:tabs>
              <w:rPr>
                <w:rFonts w:ascii="Times New Roman"/>
              </w:rPr>
            </w:pPr>
            <w:r>
              <w:rPr>
                <w:rFonts w:ascii="Times New Roman"/>
              </w:rPr>
              <w:t>a)出油管线的最大允许工作压力（MAWP）大于最大关井压力（MSITP）；</w:t>
            </w:r>
          </w:p>
          <w:p w14:paraId="7B70B024">
            <w:pPr>
              <w:pStyle w:val="305"/>
              <w:numPr>
                <w:ilvl w:val="0"/>
                <w:numId w:val="0"/>
              </w:numPr>
              <w:tabs>
                <w:tab w:val="left" w:pos="839"/>
                <w:tab w:val="clear" w:pos="840"/>
              </w:tabs>
              <w:rPr>
                <w:rFonts w:ascii="Times New Roman"/>
              </w:rPr>
            </w:pPr>
            <w:r>
              <w:rPr>
                <w:rFonts w:ascii="Times New Roman"/>
              </w:rPr>
              <w:t>b)出油管线受位于上游出油管段的压力安全泄放装置（PRD）保护；</w:t>
            </w:r>
          </w:p>
          <w:p w14:paraId="62F5526B">
            <w:pPr>
              <w:pStyle w:val="305"/>
              <w:numPr>
                <w:ilvl w:val="0"/>
                <w:numId w:val="0"/>
              </w:numPr>
              <w:tabs>
                <w:tab w:val="left" w:pos="839"/>
                <w:tab w:val="clear" w:pos="840"/>
              </w:tabs>
              <w:rPr>
                <w:rFonts w:ascii="Times New Roman"/>
              </w:rPr>
            </w:pPr>
            <w:r>
              <w:rPr>
                <w:rFonts w:ascii="Times New Roman"/>
              </w:rPr>
              <w:t>c)经工艺和安全分析后，可设两个独立控制的关断阀（SDV）（其中一个可以为井上安全阀（SSV）），关断阀（SDV）上游出油管线的容积应能在超过最大允许工作压力（MAWP）之前有足够的时间关断关断阀（SDV）；</w:t>
            </w:r>
          </w:p>
          <w:p w14:paraId="1E64C6C1">
            <w:pPr>
              <w:pStyle w:val="305"/>
              <w:numPr>
                <w:ilvl w:val="0"/>
                <w:numId w:val="0"/>
              </w:numPr>
              <w:tabs>
                <w:tab w:val="left" w:pos="839"/>
                <w:tab w:val="clear" w:pos="840"/>
              </w:tabs>
              <w:rPr>
                <w:rFonts w:ascii="Times New Roman"/>
              </w:rPr>
            </w:pPr>
            <w:r>
              <w:rPr>
                <w:rFonts w:ascii="Times New Roman"/>
              </w:rPr>
              <w:t>d)出油管线由下游设备的压力安全泄放装置（PRD）保护，该设备不能与出油管线隔离，且出油管线和压力安全泄放装置（PRD）之间没有设节流装置或其他限制装置；</w:t>
            </w:r>
          </w:p>
          <w:p w14:paraId="535C0679">
            <w:pPr>
              <w:pStyle w:val="305"/>
              <w:numPr>
                <w:ilvl w:val="0"/>
                <w:numId w:val="0"/>
              </w:numPr>
              <w:tabs>
                <w:tab w:val="left" w:pos="839"/>
                <w:tab w:val="clear" w:pos="840"/>
              </w:tabs>
              <w:rPr>
                <w:rFonts w:ascii="Times New Roman"/>
              </w:rPr>
            </w:pPr>
            <w:r>
              <w:rPr>
                <w:rFonts w:ascii="Times New Roman"/>
              </w:rPr>
              <w:t>f)出油管线由符合要求的高完整性压力保护系统（HIPPS）保护。</w:t>
            </w:r>
          </w:p>
          <w:p w14:paraId="4FC9DDB3">
            <w:pPr>
              <w:jc w:val="left"/>
              <w:rPr>
                <w:szCs w:val="21"/>
              </w:rPr>
            </w:pPr>
          </w:p>
        </w:tc>
        <w:tc>
          <w:tcPr>
            <w:tcW w:w="4401" w:type="dxa"/>
          </w:tcPr>
          <w:p w14:paraId="081934B3">
            <w:pPr>
              <w:jc w:val="left"/>
              <w:rPr>
                <w:szCs w:val="21"/>
              </w:rPr>
            </w:pPr>
            <w:r>
              <w:rPr>
                <w:szCs w:val="21"/>
              </w:rPr>
              <w:t>1.国经贸安全2000年944号《海上固定平台安全规则》</w:t>
            </w:r>
          </w:p>
          <w:p w14:paraId="37BDCA00">
            <w:pPr>
              <w:jc w:val="left"/>
              <w:rPr>
                <w:szCs w:val="21"/>
              </w:rPr>
            </w:pPr>
            <w:r>
              <w:rPr>
                <w:szCs w:val="21"/>
              </w:rPr>
              <w:t>6.3.2 井口装置及出油管线</w:t>
            </w:r>
          </w:p>
          <w:p w14:paraId="2C87B21F">
            <w:pPr>
              <w:jc w:val="left"/>
              <w:rPr>
                <w:szCs w:val="21"/>
              </w:rPr>
            </w:pPr>
            <w:r>
              <w:rPr>
                <w:szCs w:val="21"/>
              </w:rPr>
              <w:t>6.3.2.1 压力安全保护</w:t>
            </w:r>
          </w:p>
          <w:p w14:paraId="78F62B55">
            <w:pPr>
              <w:rPr>
                <w:szCs w:val="21"/>
              </w:rPr>
            </w:pPr>
            <w:r>
              <w:rPr>
                <w:szCs w:val="21"/>
              </w:rPr>
              <w:t>出油管段内的减压设施（如油咀）前后工作压力是不同的。出油管段上应安装高压传感器（PSH）</w:t>
            </w:r>
            <w:r>
              <w:rPr>
                <w:rFonts w:hint="eastAsia"/>
                <w:szCs w:val="21"/>
                <w:lang w:eastAsia="zh-CN"/>
              </w:rPr>
              <w:t>，</w:t>
            </w:r>
            <w:r>
              <w:rPr>
                <w:szCs w:val="21"/>
              </w:rPr>
              <w:t>低压传感器（PSL）和压力安全阀（PSV）。在检查到异常高压或低压时应关断油井。</w:t>
            </w:r>
          </w:p>
          <w:p w14:paraId="30C158D2">
            <w:pPr>
              <w:jc w:val="left"/>
              <w:rPr>
                <w:szCs w:val="21"/>
              </w:rPr>
            </w:pPr>
            <w:r>
              <w:rPr>
                <w:szCs w:val="21"/>
              </w:rPr>
              <w:t>SY/T 10033-2000《海上生产平台基本上部设施安全系统的分析设计安装和测试的推荐做法》</w:t>
            </w:r>
          </w:p>
          <w:p w14:paraId="02C545FC">
            <w:pPr>
              <w:rPr>
                <w:color w:val="000000"/>
                <w:spacing w:val="13"/>
                <w:szCs w:val="21"/>
                <w:shd w:val="clear" w:color="auto" w:fill="FFFFFF"/>
              </w:rPr>
            </w:pPr>
            <w:r>
              <w:rPr>
                <w:color w:val="000000"/>
                <w:spacing w:val="13"/>
                <w:szCs w:val="21"/>
                <w:shd w:val="clear" w:color="auto" w:fill="FFFFFF"/>
              </w:rPr>
              <w:t>b.出油管段的安全分析检查单(SAC)见SAC表A1.2.</w:t>
            </w:r>
          </w:p>
          <w:p w14:paraId="202C3F1D">
            <w:pPr>
              <w:rPr>
                <w:color w:val="000000"/>
                <w:spacing w:val="13"/>
                <w:szCs w:val="21"/>
                <w:shd w:val="clear" w:color="auto" w:fill="FFFFFF"/>
              </w:rPr>
            </w:pPr>
            <w:r>
              <w:rPr>
                <w:szCs w:val="21"/>
              </w:rPr>
              <w:t>(1)压力安全装置(PSH</w:t>
            </w:r>
            <w:r>
              <w:rPr>
                <w:rFonts w:hint="eastAsia"/>
                <w:szCs w:val="21"/>
                <w:lang w:eastAsia="zh-CN"/>
              </w:rPr>
              <w:t>，</w:t>
            </w:r>
            <w:r>
              <w:rPr>
                <w:szCs w:val="21"/>
              </w:rPr>
              <w:t>PSL和PSV)。由于井口是主要压力源，因此在每条出油管上都应提供PSH传感器，它检测异常的高压状态，并把井口关闭。关闭井口的PSH传感器应安装在终点出油管段，以及在最大允许工作压力低于最大关井油管压力的其它出油管段上。如果第一级节流装置安装在距井口3m(10f)以内或者是水下安装的情况（道理上接近这个距离），关闭井口的PSL传感器应安装在除初始段以外的每一个出油管段。如果出油管段的最大允许工作压力大于最大关井油管压力，或者该出油管段受位于上游出油管段的PSV保护，那么该出油管段不需要PSV.如果截断阀上游出油管的容积能在超过最大允许工作压力以前有足够的时间使SDV关断，那么SDV(除SSV以外)和一个独立的与隔离继电器及检测点相接的PSH传感器可以代替PSV.在全面考虑其它方案后才能慎重地选择该方案。在某些情况下，即使没有泄漏物收集和排放系统，除两个SDV外还可能需要安装一个PSV。</w:t>
            </w:r>
          </w:p>
        </w:tc>
      </w:tr>
      <w:tr w14:paraId="5BEF4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5E29A48F">
            <w:pPr>
              <w:numPr>
                <w:ilvl w:val="0"/>
                <w:numId w:val="132"/>
              </w:numPr>
              <w:jc w:val="center"/>
              <w:rPr>
                <w:color w:val="000000"/>
                <w:szCs w:val="21"/>
              </w:rPr>
            </w:pPr>
          </w:p>
        </w:tc>
        <w:tc>
          <w:tcPr>
            <w:tcW w:w="1172" w:type="dxa"/>
          </w:tcPr>
          <w:p w14:paraId="611291AA">
            <w:pPr>
              <w:jc w:val="left"/>
              <w:rPr>
                <w:szCs w:val="21"/>
              </w:rPr>
            </w:pPr>
            <w:r>
              <w:rPr>
                <w:szCs w:val="21"/>
              </w:rPr>
              <w:t>10.2.2.2</w:t>
            </w:r>
          </w:p>
        </w:tc>
        <w:tc>
          <w:tcPr>
            <w:tcW w:w="2725" w:type="dxa"/>
          </w:tcPr>
          <w:p w14:paraId="5AC47BF2">
            <w:pPr>
              <w:jc w:val="left"/>
              <w:rPr>
                <w:szCs w:val="21"/>
              </w:rPr>
            </w:pPr>
            <w:r>
              <w:rPr>
                <w:szCs w:val="21"/>
              </w:rPr>
              <w:t>流动安全保护</w:t>
            </w:r>
          </w:p>
          <w:p w14:paraId="0535E8AD">
            <w:pPr>
              <w:jc w:val="left"/>
              <w:rPr>
                <w:szCs w:val="21"/>
              </w:rPr>
            </w:pPr>
            <w:r>
              <w:rPr>
                <w:szCs w:val="21"/>
              </w:rPr>
              <w:t>出油管道的末段应设置流动安全装置FSV，以防止回流。</w:t>
            </w:r>
          </w:p>
        </w:tc>
        <w:tc>
          <w:tcPr>
            <w:tcW w:w="4401" w:type="dxa"/>
          </w:tcPr>
          <w:p w14:paraId="5119FE59">
            <w:pPr>
              <w:jc w:val="left"/>
              <w:rPr>
                <w:szCs w:val="21"/>
              </w:rPr>
            </w:pPr>
            <w:r>
              <w:rPr>
                <w:szCs w:val="21"/>
              </w:rPr>
              <w:t>1.国经贸安全2000年944号《海上固定平台安全规则》</w:t>
            </w:r>
          </w:p>
          <w:p w14:paraId="21095DF7">
            <w:pPr>
              <w:rPr>
                <w:szCs w:val="21"/>
              </w:rPr>
            </w:pPr>
            <w:r>
              <w:rPr>
                <w:szCs w:val="21"/>
              </w:rPr>
              <w:t>6.3.2.2 流动安全保护  出油管线的末段应设置流动安全装置—单流阀（FSV）以防止回流。</w:t>
            </w:r>
          </w:p>
          <w:p w14:paraId="399C954C">
            <w:pPr>
              <w:rPr>
                <w:color w:val="000000"/>
                <w:spacing w:val="13"/>
                <w:szCs w:val="21"/>
                <w:shd w:val="clear" w:color="auto" w:fill="FFFFFF"/>
              </w:rPr>
            </w:pPr>
            <w:r>
              <w:rPr>
                <w:szCs w:val="21"/>
              </w:rPr>
              <w:t>2.SY/T 10033-2002《海上生产平台基本上部设施安全系统的分析设计安装和测试的推荐做法》流动安全装置(FSV )。止回阀(FSV)仅在终点出油管段上需要，以减少流体回流到出油管</w:t>
            </w:r>
            <w:r>
              <w:rPr>
                <w:color w:val="000000"/>
                <w:spacing w:val="13"/>
                <w:szCs w:val="21"/>
                <w:shd w:val="clear" w:color="auto" w:fill="FFFFFF"/>
              </w:rPr>
              <w:t>。</w:t>
            </w:r>
          </w:p>
        </w:tc>
      </w:tr>
      <w:tr w14:paraId="42AEC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37B9EF28">
            <w:pPr>
              <w:numPr>
                <w:ilvl w:val="0"/>
                <w:numId w:val="132"/>
              </w:numPr>
              <w:jc w:val="center"/>
              <w:rPr>
                <w:color w:val="000000"/>
                <w:szCs w:val="21"/>
              </w:rPr>
            </w:pPr>
          </w:p>
        </w:tc>
        <w:tc>
          <w:tcPr>
            <w:tcW w:w="1172" w:type="dxa"/>
          </w:tcPr>
          <w:p w14:paraId="47BDAAB2">
            <w:pPr>
              <w:rPr>
                <w:szCs w:val="21"/>
              </w:rPr>
            </w:pPr>
            <w:r>
              <w:rPr>
                <w:szCs w:val="21"/>
              </w:rPr>
              <w:t>10.2.3.1</w:t>
            </w:r>
          </w:p>
        </w:tc>
        <w:tc>
          <w:tcPr>
            <w:tcW w:w="2725" w:type="dxa"/>
          </w:tcPr>
          <w:p w14:paraId="43EDCABE">
            <w:pPr>
              <w:rPr>
                <w:szCs w:val="21"/>
              </w:rPr>
            </w:pPr>
            <w:r>
              <w:rPr>
                <w:szCs w:val="21"/>
              </w:rPr>
              <w:t>压力安全保护</w:t>
            </w:r>
          </w:p>
          <w:p w14:paraId="153D2781">
            <w:pPr>
              <w:rPr>
                <w:szCs w:val="21"/>
              </w:rPr>
            </w:pPr>
            <w:r>
              <w:rPr>
                <w:szCs w:val="21"/>
              </w:rPr>
              <w:t>压力保护通常由注入源（如压缩机或泵）的高压传感器（PSH）和低压传感器（PSL）执行，以关断流体。</w:t>
            </w:r>
          </w:p>
          <w:p w14:paraId="0EE73A98">
            <w:pPr>
              <w:rPr>
                <w:szCs w:val="21"/>
              </w:rPr>
            </w:pPr>
            <w:r>
              <w:rPr>
                <w:szCs w:val="21"/>
              </w:rPr>
              <w:t>在以下状态下，该井口注入管道不需要设压力安全阀（PSV）：</w:t>
            </w:r>
          </w:p>
          <w:p w14:paraId="246DFFF1">
            <w:pPr>
              <w:rPr>
                <w:szCs w:val="21"/>
              </w:rPr>
            </w:pPr>
            <w:r>
              <w:rPr>
                <w:szCs w:val="21"/>
              </w:rPr>
              <w:t>a)注入管道能够承受注入源所能施加的最大压力；</w:t>
            </w:r>
          </w:p>
          <w:p w14:paraId="299ECDEE">
            <w:pPr>
              <w:rPr>
                <w:szCs w:val="21"/>
              </w:rPr>
            </w:pPr>
            <w:r>
              <w:rPr>
                <w:szCs w:val="21"/>
              </w:rPr>
              <w:t>b)注入管道可以由上游压力安全泄放装置（PRD）保护；</w:t>
            </w:r>
          </w:p>
          <w:p w14:paraId="4FCD4564">
            <w:pPr>
              <w:rPr>
                <w:szCs w:val="21"/>
              </w:rPr>
            </w:pPr>
            <w:r>
              <w:rPr>
                <w:szCs w:val="21"/>
              </w:rPr>
              <w:t>c)注入管道由符合要求的高完整性压力保护系统（HIPPS）保护。</w:t>
            </w:r>
          </w:p>
        </w:tc>
        <w:tc>
          <w:tcPr>
            <w:tcW w:w="4401" w:type="dxa"/>
          </w:tcPr>
          <w:p w14:paraId="5DE6FCAE">
            <w:pPr>
              <w:rPr>
                <w:szCs w:val="21"/>
              </w:rPr>
            </w:pPr>
            <w:r>
              <w:rPr>
                <w:szCs w:val="21"/>
              </w:rPr>
              <w:t>1.SY/T 10033-2002《海上生产平台基本上部设施安全系统的分析设计安装和测试的推荐做法》</w:t>
            </w:r>
          </w:p>
          <w:p w14:paraId="13ACFA55">
            <w:pPr>
              <w:rPr>
                <w:color w:val="000000"/>
                <w:spacing w:val="13"/>
                <w:szCs w:val="21"/>
                <w:shd w:val="clear" w:color="auto" w:fill="FFFFFF"/>
              </w:rPr>
            </w:pPr>
            <w:r>
              <w:rPr>
                <w:szCs w:val="21"/>
              </w:rPr>
              <w:t>b.井口注入管线的安全分析检查单SlC见SAC表A2.2.(1)压力安全装置(PSH</w:t>
            </w:r>
            <w:r>
              <w:rPr>
                <w:rFonts w:hint="eastAsia"/>
                <w:szCs w:val="21"/>
                <w:lang w:eastAsia="zh-CN"/>
              </w:rPr>
              <w:t>，</w:t>
            </w:r>
            <w:r>
              <w:rPr>
                <w:szCs w:val="21"/>
              </w:rPr>
              <w:t>PSL和PSV)。压动促护通常由注入源（如压缩机或泵）的PSH和PSL提供，它关断流体流入。如果PSH和PSL也保护注入管线、井口和其它设备，那么在PSH和PSL管线上不需要这些装置。如果设计的注入管线能够承受注入源所能施如的最大压力，那么不需要PSV。通常，安装在注入源的PSV也能保护注入管线井口和其它设备。</w:t>
            </w:r>
          </w:p>
        </w:tc>
      </w:tr>
      <w:tr w14:paraId="7A3B8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30C4C582">
            <w:pPr>
              <w:numPr>
                <w:ilvl w:val="0"/>
                <w:numId w:val="132"/>
              </w:numPr>
              <w:jc w:val="center"/>
              <w:rPr>
                <w:color w:val="000000"/>
                <w:szCs w:val="21"/>
              </w:rPr>
            </w:pPr>
          </w:p>
        </w:tc>
        <w:tc>
          <w:tcPr>
            <w:tcW w:w="1172" w:type="dxa"/>
          </w:tcPr>
          <w:p w14:paraId="7A7E64C3">
            <w:pPr>
              <w:rPr>
                <w:szCs w:val="21"/>
              </w:rPr>
            </w:pPr>
            <w:r>
              <w:rPr>
                <w:szCs w:val="21"/>
              </w:rPr>
              <w:t>10.2.3.2</w:t>
            </w:r>
          </w:p>
        </w:tc>
        <w:tc>
          <w:tcPr>
            <w:tcW w:w="2725" w:type="dxa"/>
          </w:tcPr>
          <w:p w14:paraId="12C15758">
            <w:pPr>
              <w:rPr>
                <w:szCs w:val="21"/>
              </w:rPr>
            </w:pPr>
            <w:r>
              <w:rPr>
                <w:szCs w:val="21"/>
              </w:rPr>
              <w:t>流动安全保护</w:t>
            </w:r>
          </w:p>
          <w:p w14:paraId="3868D6F5">
            <w:pPr>
              <w:rPr>
                <w:szCs w:val="21"/>
              </w:rPr>
            </w:pPr>
            <w:r>
              <w:rPr>
                <w:szCs w:val="21"/>
              </w:rPr>
              <w:t>各注入管道上均应安装FSV，且尽量靠近井口，以减少回流。</w:t>
            </w:r>
          </w:p>
        </w:tc>
        <w:tc>
          <w:tcPr>
            <w:tcW w:w="4401" w:type="dxa"/>
          </w:tcPr>
          <w:p w14:paraId="001F0E1C">
            <w:pPr>
              <w:rPr>
                <w:szCs w:val="21"/>
              </w:rPr>
            </w:pPr>
            <w:r>
              <w:rPr>
                <w:szCs w:val="21"/>
              </w:rPr>
              <w:t>1.SY/T 10033-2002《海上生产平台基本上部设施安全系统的分析设计安装和测试的推荐做法》</w:t>
            </w:r>
          </w:p>
          <w:p w14:paraId="2E0AAEE5">
            <w:pPr>
              <w:rPr>
                <w:szCs w:val="21"/>
              </w:rPr>
            </w:pPr>
            <w:r>
              <w:rPr>
                <w:szCs w:val="21"/>
              </w:rPr>
              <w:t>(2)流动安全装置(FSV)。在各注入管线上都必须安装止回阀</w:t>
            </w:r>
            <w:r>
              <w:rPr>
                <w:rFonts w:hint="eastAsia"/>
                <w:szCs w:val="21"/>
                <w:lang w:eastAsia="zh-CN"/>
              </w:rPr>
              <w:t>，</w:t>
            </w:r>
            <w:r>
              <w:rPr>
                <w:szCs w:val="21"/>
              </w:rPr>
              <w:t>以减少回流。</w:t>
            </w:r>
          </w:p>
        </w:tc>
      </w:tr>
      <w:tr w14:paraId="5D8B2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79CCB798">
            <w:pPr>
              <w:numPr>
                <w:ilvl w:val="0"/>
                <w:numId w:val="132"/>
              </w:numPr>
              <w:jc w:val="center"/>
              <w:rPr>
                <w:color w:val="000000"/>
                <w:szCs w:val="21"/>
              </w:rPr>
            </w:pPr>
          </w:p>
        </w:tc>
        <w:tc>
          <w:tcPr>
            <w:tcW w:w="1172" w:type="dxa"/>
          </w:tcPr>
          <w:p w14:paraId="7A98AE3D">
            <w:pPr>
              <w:rPr>
                <w:szCs w:val="21"/>
              </w:rPr>
            </w:pPr>
            <w:r>
              <w:rPr>
                <w:szCs w:val="21"/>
              </w:rPr>
              <w:t>10.2.4.</w:t>
            </w:r>
            <w:r>
              <w:rPr>
                <w:rFonts w:hint="eastAsia"/>
                <w:szCs w:val="21"/>
              </w:rPr>
              <w:t>1</w:t>
            </w:r>
          </w:p>
        </w:tc>
        <w:tc>
          <w:tcPr>
            <w:tcW w:w="2725" w:type="dxa"/>
          </w:tcPr>
          <w:p w14:paraId="68A0398D">
            <w:pPr>
              <w:pStyle w:val="327"/>
              <w:numPr>
                <w:ilvl w:val="0"/>
                <w:numId w:val="0"/>
              </w:numPr>
              <w:rPr>
                <w:rFonts w:hint="eastAsia" w:hAnsi="宋体" w:cs="宋体"/>
              </w:rPr>
            </w:pPr>
            <w:r>
              <w:rPr>
                <w:rFonts w:hint="eastAsia" w:hAnsi="宋体" w:cs="宋体"/>
              </w:rPr>
              <w:t>10.2.4.1 管汇可采用高压传感器（PSH）、低压传感器（PSL）、压力安全阀（PSV）保护。</w:t>
            </w:r>
          </w:p>
          <w:p w14:paraId="4DA8FE26">
            <w:pPr>
              <w:pStyle w:val="327"/>
              <w:numPr>
                <w:ilvl w:val="0"/>
                <w:numId w:val="0"/>
              </w:numPr>
              <w:rPr>
                <w:rFonts w:hint="eastAsia" w:hAnsi="宋体" w:cs="宋体"/>
              </w:rPr>
            </w:pPr>
            <w:r>
              <w:rPr>
                <w:rFonts w:hint="eastAsia" w:hAnsi="宋体" w:cs="宋体"/>
              </w:rPr>
              <w:t>10.2.4.2 若有下述情况之一，管汇可不设高压传感器（PSH）：</w:t>
            </w:r>
          </w:p>
          <w:p w14:paraId="2E47DFF9">
            <w:pPr>
              <w:pStyle w:val="305"/>
              <w:numPr>
                <w:ilvl w:val="0"/>
                <w:numId w:val="133"/>
              </w:numPr>
              <w:tabs>
                <w:tab w:val="left" w:pos="839"/>
              </w:tabs>
              <w:ind w:hanging="420"/>
              <w:rPr>
                <w:rFonts w:hint="eastAsia" w:hAnsi="宋体" w:cs="宋体"/>
              </w:rPr>
            </w:pPr>
            <w:r>
              <w:rPr>
                <w:rFonts w:hint="eastAsia" w:hAnsi="宋体" w:cs="宋体"/>
              </w:rPr>
              <w:t>每个输入源都设有高压传感器（PSH），且高压传感器（PSH）的设定点低于管汇的最大允许工作压力（MAWP）；</w:t>
            </w:r>
          </w:p>
          <w:p w14:paraId="22B33B06">
            <w:pPr>
              <w:pStyle w:val="305"/>
              <w:numPr>
                <w:ilvl w:val="0"/>
                <w:numId w:val="133"/>
              </w:numPr>
              <w:tabs>
                <w:tab w:val="left" w:pos="839"/>
              </w:tabs>
              <w:ind w:hanging="420"/>
              <w:rPr>
                <w:rFonts w:hint="eastAsia" w:hAnsi="宋体" w:cs="宋体"/>
              </w:rPr>
            </w:pPr>
            <w:r>
              <w:rPr>
                <w:rFonts w:hint="eastAsia" w:hAnsi="宋体" w:cs="宋体"/>
              </w:rPr>
              <w:t>下游工艺设备上装有高压传感器（PSH），且不可能与管汇隔离；</w:t>
            </w:r>
          </w:p>
          <w:p w14:paraId="7AF7E587">
            <w:pPr>
              <w:pStyle w:val="305"/>
              <w:numPr>
                <w:ilvl w:val="0"/>
                <w:numId w:val="133"/>
              </w:numPr>
              <w:tabs>
                <w:tab w:val="left" w:pos="839"/>
              </w:tabs>
              <w:ind w:hanging="420"/>
              <w:rPr>
                <w:rFonts w:hint="eastAsia" w:hAnsi="宋体" w:cs="宋体"/>
              </w:rPr>
            </w:pPr>
            <w:r>
              <w:rPr>
                <w:rFonts w:hint="eastAsia" w:hAnsi="宋体" w:cs="宋体"/>
              </w:rPr>
              <w:t>管汇是为火炬、泄放、放空或其它常压作业而设，且出口管线未设阀门。</w:t>
            </w:r>
          </w:p>
          <w:p w14:paraId="760D00F9">
            <w:pPr>
              <w:pStyle w:val="327"/>
              <w:numPr>
                <w:ilvl w:val="0"/>
                <w:numId w:val="0"/>
              </w:numPr>
              <w:rPr>
                <w:rFonts w:hint="eastAsia" w:hAnsi="宋体" w:cs="宋体"/>
              </w:rPr>
            </w:pPr>
            <w:r>
              <w:rPr>
                <w:rFonts w:hint="eastAsia" w:hAnsi="宋体" w:cs="宋体"/>
              </w:rPr>
              <w:t>10.2.4.3 若有下述情况之一，管汇可不设低压传感器（PSL）：</w:t>
            </w:r>
          </w:p>
          <w:p w14:paraId="713DBDBC">
            <w:pPr>
              <w:pStyle w:val="305"/>
              <w:numPr>
                <w:ilvl w:val="0"/>
                <w:numId w:val="134"/>
              </w:numPr>
              <w:tabs>
                <w:tab w:val="left" w:pos="839"/>
              </w:tabs>
              <w:rPr>
                <w:rFonts w:hint="eastAsia" w:hAnsi="宋体" w:cs="宋体"/>
              </w:rPr>
            </w:pPr>
            <w:r>
              <w:rPr>
                <w:rFonts w:hint="eastAsia" w:hAnsi="宋体" w:cs="宋体"/>
              </w:rPr>
              <w:t>每个输入源都设有低压传感器（PSL），且低压传感器（PSL）和管汇之间未设压力控制装置或节流装置；</w:t>
            </w:r>
          </w:p>
          <w:p w14:paraId="252D1DF8">
            <w:pPr>
              <w:pStyle w:val="305"/>
              <w:numPr>
                <w:ilvl w:val="0"/>
                <w:numId w:val="134"/>
              </w:numPr>
              <w:tabs>
                <w:tab w:val="left" w:pos="839"/>
              </w:tabs>
              <w:rPr>
                <w:rFonts w:hint="eastAsia" w:hAnsi="宋体" w:cs="宋体"/>
              </w:rPr>
            </w:pPr>
            <w:r>
              <w:rPr>
                <w:rFonts w:hint="eastAsia" w:hAnsi="宋体" w:cs="宋体"/>
              </w:rPr>
              <w:t>管汇是为火炬、泄放、放空或其它常压作业而设。</w:t>
            </w:r>
          </w:p>
          <w:p w14:paraId="22D2ED7B">
            <w:pPr>
              <w:pStyle w:val="327"/>
              <w:numPr>
                <w:ilvl w:val="0"/>
                <w:numId w:val="0"/>
              </w:numPr>
              <w:rPr>
                <w:rFonts w:hint="eastAsia" w:hAnsi="宋体" w:cs="宋体"/>
              </w:rPr>
            </w:pPr>
            <w:r>
              <w:rPr>
                <w:rFonts w:hint="eastAsia" w:hAnsi="宋体" w:cs="宋体"/>
              </w:rPr>
              <w:t>10.2.4.4若管汇设高压传感器（PSH）和低压传感器（PSL），传感器来的信号应关断所有接入管汇的输入源。</w:t>
            </w:r>
          </w:p>
          <w:p w14:paraId="656048DC">
            <w:pPr>
              <w:pStyle w:val="327"/>
              <w:numPr>
                <w:ilvl w:val="0"/>
                <w:numId w:val="0"/>
              </w:numPr>
              <w:rPr>
                <w:rFonts w:hint="eastAsia" w:hAnsi="宋体" w:cs="宋体"/>
              </w:rPr>
            </w:pPr>
            <w:r>
              <w:rPr>
                <w:rFonts w:hint="eastAsia" w:hAnsi="宋体" w:cs="宋体"/>
              </w:rPr>
              <w:t>10.2.4.5若有下述情况之一，管汇可不设压力安全阀（PSV）：</w:t>
            </w:r>
          </w:p>
          <w:p w14:paraId="4F32D38B">
            <w:pPr>
              <w:pStyle w:val="305"/>
              <w:numPr>
                <w:ilvl w:val="0"/>
                <w:numId w:val="135"/>
              </w:numPr>
              <w:tabs>
                <w:tab w:val="left" w:pos="839"/>
              </w:tabs>
              <w:ind w:hanging="420"/>
              <w:rPr>
                <w:rFonts w:hint="eastAsia" w:hAnsi="宋体" w:cs="宋体"/>
              </w:rPr>
            </w:pPr>
            <w:r>
              <w:rPr>
                <w:rFonts w:hint="eastAsia" w:hAnsi="宋体" w:cs="宋体"/>
              </w:rPr>
              <w:t>管汇的</w:t>
            </w:r>
            <w:r>
              <w:rPr>
                <w:rFonts w:hAnsi="宋体" w:cs="宋体"/>
              </w:rPr>
              <w:t>最大允许工作压力（MAWP）</w:t>
            </w:r>
            <w:r>
              <w:rPr>
                <w:rFonts w:hint="eastAsia" w:hAnsi="宋体" w:cs="宋体"/>
              </w:rPr>
              <w:t>大于任何输入源的最大关井压力（M</w:t>
            </w:r>
            <w:r>
              <w:rPr>
                <w:rFonts w:hAnsi="宋体" w:cs="宋体"/>
              </w:rPr>
              <w:t>SITP</w:t>
            </w:r>
            <w:r>
              <w:rPr>
                <w:rFonts w:hint="eastAsia" w:hAnsi="宋体" w:cs="宋体"/>
              </w:rPr>
              <w:t>）；</w:t>
            </w:r>
          </w:p>
          <w:p w14:paraId="7E7460AF">
            <w:pPr>
              <w:pStyle w:val="305"/>
              <w:numPr>
                <w:ilvl w:val="0"/>
                <w:numId w:val="135"/>
              </w:numPr>
              <w:tabs>
                <w:tab w:val="left" w:pos="839"/>
              </w:tabs>
              <w:ind w:hanging="420"/>
              <w:rPr>
                <w:rFonts w:hint="eastAsia" w:hAnsi="宋体" w:cs="宋体"/>
              </w:rPr>
            </w:pPr>
            <w:r>
              <w:rPr>
                <w:rFonts w:hint="eastAsia" w:hAnsi="宋体" w:cs="宋体"/>
              </w:rPr>
              <w:t>虽然输入源的最大关井压力（M</w:t>
            </w:r>
            <w:r>
              <w:rPr>
                <w:rFonts w:hAnsi="宋体" w:cs="宋体"/>
              </w:rPr>
              <w:t>SITP</w:t>
            </w:r>
            <w:r>
              <w:rPr>
                <w:rFonts w:hint="eastAsia" w:hAnsi="宋体" w:cs="宋体"/>
              </w:rPr>
              <w:t>）大于管汇的</w:t>
            </w:r>
            <w:r>
              <w:rPr>
                <w:rFonts w:hAnsi="宋体" w:cs="宋体"/>
              </w:rPr>
              <w:t>最大允许工作压力（MAWP）</w:t>
            </w:r>
            <w:r>
              <w:rPr>
                <w:rFonts w:hint="eastAsia" w:hAnsi="宋体" w:cs="宋体"/>
              </w:rPr>
              <w:t>，但每个输入源有</w:t>
            </w:r>
            <w:r>
              <w:rPr>
                <w:rFonts w:hAnsi="宋体" w:cs="宋体"/>
              </w:rPr>
              <w:t>压力安全阀（PSV）</w:t>
            </w:r>
            <w:r>
              <w:rPr>
                <w:rFonts w:hint="eastAsia" w:hAnsi="宋体" w:cs="宋体"/>
              </w:rPr>
              <w:t>保护；</w:t>
            </w:r>
          </w:p>
          <w:p w14:paraId="696D9122">
            <w:pPr>
              <w:pStyle w:val="305"/>
              <w:numPr>
                <w:ilvl w:val="0"/>
                <w:numId w:val="135"/>
              </w:numPr>
              <w:tabs>
                <w:tab w:val="left" w:pos="839"/>
              </w:tabs>
              <w:ind w:hanging="420"/>
              <w:rPr>
                <w:rFonts w:hint="eastAsia" w:hAnsi="宋体" w:cs="宋体"/>
              </w:rPr>
            </w:pPr>
            <w:r>
              <w:rPr>
                <w:rFonts w:hint="eastAsia" w:hAnsi="宋体" w:cs="宋体"/>
              </w:rPr>
              <w:t>下游设备上的</w:t>
            </w:r>
            <w:r>
              <w:rPr>
                <w:rFonts w:hAnsi="宋体" w:cs="宋体"/>
              </w:rPr>
              <w:t>压力安全阀（PSV）</w:t>
            </w:r>
            <w:r>
              <w:rPr>
                <w:rFonts w:hint="eastAsia" w:hAnsi="宋体" w:cs="宋体"/>
              </w:rPr>
              <w:t>可保护管汇，且不能与之隔断；</w:t>
            </w:r>
          </w:p>
          <w:p w14:paraId="48F672DD">
            <w:pPr>
              <w:pStyle w:val="305"/>
              <w:numPr>
                <w:ilvl w:val="0"/>
                <w:numId w:val="135"/>
              </w:numPr>
              <w:tabs>
                <w:tab w:val="left" w:pos="839"/>
              </w:tabs>
              <w:ind w:hanging="420"/>
              <w:rPr>
                <w:rFonts w:hAnsi="宋体" w:cs="宋体"/>
              </w:rPr>
            </w:pPr>
            <w:r>
              <w:rPr>
                <w:rFonts w:hint="eastAsia" w:hAnsi="宋体" w:cs="宋体"/>
              </w:rPr>
              <w:t>管汇用于火炬、泄放、放空或其它常压作业，且出口管线未设阀门；</w:t>
            </w:r>
          </w:p>
          <w:p w14:paraId="0300CBD8">
            <w:pPr>
              <w:pStyle w:val="305"/>
              <w:numPr>
                <w:ilvl w:val="0"/>
                <w:numId w:val="135"/>
              </w:numPr>
              <w:tabs>
                <w:tab w:val="left" w:pos="839"/>
              </w:tabs>
              <w:ind w:hanging="420"/>
              <w:rPr>
                <w:rFonts w:hint="eastAsia" w:hAnsi="宋体" w:cs="宋体"/>
              </w:rPr>
            </w:pPr>
            <w:r>
              <w:rPr>
                <w:rFonts w:hint="eastAsia" w:hAnsi="宋体" w:cs="宋体"/>
              </w:rPr>
              <w:t>输入源为井口，其压力大于管汇的</w:t>
            </w:r>
            <w:r>
              <w:rPr>
                <w:rFonts w:hAnsi="宋体" w:cs="宋体"/>
              </w:rPr>
              <w:t>最大允许工作压力（MAWP）</w:t>
            </w:r>
            <w:r>
              <w:rPr>
                <w:rFonts w:hint="eastAsia" w:hAnsi="宋体" w:cs="宋体"/>
              </w:rPr>
              <w:t>，井口设有两个</w:t>
            </w:r>
            <w:r>
              <w:rPr>
                <w:rFonts w:hAnsi="宋体" w:cs="宋体"/>
              </w:rPr>
              <w:t>独立</w:t>
            </w:r>
            <w:r>
              <w:rPr>
                <w:rFonts w:hint="eastAsia" w:hAnsi="宋体" w:cs="宋体"/>
              </w:rPr>
              <w:t>控制</w:t>
            </w:r>
            <w:r>
              <w:rPr>
                <w:rFonts w:hAnsi="宋体" w:cs="宋体"/>
              </w:rPr>
              <w:t>的</w:t>
            </w:r>
            <w:r>
              <w:rPr>
                <w:rFonts w:hint="eastAsia" w:hAnsi="宋体" w:cs="宋体"/>
              </w:rPr>
              <w:t>关断阀（SDV）</w:t>
            </w:r>
            <w:r>
              <w:rPr>
                <w:rFonts w:hAnsi="宋体" w:cs="宋体"/>
              </w:rPr>
              <w:t>（</w:t>
            </w:r>
            <w:r>
              <w:rPr>
                <w:rFonts w:hint="eastAsia" w:hAnsi="宋体" w:cs="宋体"/>
              </w:rPr>
              <w:t>其中一个可以为</w:t>
            </w:r>
            <w:r>
              <w:rPr>
                <w:rFonts w:hAnsi="宋体" w:cs="宋体"/>
              </w:rPr>
              <w:t>SSV），</w:t>
            </w:r>
            <w:r>
              <w:rPr>
                <w:rFonts w:hint="eastAsia" w:hAnsi="宋体" w:cs="宋体"/>
              </w:rPr>
              <w:t>上游应提供足够的管道容积，在压力超过管道</w:t>
            </w:r>
            <w:r>
              <w:rPr>
                <w:rFonts w:hAnsi="宋体" w:cs="宋体"/>
              </w:rPr>
              <w:t>最大允许工作压力（MAWP）</w:t>
            </w:r>
            <w:r>
              <w:rPr>
                <w:rFonts w:hint="eastAsia" w:hAnsi="宋体" w:cs="宋体"/>
              </w:rPr>
              <w:t>之前，有足够时间关闭井上安全阀（SSV）；压力大于管汇</w:t>
            </w:r>
            <w:r>
              <w:rPr>
                <w:rFonts w:hAnsi="宋体" w:cs="宋体"/>
              </w:rPr>
              <w:t>最大允许工作压力（MAWP）</w:t>
            </w:r>
            <w:r>
              <w:rPr>
                <w:rFonts w:hint="eastAsia" w:hAnsi="宋体" w:cs="宋体"/>
              </w:rPr>
              <w:t>的其他输入源由</w:t>
            </w:r>
            <w:r>
              <w:rPr>
                <w:rFonts w:hAnsi="宋体" w:cs="宋体"/>
              </w:rPr>
              <w:t>压力安全阀（PSV）</w:t>
            </w:r>
            <w:r>
              <w:rPr>
                <w:rFonts w:hint="eastAsia" w:hAnsi="宋体" w:cs="宋体"/>
              </w:rPr>
              <w:t>保护；</w:t>
            </w:r>
          </w:p>
          <w:p w14:paraId="789E2298">
            <w:pPr>
              <w:pStyle w:val="305"/>
              <w:numPr>
                <w:ilvl w:val="0"/>
                <w:numId w:val="135"/>
              </w:numPr>
              <w:tabs>
                <w:tab w:val="left" w:pos="839"/>
              </w:tabs>
              <w:ind w:hanging="420"/>
              <w:rPr>
                <w:rFonts w:ascii="Times New Roman"/>
                <w:szCs w:val="21"/>
              </w:rPr>
            </w:pPr>
            <w:r>
              <w:rPr>
                <w:rFonts w:hint="eastAsia" w:hAnsi="宋体" w:cs="宋体"/>
              </w:rPr>
              <w:t>输入源为井口，其压力大于管汇的</w:t>
            </w:r>
            <w:r>
              <w:rPr>
                <w:rFonts w:hAnsi="宋体" w:cs="宋体"/>
              </w:rPr>
              <w:t>最大允许工作压力（MAWP）</w:t>
            </w:r>
            <w:r>
              <w:rPr>
                <w:rFonts w:hint="eastAsia" w:hAnsi="宋体" w:cs="宋体"/>
              </w:rPr>
              <w:t>，由符合要求的高完整性压力保护系统（HIPPS）提供保护。</w:t>
            </w:r>
          </w:p>
        </w:tc>
        <w:tc>
          <w:tcPr>
            <w:tcW w:w="4401" w:type="dxa"/>
          </w:tcPr>
          <w:p w14:paraId="2343832A">
            <w:pPr>
              <w:rPr>
                <w:szCs w:val="21"/>
              </w:rPr>
            </w:pPr>
            <w:r>
              <w:rPr>
                <w:szCs w:val="21"/>
              </w:rPr>
              <w:t>1.国经贸安全2000年944号《海上固定平台安全规则》</w:t>
            </w:r>
          </w:p>
          <w:p w14:paraId="4BCC5C7D">
            <w:pPr>
              <w:rPr>
                <w:szCs w:val="21"/>
              </w:rPr>
            </w:pPr>
            <w:r>
              <w:rPr>
                <w:szCs w:val="21"/>
              </w:rPr>
              <w:t>6.3.3 管汇</w:t>
            </w:r>
          </w:p>
          <w:p w14:paraId="4F92D097">
            <w:pPr>
              <w:rPr>
                <w:szCs w:val="21"/>
              </w:rPr>
            </w:pPr>
            <w:r>
              <w:rPr>
                <w:szCs w:val="21"/>
              </w:rPr>
              <w:t>6.3.3.1压力安全保护。</w:t>
            </w:r>
          </w:p>
          <w:p w14:paraId="220CD2C5">
            <w:pPr>
              <w:rPr>
                <w:szCs w:val="21"/>
              </w:rPr>
            </w:pPr>
            <w:r>
              <w:rPr>
                <w:szCs w:val="21"/>
              </w:rPr>
              <w:t>管汇可采用PSH、PSL保护。若每个输入源都设有PSH、PSL</w:t>
            </w:r>
            <w:r>
              <w:rPr>
                <w:rFonts w:hint="eastAsia"/>
                <w:szCs w:val="21"/>
              </w:rPr>
              <w:t>，</w:t>
            </w:r>
            <w:r>
              <w:rPr>
                <w:szCs w:val="21"/>
              </w:rPr>
              <w:t>且PSH的设定点低于管汇的额定工作压力</w:t>
            </w:r>
            <w:r>
              <w:rPr>
                <w:rFonts w:hint="eastAsia"/>
                <w:szCs w:val="21"/>
              </w:rPr>
              <w:t>，</w:t>
            </w:r>
            <w:r>
              <w:rPr>
                <w:szCs w:val="21"/>
              </w:rPr>
              <w:t>则管汇不需设PSH、PSL。若下游工艺设备上装有PSH且不可能与管汇隔绝时</w:t>
            </w:r>
            <w:r>
              <w:rPr>
                <w:rFonts w:hint="eastAsia"/>
                <w:szCs w:val="21"/>
              </w:rPr>
              <w:t>，</w:t>
            </w:r>
            <w:r>
              <w:rPr>
                <w:szCs w:val="21"/>
              </w:rPr>
              <w:t>管汇上也可不设PSH。如管汇是为火炬、释放或其它常压作业而设</w:t>
            </w:r>
            <w:r>
              <w:rPr>
                <w:rFonts w:hint="eastAsia"/>
                <w:szCs w:val="21"/>
              </w:rPr>
              <w:t>，</w:t>
            </w:r>
            <w:r>
              <w:rPr>
                <w:szCs w:val="21"/>
              </w:rPr>
              <w:t>则不需装设PSL。</w:t>
            </w:r>
          </w:p>
          <w:p w14:paraId="53E20C0D">
            <w:pPr>
              <w:rPr>
                <w:szCs w:val="21"/>
              </w:rPr>
            </w:pPr>
            <w:r>
              <w:rPr>
                <w:szCs w:val="21"/>
              </w:rPr>
              <w:t>管汇可采用PSV保护。在下述条件下管汇可不设PSV:</w:t>
            </w:r>
          </w:p>
          <w:p w14:paraId="765DFA6D">
            <w:pPr>
              <w:rPr>
                <w:szCs w:val="21"/>
              </w:rPr>
            </w:pPr>
            <w:r>
              <w:rPr>
                <w:szCs w:val="21"/>
              </w:rPr>
              <w:t>a) 管汇额定工作压力大于任何输入源的可能最大压力;</w:t>
            </w:r>
          </w:p>
          <w:p w14:paraId="7A2BBBF3">
            <w:pPr>
              <w:rPr>
                <w:szCs w:val="21"/>
              </w:rPr>
            </w:pPr>
            <w:r>
              <w:rPr>
                <w:szCs w:val="21"/>
              </w:rPr>
              <w:t>b) 虽然输入源的可能最大压力大于管汇额定工作压力但输入源有PSV保护;</w:t>
            </w:r>
          </w:p>
          <w:p w14:paraId="3AECE1C0">
            <w:pPr>
              <w:rPr>
                <w:szCs w:val="21"/>
              </w:rPr>
            </w:pPr>
            <w:r>
              <w:rPr>
                <w:szCs w:val="21"/>
              </w:rPr>
              <w:t>c) 下游设备上的PSV可保护管汇</w:t>
            </w:r>
            <w:r>
              <w:rPr>
                <w:rFonts w:hint="eastAsia"/>
                <w:szCs w:val="21"/>
              </w:rPr>
              <w:t>，</w:t>
            </w:r>
            <w:r>
              <w:rPr>
                <w:szCs w:val="21"/>
              </w:rPr>
              <w:t>且不能与之隔绝;</w:t>
            </w:r>
          </w:p>
          <w:p w14:paraId="36E68CE5">
            <w:pPr>
              <w:rPr>
                <w:szCs w:val="21"/>
              </w:rPr>
            </w:pPr>
            <w:r>
              <w:rPr>
                <w:szCs w:val="21"/>
              </w:rPr>
              <w:t>d) 管汇用于火炬、释放、放空或其它常压作业</w:t>
            </w:r>
            <w:r>
              <w:rPr>
                <w:rFonts w:hint="eastAsia"/>
                <w:szCs w:val="21"/>
              </w:rPr>
              <w:t>，</w:t>
            </w:r>
            <w:r>
              <w:rPr>
                <w:szCs w:val="21"/>
              </w:rPr>
              <w:t>且在出口管线上没有阀门。</w:t>
            </w:r>
          </w:p>
          <w:p w14:paraId="0F92F8D4">
            <w:pPr>
              <w:rPr>
                <w:rFonts w:hint="eastAsia"/>
                <w:szCs w:val="21"/>
              </w:rPr>
            </w:pPr>
            <w:r>
              <w:rPr>
                <w:szCs w:val="21"/>
              </w:rPr>
              <w:t>2.SY/T 10033-2002《海上生产平台基本上部设施安全系统的分析设计安装和测试的推荐做法》</w:t>
            </w:r>
            <w:r>
              <w:rPr>
                <w:rFonts w:hint="eastAsia"/>
                <w:szCs w:val="21"/>
              </w:rPr>
              <w:t>：</w:t>
            </w:r>
          </w:p>
          <w:p w14:paraId="0F3ADCFA">
            <w:pPr>
              <w:rPr>
                <w:rFonts w:hint="eastAsia"/>
                <w:szCs w:val="21"/>
              </w:rPr>
            </w:pPr>
            <w:r>
              <w:rPr>
                <w:rFonts w:hint="eastAsia"/>
                <w:szCs w:val="21"/>
              </w:rPr>
              <w:t>如果各输入源都装有PSH和PSL传感器，并且PSH传感器设定压力小于管汇的额定工作压力，则管汇上不需要设置PSH和PSL传感器。如果管汇受下游工艺设备的PSH传感器保护，并且管汇不可能与下游设备隔离开，则管汇不需要设置PSL传感器。如果管汇需要PSH和PSL传感器，传感器来的信号应能关断所有进入管汇的输入源。</w:t>
            </w:r>
          </w:p>
          <w:p w14:paraId="78F62BAF">
            <w:r>
              <w:rPr>
                <w:rFonts w:hint="eastAsia"/>
                <w:szCs w:val="21"/>
              </w:rPr>
              <w:t>下列情况的管汇不需要PSV，如果：（1）最大允许工作压力大于任一相接的输入源的最大关闭压力；（2）在所有相接的输入源上都提供了泄压保护，并且这些输入源的最大关闭压力大于管汇的最大允许工作压力；（3）管汇受下游工艺设备上的PSV保护，而该设备不可能与管汇隔离开；（4）管汇是用于火炬、泄放、放空或其他常压用途，并且在出口管线上没有阀门；（5）输入源是一井口，其压力大于管汇最大允许工作压力，井口安装有两个由独立的PSH控制的SDV（其中一可以是SSV），PSH与隔离继电器和检测点相连。压力大于管汇最大允许工作压力的其他输入源由PSV保护。使用两个SDV来代替PSV的方案必须在对其他方案全面考虑后才能慎重地予以选择。在某些情况下，即使没有泄漏物排放和收集系统，除两个SDV外最好还安装一个PSV。</w:t>
            </w:r>
          </w:p>
          <w:p w14:paraId="7B1AEFD0">
            <w:pPr>
              <w:rPr>
                <w:szCs w:val="21"/>
              </w:rPr>
            </w:pPr>
          </w:p>
        </w:tc>
      </w:tr>
      <w:tr w14:paraId="30DC6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0ED94026">
            <w:pPr>
              <w:numPr>
                <w:ilvl w:val="0"/>
                <w:numId w:val="132"/>
              </w:numPr>
              <w:jc w:val="center"/>
              <w:rPr>
                <w:color w:val="000000"/>
                <w:szCs w:val="21"/>
              </w:rPr>
            </w:pPr>
          </w:p>
        </w:tc>
        <w:tc>
          <w:tcPr>
            <w:tcW w:w="1172" w:type="dxa"/>
          </w:tcPr>
          <w:p w14:paraId="6E6B7A23">
            <w:pPr>
              <w:jc w:val="center"/>
              <w:rPr>
                <w:color w:val="000000"/>
                <w:szCs w:val="21"/>
              </w:rPr>
            </w:pPr>
            <w:r>
              <w:rPr>
                <w:color w:val="000000"/>
                <w:szCs w:val="21"/>
              </w:rPr>
              <w:t>10.2.5</w:t>
            </w:r>
          </w:p>
        </w:tc>
        <w:tc>
          <w:tcPr>
            <w:tcW w:w="2725" w:type="dxa"/>
          </w:tcPr>
          <w:p w14:paraId="54D797F0">
            <w:pPr>
              <w:pStyle w:val="328"/>
              <w:numPr>
                <w:ilvl w:val="0"/>
                <w:numId w:val="0"/>
              </w:numPr>
              <w:rPr>
                <w:rFonts w:ascii="Times New Roman"/>
                <w:color w:val="000000"/>
              </w:rPr>
            </w:pPr>
            <w:r>
              <w:rPr>
                <w:rFonts w:ascii="Times New Roman"/>
              </w:rPr>
              <w:t>所涉及的压力容器指在压力下对油井流体进行分离、脱水、储存、缓冲和增压用的压力容器。当压力容器操作需要加热时，将涉及安装在容器内的电加热器，以及温度对容器内工艺处理的影响</w:t>
            </w:r>
            <w:r>
              <w:rPr>
                <w:rFonts w:ascii="Times New Roman"/>
                <w:color w:val="000000"/>
              </w:rPr>
              <w:t>。</w:t>
            </w:r>
          </w:p>
        </w:tc>
        <w:tc>
          <w:tcPr>
            <w:tcW w:w="4401" w:type="dxa"/>
          </w:tcPr>
          <w:p w14:paraId="1B5E15B9">
            <w:pPr>
              <w:rPr>
                <w:szCs w:val="21"/>
              </w:rPr>
            </w:pPr>
            <w:r>
              <w:rPr>
                <w:szCs w:val="21"/>
              </w:rPr>
              <w:t>1.国经贸安全2000年944号《海上固定平台安全规则》</w:t>
            </w:r>
          </w:p>
          <w:p w14:paraId="252E87FC">
            <w:pPr>
              <w:rPr>
                <w:color w:val="000000"/>
                <w:spacing w:val="13"/>
                <w:szCs w:val="21"/>
                <w:shd w:val="clear" w:color="auto" w:fill="FFFFFF"/>
              </w:rPr>
            </w:pPr>
            <w:r>
              <w:rPr>
                <w:szCs w:val="21"/>
              </w:rPr>
              <w:t>6.3.4.1 本节所涉及的压力容器系指在压力下对油井流体进行分离、脱水、净化、储存、缓冲和含油污水处理以及注水和机械采油用的压力容器。</w:t>
            </w:r>
          </w:p>
        </w:tc>
      </w:tr>
      <w:tr w14:paraId="26D50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35A0CE08">
            <w:pPr>
              <w:numPr>
                <w:ilvl w:val="0"/>
                <w:numId w:val="132"/>
              </w:numPr>
              <w:jc w:val="center"/>
              <w:rPr>
                <w:color w:val="000000"/>
                <w:szCs w:val="21"/>
              </w:rPr>
            </w:pPr>
          </w:p>
        </w:tc>
        <w:tc>
          <w:tcPr>
            <w:tcW w:w="1172" w:type="dxa"/>
          </w:tcPr>
          <w:p w14:paraId="5185E3C0">
            <w:pPr>
              <w:jc w:val="center"/>
              <w:rPr>
                <w:color w:val="000000"/>
                <w:szCs w:val="21"/>
              </w:rPr>
            </w:pPr>
            <w:r>
              <w:rPr>
                <w:color w:val="000000"/>
                <w:szCs w:val="21"/>
              </w:rPr>
              <w:t>10.2.5.1</w:t>
            </w:r>
          </w:p>
          <w:p w14:paraId="40D6F0B6">
            <w:pPr>
              <w:jc w:val="center"/>
              <w:rPr>
                <w:color w:val="000000"/>
                <w:szCs w:val="21"/>
              </w:rPr>
            </w:pPr>
            <w:r>
              <w:rPr>
                <w:color w:val="000000"/>
                <w:szCs w:val="21"/>
              </w:rPr>
              <w:t>10.2.5.1.1</w:t>
            </w:r>
          </w:p>
          <w:p w14:paraId="3216B7A5">
            <w:pPr>
              <w:jc w:val="center"/>
              <w:rPr>
                <w:color w:val="000000"/>
                <w:szCs w:val="21"/>
              </w:rPr>
            </w:pPr>
          </w:p>
          <w:p w14:paraId="763B60E7">
            <w:pPr>
              <w:jc w:val="center"/>
              <w:rPr>
                <w:color w:val="000000"/>
                <w:szCs w:val="21"/>
              </w:rPr>
            </w:pPr>
          </w:p>
          <w:p w14:paraId="489A8B00">
            <w:pPr>
              <w:jc w:val="center"/>
              <w:rPr>
                <w:color w:val="000000"/>
                <w:szCs w:val="21"/>
              </w:rPr>
            </w:pPr>
          </w:p>
          <w:p w14:paraId="54523CA3">
            <w:pPr>
              <w:jc w:val="center"/>
              <w:rPr>
                <w:color w:val="000000"/>
                <w:szCs w:val="21"/>
              </w:rPr>
            </w:pPr>
          </w:p>
          <w:p w14:paraId="3BB53C99">
            <w:pPr>
              <w:jc w:val="center"/>
              <w:rPr>
                <w:color w:val="000000"/>
                <w:szCs w:val="21"/>
              </w:rPr>
            </w:pPr>
          </w:p>
          <w:p w14:paraId="060BDAAD">
            <w:pPr>
              <w:jc w:val="center"/>
              <w:rPr>
                <w:color w:val="000000"/>
                <w:szCs w:val="21"/>
              </w:rPr>
            </w:pPr>
          </w:p>
          <w:p w14:paraId="0A542E37">
            <w:pPr>
              <w:jc w:val="center"/>
              <w:rPr>
                <w:color w:val="000000"/>
                <w:szCs w:val="21"/>
              </w:rPr>
            </w:pPr>
          </w:p>
          <w:p w14:paraId="28CE45CC">
            <w:pPr>
              <w:jc w:val="center"/>
              <w:rPr>
                <w:color w:val="000000"/>
                <w:szCs w:val="21"/>
              </w:rPr>
            </w:pPr>
          </w:p>
          <w:p w14:paraId="2E6F382F">
            <w:pPr>
              <w:jc w:val="center"/>
              <w:rPr>
                <w:color w:val="000000"/>
                <w:szCs w:val="21"/>
              </w:rPr>
            </w:pPr>
          </w:p>
          <w:p w14:paraId="083BC3DE">
            <w:pPr>
              <w:jc w:val="center"/>
              <w:rPr>
                <w:color w:val="000000"/>
                <w:szCs w:val="21"/>
              </w:rPr>
            </w:pPr>
          </w:p>
          <w:p w14:paraId="3AB03684">
            <w:pPr>
              <w:jc w:val="center"/>
              <w:rPr>
                <w:color w:val="000000"/>
                <w:szCs w:val="21"/>
              </w:rPr>
            </w:pPr>
          </w:p>
          <w:p w14:paraId="44A0F979">
            <w:pPr>
              <w:jc w:val="center"/>
              <w:rPr>
                <w:color w:val="000000"/>
                <w:szCs w:val="21"/>
              </w:rPr>
            </w:pPr>
          </w:p>
          <w:p w14:paraId="0498CC4B">
            <w:pPr>
              <w:jc w:val="center"/>
              <w:rPr>
                <w:color w:val="000000"/>
                <w:szCs w:val="21"/>
              </w:rPr>
            </w:pPr>
          </w:p>
          <w:p w14:paraId="0494B340">
            <w:pPr>
              <w:jc w:val="center"/>
              <w:rPr>
                <w:color w:val="000000"/>
                <w:szCs w:val="21"/>
              </w:rPr>
            </w:pPr>
          </w:p>
          <w:p w14:paraId="3C6AD923">
            <w:pPr>
              <w:jc w:val="center"/>
              <w:rPr>
                <w:color w:val="000000"/>
                <w:szCs w:val="21"/>
              </w:rPr>
            </w:pPr>
          </w:p>
          <w:p w14:paraId="7F1E83A8">
            <w:pPr>
              <w:jc w:val="center"/>
              <w:rPr>
                <w:color w:val="000000"/>
                <w:szCs w:val="21"/>
              </w:rPr>
            </w:pPr>
          </w:p>
          <w:p w14:paraId="79BF7214">
            <w:pPr>
              <w:jc w:val="center"/>
              <w:rPr>
                <w:color w:val="000000"/>
                <w:szCs w:val="21"/>
              </w:rPr>
            </w:pPr>
          </w:p>
          <w:p w14:paraId="77A18454">
            <w:pPr>
              <w:jc w:val="center"/>
              <w:rPr>
                <w:color w:val="000000"/>
                <w:szCs w:val="21"/>
              </w:rPr>
            </w:pPr>
          </w:p>
          <w:p w14:paraId="57C335B5">
            <w:pPr>
              <w:jc w:val="center"/>
              <w:rPr>
                <w:color w:val="000000"/>
                <w:szCs w:val="21"/>
              </w:rPr>
            </w:pPr>
          </w:p>
          <w:p w14:paraId="78118711">
            <w:pPr>
              <w:jc w:val="center"/>
              <w:rPr>
                <w:color w:val="000000"/>
                <w:szCs w:val="21"/>
              </w:rPr>
            </w:pPr>
          </w:p>
          <w:p w14:paraId="7B2A1238">
            <w:pPr>
              <w:jc w:val="center"/>
              <w:rPr>
                <w:color w:val="000000"/>
                <w:szCs w:val="21"/>
              </w:rPr>
            </w:pPr>
          </w:p>
          <w:p w14:paraId="27C5B6BE">
            <w:pPr>
              <w:jc w:val="center"/>
              <w:rPr>
                <w:color w:val="000000"/>
                <w:szCs w:val="21"/>
              </w:rPr>
            </w:pPr>
          </w:p>
          <w:p w14:paraId="0B1124E7">
            <w:pPr>
              <w:jc w:val="center"/>
              <w:rPr>
                <w:color w:val="000000"/>
                <w:szCs w:val="21"/>
              </w:rPr>
            </w:pPr>
          </w:p>
          <w:p w14:paraId="5B2AC8F6">
            <w:pPr>
              <w:jc w:val="center"/>
              <w:rPr>
                <w:color w:val="000000"/>
                <w:szCs w:val="21"/>
              </w:rPr>
            </w:pPr>
          </w:p>
          <w:p w14:paraId="5072ED18">
            <w:pPr>
              <w:jc w:val="center"/>
              <w:rPr>
                <w:color w:val="000000"/>
                <w:szCs w:val="21"/>
              </w:rPr>
            </w:pPr>
          </w:p>
          <w:p w14:paraId="274704AB">
            <w:pPr>
              <w:rPr>
                <w:color w:val="000000"/>
                <w:szCs w:val="21"/>
              </w:rPr>
            </w:pPr>
            <w:r>
              <w:rPr>
                <w:color w:val="000000"/>
                <w:szCs w:val="21"/>
              </w:rPr>
              <w:t>10.2.5.1.2</w:t>
            </w:r>
          </w:p>
          <w:p w14:paraId="048C8D6B">
            <w:pPr>
              <w:rPr>
                <w:color w:val="000000"/>
                <w:szCs w:val="21"/>
              </w:rPr>
            </w:pPr>
          </w:p>
          <w:p w14:paraId="300A0A45">
            <w:pPr>
              <w:rPr>
                <w:color w:val="000000"/>
                <w:szCs w:val="21"/>
              </w:rPr>
            </w:pPr>
          </w:p>
          <w:p w14:paraId="3D87D902">
            <w:pPr>
              <w:rPr>
                <w:color w:val="000000"/>
                <w:szCs w:val="21"/>
              </w:rPr>
            </w:pPr>
          </w:p>
          <w:p w14:paraId="7F672428">
            <w:pPr>
              <w:rPr>
                <w:color w:val="000000"/>
                <w:szCs w:val="21"/>
              </w:rPr>
            </w:pPr>
          </w:p>
          <w:p w14:paraId="65552DE2">
            <w:pPr>
              <w:rPr>
                <w:color w:val="000000"/>
                <w:szCs w:val="21"/>
              </w:rPr>
            </w:pPr>
          </w:p>
          <w:p w14:paraId="4DD36756">
            <w:pPr>
              <w:rPr>
                <w:color w:val="000000"/>
                <w:szCs w:val="21"/>
              </w:rPr>
            </w:pPr>
          </w:p>
          <w:p w14:paraId="08C828F8">
            <w:pPr>
              <w:rPr>
                <w:color w:val="000000"/>
                <w:szCs w:val="21"/>
              </w:rPr>
            </w:pPr>
          </w:p>
          <w:p w14:paraId="4603973A">
            <w:pPr>
              <w:rPr>
                <w:color w:val="000000"/>
                <w:szCs w:val="21"/>
              </w:rPr>
            </w:pPr>
          </w:p>
          <w:p w14:paraId="3FDF68FA">
            <w:pPr>
              <w:rPr>
                <w:color w:val="000000"/>
                <w:szCs w:val="21"/>
              </w:rPr>
            </w:pPr>
          </w:p>
          <w:p w14:paraId="1A602498">
            <w:pPr>
              <w:rPr>
                <w:color w:val="000000"/>
                <w:szCs w:val="21"/>
              </w:rPr>
            </w:pPr>
          </w:p>
          <w:p w14:paraId="26D1FA50">
            <w:pPr>
              <w:rPr>
                <w:color w:val="000000"/>
                <w:szCs w:val="21"/>
              </w:rPr>
            </w:pPr>
          </w:p>
          <w:p w14:paraId="7FE2E847">
            <w:pPr>
              <w:rPr>
                <w:color w:val="000000"/>
                <w:szCs w:val="21"/>
              </w:rPr>
            </w:pPr>
          </w:p>
          <w:p w14:paraId="51E9B49A">
            <w:pPr>
              <w:rPr>
                <w:color w:val="000000"/>
                <w:szCs w:val="21"/>
              </w:rPr>
            </w:pPr>
          </w:p>
          <w:p w14:paraId="2E37A794">
            <w:pPr>
              <w:rPr>
                <w:color w:val="000000"/>
                <w:szCs w:val="21"/>
              </w:rPr>
            </w:pPr>
          </w:p>
          <w:p w14:paraId="29C2D543">
            <w:pPr>
              <w:rPr>
                <w:color w:val="000000"/>
                <w:szCs w:val="21"/>
              </w:rPr>
            </w:pPr>
          </w:p>
          <w:p w14:paraId="175CFEDA">
            <w:pPr>
              <w:rPr>
                <w:color w:val="000000"/>
                <w:szCs w:val="21"/>
              </w:rPr>
            </w:pPr>
          </w:p>
          <w:p w14:paraId="23D585F5">
            <w:pPr>
              <w:rPr>
                <w:color w:val="000000"/>
                <w:szCs w:val="21"/>
              </w:rPr>
            </w:pPr>
          </w:p>
          <w:p w14:paraId="4CA136DA">
            <w:pPr>
              <w:rPr>
                <w:color w:val="000000"/>
                <w:szCs w:val="21"/>
              </w:rPr>
            </w:pPr>
          </w:p>
          <w:p w14:paraId="2AB26987">
            <w:pPr>
              <w:rPr>
                <w:color w:val="000000"/>
                <w:szCs w:val="21"/>
              </w:rPr>
            </w:pPr>
          </w:p>
          <w:p w14:paraId="2F18B4E6">
            <w:pPr>
              <w:rPr>
                <w:color w:val="000000"/>
                <w:szCs w:val="21"/>
              </w:rPr>
            </w:pPr>
          </w:p>
          <w:p w14:paraId="61813F3A">
            <w:pPr>
              <w:rPr>
                <w:color w:val="000000"/>
                <w:szCs w:val="21"/>
              </w:rPr>
            </w:pPr>
            <w:r>
              <w:rPr>
                <w:color w:val="000000"/>
                <w:szCs w:val="21"/>
              </w:rPr>
              <w:t>10.2.5.1.3</w:t>
            </w:r>
          </w:p>
          <w:p w14:paraId="1A3CCB47">
            <w:pPr>
              <w:rPr>
                <w:color w:val="000000"/>
                <w:szCs w:val="21"/>
              </w:rPr>
            </w:pPr>
          </w:p>
          <w:p w14:paraId="292ABC07">
            <w:pPr>
              <w:rPr>
                <w:color w:val="000000"/>
                <w:szCs w:val="21"/>
              </w:rPr>
            </w:pPr>
          </w:p>
          <w:p w14:paraId="0BD10B6D">
            <w:pPr>
              <w:rPr>
                <w:color w:val="000000"/>
                <w:szCs w:val="21"/>
              </w:rPr>
            </w:pPr>
          </w:p>
          <w:p w14:paraId="66B42724">
            <w:pPr>
              <w:rPr>
                <w:color w:val="000000"/>
                <w:szCs w:val="21"/>
              </w:rPr>
            </w:pPr>
          </w:p>
          <w:p w14:paraId="4900218E">
            <w:pPr>
              <w:rPr>
                <w:color w:val="000000"/>
                <w:szCs w:val="21"/>
              </w:rPr>
            </w:pPr>
          </w:p>
          <w:p w14:paraId="443F615E">
            <w:pPr>
              <w:rPr>
                <w:color w:val="000000"/>
                <w:szCs w:val="21"/>
              </w:rPr>
            </w:pPr>
          </w:p>
          <w:p w14:paraId="59B4B4BA">
            <w:pPr>
              <w:rPr>
                <w:color w:val="000000"/>
                <w:szCs w:val="21"/>
              </w:rPr>
            </w:pPr>
          </w:p>
          <w:p w14:paraId="24D28015">
            <w:pPr>
              <w:rPr>
                <w:color w:val="000000"/>
                <w:szCs w:val="21"/>
              </w:rPr>
            </w:pPr>
          </w:p>
          <w:p w14:paraId="27DEB313">
            <w:pPr>
              <w:rPr>
                <w:color w:val="000000"/>
                <w:szCs w:val="21"/>
              </w:rPr>
            </w:pPr>
          </w:p>
          <w:p w14:paraId="01ED41C4">
            <w:pPr>
              <w:rPr>
                <w:color w:val="000000"/>
                <w:szCs w:val="21"/>
              </w:rPr>
            </w:pPr>
          </w:p>
          <w:p w14:paraId="3FBE52A3">
            <w:pPr>
              <w:rPr>
                <w:color w:val="000000"/>
                <w:szCs w:val="21"/>
              </w:rPr>
            </w:pPr>
          </w:p>
          <w:p w14:paraId="0EB7E324">
            <w:pPr>
              <w:rPr>
                <w:color w:val="000000"/>
                <w:szCs w:val="21"/>
              </w:rPr>
            </w:pPr>
          </w:p>
          <w:p w14:paraId="525F49D6">
            <w:pPr>
              <w:rPr>
                <w:color w:val="000000"/>
                <w:szCs w:val="21"/>
              </w:rPr>
            </w:pPr>
          </w:p>
          <w:p w14:paraId="0F8C6CAE">
            <w:pPr>
              <w:rPr>
                <w:color w:val="000000"/>
                <w:szCs w:val="21"/>
              </w:rPr>
            </w:pPr>
          </w:p>
          <w:p w14:paraId="3D87E746">
            <w:pPr>
              <w:rPr>
                <w:color w:val="000000"/>
                <w:szCs w:val="21"/>
              </w:rPr>
            </w:pPr>
          </w:p>
          <w:p w14:paraId="17827ABF">
            <w:pPr>
              <w:rPr>
                <w:color w:val="000000"/>
                <w:szCs w:val="21"/>
              </w:rPr>
            </w:pPr>
          </w:p>
          <w:p w14:paraId="45874FCF">
            <w:pPr>
              <w:rPr>
                <w:color w:val="000000"/>
                <w:szCs w:val="21"/>
              </w:rPr>
            </w:pPr>
          </w:p>
        </w:tc>
        <w:tc>
          <w:tcPr>
            <w:tcW w:w="2725" w:type="dxa"/>
          </w:tcPr>
          <w:p w14:paraId="420D9AFC">
            <w:pPr>
              <w:pStyle w:val="328"/>
              <w:numPr>
                <w:ilvl w:val="0"/>
                <w:numId w:val="0"/>
              </w:numPr>
              <w:rPr>
                <w:rFonts w:ascii="Times New Roman"/>
                <w:color w:val="000000"/>
              </w:rPr>
            </w:pPr>
            <w:r>
              <w:rPr>
                <w:rFonts w:ascii="Times New Roman"/>
                <w:color w:val="000000"/>
              </w:rPr>
              <w:t>压力安全保护</w:t>
            </w:r>
          </w:p>
          <w:p w14:paraId="3F1CB486">
            <w:pPr>
              <w:pStyle w:val="328"/>
              <w:numPr>
                <w:ilvl w:val="0"/>
                <w:numId w:val="0"/>
              </w:numPr>
              <w:rPr>
                <w:rFonts w:ascii="Times New Roman"/>
                <w:color w:val="000000"/>
              </w:rPr>
            </w:pPr>
            <w:r>
              <w:rPr>
                <w:rFonts w:ascii="Times New Roman"/>
                <w:color w:val="000000"/>
              </w:rPr>
              <w:t>接受从井口或其它可能导致超压的输入源流体的压力容器，应采用高压传感器（PSH）保护，以便必要时切断流入。若满足下列条件之一，容器上可不设高压传感器（PSH）：</w:t>
            </w:r>
          </w:p>
          <w:p w14:paraId="4E7D9589">
            <w:pPr>
              <w:pStyle w:val="328"/>
              <w:numPr>
                <w:ilvl w:val="0"/>
                <w:numId w:val="0"/>
              </w:numPr>
              <w:rPr>
                <w:rFonts w:ascii="Times New Roman"/>
                <w:color w:val="000000"/>
              </w:rPr>
            </w:pPr>
            <w:r>
              <w:rPr>
                <w:rFonts w:ascii="Times New Roman"/>
                <w:color w:val="000000"/>
              </w:rPr>
              <w:t>a)输入源来自泵或压缩机，且产生的压力不可能大于容器的最大允许工作压力（MAWP）；</w:t>
            </w:r>
          </w:p>
          <w:p w14:paraId="60A4EE5B">
            <w:pPr>
              <w:pStyle w:val="328"/>
              <w:numPr>
                <w:ilvl w:val="0"/>
                <w:numId w:val="0"/>
              </w:numPr>
              <w:rPr>
                <w:rFonts w:ascii="Times New Roman"/>
                <w:color w:val="000000"/>
              </w:rPr>
            </w:pPr>
            <w:r>
              <w:rPr>
                <w:rFonts w:ascii="Times New Roman"/>
                <w:color w:val="000000"/>
              </w:rPr>
              <w:t>b)输入源不是井口出油管线、生产管汇或管线，且每个输入源都有一个高压传感器（PSH）保护；</w:t>
            </w:r>
          </w:p>
          <w:p w14:paraId="46943544">
            <w:pPr>
              <w:pStyle w:val="328"/>
              <w:numPr>
                <w:ilvl w:val="0"/>
                <w:numId w:val="0"/>
              </w:numPr>
              <w:rPr>
                <w:rFonts w:ascii="Times New Roman"/>
                <w:color w:val="000000"/>
              </w:rPr>
            </w:pPr>
            <w:r>
              <w:rPr>
                <w:rFonts w:ascii="Times New Roman"/>
                <w:color w:val="000000"/>
              </w:rPr>
              <w:t>c)气相出口通过不带隔离阀或调节阀的合适尺寸管线连接到下游设备，可由上游容器的高压传感器（PSH）保护；</w:t>
            </w:r>
          </w:p>
          <w:p w14:paraId="713F4549">
            <w:pPr>
              <w:pStyle w:val="328"/>
              <w:numPr>
                <w:ilvl w:val="0"/>
                <w:numId w:val="0"/>
              </w:numPr>
              <w:rPr>
                <w:rFonts w:ascii="Times New Roman"/>
                <w:color w:val="000000"/>
              </w:rPr>
            </w:pPr>
            <w:r>
              <w:rPr>
                <w:rFonts w:ascii="Times New Roman"/>
                <w:color w:val="000000"/>
              </w:rPr>
              <w:t>d)容器是火炬、泄放、放空系统的最后一级气涤器，并且其设计压力能承受最大聚集回压；</w:t>
            </w:r>
          </w:p>
          <w:p w14:paraId="78439AE3">
            <w:pPr>
              <w:pStyle w:val="328"/>
              <w:numPr>
                <w:ilvl w:val="0"/>
                <w:numId w:val="0"/>
              </w:numPr>
              <w:rPr>
                <w:rFonts w:ascii="Times New Roman"/>
                <w:color w:val="000000"/>
              </w:rPr>
            </w:pPr>
            <w:r>
              <w:rPr>
                <w:rFonts w:ascii="Times New Roman"/>
                <w:color w:val="000000"/>
              </w:rPr>
              <w:t>e)容器为常压操作且设有适当的放空系统。。</w:t>
            </w:r>
          </w:p>
          <w:p w14:paraId="7F6471F7">
            <w:pPr>
              <w:pStyle w:val="328"/>
              <w:numPr>
                <w:ilvl w:val="0"/>
                <w:numId w:val="0"/>
              </w:numPr>
              <w:rPr>
                <w:rFonts w:ascii="Times New Roman"/>
                <w:color w:val="000000"/>
              </w:rPr>
            </w:pPr>
            <w:r>
              <w:rPr>
                <w:rFonts w:ascii="Times New Roman"/>
                <w:color w:val="000000"/>
              </w:rPr>
              <w:t>当泄漏量大到足以降低压力时，应采用低压传感器（PSL）保护，以便在必要时切断输入源。若满足下列条件之一，容器上可不设低压传感器（PSL）：</w:t>
            </w:r>
          </w:p>
          <w:p w14:paraId="0D00C6ED">
            <w:pPr>
              <w:pStyle w:val="328"/>
              <w:numPr>
                <w:ilvl w:val="0"/>
                <w:numId w:val="0"/>
              </w:numPr>
              <w:rPr>
                <w:rFonts w:ascii="Times New Roman"/>
                <w:color w:val="000000"/>
              </w:rPr>
            </w:pPr>
            <w:r>
              <w:rPr>
                <w:rFonts w:ascii="Times New Roman"/>
                <w:color w:val="000000"/>
              </w:rPr>
              <w:t>a)容器在常压下操作，则可不设低压传感器（PSL）；</w:t>
            </w:r>
          </w:p>
          <w:p w14:paraId="361B605A">
            <w:pPr>
              <w:pStyle w:val="328"/>
              <w:numPr>
                <w:ilvl w:val="0"/>
                <w:numId w:val="0"/>
              </w:numPr>
              <w:rPr>
                <w:rFonts w:ascii="Times New Roman"/>
                <w:color w:val="000000"/>
              </w:rPr>
            </w:pPr>
            <w:r>
              <w:rPr>
                <w:rFonts w:ascii="Times New Roman"/>
                <w:color w:val="000000"/>
              </w:rPr>
              <w:t>b)每个输入源都设有低压传感器（PSL），且在低压传感器（PSL）和容器之间未设压力控制装置或节流装置；</w:t>
            </w:r>
          </w:p>
          <w:p w14:paraId="7C9B7D32">
            <w:pPr>
              <w:pStyle w:val="328"/>
              <w:numPr>
                <w:ilvl w:val="0"/>
                <w:numId w:val="0"/>
              </w:numPr>
              <w:rPr>
                <w:rFonts w:ascii="Times New Roman"/>
                <w:color w:val="000000"/>
              </w:rPr>
            </w:pPr>
            <w:r>
              <w:rPr>
                <w:rFonts w:ascii="Times New Roman"/>
                <w:color w:val="000000"/>
              </w:rPr>
              <w:t>c)其它设备上的低压传感器（PSL）可保护容器，且不与之隔离；</w:t>
            </w:r>
          </w:p>
          <w:p w14:paraId="356FC562">
            <w:pPr>
              <w:pStyle w:val="328"/>
              <w:numPr>
                <w:ilvl w:val="0"/>
                <w:numId w:val="0"/>
              </w:numPr>
              <w:rPr>
                <w:rFonts w:ascii="Times New Roman"/>
                <w:color w:val="000000"/>
              </w:rPr>
            </w:pPr>
            <w:r>
              <w:rPr>
                <w:rFonts w:ascii="Times New Roman"/>
                <w:color w:val="000000"/>
              </w:rPr>
              <w:t>d)气相出口通过不带隔离阀或调节阀的合适尺寸管线连接到下游设备，可由上游容器的低压传感器（PSL）保护。。</w:t>
            </w:r>
          </w:p>
          <w:p w14:paraId="229B749A">
            <w:pPr>
              <w:pStyle w:val="328"/>
              <w:numPr>
                <w:ilvl w:val="0"/>
                <w:numId w:val="0"/>
              </w:numPr>
              <w:rPr>
                <w:rFonts w:ascii="Times New Roman"/>
                <w:color w:val="000000"/>
              </w:rPr>
            </w:pPr>
            <w:r>
              <w:rPr>
                <w:rFonts w:ascii="Times New Roman"/>
                <w:color w:val="000000"/>
              </w:rPr>
              <w:t>压力容器应采用一个或多个释放能力合适的压力安全阀（PSV）保护，且至少有一个压力安全阀（PSV）的设定点不大于容器的最大允许工作压力（MAWP）。若满足下列条件之一，容器上可不设压力安全阀（PSV）：</w:t>
            </w:r>
          </w:p>
          <w:p w14:paraId="267E3081">
            <w:pPr>
              <w:pStyle w:val="328"/>
              <w:numPr>
                <w:ilvl w:val="0"/>
                <w:numId w:val="0"/>
              </w:numPr>
              <w:rPr>
                <w:rFonts w:ascii="Times New Roman"/>
                <w:color w:val="000000"/>
              </w:rPr>
            </w:pPr>
            <w:r>
              <w:rPr>
                <w:rFonts w:ascii="Times New Roman"/>
                <w:color w:val="000000"/>
              </w:rPr>
              <w:t>a)上游或下游设备上的压力安全阀（PSV）能保护容器且不与之隔离；</w:t>
            </w:r>
          </w:p>
          <w:p w14:paraId="1A1AD9AB">
            <w:pPr>
              <w:pStyle w:val="328"/>
              <w:numPr>
                <w:ilvl w:val="0"/>
                <w:numId w:val="0"/>
              </w:numPr>
              <w:rPr>
                <w:rFonts w:ascii="Times New Roman"/>
                <w:color w:val="000000"/>
              </w:rPr>
            </w:pPr>
            <w:r>
              <w:rPr>
                <w:rFonts w:ascii="Times New Roman"/>
                <w:color w:val="000000"/>
              </w:rPr>
              <w:t>b)每个输入源都由一个压力安全阀（PSV）保护，其设定压力不高于容器的最大允许工作压力（MAWP），其中至少有一个PSV不能与容器隔离，且该压力安全阀（PSV）足以满足受保护容器的火灾和热膨胀工况要求；</w:t>
            </w:r>
          </w:p>
          <w:p w14:paraId="62DE9756">
            <w:pPr>
              <w:pStyle w:val="328"/>
              <w:numPr>
                <w:ilvl w:val="0"/>
                <w:numId w:val="0"/>
              </w:numPr>
              <w:rPr>
                <w:rFonts w:ascii="Times New Roman"/>
                <w:color w:val="000000"/>
              </w:rPr>
            </w:pPr>
            <w:r>
              <w:rPr>
                <w:rFonts w:ascii="Times New Roman"/>
                <w:color w:val="000000"/>
              </w:rPr>
              <w:t>c)对于实际情况下不能受压力安全阀（PSV）保护的超压容器，需要设高完整性压力保护系统（HIPPS）。</w:t>
            </w:r>
          </w:p>
        </w:tc>
        <w:tc>
          <w:tcPr>
            <w:tcW w:w="4401" w:type="dxa"/>
          </w:tcPr>
          <w:p w14:paraId="2EB6E9FB">
            <w:pPr>
              <w:rPr>
                <w:szCs w:val="21"/>
              </w:rPr>
            </w:pPr>
            <w:r>
              <w:rPr>
                <w:szCs w:val="21"/>
              </w:rPr>
              <w:t>1.国经贸安全2000年944号《海上固定平台安全规则》</w:t>
            </w:r>
          </w:p>
          <w:p w14:paraId="5F5930FE">
            <w:pPr>
              <w:rPr>
                <w:szCs w:val="21"/>
              </w:rPr>
            </w:pPr>
            <w:r>
              <w:rPr>
                <w:szCs w:val="21"/>
              </w:rPr>
              <w:t>6.3.4.2 压力安全保护</w:t>
            </w:r>
          </w:p>
          <w:p w14:paraId="0F21D3EE">
            <w:pPr>
              <w:rPr>
                <w:szCs w:val="21"/>
              </w:rPr>
            </w:pPr>
            <w:r>
              <w:rPr>
                <w:szCs w:val="21"/>
              </w:rPr>
              <w:t>a) 接受从油井或其它可能导致超压的输入源的流体的压力容器</w:t>
            </w:r>
            <w:r>
              <w:rPr>
                <w:rFonts w:hint="eastAsia"/>
                <w:szCs w:val="21"/>
              </w:rPr>
              <w:t>，</w:t>
            </w:r>
            <w:r>
              <w:rPr>
                <w:szCs w:val="21"/>
              </w:rPr>
              <w:t>应采用PSH保护</w:t>
            </w:r>
            <w:r>
              <w:rPr>
                <w:rFonts w:hint="eastAsia"/>
                <w:szCs w:val="21"/>
                <w:lang w:eastAsia="zh-CN"/>
              </w:rPr>
              <w:t>，</w:t>
            </w:r>
            <w:r>
              <w:rPr>
                <w:szCs w:val="21"/>
              </w:rPr>
              <w:t>以便必要时切断流入。如其它工艺设备上的PSH可起保护容器的作用且不与之隔绝</w:t>
            </w:r>
            <w:r>
              <w:rPr>
                <w:rFonts w:hint="eastAsia"/>
                <w:szCs w:val="21"/>
              </w:rPr>
              <w:t>，</w:t>
            </w:r>
            <w:r>
              <w:rPr>
                <w:szCs w:val="21"/>
              </w:rPr>
              <w:t>或容器是火炬、释放、放空系统的最后一级分液器</w:t>
            </w:r>
            <w:r>
              <w:rPr>
                <w:rFonts w:hint="eastAsia"/>
                <w:szCs w:val="21"/>
              </w:rPr>
              <w:t>，</w:t>
            </w:r>
            <w:r>
              <w:rPr>
                <w:szCs w:val="21"/>
              </w:rPr>
              <w:t>或容器为常压作业且有适当的放空系统时</w:t>
            </w:r>
            <w:r>
              <w:rPr>
                <w:rFonts w:hint="eastAsia"/>
                <w:szCs w:val="21"/>
              </w:rPr>
              <w:t>，</w:t>
            </w:r>
            <w:r>
              <w:rPr>
                <w:szCs w:val="21"/>
              </w:rPr>
              <w:t>容器上可不设PSH。</w:t>
            </w:r>
          </w:p>
          <w:p w14:paraId="6C473AE0">
            <w:pPr>
              <w:rPr>
                <w:szCs w:val="21"/>
              </w:rPr>
            </w:pPr>
            <w:r>
              <w:rPr>
                <w:szCs w:val="21"/>
              </w:rPr>
              <w:t>b) 当漏油量大得足以降低压力时</w:t>
            </w:r>
            <w:r>
              <w:rPr>
                <w:rFonts w:hint="eastAsia"/>
                <w:szCs w:val="21"/>
              </w:rPr>
              <w:t>，</w:t>
            </w:r>
            <w:r>
              <w:rPr>
                <w:szCs w:val="21"/>
              </w:rPr>
              <w:t>应采用PSL保护</w:t>
            </w:r>
            <w:r>
              <w:rPr>
                <w:rFonts w:hint="eastAsia"/>
                <w:szCs w:val="21"/>
              </w:rPr>
              <w:t>，</w:t>
            </w:r>
            <w:r>
              <w:rPr>
                <w:szCs w:val="21"/>
              </w:rPr>
              <w:t>以便在必要时切断流入。若其它设备上的PSL可保护容器</w:t>
            </w:r>
            <w:r>
              <w:rPr>
                <w:rFonts w:hint="eastAsia"/>
                <w:szCs w:val="21"/>
              </w:rPr>
              <w:t>，</w:t>
            </w:r>
            <w:r>
              <w:rPr>
                <w:szCs w:val="21"/>
              </w:rPr>
              <w:t>且不与之隔绝</w:t>
            </w:r>
            <w:r>
              <w:rPr>
                <w:rFonts w:hint="eastAsia"/>
                <w:szCs w:val="21"/>
              </w:rPr>
              <w:t>，</w:t>
            </w:r>
            <w:r>
              <w:rPr>
                <w:szCs w:val="21"/>
              </w:rPr>
              <w:t>该容器可不设PSL; 否则应设PSL。如果容器在常压下作业或运行时经常变到常压</w:t>
            </w:r>
            <w:r>
              <w:rPr>
                <w:rFonts w:hint="eastAsia"/>
                <w:szCs w:val="21"/>
              </w:rPr>
              <w:t>，</w:t>
            </w:r>
            <w:r>
              <w:rPr>
                <w:szCs w:val="21"/>
              </w:rPr>
              <w:t>则可不设PSL。</w:t>
            </w:r>
          </w:p>
          <w:p w14:paraId="37830BC7">
            <w:pPr>
              <w:rPr>
                <w:szCs w:val="21"/>
              </w:rPr>
            </w:pPr>
            <w:r>
              <w:rPr>
                <w:szCs w:val="21"/>
              </w:rPr>
              <w:t>c) 压力容器应采用一个或多个有合适释放能力的PSV保护</w:t>
            </w:r>
            <w:r>
              <w:rPr>
                <w:rFonts w:hint="eastAsia"/>
                <w:szCs w:val="21"/>
              </w:rPr>
              <w:t>，</w:t>
            </w:r>
            <w:r>
              <w:rPr>
                <w:szCs w:val="21"/>
              </w:rPr>
              <w:t>至少有一个PSV的设定点不大于容器的额定设计压力。若上游或下游设备上的PSV能保护容器且不与之隔绝时</w:t>
            </w:r>
            <w:r>
              <w:rPr>
                <w:rFonts w:hint="eastAsia"/>
                <w:szCs w:val="21"/>
              </w:rPr>
              <w:t>，</w:t>
            </w:r>
            <w:r>
              <w:rPr>
                <w:szCs w:val="21"/>
              </w:rPr>
              <w:t>容器上可不设PSV。</w:t>
            </w:r>
          </w:p>
          <w:p w14:paraId="11858812">
            <w:pPr>
              <w:rPr>
                <w:szCs w:val="21"/>
              </w:rPr>
            </w:pPr>
            <w:r>
              <w:rPr>
                <w:szCs w:val="21"/>
              </w:rPr>
              <w:t>d) 若压力容器可能承受将导致其毁坏的负压</w:t>
            </w:r>
            <w:r>
              <w:rPr>
                <w:rFonts w:hint="eastAsia"/>
                <w:szCs w:val="21"/>
              </w:rPr>
              <w:t>，</w:t>
            </w:r>
            <w:r>
              <w:rPr>
                <w:szCs w:val="21"/>
              </w:rPr>
              <w:t>则应设置能维持适宜压力的气体（惰性气体或天然气）补给系统。</w:t>
            </w:r>
          </w:p>
          <w:p w14:paraId="0B97126A">
            <w:pPr>
              <w:rPr>
                <w:szCs w:val="21"/>
              </w:rPr>
            </w:pPr>
            <w:r>
              <w:rPr>
                <w:szCs w:val="21"/>
              </w:rPr>
              <w:t>2.SY/T 10033-2002《海上生产平台基本上部设施安全系统的分析设计安装和测试的推荐做法》</w:t>
            </w:r>
          </w:p>
          <w:p w14:paraId="043DC1E7">
            <w:pPr>
              <w:rPr>
                <w:szCs w:val="21"/>
              </w:rPr>
            </w:pPr>
            <w:r>
              <w:rPr>
                <w:szCs w:val="21"/>
              </w:rPr>
              <w:t>(1)压力安全装置(PSH.PSL和PSV)</w:t>
            </w:r>
          </w:p>
          <w:p w14:paraId="1BB5B349">
            <w:pPr>
              <w:rPr>
                <w:szCs w:val="21"/>
              </w:rPr>
            </w:pPr>
            <w:r>
              <w:rPr>
                <w:szCs w:val="21"/>
              </w:rPr>
              <w:t>（）接收来自井口或其它能够引起过压来源流体的压力容器应由PSH 用传感器保护，以切断容器的进口流。如果在其它工艺设备上的出传感器能检测容器的压力和切断容器的进口流，并且PHH传感器不能和该容器隔离开：或者如果容器是火炬、淮放或放空系统的最后一级气涤器，并且其设计压力能承受最大聚集回压：或者如果容器的操作压力是常压，并且有适当的放空系统，则在上述情况下该容器都没有必要安装PSH传感器。接收来自井口流体的容器应由PSH传感器保护，因为井口的压力可能由于油做条件的变化、人工举升、修井等原因而增加。</w:t>
            </w:r>
          </w:p>
          <w:p w14:paraId="4F001E8E">
            <w:pPr>
              <w:rPr>
                <w:szCs w:val="21"/>
              </w:rPr>
            </w:pPr>
            <w:r>
              <w:rPr>
                <w:szCs w:val="21"/>
              </w:rPr>
              <w:t>(b)除非其它设备上的PSL传感器能提供必要的保护，并且运行时PSL传感器和该容器不能隔离开，否则压力容器应安装PSL传感器，当准稀大到足够使容器降压时，PSL传感器应切断容器的进口流体。如果容器通常在常压下操作或运行时经常变到常压，则不安装P</w:t>
            </w:r>
            <w:r>
              <w:rPr>
                <w:rFonts w:hint="eastAsia"/>
                <w:szCs w:val="21"/>
              </w:rPr>
              <w:t>S</w:t>
            </w:r>
            <w:r>
              <w:rPr>
                <w:szCs w:val="21"/>
              </w:rPr>
              <w:t>L传感器。在这种情况下，使容器在这些操作模式中不被切断的锁定装置的组合可代替由PSL传</w:t>
            </w:r>
          </w:p>
          <w:p w14:paraId="66643558">
            <w:pPr>
              <w:rPr>
                <w:szCs w:val="21"/>
              </w:rPr>
            </w:pPr>
            <w:r>
              <w:rPr>
                <w:szCs w:val="21"/>
              </w:rPr>
              <w:t>感器提供的保护。</w:t>
            </w:r>
          </w:p>
          <w:p w14:paraId="47D4478E">
            <w:pPr>
              <w:rPr>
                <w:szCs w:val="21"/>
              </w:rPr>
            </w:pPr>
            <w:r>
              <w:rPr>
                <w:color w:val="000000"/>
                <w:spacing w:val="13"/>
                <w:szCs w:val="21"/>
                <w:shd w:val="clear" w:color="auto" w:fill="FFFFFF"/>
              </w:rPr>
              <w:t>（c</w:t>
            </w:r>
            <w:r>
              <w:rPr>
                <w:szCs w:val="21"/>
              </w:rPr>
              <w:t>）压力容器应始终受到一个或几个有足够能力排放容器最大输人流量的PSV的保护。至少应有一个PSV的设定压力不高于容器的最大允许工作压力。API RP521可用来作为确定多个减压阀装置设定压力的指导原则。符合下述情况，在容器上不需要设置安全阀：火矩、减压或放空系统的最后一级气涤器：在最大瞬时流动条件下容器设计的背压包括惯性力不超过最低忽定压力部件的工作压力：没有设内部或外部阻流物如捕雾器、背压阀或阻火器。如果设有阻流物。应该设置PSV或PSE来旁通阻流物。如果在其它工艺设备上的PSV能提供合适的减压能力，设定压力等于或低于容器的最大允许工作压力并且运行时不能与容器隔离开，则该容器没有必要安装PSV。如果把这样的PSV安装在下游设备上，那么任何时候这些PSV都不能和容器隔离开，此外，如果容器处于运行状态时上游的PSV能提供必要的保护，但当容器切斯时就被隔离开，则该容器上必须安装PSV</w:t>
            </w:r>
            <w:r>
              <w:rPr>
                <w:rFonts w:hint="eastAsia"/>
                <w:szCs w:val="21"/>
                <w:lang w:eastAsia="zh-CN"/>
              </w:rPr>
              <w:t>，</w:t>
            </w:r>
            <w:r>
              <w:rPr>
                <w:szCs w:val="21"/>
              </w:rPr>
              <w:t>以泄放由于热影张或火灾受热时的压力。</w:t>
            </w:r>
          </w:p>
          <w:p w14:paraId="4DAE2127">
            <w:pPr>
              <w:rPr>
                <w:color w:val="000000"/>
                <w:spacing w:val="13"/>
                <w:szCs w:val="21"/>
                <w:shd w:val="clear" w:color="auto" w:fill="FFFFFF"/>
              </w:rPr>
            </w:pPr>
            <w:r>
              <w:rPr>
                <w:szCs w:val="21"/>
              </w:rPr>
              <w:t>（d）如果压力容器可能承受把它挤毁的负压，则该容器应安装气体补给系统，它可以使容器维持合适的压力状态。</w:t>
            </w:r>
          </w:p>
        </w:tc>
      </w:tr>
      <w:tr w14:paraId="07F9A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4C22705A">
            <w:pPr>
              <w:numPr>
                <w:ilvl w:val="0"/>
                <w:numId w:val="132"/>
              </w:numPr>
              <w:jc w:val="center"/>
              <w:rPr>
                <w:color w:val="000000"/>
                <w:szCs w:val="21"/>
              </w:rPr>
            </w:pPr>
          </w:p>
        </w:tc>
        <w:tc>
          <w:tcPr>
            <w:tcW w:w="1172" w:type="dxa"/>
          </w:tcPr>
          <w:p w14:paraId="4A4EC0DB">
            <w:pPr>
              <w:jc w:val="center"/>
              <w:rPr>
                <w:color w:val="000000"/>
                <w:szCs w:val="21"/>
              </w:rPr>
            </w:pPr>
            <w:r>
              <w:rPr>
                <w:color w:val="000000"/>
                <w:szCs w:val="21"/>
              </w:rPr>
              <w:t>10.2.5.2</w:t>
            </w:r>
          </w:p>
          <w:p w14:paraId="2BE9E274">
            <w:pPr>
              <w:jc w:val="center"/>
              <w:rPr>
                <w:color w:val="000000"/>
                <w:szCs w:val="21"/>
              </w:rPr>
            </w:pPr>
            <w:r>
              <w:rPr>
                <w:color w:val="000000"/>
                <w:szCs w:val="21"/>
              </w:rPr>
              <w:t>10.2.5.2.1</w:t>
            </w:r>
          </w:p>
          <w:p w14:paraId="0B33E250">
            <w:pPr>
              <w:jc w:val="center"/>
              <w:rPr>
                <w:color w:val="000000"/>
                <w:szCs w:val="21"/>
              </w:rPr>
            </w:pPr>
          </w:p>
          <w:p w14:paraId="606FDEF2">
            <w:pPr>
              <w:jc w:val="center"/>
              <w:rPr>
                <w:color w:val="000000"/>
                <w:szCs w:val="21"/>
              </w:rPr>
            </w:pPr>
          </w:p>
          <w:p w14:paraId="67B07469">
            <w:pPr>
              <w:jc w:val="center"/>
              <w:rPr>
                <w:color w:val="000000"/>
                <w:szCs w:val="21"/>
              </w:rPr>
            </w:pPr>
          </w:p>
          <w:p w14:paraId="1D8968F3">
            <w:pPr>
              <w:jc w:val="center"/>
              <w:rPr>
                <w:color w:val="000000"/>
                <w:szCs w:val="21"/>
              </w:rPr>
            </w:pPr>
          </w:p>
          <w:p w14:paraId="32BBDD4F">
            <w:pPr>
              <w:jc w:val="center"/>
              <w:rPr>
                <w:color w:val="000000"/>
                <w:szCs w:val="21"/>
              </w:rPr>
            </w:pPr>
          </w:p>
          <w:p w14:paraId="0192D95D">
            <w:pPr>
              <w:jc w:val="center"/>
              <w:rPr>
                <w:color w:val="000000"/>
                <w:szCs w:val="21"/>
              </w:rPr>
            </w:pPr>
          </w:p>
          <w:p w14:paraId="378FC330">
            <w:pPr>
              <w:jc w:val="center"/>
              <w:rPr>
                <w:color w:val="000000"/>
                <w:szCs w:val="21"/>
              </w:rPr>
            </w:pPr>
            <w:r>
              <w:rPr>
                <w:color w:val="000000"/>
                <w:szCs w:val="21"/>
              </w:rPr>
              <w:t>10.2.5.2.2</w:t>
            </w:r>
          </w:p>
          <w:p w14:paraId="235E3E1A">
            <w:pPr>
              <w:jc w:val="center"/>
              <w:rPr>
                <w:color w:val="000000"/>
                <w:szCs w:val="21"/>
              </w:rPr>
            </w:pPr>
          </w:p>
          <w:p w14:paraId="15F837DD">
            <w:pPr>
              <w:jc w:val="center"/>
              <w:rPr>
                <w:color w:val="000000"/>
                <w:szCs w:val="21"/>
              </w:rPr>
            </w:pPr>
          </w:p>
          <w:p w14:paraId="7D16D1B5">
            <w:pPr>
              <w:jc w:val="center"/>
              <w:rPr>
                <w:color w:val="000000"/>
                <w:szCs w:val="21"/>
              </w:rPr>
            </w:pPr>
          </w:p>
          <w:p w14:paraId="21A23B7C">
            <w:pPr>
              <w:jc w:val="center"/>
              <w:rPr>
                <w:color w:val="000000"/>
                <w:szCs w:val="21"/>
              </w:rPr>
            </w:pPr>
          </w:p>
          <w:p w14:paraId="1A147595">
            <w:pPr>
              <w:jc w:val="center"/>
              <w:rPr>
                <w:color w:val="000000"/>
                <w:szCs w:val="21"/>
              </w:rPr>
            </w:pPr>
          </w:p>
          <w:p w14:paraId="16B6DD1E">
            <w:pPr>
              <w:jc w:val="center"/>
              <w:rPr>
                <w:color w:val="000000"/>
                <w:szCs w:val="21"/>
              </w:rPr>
            </w:pPr>
          </w:p>
          <w:p w14:paraId="51A24925">
            <w:pPr>
              <w:jc w:val="center"/>
              <w:rPr>
                <w:color w:val="000000"/>
                <w:szCs w:val="21"/>
              </w:rPr>
            </w:pPr>
          </w:p>
          <w:p w14:paraId="5AE75BD0">
            <w:pPr>
              <w:jc w:val="center"/>
              <w:rPr>
                <w:color w:val="000000"/>
                <w:szCs w:val="21"/>
              </w:rPr>
            </w:pPr>
            <w:r>
              <w:rPr>
                <w:color w:val="000000"/>
                <w:szCs w:val="21"/>
              </w:rPr>
              <w:t>10.2.5.2.3</w:t>
            </w:r>
          </w:p>
          <w:p w14:paraId="23F39E56">
            <w:pPr>
              <w:jc w:val="center"/>
              <w:rPr>
                <w:color w:val="000000"/>
                <w:szCs w:val="21"/>
              </w:rPr>
            </w:pPr>
          </w:p>
          <w:p w14:paraId="6FFBFB53">
            <w:pPr>
              <w:jc w:val="center"/>
              <w:rPr>
                <w:color w:val="000000"/>
                <w:szCs w:val="21"/>
              </w:rPr>
            </w:pPr>
          </w:p>
          <w:p w14:paraId="19826037">
            <w:pPr>
              <w:jc w:val="center"/>
              <w:rPr>
                <w:color w:val="000000"/>
                <w:szCs w:val="21"/>
              </w:rPr>
            </w:pPr>
          </w:p>
          <w:p w14:paraId="0BD5F27F">
            <w:pPr>
              <w:jc w:val="center"/>
              <w:rPr>
                <w:color w:val="000000"/>
                <w:szCs w:val="21"/>
              </w:rPr>
            </w:pPr>
            <w:r>
              <w:rPr>
                <w:color w:val="000000"/>
                <w:szCs w:val="21"/>
              </w:rPr>
              <w:t>10.2.5.2.4</w:t>
            </w:r>
          </w:p>
          <w:p w14:paraId="2953606F">
            <w:pPr>
              <w:jc w:val="center"/>
              <w:rPr>
                <w:color w:val="000000"/>
                <w:szCs w:val="21"/>
              </w:rPr>
            </w:pPr>
          </w:p>
        </w:tc>
        <w:tc>
          <w:tcPr>
            <w:tcW w:w="2725" w:type="dxa"/>
          </w:tcPr>
          <w:p w14:paraId="688C0A0E">
            <w:pPr>
              <w:pStyle w:val="328"/>
              <w:numPr>
                <w:ilvl w:val="0"/>
                <w:numId w:val="0"/>
              </w:numPr>
              <w:rPr>
                <w:rFonts w:ascii="Times New Roman"/>
                <w:color w:val="000000"/>
              </w:rPr>
            </w:pPr>
            <w:r>
              <w:rPr>
                <w:rFonts w:ascii="Times New Roman"/>
                <w:color w:val="000000"/>
              </w:rPr>
              <w:t>液位安全保护</w:t>
            </w:r>
          </w:p>
          <w:p w14:paraId="07DE69D8">
            <w:pPr>
              <w:pStyle w:val="328"/>
              <w:numPr>
                <w:ilvl w:val="0"/>
                <w:numId w:val="0"/>
              </w:numPr>
              <w:rPr>
                <w:rFonts w:ascii="Times New Roman"/>
                <w:color w:val="000000"/>
              </w:rPr>
            </w:pPr>
            <w:r>
              <w:rPr>
                <w:rFonts w:ascii="Times New Roman"/>
              </w:rPr>
              <w:t>向火炬排放的压力容器应当采用高液位传感器（LSH）保护，以切断输入源。不直接向火炬排放的压力容器也要用高液位传感器（LSH）保护，除非下游设备能安全处理最大来液量</w:t>
            </w:r>
            <w:r>
              <w:rPr>
                <w:rFonts w:ascii="Times New Roman"/>
                <w:color w:val="000000"/>
              </w:rPr>
              <w:t>。</w:t>
            </w:r>
          </w:p>
          <w:p w14:paraId="400C8645">
            <w:pPr>
              <w:pStyle w:val="328"/>
              <w:numPr>
                <w:ilvl w:val="0"/>
                <w:numId w:val="0"/>
              </w:numPr>
              <w:rPr>
                <w:rFonts w:ascii="Times New Roman"/>
              </w:rPr>
            </w:pPr>
            <w:r>
              <w:rPr>
                <w:rFonts w:ascii="Times New Roman"/>
              </w:rPr>
              <w:t>压力容器应用低液位传感器（LSL）保护，以切断输入源或关闭出口以防气窜。如在正常作业中，压力容器中不需保持一定的液位或下游设备能安全地处理气窜，则压力容器可不设低液位传感器（LSL）。</w:t>
            </w:r>
          </w:p>
          <w:p w14:paraId="2815C0A2">
            <w:pPr>
              <w:pStyle w:val="328"/>
              <w:numPr>
                <w:ilvl w:val="0"/>
                <w:numId w:val="0"/>
              </w:numPr>
              <w:rPr>
                <w:rFonts w:ascii="Times New Roman"/>
                <w:color w:val="000000"/>
              </w:rPr>
            </w:pPr>
            <w:r>
              <w:rPr>
                <w:rFonts w:ascii="Times New Roman"/>
                <w:color w:val="000000"/>
              </w:rPr>
              <w:t>加热元件浸没在液体中的加热容器，应设LSL以便加热元件上方液位过低时切断热源。</w:t>
            </w:r>
          </w:p>
          <w:p w14:paraId="6DAC2B72">
            <w:pPr>
              <w:pStyle w:val="328"/>
              <w:numPr>
                <w:ilvl w:val="0"/>
                <w:numId w:val="0"/>
              </w:numPr>
              <w:rPr>
                <w:rFonts w:ascii="Times New Roman"/>
                <w:color w:val="000000"/>
              </w:rPr>
            </w:pPr>
            <w:r>
              <w:rPr>
                <w:rFonts w:ascii="Times New Roman"/>
                <w:color w:val="000000"/>
              </w:rPr>
              <w:t>若压力容器不作为气、液分离之用，或为手动排放的小分离器，则不需设液位安全装置。</w:t>
            </w:r>
          </w:p>
        </w:tc>
        <w:tc>
          <w:tcPr>
            <w:tcW w:w="4401" w:type="dxa"/>
          </w:tcPr>
          <w:p w14:paraId="5C74DDFA">
            <w:pPr>
              <w:rPr>
                <w:szCs w:val="21"/>
              </w:rPr>
            </w:pPr>
            <w:r>
              <w:rPr>
                <w:szCs w:val="21"/>
              </w:rPr>
              <w:t>1.国经贸安全2000年944号《海上固定平台安全规则》</w:t>
            </w:r>
          </w:p>
          <w:p w14:paraId="5782AD94">
            <w:pPr>
              <w:rPr>
                <w:szCs w:val="21"/>
              </w:rPr>
            </w:pPr>
            <w:r>
              <w:rPr>
                <w:szCs w:val="21"/>
              </w:rPr>
              <w:t>6.3.4.3 液位安全保护</w:t>
            </w:r>
          </w:p>
          <w:p w14:paraId="366C9FB2">
            <w:pPr>
              <w:rPr>
                <w:szCs w:val="21"/>
              </w:rPr>
            </w:pPr>
            <w:r>
              <w:rPr>
                <w:szCs w:val="21"/>
              </w:rPr>
              <w:t>向火炬排放的压力容器应当采用高液位安全装置（LSH）保护</w:t>
            </w:r>
            <w:r>
              <w:rPr>
                <w:rFonts w:hint="eastAsia"/>
                <w:szCs w:val="21"/>
              </w:rPr>
              <w:t>，</w:t>
            </w:r>
            <w:r>
              <w:rPr>
                <w:szCs w:val="21"/>
              </w:rPr>
              <w:t>以切断流入并防止液体溢流。不直接向火炬排放的压力容器也要用LSH保护</w:t>
            </w:r>
            <w:r>
              <w:rPr>
                <w:rFonts w:hint="eastAsia"/>
                <w:szCs w:val="21"/>
              </w:rPr>
              <w:t>，</w:t>
            </w:r>
            <w:r>
              <w:rPr>
                <w:szCs w:val="21"/>
              </w:rPr>
              <w:t>除非下游设备能安全处理最大溢流量。压力容器应用低液位安全装置（LSL）保护</w:t>
            </w:r>
            <w:r>
              <w:rPr>
                <w:rFonts w:hint="eastAsia"/>
                <w:szCs w:val="21"/>
              </w:rPr>
              <w:t>，</w:t>
            </w:r>
            <w:r>
              <w:rPr>
                <w:szCs w:val="21"/>
              </w:rPr>
              <w:t>以切断流入或关闭出口以防气窜。如在正常作业中</w:t>
            </w:r>
            <w:r>
              <w:rPr>
                <w:rFonts w:hint="eastAsia"/>
                <w:szCs w:val="21"/>
              </w:rPr>
              <w:t>，</w:t>
            </w:r>
            <w:r>
              <w:rPr>
                <w:szCs w:val="21"/>
              </w:rPr>
              <w:t>压力容器中不需保持一定的液位或下游设备能安全地处理气窜</w:t>
            </w:r>
            <w:r>
              <w:rPr>
                <w:rFonts w:hint="eastAsia"/>
                <w:szCs w:val="21"/>
              </w:rPr>
              <w:t>，</w:t>
            </w:r>
            <w:r>
              <w:rPr>
                <w:szCs w:val="21"/>
              </w:rPr>
              <w:t>则压力容器可不设LSL。加热元件浸没在液体中的加热容器</w:t>
            </w:r>
            <w:r>
              <w:rPr>
                <w:rFonts w:hint="eastAsia"/>
                <w:szCs w:val="21"/>
              </w:rPr>
              <w:t>，</w:t>
            </w:r>
            <w:r>
              <w:rPr>
                <w:szCs w:val="21"/>
              </w:rPr>
              <w:t>应设LSL以便加热元件上方液位过低时切断热源。</w:t>
            </w:r>
          </w:p>
          <w:p w14:paraId="498A37E8">
            <w:pPr>
              <w:rPr>
                <w:szCs w:val="21"/>
              </w:rPr>
            </w:pPr>
            <w:r>
              <w:rPr>
                <w:szCs w:val="21"/>
              </w:rPr>
              <w:t>如压力容器不作为气、液分离之用</w:t>
            </w:r>
            <w:r>
              <w:rPr>
                <w:rFonts w:hint="eastAsia"/>
                <w:szCs w:val="21"/>
              </w:rPr>
              <w:t>，</w:t>
            </w:r>
            <w:r>
              <w:rPr>
                <w:szCs w:val="21"/>
              </w:rPr>
              <w:t>或为手动排放的小凝气器</w:t>
            </w:r>
            <w:r>
              <w:rPr>
                <w:rFonts w:hint="eastAsia"/>
                <w:szCs w:val="21"/>
              </w:rPr>
              <w:t>，</w:t>
            </w:r>
            <w:r>
              <w:rPr>
                <w:szCs w:val="21"/>
              </w:rPr>
              <w:t>则不需设液位安全装置。</w:t>
            </w:r>
          </w:p>
          <w:p w14:paraId="1E811EB2">
            <w:pPr>
              <w:rPr>
                <w:szCs w:val="21"/>
              </w:rPr>
            </w:pPr>
            <w:r>
              <w:rPr>
                <w:szCs w:val="21"/>
              </w:rPr>
              <w:t>2.SY/T 10033-2002《海上生产平台基本上部设施安全系统的分析设计安装和测试的推荐做法》</w:t>
            </w:r>
          </w:p>
          <w:p w14:paraId="6A6EB3E9">
            <w:pPr>
              <w:rPr>
                <w:szCs w:val="21"/>
              </w:rPr>
            </w:pPr>
            <w:r>
              <w:rPr>
                <w:szCs w:val="21"/>
              </w:rPr>
              <w:t>(2)液位安全装置(LSH和LSL)。流体排放列火矩的压力容器应由LSH用传感器保护，以切斯容器的进口流体而防止液体溢流。流体不排放到火炬的容器也应由LSH传感器保护，除非是下游的工艺设备能够安全地处里可以引起溢流的最大液体量。压力容器应由LSL传感器保护，以切断容器的进口流体或关闭液体出口而防止气审。如果容器正常操作时不维持液位，或者下游设备能安全地处理可以号引起气窜的气体量，则该容器不需要LSL传感器。在加热容器中如果加热元件是浸没式的，则应安装SL传感器以切断燃料的供应。</w:t>
            </w:r>
          </w:p>
          <w:p w14:paraId="0870CD06">
            <w:pPr>
              <w:rPr>
                <w:color w:val="000000"/>
                <w:spacing w:val="13"/>
                <w:szCs w:val="21"/>
                <w:shd w:val="clear" w:color="auto" w:fill="FFFFFF"/>
              </w:rPr>
            </w:pPr>
            <w:r>
              <w:rPr>
                <w:szCs w:val="21"/>
              </w:rPr>
              <w:t>在设计上不作为气液分离的压力容器或手动排液的小分离器不需要液位装置。这种容器包括压力缓冲缚、除砂器、气体储存罐、气体计量分油包、燃料气过热器等。</w:t>
            </w:r>
          </w:p>
        </w:tc>
      </w:tr>
      <w:tr w14:paraId="4EB23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4E0F5F75">
            <w:pPr>
              <w:numPr>
                <w:ilvl w:val="0"/>
                <w:numId w:val="132"/>
              </w:numPr>
              <w:jc w:val="center"/>
              <w:rPr>
                <w:color w:val="000000"/>
                <w:szCs w:val="21"/>
              </w:rPr>
            </w:pPr>
          </w:p>
        </w:tc>
        <w:tc>
          <w:tcPr>
            <w:tcW w:w="1172" w:type="dxa"/>
          </w:tcPr>
          <w:p w14:paraId="22C80A3D">
            <w:pPr>
              <w:jc w:val="center"/>
              <w:rPr>
                <w:color w:val="000000"/>
                <w:szCs w:val="21"/>
              </w:rPr>
            </w:pPr>
            <w:r>
              <w:rPr>
                <w:color w:val="000000"/>
                <w:szCs w:val="21"/>
              </w:rPr>
              <w:t>10.2.5.3</w:t>
            </w:r>
          </w:p>
          <w:p w14:paraId="0E4DA390">
            <w:pPr>
              <w:jc w:val="center"/>
              <w:rPr>
                <w:color w:val="000000"/>
                <w:szCs w:val="21"/>
              </w:rPr>
            </w:pPr>
            <w:r>
              <w:rPr>
                <w:color w:val="000000"/>
                <w:szCs w:val="21"/>
              </w:rPr>
              <w:t>10.2.5.3.1</w:t>
            </w:r>
          </w:p>
          <w:p w14:paraId="6B6A2F81">
            <w:pPr>
              <w:jc w:val="center"/>
              <w:rPr>
                <w:color w:val="000000"/>
                <w:szCs w:val="21"/>
              </w:rPr>
            </w:pPr>
          </w:p>
          <w:p w14:paraId="65582B68">
            <w:pPr>
              <w:jc w:val="center"/>
              <w:rPr>
                <w:color w:val="000000"/>
                <w:szCs w:val="21"/>
              </w:rPr>
            </w:pPr>
          </w:p>
          <w:p w14:paraId="2D2BADE5">
            <w:pPr>
              <w:jc w:val="center"/>
              <w:rPr>
                <w:color w:val="000000"/>
                <w:szCs w:val="21"/>
              </w:rPr>
            </w:pPr>
            <w:r>
              <w:rPr>
                <w:color w:val="000000"/>
                <w:szCs w:val="21"/>
              </w:rPr>
              <w:t>10.2.5.3.2</w:t>
            </w:r>
          </w:p>
          <w:p w14:paraId="7DDF2D2A">
            <w:pPr>
              <w:jc w:val="center"/>
              <w:rPr>
                <w:color w:val="000000"/>
                <w:szCs w:val="21"/>
              </w:rPr>
            </w:pPr>
          </w:p>
        </w:tc>
        <w:tc>
          <w:tcPr>
            <w:tcW w:w="2725" w:type="dxa"/>
          </w:tcPr>
          <w:p w14:paraId="43C6C5D1">
            <w:pPr>
              <w:pStyle w:val="328"/>
              <w:numPr>
                <w:ilvl w:val="0"/>
                <w:numId w:val="0"/>
              </w:numPr>
              <w:rPr>
                <w:rFonts w:ascii="Times New Roman"/>
                <w:color w:val="000000"/>
              </w:rPr>
            </w:pPr>
            <w:r>
              <w:rPr>
                <w:rFonts w:ascii="Times New Roman"/>
                <w:color w:val="000000"/>
              </w:rPr>
              <w:t>温度安全保护</w:t>
            </w:r>
          </w:p>
          <w:p w14:paraId="0C23B455">
            <w:pPr>
              <w:pStyle w:val="328"/>
              <w:numPr>
                <w:ilvl w:val="0"/>
                <w:numId w:val="0"/>
              </w:numPr>
              <w:rPr>
                <w:rFonts w:ascii="Times New Roman"/>
                <w:color w:val="000000"/>
              </w:rPr>
            </w:pPr>
            <w:r>
              <w:rPr>
                <w:rFonts w:ascii="Times New Roman"/>
                <w:color w:val="000000"/>
              </w:rPr>
              <w:t>若压力容器中的流体需加热，则应设TSH，以便当工艺流体超温时切断热源。</w:t>
            </w:r>
          </w:p>
          <w:p w14:paraId="7B3241D9">
            <w:pPr>
              <w:pStyle w:val="328"/>
              <w:numPr>
                <w:ilvl w:val="0"/>
                <w:numId w:val="0"/>
              </w:numPr>
              <w:rPr>
                <w:rFonts w:ascii="Times New Roman"/>
                <w:color w:val="000000"/>
              </w:rPr>
            </w:pPr>
            <w:r>
              <w:rPr>
                <w:rFonts w:ascii="Times New Roman"/>
                <w:color w:val="000000"/>
              </w:rPr>
              <w:t>若压力容器、管道或设备暴露在焦耳汤姆逊效应（J-T）的冷却条件下，则需要提供低温传感器（TSL）传感器以切断产生焦耳汤姆逊效应（J-T）效应的冷源。</w:t>
            </w:r>
          </w:p>
        </w:tc>
        <w:tc>
          <w:tcPr>
            <w:tcW w:w="4401" w:type="dxa"/>
          </w:tcPr>
          <w:p w14:paraId="20015132">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0F98610C">
            <w:pPr>
              <w:rPr>
                <w:color w:val="000000"/>
                <w:spacing w:val="13"/>
                <w:szCs w:val="21"/>
                <w:shd w:val="clear" w:color="auto" w:fill="FFFFFF"/>
              </w:rPr>
            </w:pPr>
            <w:r>
              <w:rPr>
                <w:color w:val="000000"/>
                <w:spacing w:val="13"/>
                <w:szCs w:val="21"/>
                <w:shd w:val="clear" w:color="auto" w:fill="FFFFFF"/>
              </w:rPr>
              <w:t>6.3.4.4 温度安全保护</w:t>
            </w:r>
          </w:p>
          <w:p w14:paraId="1048A0E5">
            <w:pPr>
              <w:rPr>
                <w:color w:val="000000"/>
                <w:spacing w:val="13"/>
                <w:szCs w:val="21"/>
                <w:shd w:val="clear" w:color="auto" w:fill="FFFFFF"/>
              </w:rPr>
            </w:pPr>
            <w:r>
              <w:rPr>
                <w:color w:val="000000"/>
                <w:spacing w:val="13"/>
                <w:szCs w:val="21"/>
                <w:shd w:val="clear" w:color="auto" w:fill="FFFFFF"/>
              </w:rPr>
              <w:t>如压力容器中的流体需加热</w:t>
            </w:r>
            <w:r>
              <w:rPr>
                <w:rFonts w:hint="eastAsia"/>
                <w:color w:val="000000"/>
                <w:spacing w:val="13"/>
                <w:szCs w:val="21"/>
                <w:shd w:val="clear" w:color="auto" w:fill="FFFFFF"/>
              </w:rPr>
              <w:t>，</w:t>
            </w:r>
            <w:r>
              <w:rPr>
                <w:color w:val="000000"/>
                <w:spacing w:val="13"/>
                <w:szCs w:val="21"/>
                <w:shd w:val="clear" w:color="auto" w:fill="FFFFFF"/>
              </w:rPr>
              <w:t>则应设高温安全装置（TSH）</w:t>
            </w:r>
            <w:r>
              <w:rPr>
                <w:rFonts w:hint="eastAsia"/>
                <w:color w:val="000000"/>
                <w:spacing w:val="13"/>
                <w:szCs w:val="21"/>
                <w:shd w:val="clear" w:color="auto" w:fill="FFFFFF"/>
              </w:rPr>
              <w:t>，</w:t>
            </w:r>
            <w:r>
              <w:rPr>
                <w:color w:val="000000"/>
                <w:spacing w:val="13"/>
                <w:szCs w:val="21"/>
                <w:shd w:val="clear" w:color="auto" w:fill="FFFFFF"/>
              </w:rPr>
              <w:t>以便当工艺流体超温时切断热源。</w:t>
            </w:r>
          </w:p>
          <w:p w14:paraId="48DFDDC4">
            <w:pPr>
              <w:rPr>
                <w:color w:val="000000"/>
                <w:spacing w:val="13"/>
                <w:szCs w:val="21"/>
                <w:shd w:val="clear" w:color="auto" w:fill="FFFFFF"/>
              </w:rPr>
            </w:pPr>
            <w:r>
              <w:rPr>
                <w:color w:val="000000"/>
                <w:spacing w:val="13"/>
                <w:szCs w:val="21"/>
                <w:shd w:val="clear" w:color="auto" w:fill="FFFFFF"/>
              </w:rPr>
              <w:t>2.SY/T 10033-2002《海上生产平台基本上部设施安全系统的分析设计安装和测试的推荐做法》</w:t>
            </w:r>
          </w:p>
          <w:p w14:paraId="1B67556B">
            <w:pPr>
              <w:rPr>
                <w:color w:val="000000"/>
                <w:spacing w:val="13"/>
                <w:szCs w:val="21"/>
                <w:shd w:val="clear" w:color="auto" w:fill="FFFFFF"/>
              </w:rPr>
            </w:pPr>
            <w:r>
              <w:rPr>
                <w:rFonts w:hint="eastAsia"/>
                <w:color w:val="000000"/>
                <w:spacing w:val="13"/>
                <w:szCs w:val="21"/>
                <w:shd w:val="clear" w:color="auto" w:fill="FFFFFF"/>
              </w:rPr>
              <w:t>（3）温度安全装置（TSH）。如果压力容器加热，则应安装TSH传感器，以便当工艺流体超温时它能切断热源。</w:t>
            </w:r>
          </w:p>
        </w:tc>
      </w:tr>
      <w:tr w14:paraId="3A88C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7E8FB314">
            <w:pPr>
              <w:numPr>
                <w:ilvl w:val="0"/>
                <w:numId w:val="132"/>
              </w:numPr>
              <w:jc w:val="center"/>
              <w:rPr>
                <w:color w:val="000000"/>
                <w:szCs w:val="21"/>
              </w:rPr>
            </w:pPr>
          </w:p>
        </w:tc>
        <w:tc>
          <w:tcPr>
            <w:tcW w:w="1172" w:type="dxa"/>
          </w:tcPr>
          <w:p w14:paraId="4E9263F1">
            <w:pPr>
              <w:jc w:val="center"/>
              <w:rPr>
                <w:color w:val="000000"/>
                <w:szCs w:val="21"/>
              </w:rPr>
            </w:pPr>
            <w:r>
              <w:rPr>
                <w:color w:val="000000"/>
                <w:szCs w:val="21"/>
              </w:rPr>
              <w:t>10.2.5.4</w:t>
            </w:r>
          </w:p>
          <w:p w14:paraId="55AF37BE">
            <w:pPr>
              <w:jc w:val="center"/>
              <w:rPr>
                <w:color w:val="000000"/>
                <w:szCs w:val="21"/>
              </w:rPr>
            </w:pPr>
            <w:r>
              <w:rPr>
                <w:color w:val="000000"/>
                <w:szCs w:val="21"/>
              </w:rPr>
              <w:t>10.2.5.4.1</w:t>
            </w:r>
          </w:p>
          <w:p w14:paraId="39B9FF19">
            <w:pPr>
              <w:jc w:val="center"/>
              <w:rPr>
                <w:color w:val="000000"/>
                <w:szCs w:val="21"/>
              </w:rPr>
            </w:pPr>
          </w:p>
          <w:p w14:paraId="03D9BB99">
            <w:pPr>
              <w:jc w:val="center"/>
              <w:rPr>
                <w:color w:val="000000"/>
                <w:szCs w:val="21"/>
              </w:rPr>
            </w:pPr>
          </w:p>
          <w:p w14:paraId="540A3ACB">
            <w:pPr>
              <w:jc w:val="center"/>
              <w:rPr>
                <w:color w:val="000000"/>
                <w:szCs w:val="21"/>
              </w:rPr>
            </w:pPr>
          </w:p>
          <w:p w14:paraId="58D409F5">
            <w:pPr>
              <w:jc w:val="center"/>
              <w:rPr>
                <w:color w:val="000000"/>
                <w:szCs w:val="21"/>
              </w:rPr>
            </w:pPr>
          </w:p>
          <w:p w14:paraId="4027BE71">
            <w:pPr>
              <w:jc w:val="center"/>
              <w:rPr>
                <w:color w:val="000000"/>
                <w:szCs w:val="21"/>
              </w:rPr>
            </w:pPr>
            <w:r>
              <w:rPr>
                <w:color w:val="000000"/>
                <w:szCs w:val="21"/>
              </w:rPr>
              <w:t>10.2.5.4.2</w:t>
            </w:r>
          </w:p>
        </w:tc>
        <w:tc>
          <w:tcPr>
            <w:tcW w:w="2725" w:type="dxa"/>
          </w:tcPr>
          <w:p w14:paraId="6ACBF6CD">
            <w:pPr>
              <w:pStyle w:val="328"/>
              <w:numPr>
                <w:ilvl w:val="0"/>
                <w:numId w:val="0"/>
              </w:numPr>
              <w:rPr>
                <w:rFonts w:ascii="Times New Roman"/>
                <w:color w:val="000000"/>
              </w:rPr>
            </w:pPr>
            <w:r>
              <w:rPr>
                <w:rFonts w:ascii="Times New Roman"/>
                <w:color w:val="000000"/>
              </w:rPr>
              <w:t>流动安全保护</w:t>
            </w:r>
          </w:p>
          <w:p w14:paraId="745B5D0B">
            <w:pPr>
              <w:pStyle w:val="328"/>
              <w:numPr>
                <w:ilvl w:val="0"/>
                <w:numId w:val="0"/>
              </w:numPr>
              <w:rPr>
                <w:rFonts w:ascii="Times New Roman"/>
                <w:color w:val="000000"/>
              </w:rPr>
            </w:pPr>
            <w:r>
              <w:rPr>
                <w:rFonts w:ascii="Times New Roman"/>
              </w:rPr>
              <w:t>若存在因泄漏导致大量流体由下游工艺设备回流的可能性时，应在压力容器的每个气、液排出管道上设置流动安全阀（FSV）</w:t>
            </w:r>
            <w:r>
              <w:rPr>
                <w:rFonts w:ascii="Times New Roman"/>
                <w:color w:val="000000"/>
              </w:rPr>
              <w:t>。</w:t>
            </w:r>
          </w:p>
          <w:p w14:paraId="05D9B086">
            <w:pPr>
              <w:pStyle w:val="328"/>
              <w:numPr>
                <w:ilvl w:val="0"/>
                <w:numId w:val="0"/>
              </w:numPr>
              <w:rPr>
                <w:rFonts w:ascii="Times New Roman"/>
                <w:color w:val="000000"/>
              </w:rPr>
            </w:pPr>
            <w:r>
              <w:rPr>
                <w:rFonts w:ascii="Times New Roman"/>
                <w:color w:val="000000"/>
              </w:rPr>
              <w:t>若管道上的控制或安全装置能有效地减少回流，</w:t>
            </w:r>
            <w:r>
              <w:rPr>
                <w:rFonts w:ascii="Times New Roman"/>
              </w:rPr>
              <w:t>则不需要流动安全阀（FSV）</w:t>
            </w:r>
            <w:r>
              <w:rPr>
                <w:rFonts w:ascii="Times New Roman"/>
                <w:color w:val="000000"/>
              </w:rPr>
              <w:t>。</w:t>
            </w:r>
          </w:p>
        </w:tc>
        <w:tc>
          <w:tcPr>
            <w:tcW w:w="4401" w:type="dxa"/>
          </w:tcPr>
          <w:p w14:paraId="32097660">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488E6D63">
            <w:pPr>
              <w:rPr>
                <w:color w:val="000000"/>
                <w:spacing w:val="13"/>
                <w:szCs w:val="21"/>
                <w:shd w:val="clear" w:color="auto" w:fill="FFFFFF"/>
              </w:rPr>
            </w:pPr>
            <w:r>
              <w:rPr>
                <w:color w:val="000000"/>
                <w:spacing w:val="13"/>
                <w:szCs w:val="21"/>
                <w:shd w:val="clear" w:color="auto" w:fill="FFFFFF"/>
              </w:rPr>
              <w:t>6.3.4.5 流动安全保护</w:t>
            </w:r>
          </w:p>
          <w:p w14:paraId="410E9D3D">
            <w:pPr>
              <w:rPr>
                <w:color w:val="000000"/>
                <w:spacing w:val="13"/>
                <w:szCs w:val="21"/>
                <w:shd w:val="clear" w:color="auto" w:fill="FFFFFF"/>
              </w:rPr>
            </w:pPr>
            <w:r>
              <w:rPr>
                <w:color w:val="000000"/>
                <w:spacing w:val="13"/>
                <w:szCs w:val="21"/>
                <w:shd w:val="clear" w:color="auto" w:fill="FFFFFF"/>
              </w:rPr>
              <w:t>若可能因泄漏导致大量流体由下游工艺设备回流时</w:t>
            </w:r>
            <w:r>
              <w:rPr>
                <w:rFonts w:hint="eastAsia"/>
                <w:color w:val="000000"/>
                <w:spacing w:val="13"/>
                <w:szCs w:val="21"/>
                <w:shd w:val="clear" w:color="auto" w:fill="FFFFFF"/>
              </w:rPr>
              <w:t>，</w:t>
            </w:r>
            <w:r>
              <w:rPr>
                <w:color w:val="000000"/>
                <w:spacing w:val="13"/>
                <w:szCs w:val="21"/>
                <w:shd w:val="clear" w:color="auto" w:fill="FFFFFF"/>
              </w:rPr>
              <w:t>则应在压力容器的每一气、液排出管线设置FSV。</w:t>
            </w:r>
          </w:p>
          <w:p w14:paraId="3DCF4A1E">
            <w:pPr>
              <w:rPr>
                <w:color w:val="000000"/>
                <w:spacing w:val="13"/>
                <w:szCs w:val="21"/>
                <w:shd w:val="clear" w:color="auto" w:fill="FFFFFF"/>
              </w:rPr>
            </w:pPr>
            <w:r>
              <w:rPr>
                <w:color w:val="000000"/>
                <w:spacing w:val="13"/>
                <w:szCs w:val="21"/>
                <w:shd w:val="clear" w:color="auto" w:fill="FFFFFF"/>
              </w:rPr>
              <w:t>2.SY/T 10033-2002《海上生产平台基本上部设施安全系统的分析设计安装和测试的推荐做法》</w:t>
            </w:r>
          </w:p>
        </w:tc>
      </w:tr>
      <w:tr w14:paraId="5F08D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510DCD56">
            <w:pPr>
              <w:numPr>
                <w:ilvl w:val="0"/>
                <w:numId w:val="132"/>
              </w:numPr>
              <w:jc w:val="center"/>
              <w:rPr>
                <w:color w:val="000000"/>
                <w:szCs w:val="21"/>
              </w:rPr>
            </w:pPr>
          </w:p>
        </w:tc>
        <w:tc>
          <w:tcPr>
            <w:tcW w:w="1172" w:type="dxa"/>
          </w:tcPr>
          <w:p w14:paraId="3FD9245B">
            <w:pPr>
              <w:jc w:val="center"/>
              <w:rPr>
                <w:color w:val="000000"/>
                <w:szCs w:val="21"/>
              </w:rPr>
            </w:pPr>
            <w:r>
              <w:rPr>
                <w:color w:val="000000"/>
                <w:szCs w:val="21"/>
              </w:rPr>
              <w:t>10.2.6</w:t>
            </w:r>
          </w:p>
          <w:p w14:paraId="25888833">
            <w:pPr>
              <w:jc w:val="center"/>
              <w:rPr>
                <w:color w:val="000000"/>
                <w:szCs w:val="21"/>
              </w:rPr>
            </w:pPr>
          </w:p>
        </w:tc>
        <w:tc>
          <w:tcPr>
            <w:tcW w:w="2725" w:type="dxa"/>
          </w:tcPr>
          <w:p w14:paraId="58874935">
            <w:pPr>
              <w:pStyle w:val="328"/>
              <w:numPr>
                <w:ilvl w:val="0"/>
                <w:numId w:val="0"/>
              </w:numPr>
              <w:rPr>
                <w:rFonts w:ascii="Times New Roman"/>
                <w:color w:val="000000"/>
              </w:rPr>
            </w:pPr>
            <w:r>
              <w:rPr>
                <w:rFonts w:ascii="Times New Roman"/>
                <w:color w:val="000000"/>
              </w:rPr>
              <w:t>本节所涉及的常压容器系指油气生产工艺/公用系统中在常压下使用的容器，包括: 原油、水处理、储存容器，公用系统储罐以及注水和采油中的处理和储存容器。</w:t>
            </w:r>
          </w:p>
        </w:tc>
        <w:tc>
          <w:tcPr>
            <w:tcW w:w="4401" w:type="dxa"/>
          </w:tcPr>
          <w:p w14:paraId="716E54FC">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7890FD7C">
            <w:pPr>
              <w:rPr>
                <w:color w:val="000000"/>
                <w:spacing w:val="13"/>
                <w:szCs w:val="21"/>
                <w:shd w:val="clear" w:color="auto" w:fill="FFFFFF"/>
              </w:rPr>
            </w:pPr>
            <w:r>
              <w:rPr>
                <w:color w:val="000000"/>
                <w:spacing w:val="13"/>
                <w:szCs w:val="21"/>
                <w:shd w:val="clear" w:color="auto" w:fill="FFFFFF"/>
              </w:rPr>
              <w:t>6.3.5 常压容器</w:t>
            </w:r>
          </w:p>
          <w:p w14:paraId="24E8145B">
            <w:pPr>
              <w:rPr>
                <w:color w:val="000000"/>
                <w:spacing w:val="13"/>
                <w:szCs w:val="21"/>
                <w:shd w:val="clear" w:color="auto" w:fill="FFFFFF"/>
              </w:rPr>
            </w:pPr>
            <w:r>
              <w:rPr>
                <w:color w:val="000000"/>
                <w:spacing w:val="13"/>
                <w:szCs w:val="21"/>
                <w:shd w:val="clear" w:color="auto" w:fill="FFFFFF"/>
              </w:rPr>
              <w:t>6.3.5.1 本节所涉及的常压容器系指油（气）生产工艺系统中在常压下使用的容器</w:t>
            </w:r>
            <w:r>
              <w:rPr>
                <w:rFonts w:hint="eastAsia"/>
                <w:color w:val="000000"/>
                <w:spacing w:val="13"/>
                <w:szCs w:val="21"/>
                <w:shd w:val="clear" w:color="auto" w:fill="FFFFFF"/>
              </w:rPr>
              <w:t>，</w:t>
            </w:r>
            <w:r>
              <w:rPr>
                <w:color w:val="000000"/>
                <w:spacing w:val="13"/>
                <w:szCs w:val="21"/>
                <w:shd w:val="clear" w:color="auto" w:fill="FFFFFF"/>
              </w:rPr>
              <w:t>包括: 原油、油层水处理、储存容器以及注水和机械采油中的处理和储存容器。</w:t>
            </w:r>
          </w:p>
        </w:tc>
      </w:tr>
      <w:tr w14:paraId="66B7C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55CD3A53">
            <w:pPr>
              <w:numPr>
                <w:ilvl w:val="0"/>
                <w:numId w:val="132"/>
              </w:numPr>
              <w:jc w:val="center"/>
              <w:rPr>
                <w:color w:val="000000"/>
                <w:szCs w:val="21"/>
              </w:rPr>
            </w:pPr>
          </w:p>
        </w:tc>
        <w:tc>
          <w:tcPr>
            <w:tcW w:w="1172" w:type="dxa"/>
          </w:tcPr>
          <w:p w14:paraId="61D776FC">
            <w:pPr>
              <w:jc w:val="center"/>
              <w:rPr>
                <w:color w:val="000000"/>
                <w:szCs w:val="21"/>
              </w:rPr>
            </w:pPr>
            <w:r>
              <w:rPr>
                <w:color w:val="000000"/>
                <w:szCs w:val="21"/>
              </w:rPr>
              <w:t>10.2.6.1</w:t>
            </w:r>
          </w:p>
          <w:p w14:paraId="5F30DE35">
            <w:pPr>
              <w:jc w:val="center"/>
              <w:rPr>
                <w:color w:val="000000"/>
                <w:szCs w:val="21"/>
              </w:rPr>
            </w:pPr>
            <w:r>
              <w:rPr>
                <w:color w:val="000000"/>
                <w:szCs w:val="21"/>
              </w:rPr>
              <w:t>10.2.6.1.1</w:t>
            </w:r>
          </w:p>
          <w:p w14:paraId="218A3AF1">
            <w:pPr>
              <w:jc w:val="center"/>
              <w:rPr>
                <w:color w:val="000000"/>
                <w:szCs w:val="21"/>
              </w:rPr>
            </w:pPr>
          </w:p>
          <w:p w14:paraId="2E1F73B5">
            <w:pPr>
              <w:jc w:val="center"/>
              <w:rPr>
                <w:color w:val="000000"/>
                <w:szCs w:val="21"/>
              </w:rPr>
            </w:pPr>
          </w:p>
          <w:p w14:paraId="5C7B077B">
            <w:pPr>
              <w:jc w:val="center"/>
              <w:rPr>
                <w:color w:val="000000"/>
                <w:szCs w:val="21"/>
              </w:rPr>
            </w:pPr>
          </w:p>
          <w:p w14:paraId="4DF79C99">
            <w:pPr>
              <w:jc w:val="center"/>
              <w:rPr>
                <w:color w:val="000000"/>
                <w:szCs w:val="21"/>
              </w:rPr>
            </w:pPr>
            <w:r>
              <w:rPr>
                <w:color w:val="000000"/>
                <w:szCs w:val="21"/>
              </w:rPr>
              <w:t>10.2.6.1.2</w:t>
            </w:r>
          </w:p>
          <w:p w14:paraId="2B30ACAC">
            <w:pPr>
              <w:jc w:val="center"/>
              <w:rPr>
                <w:color w:val="000000"/>
                <w:szCs w:val="21"/>
              </w:rPr>
            </w:pPr>
          </w:p>
          <w:p w14:paraId="31724532">
            <w:pPr>
              <w:jc w:val="center"/>
              <w:rPr>
                <w:color w:val="000000"/>
                <w:szCs w:val="21"/>
              </w:rPr>
            </w:pPr>
          </w:p>
          <w:p w14:paraId="3698ECD5">
            <w:pPr>
              <w:jc w:val="center"/>
              <w:rPr>
                <w:color w:val="000000"/>
                <w:szCs w:val="21"/>
              </w:rPr>
            </w:pPr>
          </w:p>
          <w:p w14:paraId="4E4578B4">
            <w:pPr>
              <w:jc w:val="center"/>
              <w:rPr>
                <w:color w:val="000000"/>
                <w:szCs w:val="21"/>
              </w:rPr>
            </w:pPr>
          </w:p>
          <w:p w14:paraId="161E6599">
            <w:pPr>
              <w:jc w:val="center"/>
              <w:rPr>
                <w:color w:val="000000"/>
                <w:szCs w:val="21"/>
              </w:rPr>
            </w:pPr>
          </w:p>
          <w:p w14:paraId="0CB5804C">
            <w:pPr>
              <w:jc w:val="center"/>
              <w:rPr>
                <w:color w:val="000000"/>
                <w:szCs w:val="21"/>
              </w:rPr>
            </w:pPr>
            <w:r>
              <w:rPr>
                <w:color w:val="000000"/>
                <w:szCs w:val="21"/>
              </w:rPr>
              <w:t>10.2.6.1.3</w:t>
            </w:r>
          </w:p>
          <w:p w14:paraId="238AAD52">
            <w:pPr>
              <w:jc w:val="center"/>
              <w:rPr>
                <w:color w:val="000000"/>
                <w:szCs w:val="21"/>
              </w:rPr>
            </w:pPr>
          </w:p>
          <w:p w14:paraId="097E0EB3">
            <w:pPr>
              <w:jc w:val="center"/>
              <w:rPr>
                <w:color w:val="000000"/>
                <w:szCs w:val="21"/>
              </w:rPr>
            </w:pPr>
          </w:p>
          <w:p w14:paraId="32C2EA7A">
            <w:pPr>
              <w:jc w:val="center"/>
              <w:rPr>
                <w:color w:val="000000"/>
                <w:szCs w:val="21"/>
              </w:rPr>
            </w:pPr>
            <w:r>
              <w:rPr>
                <w:color w:val="000000"/>
                <w:szCs w:val="21"/>
              </w:rPr>
              <w:t>10.2.6.1.4</w:t>
            </w:r>
          </w:p>
          <w:p w14:paraId="0DF41F8B">
            <w:pPr>
              <w:jc w:val="center"/>
              <w:rPr>
                <w:color w:val="000000"/>
                <w:szCs w:val="21"/>
              </w:rPr>
            </w:pPr>
          </w:p>
          <w:p w14:paraId="7E5AB362">
            <w:pPr>
              <w:jc w:val="center"/>
              <w:rPr>
                <w:color w:val="000000"/>
                <w:szCs w:val="21"/>
              </w:rPr>
            </w:pPr>
          </w:p>
          <w:p w14:paraId="2B18091A">
            <w:pPr>
              <w:jc w:val="center"/>
              <w:rPr>
                <w:color w:val="000000"/>
                <w:szCs w:val="21"/>
              </w:rPr>
            </w:pPr>
            <w:r>
              <w:rPr>
                <w:color w:val="000000"/>
                <w:szCs w:val="21"/>
              </w:rPr>
              <w:t>10.2.6.1.5</w:t>
            </w:r>
          </w:p>
          <w:p w14:paraId="0188829E">
            <w:pPr>
              <w:jc w:val="center"/>
              <w:rPr>
                <w:color w:val="000000"/>
                <w:szCs w:val="21"/>
              </w:rPr>
            </w:pPr>
          </w:p>
          <w:p w14:paraId="2A3F6E20">
            <w:pPr>
              <w:jc w:val="center"/>
              <w:rPr>
                <w:color w:val="000000"/>
                <w:szCs w:val="21"/>
              </w:rPr>
            </w:pPr>
            <w:r>
              <w:rPr>
                <w:color w:val="000000"/>
                <w:szCs w:val="21"/>
              </w:rPr>
              <w:t>10.2.6.1.6</w:t>
            </w:r>
          </w:p>
          <w:p w14:paraId="7DF953DA">
            <w:pPr>
              <w:jc w:val="center"/>
              <w:rPr>
                <w:color w:val="000000"/>
                <w:szCs w:val="21"/>
              </w:rPr>
            </w:pPr>
          </w:p>
          <w:p w14:paraId="2E854E57">
            <w:pPr>
              <w:jc w:val="center"/>
              <w:rPr>
                <w:color w:val="000000"/>
                <w:szCs w:val="21"/>
              </w:rPr>
            </w:pPr>
          </w:p>
        </w:tc>
        <w:tc>
          <w:tcPr>
            <w:tcW w:w="2725" w:type="dxa"/>
          </w:tcPr>
          <w:p w14:paraId="2EF59E95">
            <w:pPr>
              <w:pStyle w:val="328"/>
              <w:numPr>
                <w:ilvl w:val="0"/>
                <w:numId w:val="0"/>
              </w:numPr>
              <w:rPr>
                <w:rFonts w:ascii="Times New Roman"/>
                <w:color w:val="000000"/>
              </w:rPr>
            </w:pPr>
            <w:r>
              <w:rPr>
                <w:rFonts w:ascii="Times New Roman"/>
                <w:color w:val="000000"/>
              </w:rPr>
              <w:t>压力安全保护</w:t>
            </w:r>
          </w:p>
          <w:p w14:paraId="7250470E">
            <w:pPr>
              <w:pStyle w:val="328"/>
              <w:numPr>
                <w:ilvl w:val="0"/>
                <w:numId w:val="0"/>
              </w:numPr>
              <w:rPr>
                <w:rFonts w:ascii="Times New Roman"/>
                <w:color w:val="000000"/>
              </w:rPr>
            </w:pPr>
            <w:r>
              <w:rPr>
                <w:rFonts w:ascii="Times New Roman"/>
                <w:color w:val="000000"/>
              </w:rPr>
              <w:t>常压容器应由两个适当尺寸的放空系统（一级）和压力真空泄放阀PVRV（二级）保护，以防止超压和负压。</w:t>
            </w:r>
          </w:p>
          <w:p w14:paraId="17D0F530">
            <w:pPr>
              <w:pStyle w:val="328"/>
              <w:numPr>
                <w:ilvl w:val="0"/>
                <w:numId w:val="0"/>
              </w:numPr>
              <w:rPr>
                <w:rFonts w:ascii="Times New Roman"/>
                <w:color w:val="000000"/>
              </w:rPr>
            </w:pPr>
            <w:r>
              <w:rPr>
                <w:rFonts w:ascii="Times New Roman"/>
                <w:color w:val="000000"/>
              </w:rPr>
              <w:t>有压力源的常压容器上可设压力真空泄放阀（PVRV）或第二个放空系统作为二级保护来保护该容器，以防止气体补给系统的控制装置产生污垢而堵塞流体流动。</w:t>
            </w:r>
          </w:p>
          <w:p w14:paraId="3192ED9F">
            <w:pPr>
              <w:pStyle w:val="328"/>
              <w:numPr>
                <w:ilvl w:val="0"/>
                <w:numId w:val="0"/>
              </w:numPr>
              <w:rPr>
                <w:rFonts w:ascii="Times New Roman"/>
                <w:color w:val="000000"/>
              </w:rPr>
            </w:pPr>
            <w:r>
              <w:rPr>
                <w:rFonts w:ascii="Times New Roman"/>
                <w:color w:val="000000"/>
              </w:rPr>
              <w:t>没有压力源管道的常压容器可不设压力真空泄放阀（</w:t>
            </w:r>
            <w:r>
              <w:rPr>
                <w:rFonts w:ascii="Times New Roman"/>
              </w:rPr>
              <w:t>PVRV）</w:t>
            </w:r>
            <w:r>
              <w:rPr>
                <w:rFonts w:ascii="Times New Roman"/>
                <w:color w:val="000000"/>
              </w:rPr>
              <w:t>。</w:t>
            </w:r>
          </w:p>
          <w:p w14:paraId="1C51D47A">
            <w:pPr>
              <w:pStyle w:val="328"/>
              <w:numPr>
                <w:ilvl w:val="0"/>
                <w:numId w:val="0"/>
              </w:numPr>
              <w:rPr>
                <w:rFonts w:ascii="Times New Roman"/>
                <w:color w:val="000000"/>
              </w:rPr>
            </w:pPr>
            <w:r>
              <w:rPr>
                <w:rFonts w:ascii="Times New Roman"/>
                <w:color w:val="000000"/>
              </w:rPr>
              <w:t>用于常压作业的压力容器可不设压力真空泄放阀（</w:t>
            </w:r>
            <w:r>
              <w:rPr>
                <w:rFonts w:ascii="Times New Roman"/>
              </w:rPr>
              <w:t>PVRV）</w:t>
            </w:r>
            <w:r>
              <w:rPr>
                <w:rFonts w:ascii="Times New Roman"/>
                <w:color w:val="000000"/>
              </w:rPr>
              <w:t>。</w:t>
            </w:r>
          </w:p>
          <w:p w14:paraId="1AF3D8C6">
            <w:pPr>
              <w:pStyle w:val="328"/>
              <w:numPr>
                <w:ilvl w:val="0"/>
                <w:numId w:val="0"/>
              </w:numPr>
              <w:rPr>
                <w:rFonts w:ascii="Times New Roman"/>
                <w:color w:val="000000"/>
              </w:rPr>
            </w:pPr>
            <w:r>
              <w:rPr>
                <w:rFonts w:ascii="Times New Roman"/>
                <w:color w:val="000000"/>
              </w:rPr>
              <w:t>储存含有烃类的常压容器放空系统应设阻火器。</w:t>
            </w:r>
          </w:p>
          <w:p w14:paraId="3EC3A161">
            <w:pPr>
              <w:pStyle w:val="328"/>
              <w:numPr>
                <w:ilvl w:val="0"/>
                <w:numId w:val="0"/>
              </w:numPr>
              <w:rPr>
                <w:rFonts w:ascii="Times New Roman"/>
                <w:color w:val="000000"/>
              </w:rPr>
            </w:pPr>
            <w:r>
              <w:rPr>
                <w:rFonts w:ascii="Times New Roman"/>
                <w:color w:val="000000"/>
              </w:rPr>
              <w:t>储存原油的常压容器应设有气体补给系统。</w:t>
            </w:r>
          </w:p>
        </w:tc>
        <w:tc>
          <w:tcPr>
            <w:tcW w:w="4401" w:type="dxa"/>
          </w:tcPr>
          <w:p w14:paraId="309A17F3">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4A4FB25D">
            <w:pPr>
              <w:rPr>
                <w:color w:val="000000"/>
                <w:spacing w:val="13"/>
                <w:szCs w:val="21"/>
                <w:shd w:val="clear" w:color="auto" w:fill="FFFFFF"/>
              </w:rPr>
            </w:pPr>
            <w:r>
              <w:rPr>
                <w:color w:val="000000"/>
                <w:spacing w:val="13"/>
                <w:szCs w:val="21"/>
                <w:shd w:val="clear" w:color="auto" w:fill="FFFFFF"/>
              </w:rPr>
              <w:t>6.3.5.2 压力安全保护</w:t>
            </w:r>
          </w:p>
          <w:p w14:paraId="7C5D22EF">
            <w:pPr>
              <w:rPr>
                <w:color w:val="000000"/>
                <w:spacing w:val="13"/>
                <w:szCs w:val="21"/>
                <w:shd w:val="clear" w:color="auto" w:fill="FFFFFF"/>
              </w:rPr>
            </w:pPr>
            <w:r>
              <w:rPr>
                <w:color w:val="000000"/>
                <w:spacing w:val="13"/>
                <w:szCs w:val="21"/>
                <w:shd w:val="clear" w:color="auto" w:fill="FFFFFF"/>
              </w:rPr>
              <w:t>常压容器应采用适当尺寸的放空系统和压力真空释放装置</w:t>
            </w:r>
            <w:r>
              <w:rPr>
                <w:rFonts w:hint="eastAsia"/>
                <w:color w:val="000000"/>
                <w:spacing w:val="13"/>
                <w:szCs w:val="21"/>
                <w:shd w:val="clear" w:color="auto" w:fill="FFFFFF"/>
              </w:rPr>
              <w:t>，</w:t>
            </w:r>
            <w:r>
              <w:rPr>
                <w:color w:val="000000"/>
                <w:spacing w:val="13"/>
                <w:szCs w:val="21"/>
                <w:shd w:val="clear" w:color="auto" w:fill="FFFFFF"/>
              </w:rPr>
              <w:t>以防止超压和负压。储存含有碳氢化合物的常压容器放空系统应设阻火器。用于常压作业的压力容器及没有压力源管线的常压容器可不设PSV或放空管线。储存原油的常压容器应设有气体补给系统。</w:t>
            </w:r>
          </w:p>
          <w:p w14:paraId="01198D0A">
            <w:pPr>
              <w:rPr>
                <w:rFonts w:hint="eastAsia" w:eastAsia="宋体"/>
                <w:color w:val="000000"/>
                <w:spacing w:val="13"/>
                <w:szCs w:val="21"/>
                <w:shd w:val="clear" w:color="auto" w:fill="FFFFFF"/>
                <w:lang w:eastAsia="zh-CN"/>
              </w:rPr>
            </w:pPr>
            <w:r>
              <w:rPr>
                <w:color w:val="000000"/>
                <w:spacing w:val="13"/>
                <w:szCs w:val="21"/>
                <w:shd w:val="clear" w:color="auto" w:fill="FFFFFF"/>
              </w:rPr>
              <w:t>2.SY/T 10033-2002《海上生产平台基本上部设施安全系统的分析设计安装和测试的推荐做法》b.常压容器的安全分析检查单(SAC)见C表A5.2</w:t>
            </w:r>
            <w:r>
              <w:rPr>
                <w:rFonts w:hint="eastAsia"/>
                <w:color w:val="000000"/>
                <w:spacing w:val="13"/>
                <w:szCs w:val="21"/>
                <w:shd w:val="clear" w:color="auto" w:fill="FFFFFF"/>
                <w:lang w:eastAsia="zh-CN"/>
              </w:rPr>
              <w:t>，</w:t>
            </w:r>
          </w:p>
          <w:p w14:paraId="1B669B5B">
            <w:pPr>
              <w:rPr>
                <w:color w:val="000000"/>
                <w:spacing w:val="13"/>
                <w:szCs w:val="21"/>
                <w:shd w:val="clear" w:color="auto" w:fill="FFFFFF"/>
              </w:rPr>
            </w:pPr>
            <w:r>
              <w:rPr>
                <w:color w:val="000000"/>
                <w:spacing w:val="13"/>
                <w:szCs w:val="21"/>
                <w:shd w:val="clear" w:color="auto" w:fill="FFFFFF"/>
              </w:rPr>
              <w:t>(1)压力安全装置(排气口和PSV)。常压容器应由合适尺寸的做空系统来保护，以防止过压和负压。APl Standard2000可用来作为计算放空系统尺寸的指南。在放空系统中应安装阻火器以防止火焰回到容器中。在常压容器上应安装真空压力释放装置(PSV)或第二级放空系统来保护该容器，以防止第一级放空系统的控制装置产生污垢而堵塞流体流动。</w:t>
            </w:r>
          </w:p>
          <w:p w14:paraId="254EB0B2">
            <w:pPr>
              <w:rPr>
                <w:color w:val="000000"/>
                <w:spacing w:val="13"/>
                <w:szCs w:val="21"/>
                <w:shd w:val="clear" w:color="auto" w:fill="FFFFFF"/>
              </w:rPr>
            </w:pPr>
            <w:r>
              <w:rPr>
                <w:color w:val="000000"/>
                <w:spacing w:val="13"/>
                <w:szCs w:val="21"/>
                <w:shd w:val="clear" w:color="auto" w:fill="FFFFFF"/>
              </w:rPr>
              <w:t>在下列情况下，不需要PSV或第二级放空系统：1)用于常压操作场合不可能发生挤毁的压力容器：(2)常压容器没有管线与压力源相接（填充气管线除外）。填充气系统可用来驱除常压容器中的空气。</w:t>
            </w:r>
          </w:p>
        </w:tc>
      </w:tr>
      <w:tr w14:paraId="341DE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757B9EC5">
            <w:pPr>
              <w:numPr>
                <w:ilvl w:val="0"/>
                <w:numId w:val="132"/>
              </w:numPr>
              <w:jc w:val="center"/>
              <w:rPr>
                <w:color w:val="000000"/>
                <w:szCs w:val="21"/>
              </w:rPr>
            </w:pPr>
          </w:p>
        </w:tc>
        <w:tc>
          <w:tcPr>
            <w:tcW w:w="1172" w:type="dxa"/>
          </w:tcPr>
          <w:p w14:paraId="00473844">
            <w:pPr>
              <w:jc w:val="center"/>
              <w:rPr>
                <w:color w:val="000000"/>
                <w:szCs w:val="21"/>
              </w:rPr>
            </w:pPr>
            <w:r>
              <w:rPr>
                <w:color w:val="000000"/>
                <w:szCs w:val="21"/>
              </w:rPr>
              <w:t>10.2.6.2</w:t>
            </w:r>
          </w:p>
          <w:p w14:paraId="41D89F3A">
            <w:pPr>
              <w:jc w:val="center"/>
              <w:rPr>
                <w:color w:val="000000"/>
                <w:szCs w:val="21"/>
              </w:rPr>
            </w:pPr>
            <w:r>
              <w:rPr>
                <w:color w:val="000000"/>
                <w:szCs w:val="21"/>
              </w:rPr>
              <w:t>10.2.6.2.1</w:t>
            </w:r>
          </w:p>
          <w:p w14:paraId="6A1825BA">
            <w:pPr>
              <w:jc w:val="center"/>
              <w:rPr>
                <w:color w:val="000000"/>
                <w:szCs w:val="21"/>
              </w:rPr>
            </w:pPr>
          </w:p>
          <w:p w14:paraId="52F80E6F">
            <w:pPr>
              <w:jc w:val="center"/>
              <w:rPr>
                <w:color w:val="000000"/>
                <w:szCs w:val="21"/>
              </w:rPr>
            </w:pPr>
          </w:p>
          <w:p w14:paraId="56A7E863">
            <w:pPr>
              <w:jc w:val="center"/>
              <w:rPr>
                <w:color w:val="000000"/>
                <w:szCs w:val="21"/>
              </w:rPr>
            </w:pPr>
          </w:p>
          <w:p w14:paraId="59FE94D9">
            <w:pPr>
              <w:jc w:val="center"/>
              <w:rPr>
                <w:color w:val="000000"/>
                <w:szCs w:val="21"/>
              </w:rPr>
            </w:pPr>
            <w:r>
              <w:rPr>
                <w:color w:val="000000"/>
                <w:szCs w:val="21"/>
              </w:rPr>
              <w:t>10.2.6.2.2</w:t>
            </w:r>
          </w:p>
          <w:p w14:paraId="6484FB2D">
            <w:pPr>
              <w:jc w:val="center"/>
              <w:rPr>
                <w:color w:val="000000"/>
                <w:szCs w:val="21"/>
              </w:rPr>
            </w:pPr>
          </w:p>
          <w:p w14:paraId="6A387AB8">
            <w:pPr>
              <w:jc w:val="center"/>
              <w:rPr>
                <w:color w:val="000000"/>
                <w:szCs w:val="21"/>
              </w:rPr>
            </w:pPr>
          </w:p>
          <w:p w14:paraId="28B50787">
            <w:pPr>
              <w:jc w:val="center"/>
              <w:rPr>
                <w:color w:val="000000"/>
                <w:szCs w:val="21"/>
              </w:rPr>
            </w:pPr>
          </w:p>
          <w:p w14:paraId="2F56E5CE">
            <w:pPr>
              <w:rPr>
                <w:color w:val="000000"/>
                <w:szCs w:val="21"/>
              </w:rPr>
            </w:pPr>
            <w:r>
              <w:rPr>
                <w:color w:val="000000"/>
                <w:szCs w:val="21"/>
              </w:rPr>
              <w:t>10.2.6.2.3</w:t>
            </w:r>
          </w:p>
          <w:p w14:paraId="126C70E3">
            <w:pPr>
              <w:rPr>
                <w:color w:val="000000"/>
                <w:szCs w:val="21"/>
              </w:rPr>
            </w:pPr>
          </w:p>
          <w:p w14:paraId="74903DC9">
            <w:pPr>
              <w:rPr>
                <w:color w:val="000000"/>
                <w:szCs w:val="21"/>
              </w:rPr>
            </w:pPr>
          </w:p>
          <w:p w14:paraId="28299FB3">
            <w:pPr>
              <w:rPr>
                <w:color w:val="000000"/>
                <w:szCs w:val="21"/>
              </w:rPr>
            </w:pPr>
            <w:r>
              <w:rPr>
                <w:color w:val="000000"/>
                <w:szCs w:val="21"/>
              </w:rPr>
              <w:t>10.2.6.2.4</w:t>
            </w:r>
          </w:p>
          <w:p w14:paraId="1809D39C">
            <w:pPr>
              <w:jc w:val="center"/>
              <w:rPr>
                <w:color w:val="000000"/>
                <w:szCs w:val="21"/>
              </w:rPr>
            </w:pPr>
          </w:p>
        </w:tc>
        <w:tc>
          <w:tcPr>
            <w:tcW w:w="2725" w:type="dxa"/>
          </w:tcPr>
          <w:p w14:paraId="234AB0B9">
            <w:pPr>
              <w:pStyle w:val="328"/>
              <w:numPr>
                <w:ilvl w:val="0"/>
                <w:numId w:val="0"/>
              </w:numPr>
              <w:rPr>
                <w:rFonts w:ascii="Times New Roman"/>
                <w:color w:val="000000"/>
              </w:rPr>
            </w:pPr>
            <w:r>
              <w:rPr>
                <w:rFonts w:ascii="Times New Roman"/>
                <w:color w:val="000000"/>
              </w:rPr>
              <w:t>液位安全保护</w:t>
            </w:r>
          </w:p>
          <w:p w14:paraId="7343CB4D">
            <w:pPr>
              <w:pStyle w:val="328"/>
              <w:numPr>
                <w:ilvl w:val="0"/>
                <w:numId w:val="0"/>
              </w:numPr>
              <w:rPr>
                <w:rFonts w:ascii="Times New Roman"/>
                <w:color w:val="000000"/>
              </w:rPr>
            </w:pPr>
            <w:r>
              <w:rPr>
                <w:rFonts w:ascii="Times New Roman"/>
                <w:color w:val="000000"/>
              </w:rPr>
              <w:t>除非在灌注作业时有人监视或者能溢流到其它工艺设备，常压容器应设</w:t>
            </w:r>
            <w:r>
              <w:rPr>
                <w:rFonts w:ascii="Times New Roman"/>
              </w:rPr>
              <w:t>高液位传感器（LSH）</w:t>
            </w:r>
            <w:r>
              <w:rPr>
                <w:rFonts w:ascii="Times New Roman"/>
                <w:color w:val="000000"/>
              </w:rPr>
              <w:t>以切断流入。</w:t>
            </w:r>
          </w:p>
          <w:p w14:paraId="3406FAD8">
            <w:pPr>
              <w:pStyle w:val="328"/>
              <w:numPr>
                <w:ilvl w:val="0"/>
                <w:numId w:val="0"/>
              </w:numPr>
              <w:rPr>
                <w:rFonts w:ascii="Times New Roman"/>
                <w:color w:val="000000"/>
              </w:rPr>
            </w:pPr>
            <w:r>
              <w:rPr>
                <w:rFonts w:ascii="Times New Roman"/>
                <w:color w:val="000000"/>
              </w:rPr>
              <w:t>若容器中装有承受超温的浸没式加热元件，应安装</w:t>
            </w:r>
            <w:r>
              <w:rPr>
                <w:rFonts w:ascii="Times New Roman"/>
              </w:rPr>
              <w:t>低液位传感器（LSL）</w:t>
            </w:r>
            <w:r>
              <w:rPr>
                <w:rFonts w:ascii="Times New Roman"/>
                <w:color w:val="000000"/>
              </w:rPr>
              <w:t>，以便切断热源。</w:t>
            </w:r>
          </w:p>
          <w:p w14:paraId="5F419B1F">
            <w:pPr>
              <w:pStyle w:val="328"/>
              <w:numPr>
                <w:ilvl w:val="0"/>
                <w:numId w:val="0"/>
              </w:numPr>
              <w:rPr>
                <w:rFonts w:ascii="Times New Roman"/>
                <w:color w:val="000000"/>
              </w:rPr>
            </w:pPr>
            <w:r>
              <w:rPr>
                <w:rFonts w:ascii="Times New Roman"/>
                <w:color w:val="000000"/>
              </w:rPr>
              <w:t>常压容器液位过低时，应设</w:t>
            </w:r>
            <w:r>
              <w:rPr>
                <w:rFonts w:ascii="Times New Roman"/>
              </w:rPr>
              <w:t>低液位传感器（LSL）</w:t>
            </w:r>
            <w:r>
              <w:rPr>
                <w:rFonts w:ascii="Times New Roman"/>
                <w:color w:val="000000"/>
              </w:rPr>
              <w:t>，以切断输入源和出口。</w:t>
            </w:r>
          </w:p>
          <w:p w14:paraId="05FA82B2">
            <w:pPr>
              <w:pStyle w:val="328"/>
              <w:numPr>
                <w:ilvl w:val="0"/>
                <w:numId w:val="0"/>
              </w:numPr>
              <w:rPr>
                <w:rFonts w:ascii="Times New Roman"/>
                <w:color w:val="000000"/>
              </w:rPr>
            </w:pPr>
            <w:r>
              <w:rPr>
                <w:rFonts w:ascii="Times New Roman"/>
                <w:color w:val="000000"/>
              </w:rPr>
              <w:t>若常压容器是泄漏收集和排放系统的最终容器，且用来排放到安全的地方，可不设</w:t>
            </w:r>
            <w:r>
              <w:rPr>
                <w:rFonts w:ascii="Times New Roman"/>
              </w:rPr>
              <w:t>低液位传感器（LSL）</w:t>
            </w:r>
            <w:r>
              <w:rPr>
                <w:rFonts w:ascii="Times New Roman"/>
                <w:color w:val="000000"/>
              </w:rPr>
              <w:t>。</w:t>
            </w:r>
          </w:p>
          <w:p w14:paraId="3E9177D4">
            <w:pPr>
              <w:pStyle w:val="328"/>
              <w:numPr>
                <w:ilvl w:val="0"/>
                <w:numId w:val="0"/>
              </w:numPr>
              <w:rPr>
                <w:rFonts w:ascii="Times New Roman"/>
                <w:color w:val="000000"/>
              </w:rPr>
            </w:pPr>
          </w:p>
        </w:tc>
        <w:tc>
          <w:tcPr>
            <w:tcW w:w="4401" w:type="dxa"/>
          </w:tcPr>
          <w:p w14:paraId="605568B8">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6FC5B2B8">
            <w:pPr>
              <w:rPr>
                <w:color w:val="000000"/>
                <w:spacing w:val="13"/>
                <w:szCs w:val="21"/>
                <w:shd w:val="clear" w:color="auto" w:fill="FFFFFF"/>
              </w:rPr>
            </w:pPr>
            <w:r>
              <w:rPr>
                <w:color w:val="000000"/>
                <w:spacing w:val="13"/>
                <w:szCs w:val="21"/>
                <w:shd w:val="clear" w:color="auto" w:fill="FFFFFF"/>
              </w:rPr>
              <w:t>6.3.5.3 液位安全保护</w:t>
            </w:r>
          </w:p>
          <w:p w14:paraId="20555D97">
            <w:pPr>
              <w:rPr>
                <w:color w:val="000000"/>
                <w:spacing w:val="13"/>
                <w:szCs w:val="21"/>
                <w:shd w:val="clear" w:color="auto" w:fill="FFFFFF"/>
              </w:rPr>
            </w:pPr>
            <w:r>
              <w:rPr>
                <w:color w:val="000000"/>
                <w:spacing w:val="13"/>
                <w:szCs w:val="21"/>
                <w:shd w:val="clear" w:color="auto" w:fill="FFFFFF"/>
              </w:rPr>
              <w:t>除非在灌注作业时有人监视或者能溢流到其它工艺设备</w:t>
            </w:r>
            <w:r>
              <w:rPr>
                <w:rFonts w:hint="eastAsia"/>
                <w:color w:val="000000"/>
                <w:spacing w:val="13"/>
                <w:szCs w:val="21"/>
                <w:shd w:val="clear" w:color="auto" w:fill="FFFFFF"/>
              </w:rPr>
              <w:t>，</w:t>
            </w:r>
            <w:r>
              <w:rPr>
                <w:color w:val="000000"/>
                <w:spacing w:val="13"/>
                <w:szCs w:val="21"/>
                <w:shd w:val="clear" w:color="auto" w:fill="FFFFFF"/>
              </w:rPr>
              <w:t>常压容器应设LSH传感器切断流入。在发生泄漏时常压容器LSL传感器切断流入</w:t>
            </w:r>
            <w:r>
              <w:rPr>
                <w:rFonts w:hint="eastAsia"/>
                <w:color w:val="000000"/>
                <w:spacing w:val="13"/>
                <w:szCs w:val="21"/>
                <w:shd w:val="clear" w:color="auto" w:fill="FFFFFF"/>
              </w:rPr>
              <w:t>，</w:t>
            </w:r>
            <w:r>
              <w:rPr>
                <w:color w:val="000000"/>
                <w:spacing w:val="13"/>
                <w:szCs w:val="21"/>
                <w:shd w:val="clear" w:color="auto" w:fill="FFFFFF"/>
              </w:rPr>
              <w:t>除非是容器中的液位不是自动控制。</w:t>
            </w:r>
          </w:p>
          <w:p w14:paraId="0B9A64E4">
            <w:pPr>
              <w:rPr>
                <w:color w:val="000000"/>
                <w:spacing w:val="13"/>
                <w:szCs w:val="21"/>
                <w:shd w:val="clear" w:color="auto" w:fill="FFFFFF"/>
              </w:rPr>
            </w:pPr>
            <w:r>
              <w:rPr>
                <w:color w:val="000000"/>
                <w:spacing w:val="13"/>
                <w:szCs w:val="21"/>
                <w:shd w:val="clear" w:color="auto" w:fill="FFFFFF"/>
              </w:rPr>
              <w:t>2.SY/T 10033-2002《海上生产平台基本上部设施安全系统的分析设计安装和测试的推荐做法》A5.2安全分析。</w:t>
            </w:r>
          </w:p>
          <w:p w14:paraId="14EE6904">
            <w:r>
              <w:rPr>
                <w:color w:val="000000"/>
                <w:spacing w:val="13"/>
                <w:szCs w:val="21"/>
                <w:shd w:val="clear" w:color="auto" w:fill="FFFFFF"/>
              </w:rPr>
              <w:t>(2)液位安全装置(LSH和LSL)。常压容器应由LSH传感器提供保护，以切断进口流体以防止液体溢流。但有装作人员连续监测的灌装作业或溢流可输入其它工艺设备的容器除外。如果容中装有承受超温的浸没式加热元件，应安装LSL传感器，以便切断热源。应由LSL传感器切断进口流体以防上泄漏，除非是容器中的液位不是自动维持。当液体的正常输入</w:t>
            </w:r>
          </w:p>
          <w:p w14:paraId="05910DED">
            <w:pPr>
              <w:rPr>
                <w:color w:val="000000"/>
                <w:spacing w:val="13"/>
                <w:szCs w:val="21"/>
                <w:shd w:val="clear" w:color="auto" w:fill="FFFFFF"/>
              </w:rPr>
            </w:pPr>
            <w:r>
              <w:rPr>
                <w:color w:val="000000"/>
                <w:spacing w:val="13"/>
                <w:szCs w:val="21"/>
                <w:shd w:val="clear" w:color="auto" w:fill="FFFFFF"/>
              </w:rPr>
              <w:t>可能妨碍传感器的准漏检离时，使用泄漏物收集和排放系统收集泄漏液体比低液位传感器好。</w:t>
            </w:r>
          </w:p>
        </w:tc>
      </w:tr>
      <w:tr w14:paraId="5B038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2F932A7A">
            <w:pPr>
              <w:numPr>
                <w:ilvl w:val="0"/>
                <w:numId w:val="132"/>
              </w:numPr>
              <w:jc w:val="center"/>
              <w:rPr>
                <w:color w:val="000000"/>
                <w:szCs w:val="21"/>
              </w:rPr>
            </w:pPr>
          </w:p>
        </w:tc>
        <w:tc>
          <w:tcPr>
            <w:tcW w:w="1172" w:type="dxa"/>
          </w:tcPr>
          <w:p w14:paraId="29FA188A">
            <w:pPr>
              <w:jc w:val="center"/>
              <w:rPr>
                <w:color w:val="000000"/>
                <w:szCs w:val="21"/>
              </w:rPr>
            </w:pPr>
            <w:r>
              <w:rPr>
                <w:color w:val="000000"/>
                <w:szCs w:val="21"/>
              </w:rPr>
              <w:t>10.2.6.3</w:t>
            </w:r>
          </w:p>
          <w:p w14:paraId="364A8893">
            <w:pPr>
              <w:jc w:val="center"/>
              <w:rPr>
                <w:color w:val="000000"/>
                <w:szCs w:val="21"/>
              </w:rPr>
            </w:pPr>
          </w:p>
        </w:tc>
        <w:tc>
          <w:tcPr>
            <w:tcW w:w="2725" w:type="dxa"/>
          </w:tcPr>
          <w:p w14:paraId="77F126D5">
            <w:pPr>
              <w:pStyle w:val="328"/>
              <w:numPr>
                <w:ilvl w:val="0"/>
                <w:numId w:val="0"/>
              </w:numPr>
              <w:rPr>
                <w:rFonts w:ascii="Times New Roman"/>
                <w:color w:val="000000"/>
              </w:rPr>
            </w:pPr>
            <w:r>
              <w:rPr>
                <w:rFonts w:ascii="Times New Roman"/>
                <w:color w:val="000000"/>
              </w:rPr>
              <w:t>若常压容器中液体需加热，则应设</w:t>
            </w:r>
            <w:r>
              <w:rPr>
                <w:rFonts w:ascii="Times New Roman"/>
              </w:rPr>
              <w:t>高温传感器（TSH）</w:t>
            </w:r>
            <w:r>
              <w:rPr>
                <w:rFonts w:ascii="Times New Roman"/>
                <w:color w:val="000000"/>
              </w:rPr>
              <w:t>以便当工艺流体过热时切断热源。</w:t>
            </w:r>
          </w:p>
        </w:tc>
        <w:tc>
          <w:tcPr>
            <w:tcW w:w="4401" w:type="dxa"/>
          </w:tcPr>
          <w:p w14:paraId="53152FF6">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2D0922BF">
            <w:pPr>
              <w:rPr>
                <w:color w:val="000000"/>
                <w:spacing w:val="13"/>
                <w:szCs w:val="21"/>
                <w:shd w:val="clear" w:color="auto" w:fill="FFFFFF"/>
              </w:rPr>
            </w:pPr>
            <w:r>
              <w:rPr>
                <w:color w:val="000000"/>
                <w:spacing w:val="13"/>
                <w:szCs w:val="21"/>
                <w:shd w:val="clear" w:color="auto" w:fill="FFFFFF"/>
              </w:rPr>
              <w:t>6.3.5.4 温度安全保护</w:t>
            </w:r>
          </w:p>
          <w:p w14:paraId="7BE9FE55">
            <w:pPr>
              <w:rPr>
                <w:color w:val="000000"/>
                <w:spacing w:val="13"/>
                <w:szCs w:val="21"/>
                <w:shd w:val="clear" w:color="auto" w:fill="FFFFFF"/>
              </w:rPr>
            </w:pPr>
            <w:r>
              <w:rPr>
                <w:color w:val="000000"/>
                <w:spacing w:val="13"/>
                <w:szCs w:val="21"/>
                <w:shd w:val="clear" w:color="auto" w:fill="FFFFFF"/>
              </w:rPr>
              <w:t>如常压容器中液体需加热</w:t>
            </w:r>
            <w:r>
              <w:rPr>
                <w:rFonts w:hint="eastAsia"/>
                <w:color w:val="000000"/>
                <w:spacing w:val="13"/>
                <w:szCs w:val="21"/>
                <w:shd w:val="clear" w:color="auto" w:fill="FFFFFF"/>
              </w:rPr>
              <w:t>，</w:t>
            </w:r>
            <w:r>
              <w:rPr>
                <w:color w:val="000000"/>
                <w:spacing w:val="13"/>
                <w:szCs w:val="21"/>
                <w:shd w:val="clear" w:color="auto" w:fill="FFFFFF"/>
              </w:rPr>
              <w:t>则应设TSH以便当工艺流体过热时切断热源。</w:t>
            </w:r>
          </w:p>
          <w:p w14:paraId="255FED07">
            <w:pPr>
              <w:rPr>
                <w:color w:val="000000"/>
                <w:spacing w:val="13"/>
                <w:szCs w:val="21"/>
                <w:shd w:val="clear" w:color="auto" w:fill="FFFFFF"/>
              </w:rPr>
            </w:pPr>
            <w:r>
              <w:rPr>
                <w:color w:val="000000"/>
                <w:spacing w:val="13"/>
                <w:szCs w:val="21"/>
                <w:shd w:val="clear" w:color="auto" w:fill="FFFFFF"/>
              </w:rPr>
              <w:t>2.SY/T 10033-2002《海上生产平台基本上部设施安全系统的分析设计安装和测试的推荐做法》A5.2 安全分析。</w:t>
            </w:r>
          </w:p>
          <w:p w14:paraId="48365559">
            <w:pPr>
              <w:rPr>
                <w:color w:val="000000"/>
                <w:spacing w:val="13"/>
                <w:szCs w:val="21"/>
                <w:shd w:val="clear" w:color="auto" w:fill="FFFFFF"/>
              </w:rPr>
            </w:pPr>
            <w:r>
              <w:rPr>
                <w:color w:val="000000"/>
                <w:spacing w:val="13"/>
                <w:szCs w:val="21"/>
                <w:shd w:val="clear" w:color="auto" w:fill="FFFFFF"/>
              </w:rPr>
              <w:t>(3)温度安全装置（TSH）。如果常压容器需要加热，应安装TSH传感器当工艺流体超温时它可切断热源。</w:t>
            </w:r>
          </w:p>
        </w:tc>
      </w:tr>
      <w:tr w14:paraId="3C115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52558CED">
            <w:pPr>
              <w:numPr>
                <w:ilvl w:val="0"/>
                <w:numId w:val="132"/>
              </w:numPr>
              <w:jc w:val="center"/>
              <w:rPr>
                <w:color w:val="000000"/>
                <w:szCs w:val="21"/>
              </w:rPr>
            </w:pPr>
          </w:p>
        </w:tc>
        <w:tc>
          <w:tcPr>
            <w:tcW w:w="1172" w:type="dxa"/>
          </w:tcPr>
          <w:p w14:paraId="104540F3">
            <w:pPr>
              <w:jc w:val="center"/>
              <w:rPr>
                <w:color w:val="000000"/>
                <w:szCs w:val="21"/>
              </w:rPr>
            </w:pPr>
            <w:r>
              <w:rPr>
                <w:color w:val="000000"/>
                <w:szCs w:val="21"/>
              </w:rPr>
              <w:t>10.2.7.1</w:t>
            </w:r>
          </w:p>
          <w:p w14:paraId="41FE570F">
            <w:pPr>
              <w:jc w:val="center"/>
              <w:rPr>
                <w:color w:val="000000"/>
                <w:szCs w:val="21"/>
              </w:rPr>
            </w:pPr>
            <w:r>
              <w:rPr>
                <w:color w:val="000000"/>
                <w:szCs w:val="21"/>
              </w:rPr>
              <w:t>10.2.7.1.1</w:t>
            </w:r>
          </w:p>
          <w:p w14:paraId="46F472D7">
            <w:pPr>
              <w:jc w:val="center"/>
              <w:rPr>
                <w:color w:val="000000"/>
                <w:szCs w:val="21"/>
              </w:rPr>
            </w:pPr>
          </w:p>
          <w:p w14:paraId="26AFCDCF">
            <w:pPr>
              <w:jc w:val="center"/>
              <w:rPr>
                <w:color w:val="000000"/>
                <w:szCs w:val="21"/>
              </w:rPr>
            </w:pPr>
          </w:p>
          <w:p w14:paraId="7FAA17A4">
            <w:pPr>
              <w:jc w:val="center"/>
              <w:rPr>
                <w:color w:val="000000"/>
                <w:szCs w:val="21"/>
              </w:rPr>
            </w:pPr>
          </w:p>
          <w:p w14:paraId="470D7805">
            <w:pPr>
              <w:jc w:val="center"/>
              <w:rPr>
                <w:color w:val="000000"/>
                <w:szCs w:val="21"/>
              </w:rPr>
            </w:pPr>
          </w:p>
          <w:p w14:paraId="026A4988">
            <w:pPr>
              <w:jc w:val="center"/>
              <w:rPr>
                <w:color w:val="000000"/>
                <w:szCs w:val="21"/>
              </w:rPr>
            </w:pPr>
            <w:r>
              <w:rPr>
                <w:color w:val="000000"/>
                <w:szCs w:val="21"/>
              </w:rPr>
              <w:t>10.2.7.1.2</w:t>
            </w:r>
          </w:p>
          <w:p w14:paraId="52EF3550">
            <w:pPr>
              <w:jc w:val="center"/>
              <w:rPr>
                <w:color w:val="000000"/>
                <w:szCs w:val="21"/>
              </w:rPr>
            </w:pPr>
          </w:p>
          <w:p w14:paraId="1D6175EE">
            <w:pPr>
              <w:jc w:val="center"/>
              <w:rPr>
                <w:color w:val="000000"/>
                <w:szCs w:val="21"/>
              </w:rPr>
            </w:pPr>
          </w:p>
          <w:p w14:paraId="2230BA7B">
            <w:pPr>
              <w:jc w:val="center"/>
              <w:rPr>
                <w:color w:val="000000"/>
                <w:szCs w:val="21"/>
              </w:rPr>
            </w:pPr>
            <w:r>
              <w:rPr>
                <w:color w:val="000000"/>
                <w:szCs w:val="21"/>
              </w:rPr>
              <w:t>10.2.7.1.3</w:t>
            </w:r>
          </w:p>
          <w:p w14:paraId="0038DD34">
            <w:pPr>
              <w:jc w:val="center"/>
              <w:rPr>
                <w:color w:val="000000"/>
                <w:szCs w:val="21"/>
              </w:rPr>
            </w:pPr>
          </w:p>
          <w:p w14:paraId="5BB38C42">
            <w:pPr>
              <w:jc w:val="center"/>
              <w:rPr>
                <w:color w:val="000000"/>
                <w:szCs w:val="21"/>
              </w:rPr>
            </w:pPr>
          </w:p>
          <w:p w14:paraId="3B4FBB8A">
            <w:pPr>
              <w:jc w:val="center"/>
              <w:rPr>
                <w:color w:val="000000"/>
                <w:szCs w:val="21"/>
              </w:rPr>
            </w:pPr>
          </w:p>
          <w:p w14:paraId="2CCBB0B2">
            <w:pPr>
              <w:jc w:val="center"/>
              <w:rPr>
                <w:color w:val="000000"/>
                <w:szCs w:val="21"/>
              </w:rPr>
            </w:pPr>
          </w:p>
          <w:p w14:paraId="42EB9A2E">
            <w:pPr>
              <w:jc w:val="center"/>
              <w:rPr>
                <w:color w:val="000000"/>
                <w:szCs w:val="21"/>
              </w:rPr>
            </w:pPr>
          </w:p>
          <w:p w14:paraId="05225AA6">
            <w:pPr>
              <w:jc w:val="center"/>
              <w:rPr>
                <w:color w:val="000000"/>
                <w:szCs w:val="21"/>
              </w:rPr>
            </w:pPr>
            <w:r>
              <w:rPr>
                <w:color w:val="000000"/>
                <w:szCs w:val="21"/>
              </w:rPr>
              <w:t>10.2.7.1.4</w:t>
            </w:r>
          </w:p>
          <w:p w14:paraId="65C8ADA6">
            <w:pPr>
              <w:jc w:val="center"/>
              <w:rPr>
                <w:color w:val="000000"/>
                <w:szCs w:val="21"/>
              </w:rPr>
            </w:pPr>
          </w:p>
          <w:p w14:paraId="06EDDCFB">
            <w:pPr>
              <w:jc w:val="center"/>
              <w:rPr>
                <w:color w:val="000000"/>
                <w:szCs w:val="21"/>
              </w:rPr>
            </w:pPr>
          </w:p>
          <w:p w14:paraId="190BED26">
            <w:pPr>
              <w:jc w:val="center"/>
              <w:rPr>
                <w:color w:val="000000"/>
                <w:szCs w:val="21"/>
              </w:rPr>
            </w:pPr>
          </w:p>
          <w:p w14:paraId="2C6D97EF">
            <w:pPr>
              <w:jc w:val="center"/>
              <w:rPr>
                <w:color w:val="000000"/>
                <w:szCs w:val="21"/>
              </w:rPr>
            </w:pPr>
          </w:p>
          <w:p w14:paraId="1FADAE7E">
            <w:pPr>
              <w:jc w:val="center"/>
              <w:rPr>
                <w:color w:val="000000"/>
                <w:szCs w:val="21"/>
              </w:rPr>
            </w:pPr>
          </w:p>
          <w:p w14:paraId="024D51C9">
            <w:pPr>
              <w:jc w:val="center"/>
              <w:rPr>
                <w:color w:val="000000"/>
                <w:szCs w:val="21"/>
              </w:rPr>
            </w:pPr>
          </w:p>
          <w:p w14:paraId="1E868CCF">
            <w:pPr>
              <w:jc w:val="center"/>
              <w:rPr>
                <w:color w:val="000000"/>
                <w:szCs w:val="21"/>
              </w:rPr>
            </w:pPr>
          </w:p>
          <w:p w14:paraId="13B26F38">
            <w:pPr>
              <w:jc w:val="center"/>
              <w:rPr>
                <w:color w:val="000000"/>
                <w:szCs w:val="21"/>
              </w:rPr>
            </w:pPr>
          </w:p>
          <w:p w14:paraId="4A6C9695">
            <w:pPr>
              <w:jc w:val="center"/>
              <w:rPr>
                <w:color w:val="000000"/>
                <w:szCs w:val="21"/>
              </w:rPr>
            </w:pPr>
            <w:r>
              <w:rPr>
                <w:color w:val="000000"/>
                <w:szCs w:val="21"/>
              </w:rPr>
              <w:t>10.2.7.1.5</w:t>
            </w:r>
          </w:p>
          <w:p w14:paraId="53E26957">
            <w:pPr>
              <w:jc w:val="center"/>
              <w:rPr>
                <w:color w:val="000000"/>
                <w:szCs w:val="21"/>
              </w:rPr>
            </w:pPr>
          </w:p>
          <w:p w14:paraId="7DEA7974">
            <w:pPr>
              <w:jc w:val="center"/>
              <w:rPr>
                <w:color w:val="000000"/>
                <w:szCs w:val="21"/>
              </w:rPr>
            </w:pPr>
          </w:p>
          <w:p w14:paraId="10314BE1">
            <w:pPr>
              <w:jc w:val="center"/>
              <w:rPr>
                <w:color w:val="000000"/>
                <w:szCs w:val="21"/>
              </w:rPr>
            </w:pPr>
          </w:p>
          <w:p w14:paraId="33D07C18">
            <w:pPr>
              <w:rPr>
                <w:color w:val="000000"/>
                <w:szCs w:val="21"/>
              </w:rPr>
            </w:pPr>
          </w:p>
          <w:p w14:paraId="0F0904A6">
            <w:pPr>
              <w:jc w:val="center"/>
              <w:rPr>
                <w:color w:val="000000"/>
                <w:szCs w:val="21"/>
              </w:rPr>
            </w:pPr>
          </w:p>
        </w:tc>
        <w:tc>
          <w:tcPr>
            <w:tcW w:w="2725" w:type="dxa"/>
          </w:tcPr>
          <w:p w14:paraId="3CB53B41">
            <w:pPr>
              <w:pStyle w:val="328"/>
              <w:numPr>
                <w:ilvl w:val="0"/>
                <w:numId w:val="0"/>
              </w:numPr>
              <w:rPr>
                <w:rFonts w:ascii="Times New Roman"/>
                <w:color w:val="000000"/>
              </w:rPr>
            </w:pPr>
            <w:r>
              <w:rPr>
                <w:rFonts w:ascii="Times New Roman"/>
                <w:color w:val="000000"/>
              </w:rPr>
              <w:t>温度安全保护</w:t>
            </w:r>
          </w:p>
          <w:p w14:paraId="0C7E3C79">
            <w:pPr>
              <w:pStyle w:val="328"/>
              <w:numPr>
                <w:ilvl w:val="0"/>
                <w:numId w:val="0"/>
              </w:numPr>
              <w:rPr>
                <w:rFonts w:ascii="Times New Roman"/>
                <w:color w:val="000000"/>
              </w:rPr>
            </w:pPr>
            <w:r>
              <w:rPr>
                <w:rFonts w:ascii="Times New Roman"/>
                <w:color w:val="000000"/>
              </w:rPr>
              <w:t>受火设备中的介质或工艺流体应由</w:t>
            </w:r>
            <w:r>
              <w:rPr>
                <w:rFonts w:ascii="Times New Roman"/>
              </w:rPr>
              <w:t>高温传感器（TSH）</w:t>
            </w:r>
            <w:r>
              <w:rPr>
                <w:rFonts w:ascii="Times New Roman"/>
                <w:color w:val="000000"/>
              </w:rPr>
              <w:t>监控其温度</w:t>
            </w:r>
            <w:r>
              <w:rPr>
                <w:rFonts w:hint="eastAsia" w:ascii="Times New Roman"/>
                <w:color w:val="000000"/>
              </w:rPr>
              <w:t>，</w:t>
            </w:r>
            <w:r>
              <w:rPr>
                <w:rFonts w:ascii="Times New Roman"/>
                <w:color w:val="000000"/>
              </w:rPr>
              <w:t>以便在必要时切断燃料供应和可燃介质输入源。</w:t>
            </w:r>
          </w:p>
          <w:p w14:paraId="54E913F6">
            <w:pPr>
              <w:pStyle w:val="328"/>
              <w:numPr>
                <w:ilvl w:val="0"/>
                <w:numId w:val="0"/>
              </w:numPr>
              <w:rPr>
                <w:rFonts w:ascii="Times New Roman"/>
                <w:color w:val="000000"/>
              </w:rPr>
            </w:pPr>
            <w:r>
              <w:rPr>
                <w:rFonts w:ascii="Times New Roman"/>
                <w:color w:val="000000"/>
              </w:rPr>
              <w:t>废热回收设备应设</w:t>
            </w:r>
            <w:r>
              <w:rPr>
                <w:rFonts w:ascii="Times New Roman"/>
              </w:rPr>
              <w:t>高温传感器（TSH）</w:t>
            </w:r>
            <w:r>
              <w:rPr>
                <w:rFonts w:hint="eastAsia" w:ascii="Times New Roman"/>
                <w:color w:val="000000"/>
              </w:rPr>
              <w:t>，</w:t>
            </w:r>
            <w:r>
              <w:rPr>
                <w:rFonts w:ascii="Times New Roman"/>
                <w:color w:val="000000"/>
              </w:rPr>
              <w:t>以便在必要时将废热载体分流或切断。</w:t>
            </w:r>
          </w:p>
          <w:p w14:paraId="75E0C181">
            <w:pPr>
              <w:pStyle w:val="328"/>
              <w:numPr>
                <w:ilvl w:val="0"/>
                <w:numId w:val="0"/>
              </w:numPr>
              <w:rPr>
                <w:rFonts w:ascii="Times New Roman"/>
                <w:color w:val="000000"/>
              </w:rPr>
            </w:pPr>
            <w:r>
              <w:rPr>
                <w:rFonts w:ascii="Times New Roman"/>
                <w:color w:val="000000"/>
              </w:rPr>
              <w:t>对于常压操作的间接水浴加热器，通常不需要设置</w:t>
            </w:r>
            <w:r>
              <w:rPr>
                <w:rFonts w:ascii="Times New Roman"/>
              </w:rPr>
              <w:t>高温传感器（TSH）</w:t>
            </w:r>
            <w:r>
              <w:rPr>
                <w:rFonts w:ascii="Times New Roman"/>
                <w:color w:val="000000"/>
              </w:rPr>
              <w:t>来监测介质或工艺流体的温度，因为水浴水的沸点限制了介质的最高温度。</w:t>
            </w:r>
          </w:p>
          <w:p w14:paraId="3B96E946">
            <w:pPr>
              <w:pStyle w:val="328"/>
              <w:numPr>
                <w:ilvl w:val="0"/>
                <w:numId w:val="0"/>
              </w:numPr>
              <w:rPr>
                <w:rFonts w:ascii="Times New Roman"/>
                <w:color w:val="000000"/>
              </w:rPr>
            </w:pPr>
            <w:r>
              <w:rPr>
                <w:rFonts w:ascii="Times New Roman"/>
                <w:color w:val="000000"/>
              </w:rPr>
              <w:t>若介质是在封闭的传热系统中，如燃烧室或废热室的盘管中流动，则在燃烧室或废热室冷却之前不应停止介质的流动。如发生火灾或介质从封闭系统中逸出</w:t>
            </w:r>
            <w:r>
              <w:rPr>
                <w:rFonts w:hint="eastAsia" w:ascii="Times New Roman"/>
                <w:color w:val="000000"/>
              </w:rPr>
              <w:t>，</w:t>
            </w:r>
            <w:r>
              <w:rPr>
                <w:rFonts w:ascii="Times New Roman"/>
              </w:rPr>
              <w:t>紧急关断系统（ESD）或设备上的火气系统（FGS）应切断输入源</w:t>
            </w:r>
            <w:r>
              <w:rPr>
                <w:rFonts w:ascii="Times New Roman"/>
                <w:color w:val="000000"/>
              </w:rPr>
              <w:t>应切断介质流入。</w:t>
            </w:r>
          </w:p>
          <w:p w14:paraId="5EE8943B">
            <w:pPr>
              <w:pStyle w:val="328"/>
              <w:numPr>
                <w:ilvl w:val="0"/>
                <w:numId w:val="0"/>
              </w:numPr>
              <w:rPr>
                <w:rFonts w:ascii="Times New Roman"/>
                <w:color w:val="000000"/>
              </w:rPr>
            </w:pPr>
            <w:r>
              <w:rPr>
                <w:rFonts w:ascii="Times New Roman"/>
              </w:rPr>
              <w:t>排烟道应用高温传感器（TSH）监控其温度</w:t>
            </w:r>
            <w:r>
              <w:rPr>
                <w:rFonts w:hint="eastAsia" w:ascii="Times New Roman"/>
              </w:rPr>
              <w:t>，</w:t>
            </w:r>
            <w:r>
              <w:rPr>
                <w:rFonts w:ascii="Times New Roman"/>
              </w:rPr>
              <w:t>必要时切断设备的燃料供应及可燃介质输入源。废热回收烟道的高温传感器（TSH）应在必要时切断废热源及可燃介质输入源。如果受火设备位于不处理可燃介质的安全隔离区，则不需要设高温传感器（TSH）</w:t>
            </w:r>
            <w:r>
              <w:rPr>
                <w:rFonts w:ascii="Times New Roman"/>
                <w:color w:val="000000"/>
              </w:rPr>
              <w:t>。</w:t>
            </w:r>
          </w:p>
        </w:tc>
        <w:tc>
          <w:tcPr>
            <w:tcW w:w="4401" w:type="dxa"/>
          </w:tcPr>
          <w:p w14:paraId="7BC6AE81">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265973A9">
            <w:pPr>
              <w:rPr>
                <w:color w:val="000000"/>
                <w:spacing w:val="13"/>
                <w:szCs w:val="21"/>
                <w:shd w:val="clear" w:color="auto" w:fill="FFFFFF"/>
              </w:rPr>
            </w:pPr>
            <w:r>
              <w:rPr>
                <w:color w:val="000000"/>
                <w:spacing w:val="13"/>
                <w:szCs w:val="21"/>
                <w:shd w:val="clear" w:color="auto" w:fill="FFFFFF"/>
              </w:rPr>
              <w:t>6.3.6 有火设备和废热回收设备</w:t>
            </w:r>
          </w:p>
          <w:p w14:paraId="13A5683E">
            <w:pPr>
              <w:rPr>
                <w:color w:val="000000"/>
                <w:spacing w:val="13"/>
                <w:szCs w:val="21"/>
                <w:shd w:val="clear" w:color="auto" w:fill="FFFFFF"/>
              </w:rPr>
            </w:pPr>
            <w:r>
              <w:rPr>
                <w:color w:val="000000"/>
                <w:spacing w:val="13"/>
                <w:szCs w:val="21"/>
                <w:shd w:val="clear" w:color="auto" w:fill="FFFFFF"/>
              </w:rPr>
              <w:t>6.3.6.1 温度安全保护</w:t>
            </w:r>
          </w:p>
          <w:p w14:paraId="1CD7F8A0">
            <w:pPr>
              <w:rPr>
                <w:color w:val="000000"/>
                <w:spacing w:val="13"/>
                <w:szCs w:val="21"/>
                <w:shd w:val="clear" w:color="auto" w:fill="FFFFFF"/>
              </w:rPr>
            </w:pPr>
            <w:r>
              <w:rPr>
                <w:color w:val="000000"/>
                <w:spacing w:val="13"/>
                <w:szCs w:val="21"/>
                <w:shd w:val="clear" w:color="auto" w:fill="FFFFFF"/>
              </w:rPr>
              <w:t>a) 有火设备中的介质或工艺流体应用TSH监控其温度</w:t>
            </w:r>
            <w:r>
              <w:rPr>
                <w:rFonts w:hint="eastAsia"/>
                <w:color w:val="000000"/>
                <w:spacing w:val="13"/>
                <w:szCs w:val="21"/>
                <w:shd w:val="clear" w:color="auto" w:fill="FFFFFF"/>
              </w:rPr>
              <w:t>，</w:t>
            </w:r>
            <w:r>
              <w:rPr>
                <w:color w:val="000000"/>
                <w:spacing w:val="13"/>
                <w:szCs w:val="21"/>
                <w:shd w:val="clear" w:color="auto" w:fill="FFFFFF"/>
              </w:rPr>
              <w:t>以便在必要时切断燃料供应和可燃流体流入。废热回收设备应设TSH</w:t>
            </w:r>
            <w:r>
              <w:rPr>
                <w:rFonts w:hint="eastAsia"/>
                <w:color w:val="000000"/>
                <w:spacing w:val="13"/>
                <w:szCs w:val="21"/>
                <w:shd w:val="clear" w:color="auto" w:fill="FFFFFF"/>
              </w:rPr>
              <w:t>，</w:t>
            </w:r>
            <w:r>
              <w:rPr>
                <w:color w:val="000000"/>
                <w:spacing w:val="13"/>
                <w:szCs w:val="21"/>
                <w:shd w:val="clear" w:color="auto" w:fill="FFFFFF"/>
              </w:rPr>
              <w:t>以便在必要时将废热载体分流或切断。</w:t>
            </w:r>
          </w:p>
          <w:p w14:paraId="658886AC">
            <w:pPr>
              <w:rPr>
                <w:color w:val="000000"/>
                <w:spacing w:val="13"/>
                <w:szCs w:val="21"/>
                <w:shd w:val="clear" w:color="auto" w:fill="FFFFFF"/>
              </w:rPr>
            </w:pPr>
            <w:r>
              <w:rPr>
                <w:color w:val="000000"/>
                <w:spacing w:val="13"/>
                <w:szCs w:val="21"/>
                <w:shd w:val="clear" w:color="auto" w:fill="FFFFFF"/>
              </w:rPr>
              <w:t>b) 若介质是在燃烧室或废热室的管子中流动</w:t>
            </w:r>
            <w:r>
              <w:rPr>
                <w:rFonts w:hint="eastAsia"/>
                <w:color w:val="000000"/>
                <w:spacing w:val="13"/>
                <w:szCs w:val="21"/>
                <w:shd w:val="clear" w:color="auto" w:fill="FFFFFF"/>
              </w:rPr>
              <w:t>，</w:t>
            </w:r>
            <w:r>
              <w:rPr>
                <w:color w:val="000000"/>
                <w:spacing w:val="13"/>
                <w:szCs w:val="21"/>
                <w:shd w:val="clear" w:color="auto" w:fill="FFFFFF"/>
              </w:rPr>
              <w:t>则在燃烧室或废热室冷却之前不应停止介质的流动。如发生火灾或介质从管子中逸出</w:t>
            </w:r>
            <w:r>
              <w:rPr>
                <w:rFonts w:hint="eastAsia"/>
                <w:color w:val="000000"/>
                <w:spacing w:val="13"/>
                <w:szCs w:val="21"/>
                <w:shd w:val="clear" w:color="auto" w:fill="FFFFFF"/>
              </w:rPr>
              <w:t>，</w:t>
            </w:r>
            <w:r>
              <w:rPr>
                <w:color w:val="000000"/>
                <w:spacing w:val="13"/>
                <w:szCs w:val="21"/>
                <w:shd w:val="clear" w:color="auto" w:fill="FFFFFF"/>
              </w:rPr>
              <w:t>应急关断系统或设备上的火警回路应切断介质流入。</w:t>
            </w:r>
          </w:p>
          <w:p w14:paraId="5004B922">
            <w:pPr>
              <w:rPr>
                <w:color w:val="000000"/>
                <w:spacing w:val="13"/>
                <w:szCs w:val="21"/>
                <w:shd w:val="clear" w:color="auto" w:fill="FFFFFF"/>
              </w:rPr>
            </w:pPr>
            <w:r>
              <w:rPr>
                <w:color w:val="000000"/>
                <w:spacing w:val="13"/>
                <w:szCs w:val="21"/>
                <w:shd w:val="clear" w:color="auto" w:fill="FFFFFF"/>
              </w:rPr>
              <w:t>c) 排烟道应用TSH监控其温度</w:t>
            </w:r>
            <w:r>
              <w:rPr>
                <w:rFonts w:hint="eastAsia"/>
                <w:color w:val="000000"/>
                <w:spacing w:val="13"/>
                <w:szCs w:val="21"/>
                <w:shd w:val="clear" w:color="auto" w:fill="FFFFFF"/>
              </w:rPr>
              <w:t>，</w:t>
            </w:r>
            <w:r>
              <w:rPr>
                <w:color w:val="000000"/>
                <w:spacing w:val="13"/>
                <w:szCs w:val="21"/>
                <w:shd w:val="clear" w:color="auto" w:fill="FFFFFF"/>
              </w:rPr>
              <w:t>必要时切断设备的燃料供应及可燃介质的流入。废热回收烟道的TSH应在必要时切断废热源及可燃介质流动。</w:t>
            </w:r>
          </w:p>
          <w:p w14:paraId="216A5368">
            <w:pPr>
              <w:rPr>
                <w:color w:val="000000"/>
                <w:spacing w:val="13"/>
                <w:szCs w:val="21"/>
                <w:shd w:val="clear" w:color="auto" w:fill="FFFFFF"/>
              </w:rPr>
            </w:pPr>
            <w:r>
              <w:rPr>
                <w:color w:val="000000"/>
                <w:spacing w:val="13"/>
                <w:szCs w:val="21"/>
                <w:shd w:val="clear" w:color="auto" w:fill="FFFFFF"/>
              </w:rPr>
              <w:t>2.SY/T 10033-2000《海上生产平台基本上部设施安全系统的分析设计安装和测试的推荐做法》A6.2 安全分析。</w:t>
            </w:r>
          </w:p>
          <w:p w14:paraId="7425DB9D">
            <w:pPr>
              <w:rPr>
                <w:color w:val="000000"/>
                <w:spacing w:val="13"/>
                <w:szCs w:val="21"/>
                <w:shd w:val="clear" w:color="auto" w:fill="FFFFFF"/>
              </w:rPr>
            </w:pPr>
            <w:r>
              <w:rPr>
                <w:color w:val="000000"/>
                <w:spacing w:val="13"/>
                <w:szCs w:val="21"/>
                <w:shd w:val="clear" w:color="auto" w:fill="FFFFFF"/>
              </w:rPr>
              <w:t>(1)温度安全装置(TSH)</w:t>
            </w:r>
          </w:p>
          <w:p w14:paraId="3A605322">
            <w:pPr>
              <w:rPr>
                <w:color w:val="000000"/>
                <w:spacing w:val="13"/>
                <w:szCs w:val="21"/>
                <w:shd w:val="clear" w:color="auto" w:fill="FFFFFF"/>
              </w:rPr>
            </w:pPr>
            <w:r>
              <w:rPr>
                <w:color w:val="000000"/>
                <w:spacing w:val="13"/>
                <w:szCs w:val="21"/>
                <w:shd w:val="clear" w:color="auto" w:fill="FFFFFF"/>
              </w:rPr>
              <w:t>（a）受火设备中的介质或工艺流体温度应由TSH传感器来监测以切断燃料供应和可燃流体流人。如果设备使用烟道气加热，烟道气必须被分流或切断烟道气源。由PSH传感器和LSL传感器保护的蒸汽锅炉中不需要安装TSH传感器，因为PSH传感器可以检测由高温引起的高压，LSL传感器可以检测能引起高温的低液位状态。对于常压操作的间接水浴加热器，通</w:t>
            </w:r>
          </w:p>
          <w:p w14:paraId="3122A4C3">
            <w:pPr>
              <w:rPr>
                <w:color w:val="000000"/>
                <w:spacing w:val="13"/>
                <w:szCs w:val="21"/>
                <w:shd w:val="clear" w:color="auto" w:fill="FFFFFF"/>
              </w:rPr>
            </w:pPr>
            <w:r>
              <w:rPr>
                <w:color w:val="000000"/>
                <w:spacing w:val="13"/>
                <w:szCs w:val="21"/>
                <w:shd w:val="clear" w:color="auto" w:fill="FFFFFF"/>
              </w:rPr>
              <w:t>常不需要设置TSH传感器来监测介质或工艺流体的温度，因为水浴水的沸点限制了介质的最高温度。</w:t>
            </w:r>
          </w:p>
          <w:p w14:paraId="58529C80">
            <w:pPr>
              <w:rPr>
                <w:color w:val="000000"/>
                <w:spacing w:val="13"/>
                <w:szCs w:val="21"/>
                <w:shd w:val="clear" w:color="auto" w:fill="FFFFFF"/>
              </w:rPr>
            </w:pPr>
            <w:r>
              <w:rPr>
                <w:color w:val="000000"/>
                <w:spacing w:val="13"/>
                <w:szCs w:val="21"/>
                <w:shd w:val="clear" w:color="auto" w:fill="FFFFFF"/>
              </w:rPr>
              <w:t>（b）在封闭的传热系统中，可燃介质在位于燃烧室或烟道气加热室的盘管中循环，可燃介质的流动在燃烧室变冷前不能切断。如果在该区域发生了不能控制的火灾或介质从封闭系统中逸出，那么ESD系统和易熔塞回路应立即切断介质流动。</w:t>
            </w:r>
          </w:p>
          <w:p w14:paraId="0786710C">
            <w:pPr>
              <w:rPr>
                <w:color w:val="000000"/>
                <w:spacing w:val="13"/>
                <w:szCs w:val="21"/>
                <w:shd w:val="clear" w:color="auto" w:fill="FFFFFF"/>
              </w:rPr>
            </w:pPr>
            <w:r>
              <w:rPr>
                <w:color w:val="000000"/>
                <w:spacing w:val="13"/>
                <w:szCs w:val="21"/>
                <w:shd w:val="clear" w:color="auto" w:fill="FFFFFF"/>
              </w:rPr>
              <w:t>(c)燃烧器烟道气加热设备中的温度应由TSH传感器来监测以切断燃料供应和可燃介质的流入。烟道气加热设备烟道中的温度应由TSH传感器来监测以切断可燃介质的流入并切断烟道气源。如果受火设备位于除燃料外不处理可燃物的隔离区，则不需要TSH传感器。</w:t>
            </w:r>
          </w:p>
        </w:tc>
      </w:tr>
      <w:tr w14:paraId="56607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96" w:type="dxa"/>
          </w:tcPr>
          <w:p w14:paraId="34BED648">
            <w:pPr>
              <w:numPr>
                <w:ilvl w:val="0"/>
                <w:numId w:val="132"/>
              </w:numPr>
              <w:jc w:val="center"/>
              <w:rPr>
                <w:color w:val="000000"/>
                <w:szCs w:val="21"/>
              </w:rPr>
            </w:pPr>
          </w:p>
        </w:tc>
        <w:tc>
          <w:tcPr>
            <w:tcW w:w="1172" w:type="dxa"/>
          </w:tcPr>
          <w:p w14:paraId="590BBF3F">
            <w:pPr>
              <w:jc w:val="center"/>
              <w:rPr>
                <w:color w:val="000000"/>
                <w:szCs w:val="21"/>
              </w:rPr>
            </w:pPr>
            <w:r>
              <w:rPr>
                <w:color w:val="000000"/>
                <w:szCs w:val="21"/>
              </w:rPr>
              <w:t>10.2.7.3</w:t>
            </w:r>
          </w:p>
          <w:p w14:paraId="1AA77AC2">
            <w:pPr>
              <w:jc w:val="center"/>
              <w:rPr>
                <w:color w:val="000000"/>
                <w:szCs w:val="21"/>
              </w:rPr>
            </w:pPr>
            <w:r>
              <w:rPr>
                <w:color w:val="000000"/>
                <w:szCs w:val="21"/>
              </w:rPr>
              <w:t>10.2.7.3.1</w:t>
            </w:r>
          </w:p>
          <w:p w14:paraId="5ACB23D7">
            <w:pPr>
              <w:jc w:val="center"/>
              <w:rPr>
                <w:color w:val="000000"/>
                <w:szCs w:val="21"/>
              </w:rPr>
            </w:pPr>
          </w:p>
          <w:p w14:paraId="77B81D47">
            <w:pPr>
              <w:jc w:val="center"/>
              <w:rPr>
                <w:color w:val="000000"/>
                <w:szCs w:val="21"/>
              </w:rPr>
            </w:pPr>
          </w:p>
          <w:p w14:paraId="19B11464">
            <w:pPr>
              <w:jc w:val="center"/>
              <w:rPr>
                <w:color w:val="000000"/>
                <w:szCs w:val="21"/>
              </w:rPr>
            </w:pPr>
            <w:r>
              <w:rPr>
                <w:color w:val="000000"/>
                <w:szCs w:val="21"/>
              </w:rPr>
              <w:t>10.2.7.3.2</w:t>
            </w:r>
          </w:p>
          <w:p w14:paraId="5030C87C">
            <w:pPr>
              <w:jc w:val="center"/>
              <w:rPr>
                <w:color w:val="000000"/>
                <w:szCs w:val="21"/>
              </w:rPr>
            </w:pPr>
          </w:p>
          <w:p w14:paraId="3B471E09">
            <w:pPr>
              <w:jc w:val="center"/>
              <w:rPr>
                <w:color w:val="000000"/>
                <w:szCs w:val="21"/>
              </w:rPr>
            </w:pPr>
          </w:p>
          <w:p w14:paraId="7500C3B9">
            <w:pPr>
              <w:jc w:val="center"/>
              <w:rPr>
                <w:color w:val="000000"/>
                <w:szCs w:val="21"/>
              </w:rPr>
            </w:pPr>
          </w:p>
          <w:p w14:paraId="358ED917">
            <w:pPr>
              <w:jc w:val="center"/>
              <w:rPr>
                <w:color w:val="000000"/>
                <w:szCs w:val="21"/>
              </w:rPr>
            </w:pPr>
          </w:p>
          <w:p w14:paraId="266039C9">
            <w:pPr>
              <w:jc w:val="center"/>
              <w:rPr>
                <w:color w:val="000000"/>
                <w:szCs w:val="21"/>
              </w:rPr>
            </w:pPr>
            <w:r>
              <w:rPr>
                <w:color w:val="000000"/>
                <w:szCs w:val="21"/>
              </w:rPr>
              <w:t>10.2.7.3.3</w:t>
            </w:r>
          </w:p>
          <w:p w14:paraId="3B00D565">
            <w:pPr>
              <w:jc w:val="center"/>
              <w:rPr>
                <w:color w:val="000000"/>
                <w:szCs w:val="21"/>
              </w:rPr>
            </w:pPr>
          </w:p>
          <w:p w14:paraId="00E9B9D6">
            <w:pPr>
              <w:jc w:val="center"/>
              <w:rPr>
                <w:color w:val="000000"/>
                <w:szCs w:val="21"/>
              </w:rPr>
            </w:pPr>
          </w:p>
        </w:tc>
        <w:tc>
          <w:tcPr>
            <w:tcW w:w="2725" w:type="dxa"/>
          </w:tcPr>
          <w:p w14:paraId="0D22EB5F">
            <w:pPr>
              <w:pStyle w:val="328"/>
              <w:numPr>
                <w:ilvl w:val="0"/>
                <w:numId w:val="0"/>
              </w:numPr>
              <w:rPr>
                <w:rFonts w:ascii="Times New Roman"/>
                <w:color w:val="000000"/>
              </w:rPr>
            </w:pPr>
            <w:r>
              <w:rPr>
                <w:rFonts w:ascii="Times New Roman"/>
                <w:color w:val="000000"/>
              </w:rPr>
              <w:t>压力安全保护</w:t>
            </w:r>
          </w:p>
          <w:p w14:paraId="2298AE2D">
            <w:pPr>
              <w:pStyle w:val="328"/>
              <w:numPr>
                <w:ilvl w:val="0"/>
                <w:numId w:val="0"/>
              </w:numPr>
              <w:rPr>
                <w:rFonts w:ascii="Times New Roman"/>
                <w:color w:val="000000"/>
              </w:rPr>
            </w:pPr>
            <w:r>
              <w:rPr>
                <w:rFonts w:ascii="Times New Roman"/>
                <w:color w:val="000000"/>
              </w:rPr>
              <w:t>燃料供应管线的压力应用</w:t>
            </w:r>
            <w:r>
              <w:rPr>
                <w:rFonts w:ascii="Times New Roman"/>
              </w:rPr>
              <w:t>高压传感器（PSH）</w:t>
            </w:r>
            <w:r>
              <w:rPr>
                <w:rFonts w:ascii="Times New Roman"/>
                <w:color w:val="000000"/>
              </w:rPr>
              <w:t>监控以便在必要时切断燃料供应。</w:t>
            </w:r>
          </w:p>
          <w:p w14:paraId="7849364C">
            <w:pPr>
              <w:pStyle w:val="328"/>
              <w:numPr>
                <w:ilvl w:val="0"/>
                <w:numId w:val="0"/>
              </w:numPr>
              <w:rPr>
                <w:rFonts w:ascii="Times New Roman"/>
                <w:color w:val="000000"/>
              </w:rPr>
            </w:pPr>
            <w:r>
              <w:rPr>
                <w:rFonts w:ascii="Times New Roman"/>
                <w:color w:val="000000"/>
              </w:rPr>
              <w:t>若为强制送风的燃烧器</w:t>
            </w:r>
            <w:r>
              <w:rPr>
                <w:rFonts w:hint="eastAsia" w:ascii="Times New Roman"/>
                <w:color w:val="000000"/>
              </w:rPr>
              <w:t>，</w:t>
            </w:r>
            <w:r>
              <w:rPr>
                <w:rFonts w:ascii="Times New Roman"/>
                <w:color w:val="000000"/>
              </w:rPr>
              <w:t>其燃料供应管线上及燃烧器进风口应设</w:t>
            </w:r>
            <w:r>
              <w:rPr>
                <w:rFonts w:ascii="Times New Roman"/>
              </w:rPr>
              <w:t>低压传感器（PSL）</w:t>
            </w:r>
            <w:r>
              <w:rPr>
                <w:rFonts w:hint="eastAsia" w:ascii="Times New Roman"/>
                <w:color w:val="000000"/>
              </w:rPr>
              <w:t>，</w:t>
            </w:r>
            <w:r>
              <w:rPr>
                <w:rFonts w:ascii="Times New Roman"/>
                <w:color w:val="000000"/>
              </w:rPr>
              <w:t>以便在必要时切断燃料和空气供应。</w:t>
            </w:r>
          </w:p>
          <w:p w14:paraId="4B11CB65">
            <w:pPr>
              <w:pStyle w:val="328"/>
              <w:numPr>
                <w:ilvl w:val="0"/>
                <w:numId w:val="0"/>
              </w:numPr>
              <w:rPr>
                <w:rFonts w:ascii="Times New Roman"/>
                <w:color w:val="000000"/>
              </w:rPr>
            </w:pPr>
            <w:r>
              <w:rPr>
                <w:rFonts w:ascii="Times New Roman"/>
                <w:color w:val="000000"/>
              </w:rPr>
              <w:t>在管式加热器中</w:t>
            </w:r>
            <w:r>
              <w:rPr>
                <w:rFonts w:hint="eastAsia" w:ascii="Times New Roman"/>
                <w:color w:val="000000"/>
              </w:rPr>
              <w:t>，</w:t>
            </w:r>
            <w:r>
              <w:rPr>
                <w:rFonts w:ascii="Times New Roman"/>
                <w:color w:val="000000"/>
              </w:rPr>
              <w:t>为防止加热管中因被加热介质或工艺流体热膨胀而引起超压</w:t>
            </w:r>
            <w:r>
              <w:rPr>
                <w:rFonts w:hint="eastAsia" w:ascii="Times New Roman"/>
                <w:color w:val="000000"/>
              </w:rPr>
              <w:t>，</w:t>
            </w:r>
            <w:r>
              <w:rPr>
                <w:rFonts w:ascii="Times New Roman"/>
                <w:color w:val="000000"/>
              </w:rPr>
              <w:t>加热管上应设</w:t>
            </w:r>
            <w:r>
              <w:rPr>
                <w:rFonts w:ascii="Times New Roman"/>
              </w:rPr>
              <w:t>压力安全阀（PSV）</w:t>
            </w:r>
            <w:r>
              <w:rPr>
                <w:rFonts w:ascii="Times New Roman"/>
                <w:color w:val="000000"/>
              </w:rPr>
              <w:t>。</w:t>
            </w:r>
          </w:p>
        </w:tc>
        <w:tc>
          <w:tcPr>
            <w:tcW w:w="4401" w:type="dxa"/>
          </w:tcPr>
          <w:p w14:paraId="389ABD62">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2F5EC724">
            <w:pPr>
              <w:rPr>
                <w:color w:val="000000"/>
                <w:spacing w:val="13"/>
                <w:szCs w:val="21"/>
                <w:shd w:val="clear" w:color="auto" w:fill="FFFFFF"/>
              </w:rPr>
            </w:pPr>
            <w:r>
              <w:rPr>
                <w:color w:val="000000"/>
                <w:spacing w:val="13"/>
                <w:szCs w:val="21"/>
                <w:shd w:val="clear" w:color="auto" w:fill="FFFFFF"/>
              </w:rPr>
              <w:t>6.3.6.3 压力安全保护</w:t>
            </w:r>
          </w:p>
          <w:p w14:paraId="0A4C8F00">
            <w:pPr>
              <w:rPr>
                <w:color w:val="000000"/>
                <w:spacing w:val="13"/>
                <w:szCs w:val="21"/>
                <w:shd w:val="clear" w:color="auto" w:fill="FFFFFF"/>
              </w:rPr>
            </w:pPr>
            <w:r>
              <w:rPr>
                <w:color w:val="000000"/>
                <w:spacing w:val="13"/>
                <w:szCs w:val="21"/>
                <w:shd w:val="clear" w:color="auto" w:fill="FFFFFF"/>
              </w:rPr>
              <w:t>燃料供应管线的压力应用PSH监控以便在必要时切断燃料供应。若为强制送风的燃烧器</w:t>
            </w:r>
            <w:r>
              <w:rPr>
                <w:rFonts w:hint="eastAsia"/>
                <w:color w:val="000000"/>
                <w:spacing w:val="13"/>
                <w:szCs w:val="21"/>
                <w:shd w:val="clear" w:color="auto" w:fill="FFFFFF"/>
              </w:rPr>
              <w:t>，</w:t>
            </w:r>
            <w:r>
              <w:rPr>
                <w:color w:val="000000"/>
                <w:spacing w:val="13"/>
                <w:szCs w:val="21"/>
                <w:shd w:val="clear" w:color="auto" w:fill="FFFFFF"/>
              </w:rPr>
              <w:t>其燃料供应管线上及燃烧器进风口应设PSL</w:t>
            </w:r>
            <w:r>
              <w:rPr>
                <w:rFonts w:hint="eastAsia"/>
                <w:color w:val="000000"/>
                <w:spacing w:val="13"/>
                <w:szCs w:val="21"/>
                <w:shd w:val="clear" w:color="auto" w:fill="FFFFFF"/>
              </w:rPr>
              <w:t>，</w:t>
            </w:r>
            <w:r>
              <w:rPr>
                <w:color w:val="000000"/>
                <w:spacing w:val="13"/>
                <w:szCs w:val="21"/>
                <w:shd w:val="clear" w:color="auto" w:fill="FFFFFF"/>
              </w:rPr>
              <w:t>以便在必要时切断燃料和空气供应。在管式加热器中</w:t>
            </w:r>
            <w:r>
              <w:rPr>
                <w:rFonts w:hint="eastAsia"/>
                <w:color w:val="000000"/>
                <w:spacing w:val="13"/>
                <w:szCs w:val="21"/>
                <w:shd w:val="clear" w:color="auto" w:fill="FFFFFF"/>
              </w:rPr>
              <w:t>，</w:t>
            </w:r>
            <w:r>
              <w:rPr>
                <w:color w:val="000000"/>
                <w:spacing w:val="13"/>
                <w:szCs w:val="21"/>
                <w:shd w:val="clear" w:color="auto" w:fill="FFFFFF"/>
              </w:rPr>
              <w:t>为防止管中因被加热介质或工艺流体热膨胀而引起超压</w:t>
            </w:r>
            <w:r>
              <w:rPr>
                <w:rFonts w:hint="eastAsia"/>
                <w:color w:val="000000"/>
                <w:spacing w:val="13"/>
                <w:szCs w:val="21"/>
                <w:shd w:val="clear" w:color="auto" w:fill="FFFFFF"/>
              </w:rPr>
              <w:t>，</w:t>
            </w:r>
            <w:r>
              <w:rPr>
                <w:color w:val="000000"/>
                <w:spacing w:val="13"/>
                <w:szCs w:val="21"/>
                <w:shd w:val="clear" w:color="auto" w:fill="FFFFFF"/>
              </w:rPr>
              <w:t>管子上应设PSV。</w:t>
            </w:r>
          </w:p>
          <w:p w14:paraId="08A29A2C">
            <w:pPr>
              <w:rPr>
                <w:color w:val="000000"/>
                <w:spacing w:val="13"/>
                <w:szCs w:val="21"/>
                <w:shd w:val="clear" w:color="auto" w:fill="FFFFFF"/>
              </w:rPr>
            </w:pPr>
            <w:r>
              <w:rPr>
                <w:color w:val="000000"/>
                <w:spacing w:val="13"/>
                <w:szCs w:val="21"/>
                <w:shd w:val="clear" w:color="auto" w:fill="FFFFFF"/>
              </w:rPr>
              <w:t>2.SY/T 10033-2002《海上生产平台基本上部设施安全系统的分析设计安装和测试的推荐做法》A6.2 安全分析。</w:t>
            </w:r>
          </w:p>
          <w:p w14:paraId="4F6032F1">
            <w:pPr>
              <w:rPr>
                <w:color w:val="000000"/>
                <w:spacing w:val="13"/>
                <w:szCs w:val="21"/>
                <w:shd w:val="clear" w:color="auto" w:fill="FFFFFF"/>
              </w:rPr>
            </w:pPr>
            <w:r>
              <w:rPr>
                <w:color w:val="000000"/>
                <w:spacing w:val="13"/>
                <w:szCs w:val="21"/>
                <w:shd w:val="clear" w:color="auto" w:fill="FFFFFF"/>
              </w:rPr>
              <w:t>(3)压力安全装置(PSH、PSL和PSV)。燃料供应管线的压力应由SH传感器来监测以切断燃烧器的燃料供应。在强制通风燃烧器中，PSL传感器应安装在燃料供应管线上：强制通风燃烧器的进风压力也由PSL传感器来监测以切断燃料供应和进风。可以用风速装置代替PSL传感器监测进风状态。在自然通风燃烧器中不需要PSL传感器，因为进风压力较低。位于管式加热器或烟道气加热室中的流体盘管应由PSV来保护，以防止介质或工艺流体膨胀造成的过压。</w:t>
            </w:r>
          </w:p>
        </w:tc>
      </w:tr>
      <w:tr w14:paraId="2FDF9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96" w:type="dxa"/>
          </w:tcPr>
          <w:p w14:paraId="3BD44C98">
            <w:pPr>
              <w:numPr>
                <w:ilvl w:val="0"/>
                <w:numId w:val="132"/>
              </w:numPr>
              <w:jc w:val="center"/>
              <w:rPr>
                <w:color w:val="000000"/>
                <w:szCs w:val="21"/>
              </w:rPr>
            </w:pPr>
          </w:p>
        </w:tc>
        <w:tc>
          <w:tcPr>
            <w:tcW w:w="1172" w:type="dxa"/>
          </w:tcPr>
          <w:p w14:paraId="41043261">
            <w:pPr>
              <w:jc w:val="center"/>
              <w:rPr>
                <w:color w:val="000000"/>
                <w:szCs w:val="21"/>
              </w:rPr>
            </w:pPr>
            <w:r>
              <w:rPr>
                <w:color w:val="000000"/>
                <w:szCs w:val="21"/>
              </w:rPr>
              <w:t>10.2.7.3.4</w:t>
            </w:r>
          </w:p>
          <w:p w14:paraId="32824136">
            <w:pPr>
              <w:rPr>
                <w:color w:val="000000"/>
                <w:szCs w:val="21"/>
              </w:rPr>
            </w:pPr>
          </w:p>
          <w:p w14:paraId="49F6A2D9">
            <w:pPr>
              <w:jc w:val="center"/>
              <w:rPr>
                <w:color w:val="000000"/>
                <w:szCs w:val="21"/>
              </w:rPr>
            </w:pPr>
          </w:p>
          <w:p w14:paraId="0FEBFA6D">
            <w:pPr>
              <w:jc w:val="center"/>
              <w:rPr>
                <w:color w:val="000000"/>
                <w:szCs w:val="21"/>
              </w:rPr>
            </w:pPr>
          </w:p>
        </w:tc>
        <w:tc>
          <w:tcPr>
            <w:tcW w:w="2725" w:type="dxa"/>
          </w:tcPr>
          <w:p w14:paraId="0DC4BD75">
            <w:pPr>
              <w:pStyle w:val="328"/>
              <w:numPr>
                <w:ilvl w:val="0"/>
                <w:numId w:val="0"/>
              </w:numPr>
              <w:rPr>
                <w:rFonts w:ascii="Times New Roman"/>
                <w:color w:val="000000"/>
              </w:rPr>
            </w:pPr>
            <w:r>
              <w:rPr>
                <w:rFonts w:ascii="Times New Roman"/>
                <w:color w:val="000000"/>
              </w:rPr>
              <w:t>点火安全保护</w:t>
            </w:r>
          </w:p>
          <w:p w14:paraId="75F01BF0">
            <w:pPr>
              <w:pStyle w:val="328"/>
              <w:numPr>
                <w:ilvl w:val="0"/>
                <w:numId w:val="0"/>
              </w:numPr>
              <w:rPr>
                <w:rFonts w:ascii="Times New Roman"/>
                <w:color w:val="000000"/>
              </w:rPr>
            </w:pPr>
            <w:r>
              <w:rPr>
                <w:rFonts w:ascii="Times New Roman"/>
                <w:color w:val="000000"/>
              </w:rPr>
              <w:t>a)自然通风的燃烧器空气入口应设阻火器</w:t>
            </w:r>
            <w:r>
              <w:rPr>
                <w:rFonts w:hint="eastAsia" w:ascii="Times New Roman"/>
                <w:color w:val="000000"/>
              </w:rPr>
              <w:t>，</w:t>
            </w:r>
            <w:r>
              <w:rPr>
                <w:rFonts w:ascii="Times New Roman"/>
                <w:color w:val="000000"/>
              </w:rPr>
              <w:t xml:space="preserve">以防通过空气进口回火； </w:t>
            </w:r>
          </w:p>
          <w:p w14:paraId="695E1BBB">
            <w:pPr>
              <w:pStyle w:val="328"/>
              <w:numPr>
                <w:ilvl w:val="0"/>
                <w:numId w:val="0"/>
              </w:numPr>
              <w:rPr>
                <w:rFonts w:ascii="Times New Roman"/>
                <w:color w:val="000000"/>
              </w:rPr>
            </w:pPr>
            <w:r>
              <w:rPr>
                <w:rFonts w:ascii="Times New Roman"/>
                <w:color w:val="000000"/>
              </w:rPr>
              <w:t>b)自然通风的燃烧器的烟筒应设阻火器</w:t>
            </w:r>
            <w:r>
              <w:rPr>
                <w:rFonts w:hint="eastAsia" w:ascii="Times New Roman"/>
                <w:color w:val="000000"/>
              </w:rPr>
              <w:t>，</w:t>
            </w:r>
            <w:r>
              <w:rPr>
                <w:rFonts w:ascii="Times New Roman"/>
                <w:color w:val="000000"/>
              </w:rPr>
              <w:t>以防火花喷射；</w:t>
            </w:r>
          </w:p>
          <w:p w14:paraId="7FA50E80">
            <w:pPr>
              <w:pStyle w:val="328"/>
              <w:numPr>
                <w:ilvl w:val="0"/>
                <w:numId w:val="0"/>
              </w:numPr>
              <w:rPr>
                <w:rFonts w:ascii="Times New Roman"/>
                <w:color w:val="000000"/>
              </w:rPr>
            </w:pPr>
            <w:r>
              <w:rPr>
                <w:rFonts w:ascii="Times New Roman"/>
                <w:color w:val="000000"/>
              </w:rPr>
              <w:t>c)强制通风的电动机应设电动机起动器联锁装置</w:t>
            </w:r>
            <w:r>
              <w:rPr>
                <w:rFonts w:hint="eastAsia" w:ascii="Times New Roman"/>
                <w:color w:val="000000"/>
              </w:rPr>
              <w:t>，</w:t>
            </w:r>
            <w:r>
              <w:rPr>
                <w:rFonts w:ascii="Times New Roman"/>
                <w:color w:val="000000"/>
              </w:rPr>
              <w:t>以便检测电动机故障并在必要时切断燃料及空气供应。</w:t>
            </w:r>
          </w:p>
          <w:p w14:paraId="2F9E63EF">
            <w:pPr>
              <w:pStyle w:val="328"/>
              <w:numPr>
                <w:ilvl w:val="0"/>
                <w:numId w:val="0"/>
              </w:numPr>
              <w:rPr>
                <w:rFonts w:ascii="Times New Roman"/>
                <w:color w:val="000000"/>
              </w:rPr>
            </w:pPr>
            <w:r>
              <w:rPr>
                <w:rFonts w:ascii="Times New Roman"/>
                <w:color w:val="000000"/>
              </w:rPr>
              <w:t>d)燃烧室中的火焰应由</w:t>
            </w:r>
            <w:r>
              <w:rPr>
                <w:rFonts w:ascii="Times New Roman"/>
              </w:rPr>
              <w:t>燃烧器火焰探测器（BSL）或低温传感器（TSL）检测</w:t>
            </w:r>
            <w:r>
              <w:rPr>
                <w:rFonts w:hint="eastAsia" w:ascii="Times New Roman"/>
                <w:color w:val="000000"/>
              </w:rPr>
              <w:t>，</w:t>
            </w:r>
            <w:r>
              <w:rPr>
                <w:rFonts w:ascii="Times New Roman"/>
                <w:color w:val="000000"/>
              </w:rPr>
              <w:t>以检测低量的火焰</w:t>
            </w:r>
            <w:r>
              <w:rPr>
                <w:rFonts w:hint="eastAsia" w:ascii="Times New Roman"/>
                <w:color w:val="000000"/>
              </w:rPr>
              <w:t>，</w:t>
            </w:r>
            <w:r>
              <w:rPr>
                <w:rFonts w:ascii="Times New Roman"/>
                <w:color w:val="000000"/>
              </w:rPr>
              <w:t>并在必要时切断燃料供应。</w:t>
            </w:r>
          </w:p>
        </w:tc>
        <w:tc>
          <w:tcPr>
            <w:tcW w:w="4401" w:type="dxa"/>
          </w:tcPr>
          <w:p w14:paraId="43CA4BED">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0B2FD4B5">
            <w:pPr>
              <w:rPr>
                <w:color w:val="000000"/>
                <w:spacing w:val="13"/>
                <w:szCs w:val="21"/>
                <w:shd w:val="clear" w:color="auto" w:fill="FFFFFF"/>
              </w:rPr>
            </w:pPr>
            <w:r>
              <w:rPr>
                <w:color w:val="000000"/>
                <w:spacing w:val="13"/>
                <w:szCs w:val="21"/>
                <w:shd w:val="clear" w:color="auto" w:fill="FFFFFF"/>
              </w:rPr>
              <w:t>6.3.6.4 点火安全保护</w:t>
            </w:r>
          </w:p>
          <w:p w14:paraId="72E29D02">
            <w:pPr>
              <w:rPr>
                <w:color w:val="000000"/>
                <w:spacing w:val="13"/>
                <w:szCs w:val="21"/>
                <w:shd w:val="clear" w:color="auto" w:fill="FFFFFF"/>
              </w:rPr>
            </w:pPr>
            <w:r>
              <w:rPr>
                <w:color w:val="000000"/>
                <w:spacing w:val="13"/>
                <w:szCs w:val="21"/>
                <w:shd w:val="clear" w:color="auto" w:fill="FFFFFF"/>
              </w:rPr>
              <w:t>a) 自然通风的燃烧器空气入口应设阻火器</w:t>
            </w:r>
            <w:r>
              <w:rPr>
                <w:rFonts w:hint="eastAsia"/>
                <w:color w:val="000000"/>
                <w:spacing w:val="13"/>
                <w:szCs w:val="21"/>
                <w:shd w:val="clear" w:color="auto" w:fill="FFFFFF"/>
              </w:rPr>
              <w:t>，</w:t>
            </w:r>
            <w:r>
              <w:rPr>
                <w:color w:val="000000"/>
                <w:spacing w:val="13"/>
                <w:szCs w:val="21"/>
                <w:shd w:val="clear" w:color="auto" w:fill="FFFFFF"/>
              </w:rPr>
              <w:t xml:space="preserve">以防通过空气进口回火。 </w:t>
            </w:r>
          </w:p>
          <w:p w14:paraId="528EFD31">
            <w:pPr>
              <w:rPr>
                <w:color w:val="000000"/>
                <w:spacing w:val="13"/>
                <w:szCs w:val="21"/>
                <w:shd w:val="clear" w:color="auto" w:fill="FFFFFF"/>
              </w:rPr>
            </w:pPr>
            <w:r>
              <w:rPr>
                <w:color w:val="000000"/>
                <w:spacing w:val="13"/>
                <w:szCs w:val="21"/>
                <w:shd w:val="clear" w:color="auto" w:fill="FFFFFF"/>
              </w:rPr>
              <w:t>b) 自然通风的燃烧器的烟筒应设阻火器</w:t>
            </w:r>
            <w:r>
              <w:rPr>
                <w:rFonts w:hint="eastAsia"/>
                <w:color w:val="000000"/>
                <w:spacing w:val="13"/>
                <w:szCs w:val="21"/>
                <w:shd w:val="clear" w:color="auto" w:fill="FFFFFF"/>
              </w:rPr>
              <w:t>，</w:t>
            </w:r>
            <w:r>
              <w:rPr>
                <w:color w:val="000000"/>
                <w:spacing w:val="13"/>
                <w:szCs w:val="21"/>
                <w:shd w:val="clear" w:color="auto" w:fill="FFFFFF"/>
              </w:rPr>
              <w:t>以防火花喷射。</w:t>
            </w:r>
          </w:p>
          <w:p w14:paraId="2C8C5B7E">
            <w:pPr>
              <w:rPr>
                <w:color w:val="000000"/>
                <w:spacing w:val="13"/>
                <w:szCs w:val="21"/>
                <w:shd w:val="clear" w:color="auto" w:fill="FFFFFF"/>
              </w:rPr>
            </w:pPr>
            <w:r>
              <w:rPr>
                <w:color w:val="000000"/>
                <w:spacing w:val="13"/>
                <w:szCs w:val="21"/>
                <w:shd w:val="clear" w:color="auto" w:fill="FFFFFF"/>
              </w:rPr>
              <w:t>c) 强制通风的电动机应设电动机起动器联锁装置</w:t>
            </w:r>
            <w:r>
              <w:rPr>
                <w:rFonts w:hint="eastAsia"/>
                <w:color w:val="000000"/>
                <w:spacing w:val="13"/>
                <w:szCs w:val="21"/>
                <w:shd w:val="clear" w:color="auto" w:fill="FFFFFF"/>
              </w:rPr>
              <w:t>，</w:t>
            </w:r>
            <w:r>
              <w:rPr>
                <w:color w:val="000000"/>
                <w:spacing w:val="13"/>
                <w:szCs w:val="21"/>
                <w:shd w:val="clear" w:color="auto" w:fill="FFFFFF"/>
              </w:rPr>
              <w:t>以便检测电动机故障并在必要时切断燃料及空气供应。</w:t>
            </w:r>
          </w:p>
          <w:p w14:paraId="7F3E279A">
            <w:pPr>
              <w:rPr>
                <w:color w:val="000000"/>
                <w:spacing w:val="13"/>
                <w:szCs w:val="21"/>
                <w:shd w:val="clear" w:color="auto" w:fill="FFFFFF"/>
              </w:rPr>
            </w:pPr>
            <w:r>
              <w:rPr>
                <w:color w:val="000000"/>
                <w:spacing w:val="13"/>
                <w:szCs w:val="21"/>
                <w:shd w:val="clear" w:color="auto" w:fill="FFFFFF"/>
              </w:rPr>
              <w:t>d) 燃烧室中的火焰应由弱火焰安全装置（BSL）或低温安全装置（TSL）检测</w:t>
            </w:r>
            <w:r>
              <w:rPr>
                <w:rFonts w:hint="eastAsia"/>
                <w:color w:val="000000"/>
                <w:spacing w:val="13"/>
                <w:szCs w:val="21"/>
                <w:shd w:val="clear" w:color="auto" w:fill="FFFFFF"/>
              </w:rPr>
              <w:t>，</w:t>
            </w:r>
            <w:r>
              <w:rPr>
                <w:color w:val="000000"/>
                <w:spacing w:val="13"/>
                <w:szCs w:val="21"/>
                <w:shd w:val="clear" w:color="auto" w:fill="FFFFFF"/>
              </w:rPr>
              <w:t>以检测不足以引燃燃料的火焰</w:t>
            </w:r>
            <w:r>
              <w:rPr>
                <w:rFonts w:hint="eastAsia"/>
                <w:color w:val="000000"/>
                <w:spacing w:val="13"/>
                <w:szCs w:val="21"/>
                <w:shd w:val="clear" w:color="auto" w:fill="FFFFFF"/>
              </w:rPr>
              <w:t>，</w:t>
            </w:r>
            <w:r>
              <w:rPr>
                <w:color w:val="000000"/>
                <w:spacing w:val="13"/>
                <w:szCs w:val="21"/>
                <w:shd w:val="clear" w:color="auto" w:fill="FFFFFF"/>
              </w:rPr>
              <w:t>并在必要时切断燃料供应。</w:t>
            </w:r>
          </w:p>
          <w:p w14:paraId="00B9646A">
            <w:pPr>
              <w:rPr>
                <w:color w:val="000000"/>
                <w:spacing w:val="13"/>
                <w:szCs w:val="21"/>
                <w:shd w:val="clear" w:color="auto" w:fill="FFFFFF"/>
              </w:rPr>
            </w:pPr>
            <w:r>
              <w:rPr>
                <w:color w:val="000000"/>
                <w:spacing w:val="13"/>
                <w:szCs w:val="21"/>
                <w:shd w:val="clear" w:color="auto" w:fill="FFFFFF"/>
              </w:rPr>
              <w:t>2.SY/T 10033-2002《海上生产平台基本上部设施安全系统的分析设计安装和测试的推荐做法》A6.2 安全分析。</w:t>
            </w:r>
          </w:p>
          <w:p w14:paraId="57B92226">
            <w:pPr>
              <w:rPr>
                <w:color w:val="000000"/>
                <w:spacing w:val="13"/>
                <w:szCs w:val="21"/>
                <w:shd w:val="clear" w:color="auto" w:fill="FFFFFF"/>
              </w:rPr>
            </w:pPr>
            <w:r>
              <w:rPr>
                <w:color w:val="000000"/>
                <w:spacing w:val="13"/>
                <w:szCs w:val="21"/>
                <w:shd w:val="clear" w:color="auto" w:fill="FFFFFF"/>
              </w:rPr>
              <w:t>(4)引燃安全装置</w:t>
            </w:r>
          </w:p>
          <w:p w14:paraId="2B6C3407">
            <w:pPr>
              <w:rPr>
                <w:color w:val="000000"/>
                <w:spacing w:val="13"/>
                <w:szCs w:val="21"/>
                <w:shd w:val="clear" w:color="auto" w:fill="FFFFFF"/>
              </w:rPr>
            </w:pPr>
            <w:r>
              <w:rPr>
                <w:color w:val="000000"/>
                <w:spacing w:val="13"/>
                <w:szCs w:val="21"/>
                <w:shd w:val="clear" w:color="auto" w:fill="FFFFFF"/>
              </w:rPr>
              <w:t>（a）自然通风燃烧器的进风口应安装阻火器，以防止火焰进入进风口。强制通风燃烧器不需要阻火器，因为进风口的风速能防止火焰蔓延，或者进风口的PSL传感器和风扇电动机启动器连锁装置能关断进风口。</w:t>
            </w:r>
          </w:p>
        </w:tc>
      </w:tr>
      <w:tr w14:paraId="5495B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96" w:type="dxa"/>
          </w:tcPr>
          <w:p w14:paraId="42522FAD">
            <w:pPr>
              <w:numPr>
                <w:ilvl w:val="0"/>
                <w:numId w:val="132"/>
              </w:numPr>
              <w:jc w:val="center"/>
              <w:rPr>
                <w:color w:val="000000"/>
                <w:szCs w:val="21"/>
              </w:rPr>
            </w:pPr>
          </w:p>
        </w:tc>
        <w:tc>
          <w:tcPr>
            <w:tcW w:w="1172" w:type="dxa"/>
          </w:tcPr>
          <w:p w14:paraId="7899A7AE">
            <w:pPr>
              <w:jc w:val="center"/>
              <w:rPr>
                <w:color w:val="000000"/>
                <w:szCs w:val="21"/>
              </w:rPr>
            </w:pPr>
            <w:r>
              <w:rPr>
                <w:color w:val="000000"/>
                <w:szCs w:val="21"/>
              </w:rPr>
              <w:t>10.2.8.1</w:t>
            </w:r>
          </w:p>
          <w:p w14:paraId="14B5D4F8">
            <w:pPr>
              <w:jc w:val="center"/>
              <w:rPr>
                <w:color w:val="000000"/>
                <w:szCs w:val="21"/>
              </w:rPr>
            </w:pPr>
            <w:r>
              <w:rPr>
                <w:color w:val="000000"/>
                <w:szCs w:val="21"/>
              </w:rPr>
              <w:t>10.2.8.1.1</w:t>
            </w:r>
          </w:p>
          <w:p w14:paraId="66D908D0">
            <w:pPr>
              <w:jc w:val="center"/>
              <w:rPr>
                <w:color w:val="000000"/>
                <w:szCs w:val="21"/>
              </w:rPr>
            </w:pPr>
          </w:p>
          <w:p w14:paraId="2B49A348">
            <w:pPr>
              <w:jc w:val="center"/>
              <w:rPr>
                <w:color w:val="000000"/>
                <w:szCs w:val="21"/>
              </w:rPr>
            </w:pPr>
          </w:p>
          <w:p w14:paraId="4058ADA0">
            <w:pPr>
              <w:jc w:val="center"/>
              <w:rPr>
                <w:color w:val="000000"/>
                <w:szCs w:val="21"/>
              </w:rPr>
            </w:pPr>
          </w:p>
          <w:p w14:paraId="4ED8E6D1">
            <w:pPr>
              <w:jc w:val="center"/>
              <w:rPr>
                <w:color w:val="000000"/>
                <w:szCs w:val="21"/>
              </w:rPr>
            </w:pPr>
          </w:p>
          <w:p w14:paraId="2475F916">
            <w:pPr>
              <w:jc w:val="center"/>
              <w:rPr>
                <w:color w:val="000000"/>
                <w:szCs w:val="21"/>
              </w:rPr>
            </w:pPr>
          </w:p>
          <w:p w14:paraId="70ACDC4B">
            <w:pPr>
              <w:jc w:val="center"/>
              <w:rPr>
                <w:color w:val="000000"/>
                <w:szCs w:val="21"/>
              </w:rPr>
            </w:pPr>
          </w:p>
          <w:p w14:paraId="1EC13888">
            <w:pPr>
              <w:jc w:val="center"/>
              <w:rPr>
                <w:color w:val="000000"/>
                <w:szCs w:val="21"/>
              </w:rPr>
            </w:pPr>
          </w:p>
          <w:p w14:paraId="6A16E5DB">
            <w:pPr>
              <w:jc w:val="center"/>
              <w:rPr>
                <w:color w:val="000000"/>
                <w:szCs w:val="21"/>
              </w:rPr>
            </w:pPr>
          </w:p>
          <w:p w14:paraId="402B6E8D">
            <w:pPr>
              <w:rPr>
                <w:color w:val="000000"/>
                <w:szCs w:val="21"/>
              </w:rPr>
            </w:pPr>
            <w:r>
              <w:rPr>
                <w:rFonts w:hint="eastAsia"/>
                <w:color w:val="000000"/>
                <w:szCs w:val="21"/>
              </w:rPr>
              <w:t>10.2.8.1.2</w:t>
            </w:r>
          </w:p>
          <w:p w14:paraId="78177FC6">
            <w:pPr>
              <w:jc w:val="center"/>
              <w:rPr>
                <w:color w:val="000000"/>
                <w:szCs w:val="21"/>
              </w:rPr>
            </w:pPr>
          </w:p>
          <w:p w14:paraId="76507551">
            <w:pPr>
              <w:rPr>
                <w:color w:val="000000"/>
                <w:szCs w:val="21"/>
              </w:rPr>
            </w:pPr>
            <w:r>
              <w:rPr>
                <w:color w:val="000000"/>
                <w:szCs w:val="21"/>
              </w:rPr>
              <w:t>10.2.8.1.3</w:t>
            </w:r>
          </w:p>
          <w:p w14:paraId="28EEE285">
            <w:pPr>
              <w:jc w:val="center"/>
              <w:rPr>
                <w:color w:val="000000"/>
                <w:szCs w:val="21"/>
              </w:rPr>
            </w:pPr>
          </w:p>
          <w:p w14:paraId="5B99212F">
            <w:pPr>
              <w:jc w:val="center"/>
              <w:rPr>
                <w:color w:val="000000"/>
                <w:szCs w:val="21"/>
              </w:rPr>
            </w:pPr>
          </w:p>
          <w:p w14:paraId="5D939471">
            <w:pPr>
              <w:jc w:val="center"/>
              <w:rPr>
                <w:color w:val="000000"/>
                <w:szCs w:val="21"/>
              </w:rPr>
            </w:pPr>
          </w:p>
          <w:p w14:paraId="048C31A1">
            <w:pPr>
              <w:jc w:val="center"/>
              <w:rPr>
                <w:color w:val="000000"/>
                <w:szCs w:val="21"/>
              </w:rPr>
            </w:pPr>
          </w:p>
          <w:p w14:paraId="15B67643">
            <w:pPr>
              <w:jc w:val="center"/>
              <w:rPr>
                <w:color w:val="000000"/>
                <w:szCs w:val="21"/>
              </w:rPr>
            </w:pPr>
          </w:p>
          <w:p w14:paraId="151E9CFE">
            <w:pPr>
              <w:jc w:val="center"/>
              <w:rPr>
                <w:color w:val="000000"/>
                <w:szCs w:val="21"/>
              </w:rPr>
            </w:pPr>
            <w:r>
              <w:rPr>
                <w:color w:val="000000"/>
                <w:szCs w:val="21"/>
              </w:rPr>
              <w:t>10.2.8.1.4</w:t>
            </w:r>
          </w:p>
          <w:p w14:paraId="33E1C47B">
            <w:pPr>
              <w:rPr>
                <w:color w:val="000000"/>
                <w:szCs w:val="21"/>
              </w:rPr>
            </w:pPr>
          </w:p>
          <w:p w14:paraId="256C255B">
            <w:pPr>
              <w:jc w:val="center"/>
              <w:rPr>
                <w:color w:val="000000"/>
                <w:szCs w:val="21"/>
              </w:rPr>
            </w:pPr>
          </w:p>
          <w:p w14:paraId="73EFA97C">
            <w:pPr>
              <w:jc w:val="center"/>
              <w:rPr>
                <w:color w:val="000000"/>
                <w:szCs w:val="21"/>
              </w:rPr>
            </w:pPr>
          </w:p>
          <w:p w14:paraId="0F8F13A5">
            <w:pPr>
              <w:jc w:val="center"/>
              <w:rPr>
                <w:color w:val="000000"/>
                <w:szCs w:val="21"/>
              </w:rPr>
            </w:pPr>
          </w:p>
        </w:tc>
        <w:tc>
          <w:tcPr>
            <w:tcW w:w="2725" w:type="dxa"/>
          </w:tcPr>
          <w:p w14:paraId="16BCE04B">
            <w:pPr>
              <w:pStyle w:val="328"/>
              <w:numPr>
                <w:ilvl w:val="0"/>
                <w:numId w:val="0"/>
              </w:numPr>
              <w:rPr>
                <w:rFonts w:ascii="Times New Roman"/>
                <w:color w:val="000000"/>
              </w:rPr>
            </w:pPr>
            <w:r>
              <w:rPr>
                <w:rFonts w:ascii="Times New Roman"/>
                <w:color w:val="000000"/>
              </w:rPr>
              <w:t>压力安全保护</w:t>
            </w:r>
          </w:p>
          <w:p w14:paraId="1CA61BA8">
            <w:pPr>
              <w:pStyle w:val="328"/>
              <w:numPr>
                <w:ilvl w:val="0"/>
                <w:numId w:val="0"/>
              </w:numPr>
              <w:rPr>
                <w:rFonts w:ascii="Times New Roman"/>
                <w:color w:val="000000"/>
              </w:rPr>
            </w:pPr>
            <w:r>
              <w:rPr>
                <w:rFonts w:ascii="Times New Roman"/>
              </w:rPr>
              <w:t>各种烃类输送泵出口管道上应设高压传感器（PSH）和低压传感器（PSL），以便必要时切断输入源并停泵。其它输送泵，若泵出口压力超过出口管道的70%最大允许工作压力（MAWP），其出口管道上应设高压传感器（PSH）</w:t>
            </w:r>
            <w:r>
              <w:rPr>
                <w:rFonts w:ascii="Times New Roman"/>
                <w:color w:val="000000"/>
              </w:rPr>
              <w:t>。</w:t>
            </w:r>
          </w:p>
          <w:p w14:paraId="112E8B40">
            <w:pPr>
              <w:pStyle w:val="328"/>
              <w:numPr>
                <w:ilvl w:val="0"/>
                <w:numId w:val="0"/>
              </w:numPr>
              <w:rPr>
                <w:rFonts w:ascii="Times New Roman"/>
                <w:color w:val="000000"/>
              </w:rPr>
            </w:pPr>
            <w:r>
              <w:rPr>
                <w:rFonts w:ascii="Times New Roman"/>
                <w:color w:val="000000"/>
              </w:rPr>
              <w:t>其它重要的泵出口管道上也可设PSL。</w:t>
            </w:r>
          </w:p>
          <w:p w14:paraId="1054F9BE">
            <w:pPr>
              <w:pStyle w:val="328"/>
              <w:numPr>
                <w:ilvl w:val="0"/>
                <w:numId w:val="0"/>
              </w:numPr>
              <w:rPr>
                <w:rFonts w:ascii="Times New Roman"/>
                <w:color w:val="000000"/>
              </w:rPr>
            </w:pPr>
            <w:r>
              <w:rPr>
                <w:rFonts w:ascii="Times New Roman"/>
                <w:color w:val="000000"/>
              </w:rPr>
              <w:t>低容量泵上（如：污油泵、化学药剂注入泵，或者流量小于0.14m</w:t>
            </w:r>
            <w:r>
              <w:rPr>
                <w:rFonts w:ascii="Times New Roman"/>
                <w:color w:val="000000"/>
                <w:vertAlign w:val="superscript"/>
              </w:rPr>
              <w:t>3</w:t>
            </w:r>
            <w:r>
              <w:rPr>
                <w:rFonts w:ascii="Times New Roman"/>
                <w:color w:val="000000"/>
              </w:rPr>
              <w:t>/h的输送泵等）不需要安装</w:t>
            </w:r>
            <w:r>
              <w:rPr>
                <w:rFonts w:ascii="Times New Roman"/>
              </w:rPr>
              <w:t>高压传感器（PSH）和低压传感器（PSL）</w:t>
            </w:r>
            <w:r>
              <w:rPr>
                <w:rFonts w:ascii="Times New Roman"/>
                <w:color w:val="000000"/>
              </w:rPr>
              <w:t>。</w:t>
            </w:r>
          </w:p>
          <w:p w14:paraId="7ED2DDD8">
            <w:pPr>
              <w:pStyle w:val="328"/>
              <w:numPr>
                <w:ilvl w:val="0"/>
                <w:numId w:val="0"/>
              </w:numPr>
              <w:rPr>
                <w:rFonts w:ascii="Times New Roman"/>
                <w:color w:val="000000"/>
              </w:rPr>
            </w:pPr>
            <w:r>
              <w:rPr>
                <w:rFonts w:ascii="Times New Roman"/>
                <w:color w:val="000000"/>
              </w:rPr>
              <w:t>泵出口管道上应设压力安全阀（PSV）。动能型泵（如离心泵）或其最大出口压力小于出口管道的最大允许工作压力（MAWP）、或具有内部卸压能力的泵，其出口管道可不设压力安全阀（PSV）。</w:t>
            </w:r>
          </w:p>
        </w:tc>
        <w:tc>
          <w:tcPr>
            <w:tcW w:w="4401" w:type="dxa"/>
          </w:tcPr>
          <w:p w14:paraId="7549E36B">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4A0EBB86">
            <w:pPr>
              <w:rPr>
                <w:color w:val="000000"/>
                <w:spacing w:val="13"/>
                <w:szCs w:val="21"/>
                <w:shd w:val="clear" w:color="auto" w:fill="FFFFFF"/>
              </w:rPr>
            </w:pPr>
            <w:r>
              <w:rPr>
                <w:color w:val="000000"/>
                <w:spacing w:val="13"/>
                <w:szCs w:val="21"/>
                <w:shd w:val="clear" w:color="auto" w:fill="FFFFFF"/>
              </w:rPr>
              <w:t>6.3.7 泵</w:t>
            </w:r>
          </w:p>
          <w:p w14:paraId="0F760FD5">
            <w:pPr>
              <w:rPr>
                <w:color w:val="000000"/>
                <w:spacing w:val="13"/>
                <w:szCs w:val="21"/>
                <w:shd w:val="clear" w:color="auto" w:fill="FFFFFF"/>
              </w:rPr>
            </w:pPr>
            <w:r>
              <w:rPr>
                <w:color w:val="000000"/>
                <w:spacing w:val="13"/>
                <w:szCs w:val="21"/>
                <w:shd w:val="clear" w:color="auto" w:fill="FFFFFF"/>
              </w:rPr>
              <w:t>6.3.7.1 压力安全保护</w:t>
            </w:r>
          </w:p>
          <w:p w14:paraId="486D47C5">
            <w:pPr>
              <w:rPr>
                <w:color w:val="000000"/>
                <w:spacing w:val="13"/>
                <w:szCs w:val="21"/>
                <w:shd w:val="clear" w:color="auto" w:fill="FFFFFF"/>
              </w:rPr>
            </w:pPr>
            <w:r>
              <w:rPr>
                <w:color w:val="000000"/>
                <w:spacing w:val="13"/>
                <w:szCs w:val="21"/>
                <w:shd w:val="clear" w:color="auto" w:fill="FFFFFF"/>
              </w:rPr>
              <w:t>在各种烃类长输管线上的泵的出口管线上应设PSH和PSL</w:t>
            </w:r>
            <w:r>
              <w:rPr>
                <w:rFonts w:hint="eastAsia"/>
                <w:color w:val="000000"/>
                <w:spacing w:val="13"/>
                <w:szCs w:val="21"/>
                <w:shd w:val="clear" w:color="auto" w:fill="FFFFFF"/>
              </w:rPr>
              <w:t>，</w:t>
            </w:r>
            <w:r>
              <w:rPr>
                <w:color w:val="000000"/>
                <w:spacing w:val="13"/>
                <w:szCs w:val="21"/>
                <w:shd w:val="clear" w:color="auto" w:fill="FFFFFF"/>
              </w:rPr>
              <w:t>在必要时切断流入并停泵。在其它重要的泵的出口管线上也可设PSL。若泵排出压力超过出口管线额定工作压力的70%</w:t>
            </w:r>
            <w:r>
              <w:rPr>
                <w:rFonts w:hint="eastAsia"/>
                <w:color w:val="000000"/>
                <w:spacing w:val="13"/>
                <w:szCs w:val="21"/>
                <w:shd w:val="clear" w:color="auto" w:fill="FFFFFF"/>
              </w:rPr>
              <w:t>，</w:t>
            </w:r>
            <w:r>
              <w:rPr>
                <w:color w:val="000000"/>
                <w:spacing w:val="13"/>
                <w:szCs w:val="21"/>
                <w:shd w:val="clear" w:color="auto" w:fill="FFFFFF"/>
              </w:rPr>
              <w:t>其出口管线上应设PSH。</w:t>
            </w:r>
          </w:p>
          <w:p w14:paraId="7C2450C1">
            <w:pPr>
              <w:rPr>
                <w:color w:val="000000"/>
                <w:spacing w:val="13"/>
                <w:szCs w:val="21"/>
                <w:shd w:val="clear" w:color="auto" w:fill="FFFFFF"/>
              </w:rPr>
            </w:pPr>
            <w:r>
              <w:rPr>
                <w:color w:val="000000"/>
                <w:spacing w:val="13"/>
                <w:szCs w:val="21"/>
                <w:shd w:val="clear" w:color="auto" w:fill="FFFFFF"/>
              </w:rPr>
              <w:t>泵的出口管线上应设PSV。动能型泵（如离心泵）或其最大排出压力小于出口管线额定工作压力的泵</w:t>
            </w:r>
            <w:r>
              <w:rPr>
                <w:rFonts w:hint="eastAsia"/>
                <w:color w:val="000000"/>
                <w:spacing w:val="13"/>
                <w:szCs w:val="21"/>
                <w:shd w:val="clear" w:color="auto" w:fill="FFFFFF"/>
              </w:rPr>
              <w:t>，</w:t>
            </w:r>
            <w:r>
              <w:rPr>
                <w:color w:val="000000"/>
                <w:spacing w:val="13"/>
                <w:szCs w:val="21"/>
                <w:shd w:val="clear" w:color="auto" w:fill="FFFFFF"/>
              </w:rPr>
              <w:t>或具有内部卸压能力的泵</w:t>
            </w:r>
            <w:r>
              <w:rPr>
                <w:rFonts w:hint="eastAsia"/>
                <w:color w:val="000000"/>
                <w:spacing w:val="13"/>
                <w:szCs w:val="21"/>
                <w:shd w:val="clear" w:color="auto" w:fill="FFFFFF"/>
              </w:rPr>
              <w:t>，</w:t>
            </w:r>
            <w:r>
              <w:rPr>
                <w:color w:val="000000"/>
                <w:spacing w:val="13"/>
                <w:szCs w:val="21"/>
                <w:shd w:val="clear" w:color="auto" w:fill="FFFFFF"/>
              </w:rPr>
              <w:t>其出口管线可不设PSV。</w:t>
            </w:r>
          </w:p>
          <w:p w14:paraId="0260F849">
            <w:pPr>
              <w:numPr>
                <w:ilvl w:val="0"/>
                <w:numId w:val="136"/>
              </w:numPr>
              <w:rPr>
                <w:color w:val="000000"/>
                <w:spacing w:val="13"/>
                <w:szCs w:val="21"/>
                <w:shd w:val="clear" w:color="auto" w:fill="FFFFFF"/>
              </w:rPr>
            </w:pPr>
            <w:r>
              <w:rPr>
                <w:color w:val="000000"/>
                <w:spacing w:val="13"/>
                <w:szCs w:val="21"/>
                <w:shd w:val="clear" w:color="auto" w:fill="FFFFFF"/>
              </w:rPr>
              <w:t>SY/T 10033-2002《海上生产平台基本上部设施安全系统的分析设计安装和测试的推荐做法》A7.2 安全分析</w:t>
            </w:r>
          </w:p>
          <w:p w14:paraId="23237EE9">
            <w:r>
              <w:rPr>
                <w:color w:val="000000"/>
                <w:spacing w:val="13"/>
                <w:szCs w:val="21"/>
                <w:shd w:val="clear" w:color="auto" w:fill="FFFFFF"/>
              </w:rPr>
              <w:t>(1)压力安全装置(PSH、PSL和PSV)。所有烃外输泵的排出管线上应安装PSH和SL传感器，以切断进流并关泵。其它类型泵的排出管线也应装设关泵用的PSH传感器，除非泵的最高排放压力不超过排出管线最高允许工作压力的70%，或者泵是由人工操作并处于连续监视之下。以</w:t>
            </w:r>
          </w:p>
          <w:p w14:paraId="21F12D0C">
            <w:pPr>
              <w:rPr>
                <w:color w:val="000000"/>
                <w:spacing w:val="13"/>
                <w:szCs w:val="21"/>
                <w:shd w:val="clear" w:color="auto" w:fill="FFFFFF"/>
              </w:rPr>
            </w:pPr>
            <w:r>
              <w:rPr>
                <w:color w:val="000000"/>
                <w:spacing w:val="13"/>
                <w:szCs w:val="21"/>
                <w:shd w:val="clear" w:color="auto" w:fill="FFFFFF"/>
              </w:rPr>
              <w:t>乙二醇为动力的乙二醇泵无需装PSH传感器。其它传递烃类物质的泵也应装有关泵用的PSL传感器，除非它们是由人工操作，并处于连续监视之下或具有良好的泄漏物收集和排放系统。</w:t>
            </w:r>
          </w:p>
          <w:p w14:paraId="07A6D764">
            <w:pPr>
              <w:rPr>
                <w:color w:val="000000"/>
                <w:spacing w:val="13"/>
                <w:szCs w:val="21"/>
                <w:shd w:val="clear" w:color="auto" w:fill="FFFFFF"/>
              </w:rPr>
            </w:pPr>
            <w:r>
              <w:rPr>
                <w:color w:val="000000"/>
                <w:spacing w:val="13"/>
                <w:szCs w:val="21"/>
                <w:shd w:val="clear" w:color="auto" w:fill="FFFFFF"/>
              </w:rPr>
              <w:t>所有外输泵的排出管线上都应装设PSV</w:t>
            </w:r>
            <w:r>
              <w:rPr>
                <w:rFonts w:hint="eastAsia"/>
                <w:color w:val="000000"/>
                <w:spacing w:val="13"/>
                <w:szCs w:val="21"/>
                <w:shd w:val="clear" w:color="auto" w:fill="FFFFFF"/>
                <w:lang w:eastAsia="zh-CN"/>
              </w:rPr>
              <w:t>，</w:t>
            </w:r>
            <w:r>
              <w:rPr>
                <w:color w:val="000000"/>
                <w:spacing w:val="13"/>
                <w:szCs w:val="21"/>
                <w:shd w:val="clear" w:color="auto" w:fill="FFFFFF"/>
              </w:rPr>
              <w:t>除非是像离心泵那样的动能型的泵，并且不可能产生超过排出管线最高允许工作压力的压头。其它类型泵的排出管线上也都应装设PSV</w:t>
            </w:r>
            <w:r>
              <w:rPr>
                <w:rFonts w:hint="eastAsia"/>
                <w:color w:val="000000"/>
                <w:spacing w:val="13"/>
                <w:szCs w:val="21"/>
                <w:shd w:val="clear" w:color="auto" w:fill="FFFFFF"/>
                <w:lang w:eastAsia="zh-CN"/>
              </w:rPr>
              <w:t>，</w:t>
            </w:r>
            <w:r>
              <w:rPr>
                <w:color w:val="000000"/>
                <w:spacing w:val="13"/>
                <w:szCs w:val="21"/>
                <w:shd w:val="clear" w:color="auto" w:fill="FFFFFF"/>
              </w:rPr>
              <w:t>除非泵的最高排出压力低于管线最高允许工作压力，或者泵具有内部压力泄放的能力。</w:t>
            </w:r>
          </w:p>
        </w:tc>
      </w:tr>
      <w:tr w14:paraId="3A547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96" w:type="dxa"/>
          </w:tcPr>
          <w:p w14:paraId="483D96D4">
            <w:pPr>
              <w:numPr>
                <w:ilvl w:val="0"/>
                <w:numId w:val="132"/>
              </w:numPr>
              <w:jc w:val="center"/>
              <w:rPr>
                <w:color w:val="000000"/>
                <w:szCs w:val="21"/>
              </w:rPr>
            </w:pPr>
          </w:p>
        </w:tc>
        <w:tc>
          <w:tcPr>
            <w:tcW w:w="1172" w:type="dxa"/>
          </w:tcPr>
          <w:p w14:paraId="6D35DCBA">
            <w:pPr>
              <w:jc w:val="center"/>
              <w:rPr>
                <w:color w:val="000000"/>
                <w:szCs w:val="21"/>
              </w:rPr>
            </w:pPr>
            <w:r>
              <w:rPr>
                <w:color w:val="000000"/>
                <w:szCs w:val="21"/>
              </w:rPr>
              <w:t>10.2.8.2</w:t>
            </w:r>
          </w:p>
          <w:p w14:paraId="34CEAAD7">
            <w:pPr>
              <w:jc w:val="center"/>
              <w:rPr>
                <w:color w:val="000000"/>
                <w:szCs w:val="21"/>
              </w:rPr>
            </w:pPr>
            <w:r>
              <w:rPr>
                <w:color w:val="000000"/>
                <w:szCs w:val="21"/>
              </w:rPr>
              <w:t>10.2.8.2.1</w:t>
            </w:r>
          </w:p>
          <w:p w14:paraId="1AB2CCBF">
            <w:pPr>
              <w:jc w:val="center"/>
              <w:rPr>
                <w:color w:val="000000"/>
                <w:szCs w:val="21"/>
              </w:rPr>
            </w:pPr>
          </w:p>
          <w:p w14:paraId="108FB9D4">
            <w:pPr>
              <w:jc w:val="center"/>
              <w:rPr>
                <w:color w:val="000000"/>
                <w:szCs w:val="21"/>
              </w:rPr>
            </w:pPr>
            <w:r>
              <w:rPr>
                <w:color w:val="000000"/>
                <w:szCs w:val="21"/>
              </w:rPr>
              <w:t>10.2.8.2.2</w:t>
            </w:r>
          </w:p>
          <w:p w14:paraId="292B4228">
            <w:pPr>
              <w:jc w:val="center"/>
              <w:rPr>
                <w:color w:val="000000"/>
                <w:szCs w:val="21"/>
              </w:rPr>
            </w:pPr>
          </w:p>
          <w:p w14:paraId="470391BA">
            <w:pPr>
              <w:jc w:val="center"/>
              <w:rPr>
                <w:color w:val="000000"/>
                <w:szCs w:val="21"/>
              </w:rPr>
            </w:pPr>
          </w:p>
        </w:tc>
        <w:tc>
          <w:tcPr>
            <w:tcW w:w="2725" w:type="dxa"/>
          </w:tcPr>
          <w:p w14:paraId="0E3CA1A2">
            <w:pPr>
              <w:pStyle w:val="328"/>
              <w:numPr>
                <w:ilvl w:val="0"/>
                <w:numId w:val="0"/>
              </w:numPr>
              <w:rPr>
                <w:rFonts w:ascii="Times New Roman"/>
                <w:color w:val="000000"/>
              </w:rPr>
            </w:pPr>
            <w:r>
              <w:rPr>
                <w:rFonts w:ascii="Times New Roman"/>
                <w:color w:val="000000"/>
              </w:rPr>
              <w:t>流动安全保护</w:t>
            </w:r>
          </w:p>
          <w:p w14:paraId="1D5AF0FE">
            <w:pPr>
              <w:pStyle w:val="328"/>
              <w:numPr>
                <w:ilvl w:val="0"/>
                <w:numId w:val="0"/>
              </w:numPr>
              <w:rPr>
                <w:rFonts w:ascii="Times New Roman"/>
                <w:color w:val="000000"/>
              </w:rPr>
            </w:pPr>
            <w:r>
              <w:rPr>
                <w:rFonts w:ascii="Times New Roman"/>
                <w:color w:val="000000"/>
              </w:rPr>
              <w:t>泵的出口管道应设</w:t>
            </w:r>
            <w:r>
              <w:rPr>
                <w:rFonts w:ascii="Times New Roman"/>
              </w:rPr>
              <w:t>安全阀（FSV）</w:t>
            </w:r>
            <w:r>
              <w:rPr>
                <w:rFonts w:ascii="Times New Roman"/>
                <w:color w:val="000000"/>
              </w:rPr>
              <w:t>，以防止回流。</w:t>
            </w:r>
          </w:p>
          <w:p w14:paraId="2F70922B">
            <w:pPr>
              <w:pStyle w:val="328"/>
              <w:numPr>
                <w:ilvl w:val="0"/>
                <w:numId w:val="0"/>
              </w:numPr>
              <w:rPr>
                <w:rFonts w:ascii="Times New Roman"/>
                <w:color w:val="000000"/>
              </w:rPr>
            </w:pPr>
            <w:r>
              <w:rPr>
                <w:rFonts w:ascii="Times New Roman"/>
                <w:color w:val="000000"/>
              </w:rPr>
              <w:t>若存在以下情况之一时，则不需要安装</w:t>
            </w:r>
            <w:r>
              <w:rPr>
                <w:rFonts w:ascii="Times New Roman"/>
              </w:rPr>
              <w:t>低流量传感器（FSL）</w:t>
            </w:r>
            <w:r>
              <w:rPr>
                <w:rFonts w:ascii="Times New Roman"/>
                <w:color w:val="000000"/>
              </w:rPr>
              <w:t>：</w:t>
            </w:r>
          </w:p>
          <w:p w14:paraId="3AE19018">
            <w:pPr>
              <w:pStyle w:val="328"/>
              <w:numPr>
                <w:ilvl w:val="0"/>
                <w:numId w:val="0"/>
              </w:numPr>
              <w:rPr>
                <w:rFonts w:ascii="Times New Roman"/>
                <w:color w:val="000000"/>
              </w:rPr>
            </w:pPr>
            <w:r>
              <w:rPr>
                <w:rFonts w:ascii="Times New Roman"/>
                <w:color w:val="000000"/>
              </w:rPr>
              <w:t>a)容积泵；</w:t>
            </w:r>
          </w:p>
          <w:p w14:paraId="5C80782E">
            <w:pPr>
              <w:pStyle w:val="328"/>
              <w:numPr>
                <w:ilvl w:val="0"/>
                <w:numId w:val="0"/>
              </w:numPr>
              <w:rPr>
                <w:rFonts w:ascii="Times New Roman"/>
                <w:color w:val="000000"/>
              </w:rPr>
            </w:pPr>
            <w:r>
              <w:rPr>
                <w:rFonts w:ascii="Times New Roman"/>
                <w:color w:val="000000"/>
              </w:rPr>
              <w:t>b)泵为手动操作，且持续有人值守；</w:t>
            </w:r>
          </w:p>
          <w:p w14:paraId="4434631F">
            <w:pPr>
              <w:pStyle w:val="328"/>
              <w:numPr>
                <w:ilvl w:val="0"/>
                <w:numId w:val="0"/>
              </w:numPr>
              <w:rPr>
                <w:rFonts w:ascii="Times New Roman"/>
                <w:color w:val="000000"/>
              </w:rPr>
            </w:pPr>
            <w:r>
              <w:rPr>
                <w:rFonts w:ascii="Times New Roman"/>
                <w:color w:val="000000"/>
              </w:rPr>
              <w:t>c)泵容积小；</w:t>
            </w:r>
          </w:p>
          <w:p w14:paraId="10B3E96A">
            <w:pPr>
              <w:pStyle w:val="328"/>
              <w:numPr>
                <w:ilvl w:val="0"/>
                <w:numId w:val="0"/>
              </w:numPr>
              <w:rPr>
                <w:rFonts w:ascii="Times New Roman"/>
                <w:color w:val="000000"/>
              </w:rPr>
            </w:pPr>
            <w:r>
              <w:rPr>
                <w:rFonts w:ascii="Times New Roman"/>
                <w:color w:val="000000"/>
              </w:rPr>
              <w:t>d)不存在最小连续流量（节流或回流）工况，且上游进料容器已安装LSL。</w:t>
            </w:r>
          </w:p>
          <w:p w14:paraId="02DB2B1F">
            <w:pPr>
              <w:pStyle w:val="328"/>
              <w:numPr>
                <w:ilvl w:val="0"/>
                <w:numId w:val="0"/>
              </w:numPr>
              <w:rPr>
                <w:rFonts w:ascii="Times New Roman"/>
                <w:color w:val="000000"/>
              </w:rPr>
            </w:pPr>
            <w:r>
              <w:rPr>
                <w:rFonts w:ascii="Times New Roman"/>
                <w:color w:val="000000"/>
              </w:rPr>
              <w:t>e)安装了循环系统；</w:t>
            </w:r>
          </w:p>
          <w:p w14:paraId="40B26456">
            <w:pPr>
              <w:pStyle w:val="328"/>
              <w:numPr>
                <w:ilvl w:val="0"/>
                <w:numId w:val="0"/>
              </w:numPr>
              <w:rPr>
                <w:rFonts w:ascii="Times New Roman"/>
                <w:color w:val="000000"/>
              </w:rPr>
            </w:pPr>
            <w:r>
              <w:rPr>
                <w:rFonts w:ascii="Times New Roman"/>
                <w:color w:val="000000"/>
              </w:rPr>
              <w:t>f)</w:t>
            </w:r>
            <w:r>
              <w:rPr>
                <w:rFonts w:ascii="Times New Roman"/>
              </w:rPr>
              <w:t>高压传感器（PSH）和（或）低压传感器（PSL）</w:t>
            </w:r>
            <w:r>
              <w:rPr>
                <w:rFonts w:ascii="Times New Roman"/>
                <w:color w:val="000000"/>
              </w:rPr>
              <w:t>设有用于检测流量损失的关断值。</w:t>
            </w:r>
          </w:p>
        </w:tc>
        <w:tc>
          <w:tcPr>
            <w:tcW w:w="4401" w:type="dxa"/>
          </w:tcPr>
          <w:p w14:paraId="3D528248">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553D28B9">
            <w:pPr>
              <w:rPr>
                <w:color w:val="000000"/>
                <w:spacing w:val="13"/>
                <w:szCs w:val="21"/>
                <w:shd w:val="clear" w:color="auto" w:fill="FFFFFF"/>
              </w:rPr>
            </w:pPr>
            <w:r>
              <w:rPr>
                <w:color w:val="000000"/>
                <w:spacing w:val="13"/>
                <w:szCs w:val="21"/>
                <w:shd w:val="clear" w:color="auto" w:fill="FFFFFF"/>
              </w:rPr>
              <w:t>6.3.7.2 流动安全保护</w:t>
            </w:r>
          </w:p>
          <w:p w14:paraId="230F939F">
            <w:pPr>
              <w:rPr>
                <w:color w:val="000000"/>
                <w:spacing w:val="13"/>
                <w:szCs w:val="21"/>
                <w:shd w:val="clear" w:color="auto" w:fill="FFFFFF"/>
              </w:rPr>
            </w:pPr>
            <w:r>
              <w:rPr>
                <w:color w:val="000000"/>
                <w:spacing w:val="13"/>
                <w:szCs w:val="21"/>
                <w:shd w:val="clear" w:color="auto" w:fill="FFFFFF"/>
              </w:rPr>
              <w:t>泵的出口管线应设FSV</w:t>
            </w:r>
            <w:r>
              <w:rPr>
                <w:rFonts w:hint="eastAsia"/>
                <w:color w:val="000000"/>
                <w:spacing w:val="13"/>
                <w:szCs w:val="21"/>
                <w:shd w:val="clear" w:color="auto" w:fill="FFFFFF"/>
              </w:rPr>
              <w:t>，</w:t>
            </w:r>
            <w:r>
              <w:rPr>
                <w:color w:val="000000"/>
                <w:spacing w:val="13"/>
                <w:szCs w:val="21"/>
                <w:shd w:val="clear" w:color="auto" w:fill="FFFFFF"/>
              </w:rPr>
              <w:t>以防止回流。2.SY/T 10033-2002《海上生产平台基本上部设施安全系统的分析设计安装和测试的推荐做法》A7.2 安全分析。(2)流动安全装置(FSV)。泵排出管线上应设止回阀(FSV)</w:t>
            </w:r>
            <w:r>
              <w:rPr>
                <w:rFonts w:hint="eastAsia"/>
                <w:color w:val="000000"/>
                <w:spacing w:val="13"/>
                <w:szCs w:val="21"/>
                <w:shd w:val="clear" w:color="auto" w:fill="FFFFFF"/>
                <w:lang w:eastAsia="zh-CN"/>
              </w:rPr>
              <w:t>，</w:t>
            </w:r>
            <w:r>
              <w:rPr>
                <w:color w:val="000000"/>
                <w:spacing w:val="13"/>
                <w:szCs w:val="21"/>
                <w:shd w:val="clear" w:color="auto" w:fill="FFFFFF"/>
              </w:rPr>
              <w:t>以将回流降至最低限度。</w:t>
            </w:r>
          </w:p>
          <w:p w14:paraId="70F0FDA7">
            <w:pPr>
              <w:rPr>
                <w:color w:val="000000"/>
                <w:spacing w:val="13"/>
                <w:szCs w:val="21"/>
                <w:shd w:val="clear" w:color="auto" w:fill="FFFFFF"/>
              </w:rPr>
            </w:pPr>
          </w:p>
        </w:tc>
      </w:tr>
      <w:tr w14:paraId="6DC21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96" w:type="dxa"/>
          </w:tcPr>
          <w:p w14:paraId="43243E8A">
            <w:pPr>
              <w:numPr>
                <w:ilvl w:val="0"/>
                <w:numId w:val="132"/>
              </w:numPr>
              <w:jc w:val="center"/>
              <w:rPr>
                <w:color w:val="000000"/>
                <w:szCs w:val="21"/>
              </w:rPr>
            </w:pPr>
          </w:p>
        </w:tc>
        <w:tc>
          <w:tcPr>
            <w:tcW w:w="1172" w:type="dxa"/>
          </w:tcPr>
          <w:p w14:paraId="49AA3842">
            <w:pPr>
              <w:jc w:val="center"/>
              <w:rPr>
                <w:color w:val="000000"/>
                <w:szCs w:val="21"/>
              </w:rPr>
            </w:pPr>
            <w:r>
              <w:rPr>
                <w:color w:val="000000"/>
                <w:szCs w:val="21"/>
              </w:rPr>
              <w:t>10.2.9.1</w:t>
            </w:r>
          </w:p>
          <w:p w14:paraId="6D1F3063">
            <w:pPr>
              <w:jc w:val="center"/>
              <w:rPr>
                <w:color w:val="000000"/>
                <w:szCs w:val="21"/>
              </w:rPr>
            </w:pPr>
            <w:r>
              <w:rPr>
                <w:color w:val="000000"/>
                <w:szCs w:val="21"/>
              </w:rPr>
              <w:t>10.2.9.1.1</w:t>
            </w:r>
          </w:p>
          <w:p w14:paraId="62D61846">
            <w:pPr>
              <w:jc w:val="center"/>
              <w:rPr>
                <w:color w:val="000000"/>
                <w:szCs w:val="21"/>
              </w:rPr>
            </w:pPr>
          </w:p>
          <w:p w14:paraId="6D66FC02">
            <w:pPr>
              <w:jc w:val="center"/>
              <w:rPr>
                <w:color w:val="000000"/>
                <w:szCs w:val="21"/>
              </w:rPr>
            </w:pPr>
          </w:p>
          <w:p w14:paraId="3BD741EE">
            <w:pPr>
              <w:jc w:val="center"/>
              <w:rPr>
                <w:color w:val="000000"/>
                <w:szCs w:val="21"/>
              </w:rPr>
            </w:pPr>
          </w:p>
          <w:p w14:paraId="0D924CCD">
            <w:pPr>
              <w:jc w:val="center"/>
              <w:rPr>
                <w:color w:val="000000"/>
                <w:szCs w:val="21"/>
              </w:rPr>
            </w:pPr>
          </w:p>
          <w:p w14:paraId="6E55170E">
            <w:pPr>
              <w:jc w:val="center"/>
              <w:rPr>
                <w:color w:val="000000"/>
                <w:szCs w:val="21"/>
              </w:rPr>
            </w:pPr>
          </w:p>
          <w:p w14:paraId="39AFA258">
            <w:pPr>
              <w:jc w:val="center"/>
              <w:rPr>
                <w:color w:val="000000"/>
                <w:szCs w:val="21"/>
              </w:rPr>
            </w:pPr>
          </w:p>
          <w:p w14:paraId="5DC0CEEF">
            <w:pPr>
              <w:jc w:val="center"/>
              <w:rPr>
                <w:color w:val="000000"/>
                <w:szCs w:val="21"/>
              </w:rPr>
            </w:pPr>
          </w:p>
          <w:p w14:paraId="6199CFAE">
            <w:pPr>
              <w:jc w:val="center"/>
              <w:rPr>
                <w:color w:val="000000"/>
                <w:szCs w:val="21"/>
              </w:rPr>
            </w:pPr>
            <w:r>
              <w:rPr>
                <w:color w:val="000000"/>
                <w:szCs w:val="21"/>
              </w:rPr>
              <w:t>10.2.9.1.2</w:t>
            </w:r>
          </w:p>
          <w:p w14:paraId="70659D48">
            <w:pPr>
              <w:jc w:val="center"/>
              <w:rPr>
                <w:color w:val="000000"/>
                <w:szCs w:val="21"/>
              </w:rPr>
            </w:pPr>
          </w:p>
          <w:p w14:paraId="09563696">
            <w:pPr>
              <w:jc w:val="center"/>
              <w:rPr>
                <w:color w:val="000000"/>
                <w:szCs w:val="21"/>
              </w:rPr>
            </w:pPr>
          </w:p>
          <w:p w14:paraId="3E425211">
            <w:pPr>
              <w:jc w:val="center"/>
              <w:rPr>
                <w:color w:val="000000"/>
                <w:szCs w:val="21"/>
              </w:rPr>
            </w:pPr>
            <w:r>
              <w:rPr>
                <w:color w:val="000000"/>
                <w:szCs w:val="21"/>
              </w:rPr>
              <w:t>10.2.9.1.3</w:t>
            </w:r>
          </w:p>
          <w:p w14:paraId="7FDBACEC">
            <w:pPr>
              <w:jc w:val="center"/>
              <w:rPr>
                <w:color w:val="000000"/>
                <w:szCs w:val="21"/>
              </w:rPr>
            </w:pPr>
          </w:p>
          <w:p w14:paraId="6C8B8620">
            <w:pPr>
              <w:jc w:val="center"/>
              <w:rPr>
                <w:color w:val="000000"/>
                <w:szCs w:val="21"/>
              </w:rPr>
            </w:pPr>
          </w:p>
          <w:p w14:paraId="2D286383">
            <w:pPr>
              <w:jc w:val="center"/>
              <w:rPr>
                <w:color w:val="000000"/>
                <w:szCs w:val="21"/>
              </w:rPr>
            </w:pPr>
          </w:p>
          <w:p w14:paraId="33AF99E8">
            <w:pPr>
              <w:jc w:val="center"/>
              <w:rPr>
                <w:color w:val="000000"/>
                <w:szCs w:val="21"/>
              </w:rPr>
            </w:pPr>
          </w:p>
          <w:p w14:paraId="6D5E5B1A">
            <w:pPr>
              <w:jc w:val="center"/>
              <w:rPr>
                <w:color w:val="000000"/>
                <w:szCs w:val="21"/>
              </w:rPr>
            </w:pPr>
          </w:p>
          <w:p w14:paraId="53662E6E">
            <w:pPr>
              <w:jc w:val="center"/>
              <w:rPr>
                <w:color w:val="000000"/>
                <w:szCs w:val="21"/>
              </w:rPr>
            </w:pPr>
          </w:p>
          <w:p w14:paraId="355950B5">
            <w:pPr>
              <w:jc w:val="center"/>
              <w:rPr>
                <w:color w:val="000000"/>
                <w:szCs w:val="21"/>
              </w:rPr>
            </w:pPr>
            <w:r>
              <w:rPr>
                <w:color w:val="000000"/>
                <w:szCs w:val="21"/>
              </w:rPr>
              <w:t>10.2.9.1.4</w:t>
            </w:r>
          </w:p>
          <w:p w14:paraId="1BD13B31">
            <w:pPr>
              <w:jc w:val="center"/>
              <w:rPr>
                <w:color w:val="000000"/>
                <w:szCs w:val="21"/>
              </w:rPr>
            </w:pPr>
          </w:p>
          <w:p w14:paraId="5706384D">
            <w:pPr>
              <w:jc w:val="center"/>
              <w:rPr>
                <w:color w:val="000000"/>
                <w:szCs w:val="21"/>
              </w:rPr>
            </w:pPr>
          </w:p>
          <w:p w14:paraId="17BD1123">
            <w:pPr>
              <w:jc w:val="center"/>
              <w:rPr>
                <w:color w:val="000000"/>
                <w:szCs w:val="21"/>
              </w:rPr>
            </w:pPr>
          </w:p>
          <w:p w14:paraId="3947D2BC">
            <w:pPr>
              <w:jc w:val="center"/>
              <w:rPr>
                <w:color w:val="000000"/>
                <w:szCs w:val="21"/>
              </w:rPr>
            </w:pPr>
          </w:p>
          <w:p w14:paraId="06430EDC">
            <w:pPr>
              <w:jc w:val="center"/>
              <w:rPr>
                <w:color w:val="000000"/>
                <w:szCs w:val="21"/>
              </w:rPr>
            </w:pPr>
          </w:p>
          <w:p w14:paraId="1F872B68">
            <w:pPr>
              <w:jc w:val="center"/>
              <w:rPr>
                <w:color w:val="000000"/>
                <w:szCs w:val="21"/>
              </w:rPr>
            </w:pPr>
          </w:p>
          <w:p w14:paraId="4AD925C3">
            <w:pPr>
              <w:jc w:val="center"/>
              <w:rPr>
                <w:color w:val="000000"/>
                <w:szCs w:val="21"/>
              </w:rPr>
            </w:pPr>
          </w:p>
          <w:p w14:paraId="2FEC9C9D">
            <w:pPr>
              <w:jc w:val="center"/>
              <w:rPr>
                <w:color w:val="000000"/>
                <w:szCs w:val="21"/>
              </w:rPr>
            </w:pPr>
            <w:r>
              <w:rPr>
                <w:color w:val="000000"/>
                <w:szCs w:val="21"/>
              </w:rPr>
              <w:t>10.2.9.1.5</w:t>
            </w:r>
          </w:p>
          <w:p w14:paraId="0F6607E0">
            <w:pPr>
              <w:jc w:val="center"/>
              <w:rPr>
                <w:color w:val="000000"/>
                <w:szCs w:val="21"/>
              </w:rPr>
            </w:pPr>
          </w:p>
          <w:p w14:paraId="60A6F5CC">
            <w:pPr>
              <w:jc w:val="center"/>
              <w:rPr>
                <w:color w:val="000000"/>
                <w:szCs w:val="21"/>
              </w:rPr>
            </w:pPr>
          </w:p>
          <w:p w14:paraId="0FA041B8">
            <w:pPr>
              <w:jc w:val="center"/>
              <w:rPr>
                <w:color w:val="000000"/>
                <w:szCs w:val="21"/>
              </w:rPr>
            </w:pPr>
          </w:p>
          <w:p w14:paraId="40C37BB7">
            <w:pPr>
              <w:jc w:val="center"/>
              <w:rPr>
                <w:color w:val="000000"/>
                <w:szCs w:val="21"/>
              </w:rPr>
            </w:pPr>
          </w:p>
          <w:p w14:paraId="7D866071">
            <w:pPr>
              <w:jc w:val="center"/>
              <w:rPr>
                <w:color w:val="000000"/>
                <w:szCs w:val="21"/>
              </w:rPr>
            </w:pPr>
            <w:r>
              <w:rPr>
                <w:color w:val="000000"/>
                <w:szCs w:val="21"/>
              </w:rPr>
              <w:t>10.2.9.1.6</w:t>
            </w:r>
          </w:p>
          <w:p w14:paraId="02CF4EC5">
            <w:pPr>
              <w:jc w:val="center"/>
              <w:rPr>
                <w:color w:val="000000"/>
                <w:szCs w:val="21"/>
              </w:rPr>
            </w:pPr>
          </w:p>
          <w:p w14:paraId="5D83488F">
            <w:pPr>
              <w:jc w:val="center"/>
              <w:rPr>
                <w:color w:val="000000"/>
                <w:szCs w:val="21"/>
              </w:rPr>
            </w:pPr>
          </w:p>
        </w:tc>
        <w:tc>
          <w:tcPr>
            <w:tcW w:w="2725" w:type="dxa"/>
          </w:tcPr>
          <w:p w14:paraId="4D58221F">
            <w:pPr>
              <w:pStyle w:val="328"/>
              <w:numPr>
                <w:ilvl w:val="0"/>
                <w:numId w:val="0"/>
              </w:numPr>
              <w:rPr>
                <w:rFonts w:ascii="Times New Roman"/>
                <w:color w:val="000000"/>
              </w:rPr>
            </w:pPr>
            <w:r>
              <w:rPr>
                <w:rFonts w:ascii="Times New Roman"/>
                <w:color w:val="000000"/>
              </w:rPr>
              <w:t>压力安全保护</w:t>
            </w:r>
          </w:p>
          <w:p w14:paraId="049A550E">
            <w:pPr>
              <w:pStyle w:val="328"/>
              <w:numPr>
                <w:ilvl w:val="0"/>
                <w:numId w:val="0"/>
              </w:numPr>
              <w:rPr>
                <w:rFonts w:ascii="Times New Roman"/>
                <w:color w:val="000000"/>
              </w:rPr>
            </w:pPr>
            <w:r>
              <w:rPr>
                <w:rFonts w:ascii="Times New Roman"/>
              </w:rPr>
              <w:t>压缩机的每一个吸入管道上应设高压传感器（PSH）、低压传感器（PSL）。若每一输入源都有高压传感器（PSH）、低压传感器（PSL）并可保护压缩机，则吸入管道上可不设高压传感器（PSH）、低压传感器（PSL）</w:t>
            </w:r>
            <w:r>
              <w:rPr>
                <w:rFonts w:ascii="Times New Roman"/>
                <w:color w:val="000000"/>
              </w:rPr>
              <w:t>。</w:t>
            </w:r>
          </w:p>
          <w:p w14:paraId="6E8E18C0">
            <w:pPr>
              <w:pStyle w:val="328"/>
              <w:numPr>
                <w:ilvl w:val="0"/>
                <w:numId w:val="0"/>
              </w:numPr>
              <w:rPr>
                <w:rFonts w:ascii="Times New Roman"/>
                <w:color w:val="000000"/>
              </w:rPr>
            </w:pPr>
            <w:r>
              <w:rPr>
                <w:rFonts w:ascii="Times New Roman"/>
                <w:color w:val="000000"/>
              </w:rPr>
              <w:t>在压缩机的出口管道上也应设</w:t>
            </w:r>
            <w:r>
              <w:rPr>
                <w:rFonts w:ascii="Times New Roman"/>
              </w:rPr>
              <w:t>高压传感器（PSH）、低压传感器（PSL）</w:t>
            </w:r>
            <w:r>
              <w:rPr>
                <w:rFonts w:ascii="Times New Roman"/>
                <w:color w:val="000000"/>
              </w:rPr>
              <w:t>。</w:t>
            </w:r>
          </w:p>
          <w:p w14:paraId="6E802289">
            <w:pPr>
              <w:pStyle w:val="328"/>
              <w:numPr>
                <w:ilvl w:val="0"/>
                <w:numId w:val="0"/>
              </w:numPr>
              <w:rPr>
                <w:rFonts w:ascii="Times New Roman"/>
                <w:color w:val="000000"/>
              </w:rPr>
            </w:pPr>
            <w:r>
              <w:rPr>
                <w:rFonts w:ascii="Times New Roman"/>
                <w:color w:val="000000"/>
              </w:rPr>
              <w:t>压缩机由设在其下游的高压传感器（PSH）、低压传感器（PSL）保护，并且该PSH、PSL与压缩机之间始终</w:t>
            </w:r>
            <w:r>
              <w:rPr>
                <w:rFonts w:hint="eastAsia" w:ascii="Times New Roman"/>
                <w:color w:val="000000"/>
              </w:rPr>
              <w:t>贯</w:t>
            </w:r>
            <w:r>
              <w:rPr>
                <w:rFonts w:ascii="Times New Roman"/>
                <w:color w:val="000000"/>
              </w:rPr>
              <w:t>通，则其出口管道上可不设高压传感器（PSH）、低压传感器（PSL）。</w:t>
            </w:r>
          </w:p>
          <w:p w14:paraId="626763B0">
            <w:pPr>
              <w:pStyle w:val="328"/>
              <w:numPr>
                <w:ilvl w:val="0"/>
                <w:numId w:val="0"/>
              </w:numPr>
              <w:rPr>
                <w:rFonts w:ascii="Times New Roman"/>
                <w:color w:val="000000"/>
              </w:rPr>
            </w:pPr>
            <w:r>
              <w:rPr>
                <w:rFonts w:ascii="Times New Roman"/>
              </w:rPr>
              <w:t>压缩机的每一个吸入管道上应设压力安全阀（PSV）。若每一输入源都设有压力安全阀（PSV），并且也保护压缩机，则其吸入管道上可不设压力安全阀（PSV）。压缩机出口管道上也应设压力安全阀（PSV）</w:t>
            </w:r>
            <w:r>
              <w:rPr>
                <w:rFonts w:ascii="Times New Roman"/>
                <w:color w:val="000000"/>
              </w:rPr>
              <w:t>。</w:t>
            </w:r>
          </w:p>
          <w:p w14:paraId="48B5BBA9">
            <w:pPr>
              <w:pStyle w:val="328"/>
              <w:numPr>
                <w:ilvl w:val="0"/>
                <w:numId w:val="0"/>
              </w:numPr>
              <w:rPr>
                <w:rFonts w:ascii="Times New Roman"/>
                <w:color w:val="000000"/>
              </w:rPr>
            </w:pPr>
            <w:r>
              <w:rPr>
                <w:rFonts w:ascii="Times New Roman"/>
                <w:color w:val="000000"/>
              </w:rPr>
              <w:t>若压缩机为动能型，且最大出口压力不可能高于其出口管道的最大允许工作压力（MAWP），其出口管道上可不设压力安全阀（PSV）。</w:t>
            </w:r>
          </w:p>
          <w:p w14:paraId="6DB866DF">
            <w:pPr>
              <w:pStyle w:val="328"/>
              <w:numPr>
                <w:ilvl w:val="0"/>
                <w:numId w:val="0"/>
              </w:numPr>
              <w:rPr>
                <w:rFonts w:ascii="Times New Roman"/>
                <w:color w:val="000000"/>
              </w:rPr>
            </w:pPr>
            <w:r>
              <w:rPr>
                <w:rFonts w:ascii="Times New Roman"/>
                <w:color w:val="000000"/>
              </w:rPr>
              <w:t>压缩机由设在其下游任一冷却器的压力安全阀（PSV）保护，并且该压力安全阀（PSV）与压缩机之间始终贯通，则其出口管道上可不设压力安全阀（PSV）。</w:t>
            </w:r>
          </w:p>
        </w:tc>
        <w:tc>
          <w:tcPr>
            <w:tcW w:w="4401" w:type="dxa"/>
          </w:tcPr>
          <w:p w14:paraId="3E49640C">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3B093DE1">
            <w:pPr>
              <w:rPr>
                <w:color w:val="000000"/>
                <w:spacing w:val="13"/>
                <w:szCs w:val="21"/>
                <w:shd w:val="clear" w:color="auto" w:fill="FFFFFF"/>
              </w:rPr>
            </w:pPr>
            <w:r>
              <w:rPr>
                <w:color w:val="000000"/>
                <w:spacing w:val="13"/>
                <w:szCs w:val="21"/>
                <w:shd w:val="clear" w:color="auto" w:fill="FFFFFF"/>
              </w:rPr>
              <w:t>6.3.8 烃类压缩机</w:t>
            </w:r>
          </w:p>
          <w:p w14:paraId="3E3C296F">
            <w:pPr>
              <w:rPr>
                <w:color w:val="000000"/>
                <w:spacing w:val="13"/>
                <w:szCs w:val="21"/>
                <w:shd w:val="clear" w:color="auto" w:fill="FFFFFF"/>
              </w:rPr>
            </w:pPr>
            <w:r>
              <w:rPr>
                <w:color w:val="000000"/>
                <w:spacing w:val="13"/>
                <w:szCs w:val="21"/>
                <w:shd w:val="clear" w:color="auto" w:fill="FFFFFF"/>
              </w:rPr>
              <w:t>6.3.8.1 压力安全保护</w:t>
            </w:r>
          </w:p>
          <w:p w14:paraId="090FE8AB">
            <w:pPr>
              <w:rPr>
                <w:color w:val="000000"/>
                <w:spacing w:val="13"/>
                <w:szCs w:val="21"/>
                <w:shd w:val="clear" w:color="auto" w:fill="FFFFFF"/>
              </w:rPr>
            </w:pPr>
            <w:r>
              <w:rPr>
                <w:color w:val="000000"/>
                <w:spacing w:val="13"/>
                <w:szCs w:val="21"/>
                <w:shd w:val="clear" w:color="auto" w:fill="FFFFFF"/>
              </w:rPr>
              <w:t>压缩机的吸入管线上应设PSH、PSL。若每一输入源都有PSH、PSL保护并可保护压缩机</w:t>
            </w:r>
            <w:r>
              <w:rPr>
                <w:rFonts w:hint="eastAsia"/>
                <w:color w:val="000000"/>
                <w:spacing w:val="13"/>
                <w:szCs w:val="21"/>
                <w:shd w:val="clear" w:color="auto" w:fill="FFFFFF"/>
              </w:rPr>
              <w:t>，</w:t>
            </w:r>
            <w:r>
              <w:rPr>
                <w:color w:val="000000"/>
                <w:spacing w:val="13"/>
                <w:szCs w:val="21"/>
                <w:shd w:val="clear" w:color="auto" w:fill="FFFFFF"/>
              </w:rPr>
              <w:t>则吸入管线上可不设PSH、PSL。在压缩机的出口管线上也应设PSH、PSL</w:t>
            </w:r>
            <w:r>
              <w:rPr>
                <w:rFonts w:hint="eastAsia"/>
                <w:color w:val="000000"/>
                <w:spacing w:val="13"/>
                <w:szCs w:val="21"/>
                <w:shd w:val="clear" w:color="auto" w:fill="FFFFFF"/>
              </w:rPr>
              <w:t>，</w:t>
            </w:r>
            <w:r>
              <w:rPr>
                <w:color w:val="000000"/>
                <w:spacing w:val="13"/>
                <w:szCs w:val="21"/>
                <w:shd w:val="clear" w:color="auto" w:fill="FFFFFF"/>
              </w:rPr>
              <w:t>以便在必要时切断工艺流体流入和动力端的燃料供应。压缩机的吸入管线上应设PSV。若每一输入源都设有PSV</w:t>
            </w:r>
            <w:r>
              <w:rPr>
                <w:rFonts w:hint="eastAsia"/>
                <w:color w:val="000000"/>
                <w:spacing w:val="13"/>
                <w:szCs w:val="21"/>
                <w:shd w:val="clear" w:color="auto" w:fill="FFFFFF"/>
              </w:rPr>
              <w:t>，</w:t>
            </w:r>
            <w:r>
              <w:rPr>
                <w:color w:val="000000"/>
                <w:spacing w:val="13"/>
                <w:szCs w:val="21"/>
                <w:shd w:val="clear" w:color="auto" w:fill="FFFFFF"/>
              </w:rPr>
              <w:t>并且也保护压缩机则其吸入管线上可不设PSV。压缩机出口管线上也应设PSV。若压缩机为动能型</w:t>
            </w:r>
            <w:r>
              <w:rPr>
                <w:rFonts w:hint="eastAsia"/>
                <w:color w:val="000000"/>
                <w:spacing w:val="13"/>
                <w:szCs w:val="21"/>
                <w:shd w:val="clear" w:color="auto" w:fill="FFFFFF"/>
              </w:rPr>
              <w:t>，</w:t>
            </w:r>
            <w:r>
              <w:rPr>
                <w:color w:val="000000"/>
                <w:spacing w:val="13"/>
                <w:szCs w:val="21"/>
                <w:shd w:val="clear" w:color="auto" w:fill="FFFFFF"/>
              </w:rPr>
              <w:t>且不可能产生高于其出口管线额定工作压力的压力时</w:t>
            </w:r>
            <w:r>
              <w:rPr>
                <w:rFonts w:hint="eastAsia"/>
                <w:color w:val="000000"/>
                <w:spacing w:val="13"/>
                <w:szCs w:val="21"/>
                <w:shd w:val="clear" w:color="auto" w:fill="FFFFFF"/>
              </w:rPr>
              <w:t>，</w:t>
            </w:r>
            <w:r>
              <w:rPr>
                <w:color w:val="000000"/>
                <w:spacing w:val="13"/>
                <w:szCs w:val="21"/>
                <w:shd w:val="clear" w:color="auto" w:fill="FFFFFF"/>
              </w:rPr>
              <w:t>其出口管线上可不设PSV。</w:t>
            </w:r>
          </w:p>
          <w:p w14:paraId="1C963496">
            <w:pPr>
              <w:rPr>
                <w:color w:val="000000"/>
                <w:spacing w:val="13"/>
                <w:szCs w:val="21"/>
                <w:shd w:val="clear" w:color="auto" w:fill="FFFFFF"/>
              </w:rPr>
            </w:pPr>
            <w:r>
              <w:rPr>
                <w:color w:val="000000"/>
                <w:spacing w:val="13"/>
                <w:szCs w:val="21"/>
                <w:shd w:val="clear" w:color="auto" w:fill="FFFFFF"/>
              </w:rPr>
              <w:t>2.SY/T 10033-2002《海上生产平台基本上部设施安全系统的分析设计安装和测试的推荐做法》A8.2 安全分析</w:t>
            </w:r>
          </w:p>
          <w:p w14:paraId="25C90094">
            <w:pPr>
              <w:rPr>
                <w:color w:val="000000"/>
                <w:spacing w:val="13"/>
                <w:szCs w:val="21"/>
                <w:shd w:val="clear" w:color="auto" w:fill="FFFFFF"/>
              </w:rPr>
            </w:pPr>
            <w:r>
              <w:rPr>
                <w:color w:val="000000"/>
                <w:spacing w:val="13"/>
                <w:szCs w:val="21"/>
                <w:shd w:val="clear" w:color="auto" w:fill="FFFFFF"/>
              </w:rPr>
              <w:t>(1)压力安全装置(PSH</w:t>
            </w:r>
            <w:r>
              <w:rPr>
                <w:rFonts w:hint="eastAsia"/>
                <w:color w:val="000000"/>
                <w:spacing w:val="13"/>
                <w:szCs w:val="21"/>
                <w:shd w:val="clear" w:color="auto" w:fill="FFFFFF"/>
                <w:lang w:eastAsia="zh-CN"/>
              </w:rPr>
              <w:t>，</w:t>
            </w:r>
            <w:r>
              <w:rPr>
                <w:color w:val="000000"/>
                <w:spacing w:val="13"/>
                <w:szCs w:val="21"/>
                <w:shd w:val="clear" w:color="auto" w:fill="FFFFFF"/>
              </w:rPr>
              <w:t>PSL和PSV)。压缩机组每一吸入管线上都应安装PSH和PSL传感器，除非每一个输入源都有PSH</w:t>
            </w:r>
            <w:r>
              <w:rPr>
                <w:rFonts w:hint="eastAsia"/>
                <w:color w:val="000000"/>
                <w:spacing w:val="13"/>
                <w:szCs w:val="21"/>
                <w:shd w:val="clear" w:color="auto" w:fill="FFFFFF"/>
                <w:lang w:eastAsia="zh-CN"/>
              </w:rPr>
              <w:t>，</w:t>
            </w:r>
            <w:r>
              <w:rPr>
                <w:color w:val="000000"/>
                <w:spacing w:val="13"/>
                <w:szCs w:val="21"/>
                <w:shd w:val="clear" w:color="auto" w:fill="FFFFFF"/>
              </w:rPr>
              <w:t>PSL传感器保护，并且同时也能保护压缩机。压缩机每一排出管线上也都应安装PSH和PSL传感器。PSH和PSL传感器应切断压缩机所有工艺输入管线和燃料气管线。压第机每一吸人管线上都应安装，除非每一个输人源都有PSV保护，并且同时也能保护压缩机。压缩机每一排出管线上也都应安装PSV。如果压缩机为动能型的，并且不可能产生超过压缩机或排出管线最高允许操作压力的压力，则在压缩机出口上无需安装PSV。</w:t>
            </w:r>
          </w:p>
        </w:tc>
      </w:tr>
      <w:tr w14:paraId="3EBBF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96" w:type="dxa"/>
          </w:tcPr>
          <w:p w14:paraId="4E92BDB0">
            <w:pPr>
              <w:numPr>
                <w:ilvl w:val="0"/>
                <w:numId w:val="132"/>
              </w:numPr>
              <w:jc w:val="center"/>
              <w:rPr>
                <w:color w:val="000000"/>
                <w:szCs w:val="21"/>
              </w:rPr>
            </w:pPr>
          </w:p>
        </w:tc>
        <w:tc>
          <w:tcPr>
            <w:tcW w:w="1172" w:type="dxa"/>
          </w:tcPr>
          <w:p w14:paraId="308C4AE4">
            <w:pPr>
              <w:jc w:val="center"/>
              <w:rPr>
                <w:color w:val="000000"/>
                <w:szCs w:val="21"/>
              </w:rPr>
            </w:pPr>
            <w:r>
              <w:rPr>
                <w:color w:val="000000"/>
                <w:szCs w:val="21"/>
              </w:rPr>
              <w:t>10.2.9.2</w:t>
            </w:r>
          </w:p>
          <w:p w14:paraId="5615A649">
            <w:pPr>
              <w:jc w:val="center"/>
              <w:rPr>
                <w:color w:val="000000"/>
                <w:szCs w:val="21"/>
              </w:rPr>
            </w:pPr>
          </w:p>
        </w:tc>
        <w:tc>
          <w:tcPr>
            <w:tcW w:w="2725" w:type="dxa"/>
          </w:tcPr>
          <w:p w14:paraId="41002638">
            <w:pPr>
              <w:pStyle w:val="328"/>
              <w:numPr>
                <w:ilvl w:val="0"/>
                <w:numId w:val="0"/>
              </w:numPr>
              <w:rPr>
                <w:rFonts w:ascii="Times New Roman"/>
                <w:color w:val="000000"/>
              </w:rPr>
            </w:pPr>
            <w:r>
              <w:rPr>
                <w:rFonts w:ascii="Times New Roman"/>
                <w:color w:val="000000"/>
              </w:rPr>
              <w:t>流动安全保护</w:t>
            </w:r>
          </w:p>
          <w:p w14:paraId="350DCC36">
            <w:pPr>
              <w:pStyle w:val="328"/>
              <w:numPr>
                <w:ilvl w:val="0"/>
                <w:numId w:val="0"/>
              </w:numPr>
              <w:rPr>
                <w:rFonts w:ascii="Times New Roman"/>
                <w:color w:val="000000"/>
              </w:rPr>
            </w:pPr>
            <w:r>
              <w:rPr>
                <w:rFonts w:ascii="Times New Roman"/>
                <w:color w:val="000000"/>
              </w:rPr>
              <w:t>压缩机每一最终出口管道上应设</w:t>
            </w:r>
            <w:r>
              <w:rPr>
                <w:rFonts w:ascii="Times New Roman"/>
              </w:rPr>
              <w:t>流动安全阀（FSV）</w:t>
            </w:r>
            <w:r>
              <w:rPr>
                <w:rFonts w:ascii="Times New Roman"/>
                <w:color w:val="000000"/>
              </w:rPr>
              <w:t>以防止回流。</w:t>
            </w:r>
          </w:p>
        </w:tc>
        <w:tc>
          <w:tcPr>
            <w:tcW w:w="4401" w:type="dxa"/>
          </w:tcPr>
          <w:p w14:paraId="48806AEB">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2AF3A13C">
            <w:pPr>
              <w:rPr>
                <w:color w:val="000000"/>
                <w:spacing w:val="13"/>
                <w:szCs w:val="21"/>
                <w:shd w:val="clear" w:color="auto" w:fill="FFFFFF"/>
              </w:rPr>
            </w:pPr>
            <w:r>
              <w:rPr>
                <w:color w:val="000000"/>
                <w:spacing w:val="13"/>
                <w:szCs w:val="21"/>
                <w:shd w:val="clear" w:color="auto" w:fill="FFFFFF"/>
              </w:rPr>
              <w:t>6.3.8.2 流动安全保护</w:t>
            </w:r>
          </w:p>
          <w:p w14:paraId="104EB98B">
            <w:pPr>
              <w:rPr>
                <w:color w:val="000000"/>
                <w:spacing w:val="13"/>
                <w:szCs w:val="21"/>
                <w:shd w:val="clear" w:color="auto" w:fill="FFFFFF"/>
              </w:rPr>
            </w:pPr>
            <w:r>
              <w:rPr>
                <w:color w:val="000000"/>
                <w:spacing w:val="13"/>
                <w:szCs w:val="21"/>
                <w:shd w:val="clear" w:color="auto" w:fill="FFFFFF"/>
              </w:rPr>
              <w:t>压缩机每一最终出口管线上应设FSV以防止回流。</w:t>
            </w:r>
          </w:p>
          <w:p w14:paraId="5C2F252F">
            <w:pPr>
              <w:rPr>
                <w:color w:val="000000"/>
                <w:spacing w:val="13"/>
                <w:szCs w:val="21"/>
                <w:shd w:val="clear" w:color="auto" w:fill="FFFFFF"/>
              </w:rPr>
            </w:pPr>
            <w:r>
              <w:rPr>
                <w:color w:val="000000"/>
                <w:spacing w:val="13"/>
                <w:szCs w:val="21"/>
                <w:shd w:val="clear" w:color="auto" w:fill="FFFFFF"/>
              </w:rPr>
              <w:t>2.SY/T 10033-2002《海上生产平台基本上部设施安全系统的分析设计安装和测试的推荐做法》A8.2 安全分析</w:t>
            </w:r>
          </w:p>
          <w:p w14:paraId="46C4BD35">
            <w:pPr>
              <w:rPr>
                <w:color w:val="000000"/>
                <w:spacing w:val="13"/>
                <w:szCs w:val="21"/>
                <w:shd w:val="clear" w:color="auto" w:fill="FFFFFF"/>
              </w:rPr>
            </w:pPr>
            <w:r>
              <w:rPr>
                <w:color w:val="000000"/>
                <w:spacing w:val="13"/>
                <w:szCs w:val="21"/>
                <w:shd w:val="clear" w:color="auto" w:fill="FFFFFF"/>
              </w:rPr>
              <w:t>（2）流动安全装置（FSV）。每条最终的排出管线上都应装设止回阀（FSV），以将回流降至最低限度。</w:t>
            </w:r>
          </w:p>
        </w:tc>
      </w:tr>
      <w:tr w14:paraId="7A7B1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96" w:type="dxa"/>
          </w:tcPr>
          <w:p w14:paraId="4A382361">
            <w:pPr>
              <w:numPr>
                <w:ilvl w:val="0"/>
                <w:numId w:val="132"/>
              </w:numPr>
              <w:jc w:val="center"/>
              <w:rPr>
                <w:color w:val="000000"/>
                <w:szCs w:val="21"/>
              </w:rPr>
            </w:pPr>
          </w:p>
        </w:tc>
        <w:tc>
          <w:tcPr>
            <w:tcW w:w="1172" w:type="dxa"/>
          </w:tcPr>
          <w:p w14:paraId="377AFB13">
            <w:pPr>
              <w:jc w:val="center"/>
              <w:rPr>
                <w:color w:val="000000"/>
                <w:szCs w:val="21"/>
              </w:rPr>
            </w:pPr>
            <w:r>
              <w:rPr>
                <w:color w:val="000000"/>
                <w:szCs w:val="21"/>
              </w:rPr>
              <w:t>10.2.9.3</w:t>
            </w:r>
          </w:p>
          <w:p w14:paraId="3E1B0168">
            <w:pPr>
              <w:jc w:val="center"/>
              <w:rPr>
                <w:color w:val="000000"/>
                <w:szCs w:val="21"/>
              </w:rPr>
            </w:pPr>
          </w:p>
        </w:tc>
        <w:tc>
          <w:tcPr>
            <w:tcW w:w="2725" w:type="dxa"/>
          </w:tcPr>
          <w:p w14:paraId="16EE9B5D">
            <w:pPr>
              <w:pStyle w:val="328"/>
              <w:numPr>
                <w:ilvl w:val="0"/>
                <w:numId w:val="0"/>
              </w:numPr>
              <w:rPr>
                <w:rFonts w:ascii="Times New Roman"/>
                <w:color w:val="000000"/>
              </w:rPr>
            </w:pPr>
            <w:r>
              <w:rPr>
                <w:rFonts w:ascii="Times New Roman"/>
                <w:color w:val="000000"/>
              </w:rPr>
              <w:t>天然气探测装置</w:t>
            </w:r>
          </w:p>
          <w:p w14:paraId="299C448B">
            <w:pPr>
              <w:pStyle w:val="328"/>
              <w:numPr>
                <w:ilvl w:val="0"/>
                <w:numId w:val="0"/>
              </w:numPr>
              <w:rPr>
                <w:rFonts w:ascii="Times New Roman"/>
                <w:color w:val="000000"/>
              </w:rPr>
            </w:pPr>
            <w:r>
              <w:rPr>
                <w:rFonts w:ascii="Times New Roman"/>
                <w:color w:val="000000"/>
              </w:rPr>
              <w:t>若压缩机位于通风不良的建筑内或围蔽处所内，应设天然气探测装置，以便在必要时切断工艺流入源和燃料供应并使压缩机泄压。</w:t>
            </w:r>
          </w:p>
        </w:tc>
        <w:tc>
          <w:tcPr>
            <w:tcW w:w="4401" w:type="dxa"/>
          </w:tcPr>
          <w:p w14:paraId="1691D11E">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7FE9721D">
            <w:pPr>
              <w:rPr>
                <w:color w:val="000000"/>
                <w:spacing w:val="13"/>
                <w:szCs w:val="21"/>
                <w:shd w:val="clear" w:color="auto" w:fill="FFFFFF"/>
              </w:rPr>
            </w:pPr>
            <w:r>
              <w:rPr>
                <w:color w:val="000000"/>
                <w:spacing w:val="13"/>
                <w:szCs w:val="21"/>
                <w:shd w:val="clear" w:color="auto" w:fill="FFFFFF"/>
              </w:rPr>
              <w:t>6.3.8.3 天然气探测装置</w:t>
            </w:r>
          </w:p>
          <w:p w14:paraId="4693A05A">
            <w:pPr>
              <w:rPr>
                <w:color w:val="000000"/>
                <w:spacing w:val="13"/>
                <w:szCs w:val="21"/>
                <w:shd w:val="clear" w:color="auto" w:fill="FFFFFF"/>
              </w:rPr>
            </w:pPr>
            <w:r>
              <w:rPr>
                <w:color w:val="000000"/>
                <w:spacing w:val="13"/>
                <w:szCs w:val="21"/>
                <w:shd w:val="clear" w:color="auto" w:fill="FFFFFF"/>
              </w:rPr>
              <w:t>若压缩机位于通风不良的建筑内或围蔽处所内</w:t>
            </w:r>
            <w:r>
              <w:rPr>
                <w:rFonts w:hint="eastAsia"/>
                <w:color w:val="000000"/>
                <w:spacing w:val="13"/>
                <w:szCs w:val="21"/>
                <w:shd w:val="clear" w:color="auto" w:fill="FFFFFF"/>
              </w:rPr>
              <w:t>，</w:t>
            </w:r>
            <w:r>
              <w:rPr>
                <w:color w:val="000000"/>
                <w:spacing w:val="13"/>
                <w:szCs w:val="21"/>
                <w:shd w:val="clear" w:color="auto" w:fill="FFFFFF"/>
              </w:rPr>
              <w:t>应设天然气探测装置</w:t>
            </w:r>
            <w:r>
              <w:rPr>
                <w:rFonts w:hint="eastAsia"/>
                <w:color w:val="000000"/>
                <w:spacing w:val="13"/>
                <w:szCs w:val="21"/>
                <w:shd w:val="clear" w:color="auto" w:fill="FFFFFF"/>
              </w:rPr>
              <w:t>，</w:t>
            </w:r>
            <w:r>
              <w:rPr>
                <w:color w:val="000000"/>
                <w:spacing w:val="13"/>
                <w:szCs w:val="21"/>
                <w:shd w:val="clear" w:color="auto" w:fill="FFFFFF"/>
              </w:rPr>
              <w:t>以便在必要时切断工艺流入源和燃料供应并使压缩机泄压。</w:t>
            </w:r>
          </w:p>
          <w:p w14:paraId="5C48242E">
            <w:pPr>
              <w:rPr>
                <w:color w:val="000000"/>
                <w:spacing w:val="13"/>
                <w:szCs w:val="21"/>
                <w:shd w:val="clear" w:color="auto" w:fill="FFFFFF"/>
              </w:rPr>
            </w:pPr>
            <w:r>
              <w:rPr>
                <w:color w:val="000000"/>
                <w:spacing w:val="13"/>
                <w:szCs w:val="21"/>
                <w:shd w:val="clear" w:color="auto" w:fill="FFFFFF"/>
              </w:rPr>
              <w:t>2.SY/T 10033-2002《海上生产平台基本上部设施安全系统的分析设计安装和测试的推荐做法》A8.2 安全分析</w:t>
            </w:r>
          </w:p>
          <w:p w14:paraId="5F4301C4">
            <w:pPr>
              <w:rPr>
                <w:color w:val="000000"/>
                <w:spacing w:val="13"/>
                <w:szCs w:val="21"/>
                <w:shd w:val="clear" w:color="auto" w:fill="FFFFFF"/>
              </w:rPr>
            </w:pPr>
            <w:r>
              <w:rPr>
                <w:color w:val="000000"/>
                <w:spacing w:val="13"/>
                <w:szCs w:val="21"/>
                <w:shd w:val="clear" w:color="auto" w:fill="FFFFFF"/>
              </w:rPr>
              <w:t>(3)气体探测装置(ASH)。如果压缩机组安装在通风不良的建筑物或围墙内，应装设气体探测装置(ASH)</w:t>
            </w:r>
            <w:r>
              <w:rPr>
                <w:rFonts w:hint="eastAsia"/>
                <w:color w:val="000000"/>
                <w:spacing w:val="13"/>
                <w:szCs w:val="21"/>
                <w:shd w:val="clear" w:color="auto" w:fill="FFFFFF"/>
                <w:lang w:eastAsia="zh-CN"/>
              </w:rPr>
              <w:t>，</w:t>
            </w:r>
            <w:r>
              <w:rPr>
                <w:color w:val="000000"/>
                <w:spacing w:val="13"/>
                <w:szCs w:val="21"/>
                <w:shd w:val="clear" w:color="auto" w:fill="FFFFFF"/>
              </w:rPr>
              <w:t>以切断所有工艺输入管线和燃料气管线，并使压缩机放空。</w:t>
            </w:r>
          </w:p>
        </w:tc>
      </w:tr>
      <w:tr w14:paraId="333C9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96" w:type="dxa"/>
          </w:tcPr>
          <w:p w14:paraId="7EE943D9">
            <w:pPr>
              <w:numPr>
                <w:ilvl w:val="0"/>
                <w:numId w:val="132"/>
              </w:numPr>
              <w:jc w:val="center"/>
              <w:rPr>
                <w:color w:val="000000"/>
                <w:szCs w:val="21"/>
              </w:rPr>
            </w:pPr>
          </w:p>
        </w:tc>
        <w:tc>
          <w:tcPr>
            <w:tcW w:w="1172" w:type="dxa"/>
          </w:tcPr>
          <w:p w14:paraId="36151DEB">
            <w:pPr>
              <w:jc w:val="center"/>
              <w:rPr>
                <w:color w:val="000000"/>
                <w:szCs w:val="21"/>
              </w:rPr>
            </w:pPr>
            <w:r>
              <w:rPr>
                <w:color w:val="000000"/>
                <w:szCs w:val="21"/>
              </w:rPr>
              <w:t>10.2.9.4</w:t>
            </w:r>
          </w:p>
          <w:p w14:paraId="7F6D47F1">
            <w:pPr>
              <w:jc w:val="center"/>
              <w:rPr>
                <w:color w:val="000000"/>
                <w:szCs w:val="21"/>
              </w:rPr>
            </w:pPr>
          </w:p>
        </w:tc>
        <w:tc>
          <w:tcPr>
            <w:tcW w:w="2725" w:type="dxa"/>
          </w:tcPr>
          <w:p w14:paraId="54CCB973">
            <w:pPr>
              <w:pStyle w:val="328"/>
              <w:numPr>
                <w:ilvl w:val="0"/>
                <w:numId w:val="0"/>
              </w:numPr>
              <w:rPr>
                <w:rFonts w:ascii="Times New Roman"/>
                <w:color w:val="000000"/>
              </w:rPr>
            </w:pPr>
            <w:r>
              <w:rPr>
                <w:rFonts w:ascii="Times New Roman"/>
                <w:color w:val="000000"/>
              </w:rPr>
              <w:t>温度安全保护</w:t>
            </w:r>
          </w:p>
          <w:p w14:paraId="1458561A">
            <w:pPr>
              <w:pStyle w:val="328"/>
              <w:numPr>
                <w:ilvl w:val="0"/>
                <w:numId w:val="0"/>
              </w:numPr>
              <w:rPr>
                <w:rFonts w:ascii="Times New Roman"/>
                <w:color w:val="000000"/>
              </w:rPr>
            </w:pPr>
            <w:r>
              <w:rPr>
                <w:rFonts w:ascii="Times New Roman"/>
                <w:color w:val="000000"/>
              </w:rPr>
              <w:t>应设TSH以保护压缩机每一气缸及壳体，并在必要时切断工艺输入源和燃料供应管道。</w:t>
            </w:r>
          </w:p>
        </w:tc>
        <w:tc>
          <w:tcPr>
            <w:tcW w:w="4401" w:type="dxa"/>
          </w:tcPr>
          <w:p w14:paraId="5FDF8ACD">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3B751A16">
            <w:pPr>
              <w:rPr>
                <w:color w:val="000000"/>
                <w:spacing w:val="13"/>
                <w:szCs w:val="21"/>
                <w:shd w:val="clear" w:color="auto" w:fill="FFFFFF"/>
              </w:rPr>
            </w:pPr>
            <w:r>
              <w:rPr>
                <w:color w:val="000000"/>
                <w:spacing w:val="13"/>
                <w:szCs w:val="21"/>
                <w:shd w:val="clear" w:color="auto" w:fill="FFFFFF"/>
              </w:rPr>
              <w:t>6.3.8.4 温度安全保护</w:t>
            </w:r>
          </w:p>
          <w:p w14:paraId="39BC8779">
            <w:pPr>
              <w:rPr>
                <w:color w:val="000000"/>
                <w:spacing w:val="13"/>
                <w:szCs w:val="21"/>
                <w:shd w:val="clear" w:color="auto" w:fill="FFFFFF"/>
              </w:rPr>
            </w:pPr>
            <w:r>
              <w:rPr>
                <w:color w:val="000000"/>
                <w:spacing w:val="13"/>
                <w:szCs w:val="21"/>
                <w:shd w:val="clear" w:color="auto" w:fill="FFFFFF"/>
              </w:rPr>
              <w:t>应设TSH以保护压缩机每一气缸及壳体</w:t>
            </w:r>
            <w:r>
              <w:rPr>
                <w:rFonts w:hint="eastAsia"/>
                <w:color w:val="000000"/>
                <w:spacing w:val="13"/>
                <w:szCs w:val="21"/>
                <w:shd w:val="clear" w:color="auto" w:fill="FFFFFF"/>
              </w:rPr>
              <w:t>，</w:t>
            </w:r>
            <w:r>
              <w:rPr>
                <w:color w:val="000000"/>
                <w:spacing w:val="13"/>
                <w:szCs w:val="21"/>
                <w:shd w:val="clear" w:color="auto" w:fill="FFFFFF"/>
              </w:rPr>
              <w:t>并在必要时切断工艺输入源和燃料供应管线。</w:t>
            </w:r>
          </w:p>
          <w:p w14:paraId="687FAA75">
            <w:pPr>
              <w:rPr>
                <w:color w:val="000000"/>
                <w:spacing w:val="13"/>
                <w:szCs w:val="21"/>
                <w:shd w:val="clear" w:color="auto" w:fill="FFFFFF"/>
              </w:rPr>
            </w:pPr>
            <w:r>
              <w:rPr>
                <w:color w:val="000000"/>
                <w:spacing w:val="13"/>
                <w:szCs w:val="21"/>
                <w:shd w:val="clear" w:color="auto" w:fill="FFFFFF"/>
              </w:rPr>
              <w:t>2.SY/T 10033-2002《海上生产平台基本上部设施安全系统的分析设计安装和测试的推荐做法》A8.2 安全分析</w:t>
            </w:r>
          </w:p>
          <w:p w14:paraId="662D411D">
            <w:pPr>
              <w:rPr>
                <w:color w:val="000000"/>
                <w:spacing w:val="13"/>
                <w:szCs w:val="21"/>
                <w:shd w:val="clear" w:color="auto" w:fill="FFFFFF"/>
              </w:rPr>
            </w:pPr>
            <w:r>
              <w:rPr>
                <w:color w:val="000000"/>
                <w:spacing w:val="13"/>
                <w:szCs w:val="21"/>
                <w:shd w:val="clear" w:color="auto" w:fill="FFFFFF"/>
              </w:rPr>
              <w:t>(4) 温度安全装置(TSH)。应安装TSH传感器以保护所有压缩机气缸和机壳。TSH传感器应切断所有工艺输入管线和燃料气管线。</w:t>
            </w:r>
          </w:p>
        </w:tc>
      </w:tr>
      <w:tr w14:paraId="58270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96" w:type="dxa"/>
          </w:tcPr>
          <w:p w14:paraId="0553B90F">
            <w:pPr>
              <w:numPr>
                <w:ilvl w:val="0"/>
                <w:numId w:val="132"/>
              </w:numPr>
              <w:jc w:val="center"/>
              <w:rPr>
                <w:color w:val="000000"/>
                <w:szCs w:val="21"/>
              </w:rPr>
            </w:pPr>
          </w:p>
        </w:tc>
        <w:tc>
          <w:tcPr>
            <w:tcW w:w="1172" w:type="dxa"/>
          </w:tcPr>
          <w:p w14:paraId="4F7F49F2">
            <w:pPr>
              <w:jc w:val="center"/>
              <w:rPr>
                <w:color w:val="000000"/>
                <w:szCs w:val="21"/>
              </w:rPr>
            </w:pPr>
            <w:r>
              <w:rPr>
                <w:color w:val="000000"/>
                <w:szCs w:val="21"/>
              </w:rPr>
              <w:t>10.2.10.1</w:t>
            </w:r>
          </w:p>
          <w:p w14:paraId="29EF9D98">
            <w:pPr>
              <w:rPr>
                <w:color w:val="000000"/>
                <w:szCs w:val="21"/>
              </w:rPr>
            </w:pPr>
            <w:r>
              <w:rPr>
                <w:color w:val="000000"/>
                <w:szCs w:val="21"/>
              </w:rPr>
              <w:t>10.2.10.1.1</w:t>
            </w:r>
          </w:p>
          <w:p w14:paraId="62EBA2F8">
            <w:pPr>
              <w:jc w:val="center"/>
              <w:rPr>
                <w:color w:val="000000"/>
                <w:szCs w:val="21"/>
              </w:rPr>
            </w:pPr>
          </w:p>
          <w:p w14:paraId="7706C7A8">
            <w:pPr>
              <w:jc w:val="center"/>
              <w:rPr>
                <w:color w:val="000000"/>
                <w:szCs w:val="21"/>
              </w:rPr>
            </w:pPr>
          </w:p>
          <w:p w14:paraId="5A1B9609">
            <w:pPr>
              <w:jc w:val="center"/>
              <w:rPr>
                <w:color w:val="000000"/>
                <w:szCs w:val="21"/>
              </w:rPr>
            </w:pPr>
          </w:p>
          <w:p w14:paraId="4EB50147">
            <w:pPr>
              <w:jc w:val="center"/>
              <w:rPr>
                <w:color w:val="000000"/>
                <w:szCs w:val="21"/>
              </w:rPr>
            </w:pPr>
          </w:p>
          <w:p w14:paraId="192CAD8B">
            <w:pPr>
              <w:jc w:val="center"/>
              <w:rPr>
                <w:color w:val="000000"/>
                <w:szCs w:val="21"/>
              </w:rPr>
            </w:pPr>
          </w:p>
          <w:p w14:paraId="331AAE82">
            <w:pPr>
              <w:jc w:val="center"/>
              <w:rPr>
                <w:color w:val="000000"/>
                <w:szCs w:val="21"/>
              </w:rPr>
            </w:pPr>
            <w:r>
              <w:rPr>
                <w:color w:val="000000"/>
                <w:szCs w:val="21"/>
              </w:rPr>
              <w:t>10.2.10.1.2</w:t>
            </w:r>
          </w:p>
          <w:p w14:paraId="7B281EFF">
            <w:pPr>
              <w:jc w:val="center"/>
              <w:rPr>
                <w:color w:val="000000"/>
                <w:szCs w:val="21"/>
              </w:rPr>
            </w:pPr>
          </w:p>
          <w:p w14:paraId="0B4413BC">
            <w:pPr>
              <w:jc w:val="center"/>
              <w:rPr>
                <w:color w:val="000000"/>
                <w:szCs w:val="21"/>
              </w:rPr>
            </w:pPr>
          </w:p>
          <w:p w14:paraId="6FF4BD4D">
            <w:pPr>
              <w:jc w:val="center"/>
              <w:rPr>
                <w:color w:val="000000"/>
                <w:szCs w:val="21"/>
              </w:rPr>
            </w:pPr>
          </w:p>
          <w:p w14:paraId="4C839B0F">
            <w:pPr>
              <w:jc w:val="center"/>
              <w:rPr>
                <w:color w:val="000000"/>
                <w:szCs w:val="21"/>
              </w:rPr>
            </w:pPr>
          </w:p>
          <w:p w14:paraId="2574BD4B">
            <w:pPr>
              <w:jc w:val="center"/>
              <w:rPr>
                <w:color w:val="000000"/>
                <w:szCs w:val="21"/>
              </w:rPr>
            </w:pPr>
          </w:p>
          <w:p w14:paraId="78D216B7">
            <w:pPr>
              <w:jc w:val="center"/>
              <w:rPr>
                <w:color w:val="000000"/>
                <w:szCs w:val="21"/>
              </w:rPr>
            </w:pPr>
          </w:p>
          <w:p w14:paraId="4F198F69">
            <w:pPr>
              <w:jc w:val="center"/>
              <w:rPr>
                <w:color w:val="000000"/>
                <w:szCs w:val="21"/>
              </w:rPr>
            </w:pPr>
          </w:p>
          <w:p w14:paraId="200955C2">
            <w:pPr>
              <w:jc w:val="center"/>
              <w:rPr>
                <w:color w:val="000000"/>
                <w:szCs w:val="21"/>
              </w:rPr>
            </w:pPr>
          </w:p>
          <w:p w14:paraId="384BF49E">
            <w:pPr>
              <w:jc w:val="center"/>
              <w:rPr>
                <w:color w:val="000000"/>
                <w:szCs w:val="21"/>
              </w:rPr>
            </w:pPr>
          </w:p>
          <w:p w14:paraId="0A68823D">
            <w:pPr>
              <w:jc w:val="center"/>
              <w:rPr>
                <w:color w:val="000000"/>
                <w:szCs w:val="21"/>
              </w:rPr>
            </w:pPr>
          </w:p>
          <w:p w14:paraId="4F5E3970">
            <w:pPr>
              <w:jc w:val="center"/>
              <w:rPr>
                <w:color w:val="000000"/>
                <w:szCs w:val="21"/>
              </w:rPr>
            </w:pPr>
          </w:p>
          <w:p w14:paraId="29D6AC80">
            <w:pPr>
              <w:jc w:val="center"/>
              <w:rPr>
                <w:color w:val="000000"/>
                <w:szCs w:val="21"/>
              </w:rPr>
            </w:pPr>
          </w:p>
          <w:p w14:paraId="7D881875">
            <w:pPr>
              <w:jc w:val="center"/>
              <w:rPr>
                <w:color w:val="000000"/>
                <w:szCs w:val="21"/>
              </w:rPr>
            </w:pPr>
          </w:p>
          <w:p w14:paraId="5C22B9DB">
            <w:pPr>
              <w:jc w:val="center"/>
              <w:rPr>
                <w:color w:val="000000"/>
                <w:szCs w:val="21"/>
              </w:rPr>
            </w:pPr>
          </w:p>
          <w:p w14:paraId="5FF0CC82">
            <w:pPr>
              <w:jc w:val="center"/>
              <w:rPr>
                <w:color w:val="000000"/>
                <w:szCs w:val="21"/>
              </w:rPr>
            </w:pPr>
          </w:p>
          <w:p w14:paraId="7DEF44BE">
            <w:pPr>
              <w:jc w:val="center"/>
              <w:rPr>
                <w:color w:val="000000"/>
                <w:szCs w:val="21"/>
              </w:rPr>
            </w:pPr>
          </w:p>
          <w:p w14:paraId="2509FF61">
            <w:pPr>
              <w:jc w:val="center"/>
              <w:rPr>
                <w:color w:val="000000"/>
                <w:szCs w:val="21"/>
              </w:rPr>
            </w:pPr>
          </w:p>
          <w:p w14:paraId="7F2E4876">
            <w:pPr>
              <w:jc w:val="center"/>
              <w:rPr>
                <w:color w:val="000000"/>
                <w:szCs w:val="21"/>
              </w:rPr>
            </w:pPr>
          </w:p>
          <w:p w14:paraId="7CAAF6B9">
            <w:pPr>
              <w:jc w:val="center"/>
              <w:rPr>
                <w:color w:val="000000"/>
                <w:szCs w:val="21"/>
              </w:rPr>
            </w:pPr>
          </w:p>
          <w:p w14:paraId="403244ED">
            <w:pPr>
              <w:jc w:val="center"/>
              <w:rPr>
                <w:color w:val="000000"/>
                <w:szCs w:val="21"/>
              </w:rPr>
            </w:pPr>
          </w:p>
          <w:p w14:paraId="19DD35C9">
            <w:pPr>
              <w:jc w:val="center"/>
              <w:rPr>
                <w:color w:val="000000"/>
                <w:szCs w:val="21"/>
              </w:rPr>
            </w:pPr>
          </w:p>
          <w:p w14:paraId="0262B99F">
            <w:pPr>
              <w:jc w:val="center"/>
              <w:rPr>
                <w:color w:val="000000"/>
                <w:szCs w:val="21"/>
              </w:rPr>
            </w:pPr>
            <w:r>
              <w:rPr>
                <w:color w:val="000000"/>
                <w:szCs w:val="21"/>
              </w:rPr>
              <w:t>10.2.10.1.3</w:t>
            </w:r>
          </w:p>
          <w:p w14:paraId="447F2395">
            <w:pPr>
              <w:rPr>
                <w:color w:val="000000"/>
                <w:szCs w:val="21"/>
              </w:rPr>
            </w:pPr>
          </w:p>
          <w:p w14:paraId="5DB47636">
            <w:pPr>
              <w:jc w:val="center"/>
              <w:rPr>
                <w:color w:val="000000"/>
                <w:szCs w:val="21"/>
              </w:rPr>
            </w:pPr>
          </w:p>
          <w:p w14:paraId="14BA05F1">
            <w:pPr>
              <w:jc w:val="center"/>
              <w:rPr>
                <w:color w:val="000000"/>
                <w:szCs w:val="21"/>
              </w:rPr>
            </w:pPr>
          </w:p>
          <w:p w14:paraId="1D5110AB">
            <w:pPr>
              <w:jc w:val="center"/>
              <w:rPr>
                <w:color w:val="000000"/>
                <w:szCs w:val="21"/>
              </w:rPr>
            </w:pPr>
          </w:p>
        </w:tc>
        <w:tc>
          <w:tcPr>
            <w:tcW w:w="2725" w:type="dxa"/>
          </w:tcPr>
          <w:p w14:paraId="7010E5A0">
            <w:pPr>
              <w:pStyle w:val="328"/>
              <w:numPr>
                <w:ilvl w:val="0"/>
                <w:numId w:val="0"/>
              </w:numPr>
              <w:rPr>
                <w:rFonts w:ascii="Times New Roman"/>
                <w:color w:val="000000"/>
              </w:rPr>
            </w:pPr>
            <w:r>
              <w:rPr>
                <w:rFonts w:ascii="Times New Roman"/>
                <w:color w:val="000000"/>
              </w:rPr>
              <w:t>压力安全保护</w:t>
            </w:r>
          </w:p>
          <w:p w14:paraId="47EB21D4">
            <w:pPr>
              <w:pStyle w:val="328"/>
              <w:numPr>
                <w:ilvl w:val="0"/>
                <w:numId w:val="0"/>
              </w:numPr>
              <w:rPr>
                <w:rFonts w:ascii="Times New Roman"/>
                <w:color w:val="000000"/>
              </w:rPr>
            </w:pPr>
            <w:r>
              <w:rPr>
                <w:rFonts w:ascii="Times New Roman"/>
              </w:rPr>
              <w:t>进、出平台管道上应设高压传感器（PSH）、低压传感器（PSL），以切断输入源。双向长输管道上也应设高压传感器（PSH）、低压传感器（PSL）</w:t>
            </w:r>
            <w:r>
              <w:rPr>
                <w:rFonts w:ascii="Times New Roman"/>
                <w:color w:val="000000"/>
              </w:rPr>
              <w:t>。</w:t>
            </w:r>
          </w:p>
          <w:p w14:paraId="1BD5A8A3">
            <w:pPr>
              <w:pStyle w:val="328"/>
              <w:numPr>
                <w:ilvl w:val="0"/>
                <w:numId w:val="0"/>
              </w:numPr>
              <w:rPr>
                <w:rFonts w:ascii="Times New Roman"/>
                <w:color w:val="000000"/>
              </w:rPr>
            </w:pPr>
            <w:r>
              <w:rPr>
                <w:rFonts w:ascii="Times New Roman"/>
                <w:color w:val="000000"/>
              </w:rPr>
              <w:t>出平台管道应设压力安全阀（PSV）保护。但若存在下列情况之一则可不设压力安全阀（PSV）：</w:t>
            </w:r>
          </w:p>
          <w:p w14:paraId="5509695C">
            <w:pPr>
              <w:pStyle w:val="328"/>
              <w:numPr>
                <w:ilvl w:val="0"/>
                <w:numId w:val="0"/>
              </w:numPr>
              <w:rPr>
                <w:rFonts w:ascii="Times New Roman"/>
                <w:color w:val="000000"/>
              </w:rPr>
            </w:pPr>
            <w:r>
              <w:rPr>
                <w:rFonts w:ascii="Times New Roman"/>
                <w:color w:val="000000"/>
              </w:rPr>
              <w:t>a)管道的最大允许工作压力（MAWP）大于任何输入源的最大压力；</w:t>
            </w:r>
          </w:p>
          <w:p w14:paraId="60156104">
            <w:pPr>
              <w:pStyle w:val="328"/>
              <w:numPr>
                <w:ilvl w:val="0"/>
                <w:numId w:val="0"/>
              </w:numPr>
              <w:rPr>
                <w:rFonts w:ascii="Times New Roman"/>
                <w:color w:val="000000"/>
              </w:rPr>
            </w:pPr>
            <w:r>
              <w:rPr>
                <w:rFonts w:ascii="Times New Roman"/>
                <w:color w:val="000000"/>
              </w:rPr>
              <w:t>b)虽然输入源压力大于管道的最大允许工作压力（MAWP），但输入源有压力安全阀（PSV）保护，其设定点不大于管道的设计压力；</w:t>
            </w:r>
          </w:p>
          <w:p w14:paraId="36FA84DF">
            <w:pPr>
              <w:pStyle w:val="328"/>
              <w:numPr>
                <w:ilvl w:val="0"/>
                <w:numId w:val="0"/>
              </w:numPr>
              <w:rPr>
                <w:rFonts w:ascii="Times New Roman"/>
                <w:color w:val="000000"/>
              </w:rPr>
            </w:pPr>
            <w:r>
              <w:rPr>
                <w:rFonts w:ascii="Times New Roman"/>
                <w:color w:val="000000"/>
              </w:rPr>
              <w:t>c)输入源为压力高于管道最大允许工作压力（MAWP）的井口出油管线，且设有由两个独立控制的关断阀（SDV）（其中一个可以为SSV）；</w:t>
            </w:r>
          </w:p>
          <w:p w14:paraId="2C5BA7CA">
            <w:pPr>
              <w:pStyle w:val="328"/>
              <w:numPr>
                <w:ilvl w:val="0"/>
                <w:numId w:val="0"/>
              </w:numPr>
              <w:rPr>
                <w:rFonts w:ascii="Times New Roman"/>
                <w:color w:val="000000"/>
              </w:rPr>
            </w:pPr>
            <w:r>
              <w:rPr>
                <w:rFonts w:ascii="Times New Roman"/>
                <w:color w:val="000000"/>
              </w:rPr>
              <w:t>d)管道由符合要求的高完整性压力保护系统（HIPPS）保护。</w:t>
            </w:r>
          </w:p>
          <w:p w14:paraId="2B7747D9">
            <w:pPr>
              <w:pStyle w:val="328"/>
              <w:numPr>
                <w:ilvl w:val="0"/>
                <w:numId w:val="0"/>
              </w:numPr>
              <w:rPr>
                <w:rFonts w:ascii="Times New Roman"/>
                <w:color w:val="000000"/>
              </w:rPr>
            </w:pPr>
            <w:r>
              <w:rPr>
                <w:rFonts w:ascii="Times New Roman"/>
              </w:rPr>
              <w:t>进平台管道和出平台管道均应设关断阀（SDV）。关断阀（SDV）应与全平台的ESD和FGS等联锁</w:t>
            </w:r>
            <w:r>
              <w:rPr>
                <w:rFonts w:ascii="Times New Roman"/>
                <w:color w:val="000000"/>
              </w:rPr>
              <w:t>。</w:t>
            </w:r>
          </w:p>
        </w:tc>
        <w:tc>
          <w:tcPr>
            <w:tcW w:w="4401" w:type="dxa"/>
          </w:tcPr>
          <w:p w14:paraId="2BE726E4">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38DD08ED">
            <w:pPr>
              <w:rPr>
                <w:color w:val="000000"/>
                <w:spacing w:val="13"/>
                <w:szCs w:val="21"/>
                <w:shd w:val="clear" w:color="auto" w:fill="FFFFFF"/>
              </w:rPr>
            </w:pPr>
            <w:r>
              <w:rPr>
                <w:color w:val="000000"/>
                <w:spacing w:val="13"/>
                <w:szCs w:val="21"/>
                <w:shd w:val="clear" w:color="auto" w:fill="FFFFFF"/>
              </w:rPr>
              <w:t>6.3.9.2 压力安全保护</w:t>
            </w:r>
          </w:p>
          <w:p w14:paraId="6677377B">
            <w:pPr>
              <w:rPr>
                <w:color w:val="000000"/>
                <w:spacing w:val="13"/>
                <w:szCs w:val="21"/>
                <w:shd w:val="clear" w:color="auto" w:fill="FFFFFF"/>
              </w:rPr>
            </w:pPr>
            <w:r>
              <w:rPr>
                <w:color w:val="000000"/>
                <w:spacing w:val="13"/>
                <w:szCs w:val="21"/>
                <w:shd w:val="clear" w:color="auto" w:fill="FFFFFF"/>
              </w:rPr>
              <w:t>离去管线上需设PSH、PSL</w:t>
            </w:r>
            <w:r>
              <w:rPr>
                <w:rFonts w:hint="eastAsia"/>
                <w:color w:val="000000"/>
                <w:spacing w:val="13"/>
                <w:szCs w:val="21"/>
                <w:shd w:val="clear" w:color="auto" w:fill="FFFFFF"/>
              </w:rPr>
              <w:t>，</w:t>
            </w:r>
            <w:r>
              <w:rPr>
                <w:color w:val="000000"/>
                <w:spacing w:val="13"/>
                <w:szCs w:val="21"/>
                <w:shd w:val="clear" w:color="auto" w:fill="FFFFFF"/>
              </w:rPr>
              <w:t>以切断输入源。如在上游平台设有PSH、PSL，可以保护进入管线</w:t>
            </w:r>
            <w:r>
              <w:rPr>
                <w:rFonts w:hint="eastAsia"/>
                <w:color w:val="000000"/>
                <w:spacing w:val="13"/>
                <w:szCs w:val="21"/>
                <w:shd w:val="clear" w:color="auto" w:fill="FFFFFF"/>
              </w:rPr>
              <w:t>，</w:t>
            </w:r>
            <w:r>
              <w:rPr>
                <w:color w:val="000000"/>
                <w:spacing w:val="13"/>
                <w:szCs w:val="21"/>
                <w:shd w:val="clear" w:color="auto" w:fill="FFFFFF"/>
              </w:rPr>
              <w:t>则进入管线上可不设PSH、PSL。双向长输管线上也应设PSH、PSL。</w:t>
            </w:r>
          </w:p>
          <w:p w14:paraId="55893B64">
            <w:pPr>
              <w:rPr>
                <w:color w:val="000000"/>
                <w:spacing w:val="13"/>
                <w:szCs w:val="21"/>
                <w:shd w:val="clear" w:color="auto" w:fill="FFFFFF"/>
              </w:rPr>
            </w:pPr>
            <w:r>
              <w:rPr>
                <w:color w:val="000000"/>
                <w:spacing w:val="13"/>
                <w:szCs w:val="21"/>
                <w:shd w:val="clear" w:color="auto" w:fill="FFFFFF"/>
              </w:rPr>
              <w:t>每个长输管线的输入源一般都用PSV保护</w:t>
            </w:r>
            <w:r>
              <w:rPr>
                <w:rFonts w:hint="eastAsia"/>
                <w:color w:val="000000"/>
                <w:spacing w:val="13"/>
                <w:szCs w:val="21"/>
                <w:shd w:val="clear" w:color="auto" w:fill="FFFFFF"/>
              </w:rPr>
              <w:t>，</w:t>
            </w:r>
            <w:r>
              <w:rPr>
                <w:color w:val="000000"/>
                <w:spacing w:val="13"/>
                <w:szCs w:val="21"/>
                <w:shd w:val="clear" w:color="auto" w:fill="FFFFFF"/>
              </w:rPr>
              <w:t>它也可保护长输管线。但在下列情况下则可不设PSV:</w:t>
            </w:r>
          </w:p>
          <w:p w14:paraId="10356ADB">
            <w:pPr>
              <w:rPr>
                <w:color w:val="000000"/>
                <w:spacing w:val="13"/>
                <w:szCs w:val="21"/>
                <w:shd w:val="clear" w:color="auto" w:fill="FFFFFF"/>
              </w:rPr>
            </w:pPr>
            <w:r>
              <w:rPr>
                <w:color w:val="000000"/>
                <w:spacing w:val="13"/>
                <w:szCs w:val="21"/>
                <w:shd w:val="clear" w:color="auto" w:fill="FFFFFF"/>
              </w:rPr>
              <w:t>a) 管线额定工作压力大于任何输入源的最大压力;</w:t>
            </w:r>
          </w:p>
          <w:p w14:paraId="1130665F">
            <w:pPr>
              <w:rPr>
                <w:color w:val="000000"/>
                <w:spacing w:val="13"/>
                <w:szCs w:val="21"/>
                <w:shd w:val="clear" w:color="auto" w:fill="FFFFFF"/>
              </w:rPr>
            </w:pPr>
            <w:r>
              <w:rPr>
                <w:color w:val="000000"/>
                <w:spacing w:val="13"/>
                <w:szCs w:val="21"/>
                <w:shd w:val="clear" w:color="auto" w:fill="FFFFFF"/>
              </w:rPr>
              <w:t>b) 虽然输入源压力大于管线额定工作压力</w:t>
            </w:r>
            <w:r>
              <w:rPr>
                <w:rFonts w:hint="eastAsia"/>
                <w:color w:val="000000"/>
                <w:spacing w:val="13"/>
                <w:szCs w:val="21"/>
                <w:shd w:val="clear" w:color="auto" w:fill="FFFFFF"/>
              </w:rPr>
              <w:t>，</w:t>
            </w:r>
            <w:r>
              <w:rPr>
                <w:color w:val="000000"/>
                <w:spacing w:val="13"/>
                <w:szCs w:val="21"/>
                <w:shd w:val="clear" w:color="auto" w:fill="FFFFFF"/>
              </w:rPr>
              <w:t>但输入源有PSV保护</w:t>
            </w:r>
            <w:r>
              <w:rPr>
                <w:rFonts w:hint="eastAsia"/>
                <w:color w:val="000000"/>
                <w:spacing w:val="13"/>
                <w:szCs w:val="21"/>
                <w:shd w:val="clear" w:color="auto" w:fill="FFFFFF"/>
              </w:rPr>
              <w:t>，</w:t>
            </w:r>
            <w:r>
              <w:rPr>
                <w:color w:val="000000"/>
                <w:spacing w:val="13"/>
                <w:szCs w:val="21"/>
                <w:shd w:val="clear" w:color="auto" w:fill="FFFFFF"/>
              </w:rPr>
              <w:t>其设定点不大于管线的额定工作压力 ;</w:t>
            </w:r>
          </w:p>
          <w:p w14:paraId="4E1F92D4">
            <w:pPr>
              <w:rPr>
                <w:color w:val="000000"/>
                <w:spacing w:val="13"/>
                <w:szCs w:val="21"/>
                <w:shd w:val="clear" w:color="auto" w:fill="FFFFFF"/>
              </w:rPr>
            </w:pPr>
            <w:r>
              <w:rPr>
                <w:color w:val="000000"/>
                <w:spacing w:val="13"/>
                <w:szCs w:val="21"/>
                <w:shd w:val="clear" w:color="auto" w:fill="FFFFFF"/>
              </w:rPr>
              <w:t>c) 输入源为压力高于管线额定工作压力的油井</w:t>
            </w:r>
            <w:r>
              <w:rPr>
                <w:rFonts w:hint="eastAsia"/>
                <w:color w:val="000000"/>
                <w:spacing w:val="13"/>
                <w:szCs w:val="21"/>
                <w:shd w:val="clear" w:color="auto" w:fill="FFFFFF"/>
              </w:rPr>
              <w:t>，</w:t>
            </w:r>
            <w:r>
              <w:rPr>
                <w:color w:val="000000"/>
                <w:spacing w:val="13"/>
                <w:szCs w:val="21"/>
                <w:shd w:val="clear" w:color="auto" w:fill="FFFFFF"/>
              </w:rPr>
              <w:t>但设有由单独的继电器和检测点相连的PSH控制的两个关断阀（SDV）</w:t>
            </w:r>
            <w:r>
              <w:rPr>
                <w:rFonts w:hint="eastAsia"/>
                <w:color w:val="000000"/>
                <w:spacing w:val="13"/>
                <w:szCs w:val="21"/>
                <w:shd w:val="clear" w:color="auto" w:fill="FFFFFF"/>
              </w:rPr>
              <w:t>，</w:t>
            </w:r>
            <w:r>
              <w:rPr>
                <w:color w:val="000000"/>
                <w:spacing w:val="13"/>
                <w:szCs w:val="21"/>
                <w:shd w:val="clear" w:color="auto" w:fill="FFFFFF"/>
              </w:rPr>
              <w:t>其中一个可以是井上安全阀（SSV）。</w:t>
            </w:r>
          </w:p>
          <w:p w14:paraId="234650A1">
            <w:pPr>
              <w:rPr>
                <w:color w:val="000000"/>
                <w:spacing w:val="13"/>
                <w:szCs w:val="21"/>
                <w:shd w:val="clear" w:color="auto" w:fill="FFFFFF"/>
              </w:rPr>
            </w:pPr>
            <w:r>
              <w:rPr>
                <w:color w:val="000000"/>
                <w:spacing w:val="13"/>
                <w:szCs w:val="21"/>
                <w:shd w:val="clear" w:color="auto" w:fill="FFFFFF"/>
              </w:rPr>
              <w:t>长输管线上应设应急关断阀(SDV)</w:t>
            </w:r>
            <w:r>
              <w:rPr>
                <w:rFonts w:hint="eastAsia"/>
                <w:color w:val="000000"/>
                <w:spacing w:val="13"/>
                <w:szCs w:val="21"/>
                <w:shd w:val="clear" w:color="auto" w:fill="FFFFFF"/>
              </w:rPr>
              <w:t>，</w:t>
            </w:r>
            <w:r>
              <w:rPr>
                <w:color w:val="000000"/>
                <w:spacing w:val="13"/>
                <w:szCs w:val="21"/>
                <w:shd w:val="clear" w:color="auto" w:fill="FFFFFF"/>
              </w:rPr>
              <w:t>SDV应设置必要的防浪设施和供检修进出的通道。</w:t>
            </w:r>
          </w:p>
          <w:p w14:paraId="08A689FF">
            <w:pPr>
              <w:rPr>
                <w:color w:val="000000"/>
                <w:spacing w:val="13"/>
                <w:szCs w:val="21"/>
                <w:shd w:val="clear" w:color="auto" w:fill="FFFFFF"/>
              </w:rPr>
            </w:pPr>
            <w:r>
              <w:rPr>
                <w:color w:val="000000"/>
                <w:spacing w:val="13"/>
                <w:szCs w:val="21"/>
                <w:shd w:val="clear" w:color="auto" w:fill="FFFFFF"/>
              </w:rPr>
              <w:t>SDV宜设在下甲板以下的立管上。SDV应与全平台的生产关断、火灾关断和最终关断等应急关断系统联锁。</w:t>
            </w:r>
          </w:p>
          <w:p w14:paraId="55059511">
            <w:pPr>
              <w:rPr>
                <w:color w:val="000000"/>
                <w:spacing w:val="13"/>
                <w:szCs w:val="21"/>
                <w:shd w:val="clear" w:color="auto" w:fill="FFFFFF"/>
              </w:rPr>
            </w:pPr>
            <w:r>
              <w:rPr>
                <w:color w:val="000000"/>
                <w:spacing w:val="13"/>
                <w:szCs w:val="21"/>
                <w:shd w:val="clear" w:color="auto" w:fill="FFFFFF"/>
              </w:rPr>
              <w:t>2.SY/T 10033-2002《海上生产平台基本上部设施安全系统的分析设计安装和测试的推荐做法》</w:t>
            </w:r>
          </w:p>
          <w:p w14:paraId="3A0FAD20"/>
          <w:p w14:paraId="410B1DF2">
            <w:pPr>
              <w:rPr>
                <w:rFonts w:hint="eastAsia"/>
                <w:szCs w:val="21"/>
              </w:rPr>
            </w:pPr>
            <w:r>
              <w:rPr>
                <w:rFonts w:hint="eastAsia"/>
                <w:szCs w:val="21"/>
              </w:rPr>
              <w:t>如果各输入源都装有PSH和PSL传感器，并且PSH传感器设定压力小于管汇的额定工作压力，则管汇上不需要设置PSH和PSL传感器。如果管汇受下游工艺设备的PSH传感器保护，并且管汇不可能与下游设备隔离开，则管汇不需要设置PSL传感器。如果管汇需要PSH和PSL传感器，传感器来的信号应能关断所有进入管汇的输入源。</w:t>
            </w:r>
          </w:p>
          <w:p w14:paraId="0B3AA95F">
            <w:pPr>
              <w:rPr>
                <w:color w:val="000000"/>
                <w:spacing w:val="13"/>
                <w:szCs w:val="21"/>
                <w:shd w:val="clear" w:color="auto" w:fill="FFFFFF"/>
              </w:rPr>
            </w:pPr>
            <w:r>
              <w:rPr>
                <w:rFonts w:hint="eastAsia"/>
                <w:szCs w:val="21"/>
              </w:rPr>
              <w:t>下列情况的管汇不需要PSV，如果：（1）最大允许工作压力大于任一相接的输入源的最大关闭压力；（2）在所有相接的输入源上都提供了泄压保护，并且这些输入源的最大关闭压力大于管汇的最大允许工作压力；（3）管汇受下游工艺设备上的PSV保护，而该设备不可能与管汇隔离开；（4）管汇是用于火炬、泄放、放空或其他常压用途，并且在出口管线上没有阀门；（5）输入源是一井口，其压力大于管汇最大允许工作压力，井口安装有两个由独立的PSH控制的SDV（其中一可以是SSV），PSH与隔离继电器和检测点相连。压力大于管汇最大允许工作压力的其他输入源由PSV保护。使用两个SDV来代替PSV的方案必须在对其他方案全面考虑后才能慎重地予以选择。在某些情况下，即使没有泄漏物排放和收集系统，除两个SDV外最好还安装一个PSV。</w:t>
            </w:r>
          </w:p>
        </w:tc>
      </w:tr>
      <w:tr w14:paraId="76140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96" w:type="dxa"/>
          </w:tcPr>
          <w:p w14:paraId="4B87B039">
            <w:pPr>
              <w:numPr>
                <w:ilvl w:val="0"/>
                <w:numId w:val="132"/>
              </w:numPr>
              <w:jc w:val="center"/>
              <w:rPr>
                <w:color w:val="000000"/>
                <w:szCs w:val="21"/>
              </w:rPr>
            </w:pPr>
          </w:p>
        </w:tc>
        <w:tc>
          <w:tcPr>
            <w:tcW w:w="1172" w:type="dxa"/>
          </w:tcPr>
          <w:p w14:paraId="1966F880">
            <w:pPr>
              <w:jc w:val="center"/>
              <w:rPr>
                <w:color w:val="000000"/>
                <w:szCs w:val="21"/>
              </w:rPr>
            </w:pPr>
            <w:r>
              <w:rPr>
                <w:color w:val="000000"/>
                <w:szCs w:val="21"/>
              </w:rPr>
              <w:t>10.2.10.2</w:t>
            </w:r>
          </w:p>
          <w:p w14:paraId="32AA0C8A">
            <w:pPr>
              <w:jc w:val="center"/>
              <w:rPr>
                <w:color w:val="000000"/>
                <w:szCs w:val="21"/>
              </w:rPr>
            </w:pPr>
            <w:r>
              <w:rPr>
                <w:color w:val="000000"/>
                <w:szCs w:val="21"/>
              </w:rPr>
              <w:t>10.2.10.2.1</w:t>
            </w:r>
          </w:p>
          <w:p w14:paraId="4A0B9C41">
            <w:pPr>
              <w:jc w:val="center"/>
              <w:rPr>
                <w:color w:val="000000"/>
                <w:szCs w:val="21"/>
              </w:rPr>
            </w:pPr>
          </w:p>
          <w:p w14:paraId="34DF4171">
            <w:pPr>
              <w:jc w:val="center"/>
              <w:rPr>
                <w:color w:val="000000"/>
                <w:szCs w:val="21"/>
              </w:rPr>
            </w:pPr>
          </w:p>
          <w:p w14:paraId="6789C1A0">
            <w:pPr>
              <w:jc w:val="center"/>
              <w:rPr>
                <w:color w:val="000000"/>
                <w:szCs w:val="21"/>
              </w:rPr>
            </w:pPr>
          </w:p>
          <w:p w14:paraId="79FF19A6">
            <w:pPr>
              <w:jc w:val="center"/>
              <w:rPr>
                <w:color w:val="000000"/>
                <w:szCs w:val="21"/>
              </w:rPr>
            </w:pPr>
          </w:p>
          <w:p w14:paraId="1B020BD7">
            <w:pPr>
              <w:jc w:val="center"/>
              <w:rPr>
                <w:color w:val="000000"/>
                <w:szCs w:val="21"/>
              </w:rPr>
            </w:pPr>
          </w:p>
          <w:p w14:paraId="31F53B81">
            <w:pPr>
              <w:jc w:val="center"/>
              <w:rPr>
                <w:color w:val="000000"/>
                <w:szCs w:val="21"/>
              </w:rPr>
            </w:pPr>
          </w:p>
          <w:p w14:paraId="3EA503D9">
            <w:pPr>
              <w:jc w:val="center"/>
              <w:rPr>
                <w:color w:val="000000"/>
                <w:szCs w:val="21"/>
              </w:rPr>
            </w:pPr>
          </w:p>
          <w:p w14:paraId="6FA50108">
            <w:pPr>
              <w:jc w:val="center"/>
              <w:rPr>
                <w:color w:val="000000"/>
                <w:szCs w:val="21"/>
              </w:rPr>
            </w:pPr>
          </w:p>
          <w:p w14:paraId="5B35830F">
            <w:pPr>
              <w:jc w:val="center"/>
              <w:rPr>
                <w:color w:val="000000"/>
                <w:szCs w:val="21"/>
              </w:rPr>
            </w:pPr>
            <w:r>
              <w:rPr>
                <w:color w:val="000000"/>
                <w:szCs w:val="21"/>
              </w:rPr>
              <w:t>10.2.10.2.2</w:t>
            </w:r>
          </w:p>
          <w:p w14:paraId="08C2CA54">
            <w:pPr>
              <w:jc w:val="center"/>
              <w:rPr>
                <w:color w:val="000000"/>
                <w:szCs w:val="21"/>
              </w:rPr>
            </w:pPr>
          </w:p>
          <w:p w14:paraId="55EE082E">
            <w:pPr>
              <w:jc w:val="center"/>
              <w:rPr>
                <w:color w:val="000000"/>
                <w:szCs w:val="21"/>
              </w:rPr>
            </w:pPr>
          </w:p>
          <w:p w14:paraId="68FDC3BA">
            <w:pPr>
              <w:jc w:val="center"/>
              <w:rPr>
                <w:color w:val="000000"/>
                <w:szCs w:val="21"/>
              </w:rPr>
            </w:pPr>
          </w:p>
          <w:p w14:paraId="40689E06">
            <w:pPr>
              <w:jc w:val="center"/>
              <w:rPr>
                <w:color w:val="000000"/>
                <w:szCs w:val="21"/>
              </w:rPr>
            </w:pPr>
            <w:r>
              <w:rPr>
                <w:color w:val="000000"/>
                <w:szCs w:val="21"/>
              </w:rPr>
              <w:t>10.2.10.2.3</w:t>
            </w:r>
          </w:p>
          <w:p w14:paraId="3B3E66F7">
            <w:pPr>
              <w:jc w:val="center"/>
              <w:rPr>
                <w:color w:val="000000"/>
                <w:szCs w:val="21"/>
              </w:rPr>
            </w:pPr>
          </w:p>
          <w:p w14:paraId="08D65EC1">
            <w:pPr>
              <w:jc w:val="center"/>
              <w:rPr>
                <w:color w:val="000000"/>
                <w:szCs w:val="21"/>
              </w:rPr>
            </w:pPr>
          </w:p>
          <w:p w14:paraId="35920570">
            <w:pPr>
              <w:jc w:val="center"/>
              <w:rPr>
                <w:color w:val="000000"/>
                <w:szCs w:val="21"/>
              </w:rPr>
            </w:pPr>
          </w:p>
          <w:p w14:paraId="4F1D7C20">
            <w:pPr>
              <w:jc w:val="center"/>
              <w:rPr>
                <w:color w:val="000000"/>
                <w:szCs w:val="21"/>
              </w:rPr>
            </w:pPr>
          </w:p>
          <w:p w14:paraId="15057DAD">
            <w:pPr>
              <w:jc w:val="center"/>
              <w:rPr>
                <w:color w:val="000000"/>
                <w:szCs w:val="21"/>
              </w:rPr>
            </w:pPr>
          </w:p>
          <w:p w14:paraId="5A776BFB">
            <w:pPr>
              <w:jc w:val="center"/>
              <w:rPr>
                <w:color w:val="000000"/>
                <w:szCs w:val="21"/>
              </w:rPr>
            </w:pPr>
            <w:r>
              <w:rPr>
                <w:color w:val="000000"/>
                <w:szCs w:val="21"/>
              </w:rPr>
              <w:t>10.2.10.2.4</w:t>
            </w:r>
          </w:p>
        </w:tc>
        <w:tc>
          <w:tcPr>
            <w:tcW w:w="2725" w:type="dxa"/>
          </w:tcPr>
          <w:p w14:paraId="204CB618">
            <w:pPr>
              <w:pStyle w:val="328"/>
              <w:numPr>
                <w:ilvl w:val="0"/>
                <w:numId w:val="0"/>
              </w:numPr>
              <w:rPr>
                <w:rFonts w:ascii="Times New Roman"/>
                <w:color w:val="000000"/>
              </w:rPr>
            </w:pPr>
            <w:r>
              <w:rPr>
                <w:rFonts w:ascii="Times New Roman"/>
                <w:color w:val="000000"/>
              </w:rPr>
              <w:t>流动安全保护</w:t>
            </w:r>
          </w:p>
          <w:p w14:paraId="28933041">
            <w:pPr>
              <w:pStyle w:val="328"/>
              <w:numPr>
                <w:ilvl w:val="0"/>
                <w:numId w:val="0"/>
              </w:numPr>
              <w:rPr>
                <w:rFonts w:ascii="Times New Roman"/>
                <w:color w:val="000000"/>
              </w:rPr>
            </w:pPr>
            <w:r>
              <w:rPr>
                <w:rFonts w:ascii="Times New Roman"/>
              </w:rPr>
              <w:t>进平台管道上应设流动安全阀（FSV），以防止因管道泄漏或破损而导致平台工艺系统的流体向破损处回流。出平台管道上也应设流动安全阀（FSV），以防止平台工艺系统泄漏时，管道中的流体倒流回平台工艺系统</w:t>
            </w:r>
            <w:r>
              <w:rPr>
                <w:rFonts w:ascii="Times New Roman"/>
                <w:color w:val="000000"/>
              </w:rPr>
              <w:t>。</w:t>
            </w:r>
          </w:p>
          <w:p w14:paraId="01A9849F">
            <w:pPr>
              <w:pStyle w:val="328"/>
              <w:numPr>
                <w:ilvl w:val="0"/>
                <w:numId w:val="0"/>
              </w:numPr>
              <w:rPr>
                <w:rFonts w:ascii="Times New Roman"/>
                <w:color w:val="000000"/>
              </w:rPr>
            </w:pPr>
            <w:r>
              <w:rPr>
                <w:rFonts w:ascii="Times New Roman"/>
                <w:color w:val="000000"/>
              </w:rPr>
              <w:t>如果登平台管道仅越站连接到出平台管道上时，出平台管道上的</w:t>
            </w:r>
            <w:r>
              <w:rPr>
                <w:rFonts w:ascii="Times New Roman"/>
              </w:rPr>
              <w:t>流动安全阀（FSV）</w:t>
            </w:r>
            <w:r>
              <w:rPr>
                <w:rFonts w:ascii="Times New Roman"/>
                <w:color w:val="000000"/>
              </w:rPr>
              <w:t>也保护登平台管道。</w:t>
            </w:r>
          </w:p>
          <w:p w14:paraId="3268FAAF">
            <w:pPr>
              <w:pStyle w:val="328"/>
              <w:numPr>
                <w:ilvl w:val="0"/>
                <w:numId w:val="0"/>
              </w:numPr>
              <w:rPr>
                <w:rFonts w:ascii="Times New Roman"/>
                <w:color w:val="000000"/>
              </w:rPr>
            </w:pPr>
            <w:r>
              <w:rPr>
                <w:rFonts w:ascii="Times New Roman"/>
                <w:color w:val="000000"/>
              </w:rPr>
              <w:t>如果出平台管道上所有输入源都设有</w:t>
            </w:r>
            <w:r>
              <w:rPr>
                <w:rFonts w:ascii="Times New Roman"/>
              </w:rPr>
              <w:t>流动安全阀（FSV）</w:t>
            </w:r>
            <w:r>
              <w:rPr>
                <w:rFonts w:ascii="Times New Roman"/>
                <w:color w:val="000000"/>
              </w:rPr>
              <w:t>，并且其位置能使管道的所有支线均能避免回流，则该出平台管道也可不设</w:t>
            </w:r>
            <w:r>
              <w:rPr>
                <w:rFonts w:ascii="Times New Roman"/>
              </w:rPr>
              <w:t>流动安全阀（FSV）</w:t>
            </w:r>
            <w:r>
              <w:rPr>
                <w:rFonts w:ascii="Times New Roman"/>
                <w:color w:val="000000"/>
              </w:rPr>
              <w:t>。</w:t>
            </w:r>
          </w:p>
          <w:p w14:paraId="32E057BF">
            <w:pPr>
              <w:pStyle w:val="328"/>
              <w:numPr>
                <w:ilvl w:val="0"/>
                <w:numId w:val="0"/>
              </w:numPr>
              <w:rPr>
                <w:rFonts w:ascii="Times New Roman"/>
                <w:color w:val="000000"/>
              </w:rPr>
            </w:pPr>
            <w:r>
              <w:rPr>
                <w:rFonts w:ascii="Times New Roman"/>
                <w:color w:val="000000"/>
              </w:rPr>
              <w:t>双向管道可不安装</w:t>
            </w:r>
            <w:r>
              <w:rPr>
                <w:rFonts w:ascii="Times New Roman"/>
              </w:rPr>
              <w:t>流动安全阀（FSV）</w:t>
            </w:r>
            <w:r>
              <w:rPr>
                <w:rFonts w:ascii="Times New Roman"/>
                <w:color w:val="000000"/>
              </w:rPr>
              <w:t>。</w:t>
            </w:r>
          </w:p>
        </w:tc>
        <w:tc>
          <w:tcPr>
            <w:tcW w:w="4401" w:type="dxa"/>
          </w:tcPr>
          <w:p w14:paraId="3267A67E">
            <w:pPr>
              <w:numPr>
                <w:ilvl w:val="0"/>
                <w:numId w:val="137"/>
              </w:numPr>
              <w:rPr>
                <w:color w:val="000000"/>
                <w:spacing w:val="13"/>
                <w:szCs w:val="21"/>
                <w:shd w:val="clear" w:color="auto" w:fill="FFFFFF"/>
              </w:rPr>
            </w:pPr>
            <w:r>
              <w:rPr>
                <w:color w:val="000000"/>
                <w:spacing w:val="13"/>
                <w:szCs w:val="21"/>
                <w:shd w:val="clear" w:color="auto" w:fill="FFFFFF"/>
              </w:rPr>
              <w:t>国经贸安全2000年944号《海上固定平台安全规则》</w:t>
            </w:r>
          </w:p>
          <w:p w14:paraId="0F3271FF">
            <w:pPr>
              <w:rPr>
                <w:color w:val="000000"/>
                <w:spacing w:val="13"/>
                <w:szCs w:val="21"/>
                <w:shd w:val="clear" w:color="auto" w:fill="FFFFFF"/>
              </w:rPr>
            </w:pPr>
            <w:r>
              <w:rPr>
                <w:color w:val="000000"/>
                <w:spacing w:val="13"/>
                <w:szCs w:val="21"/>
                <w:shd w:val="clear" w:color="auto" w:fill="FFFFFF"/>
              </w:rPr>
              <w:t>6.3.9.3 流动安全保护</w:t>
            </w:r>
          </w:p>
          <w:p w14:paraId="3DD72777">
            <w:pPr>
              <w:rPr>
                <w:color w:val="000000"/>
                <w:spacing w:val="13"/>
                <w:szCs w:val="21"/>
                <w:shd w:val="clear" w:color="auto" w:fill="FFFFFF"/>
              </w:rPr>
            </w:pPr>
            <w:r>
              <w:rPr>
                <w:color w:val="000000"/>
                <w:spacing w:val="13"/>
                <w:szCs w:val="21"/>
                <w:shd w:val="clear" w:color="auto" w:fill="FFFFFF"/>
              </w:rPr>
              <w:t>进入管线上应设FSV</w:t>
            </w:r>
            <w:r>
              <w:rPr>
                <w:rFonts w:hint="eastAsia"/>
                <w:color w:val="000000"/>
                <w:spacing w:val="13"/>
                <w:szCs w:val="21"/>
                <w:shd w:val="clear" w:color="auto" w:fill="FFFFFF"/>
              </w:rPr>
              <w:t>，</w:t>
            </w:r>
            <w:r>
              <w:rPr>
                <w:color w:val="000000"/>
                <w:spacing w:val="13"/>
                <w:szCs w:val="21"/>
                <w:shd w:val="clear" w:color="auto" w:fill="FFFFFF"/>
              </w:rPr>
              <w:t>以防止因管线泄漏或破损而导致容器中的流体向破损处回流。离去管线上也应设FSV</w:t>
            </w:r>
            <w:r>
              <w:rPr>
                <w:rFonts w:hint="eastAsia"/>
                <w:color w:val="000000"/>
                <w:spacing w:val="13"/>
                <w:szCs w:val="21"/>
                <w:shd w:val="clear" w:color="auto" w:fill="FFFFFF"/>
              </w:rPr>
              <w:t>，</w:t>
            </w:r>
            <w:r>
              <w:rPr>
                <w:color w:val="000000"/>
                <w:spacing w:val="13"/>
                <w:szCs w:val="21"/>
                <w:shd w:val="clear" w:color="auto" w:fill="FFFFFF"/>
              </w:rPr>
              <w:t>以防止容器破损或泄漏时</w:t>
            </w:r>
            <w:r>
              <w:rPr>
                <w:rFonts w:hint="eastAsia"/>
                <w:color w:val="000000"/>
                <w:spacing w:val="13"/>
                <w:szCs w:val="21"/>
                <w:shd w:val="clear" w:color="auto" w:fill="FFFFFF"/>
              </w:rPr>
              <w:t>，</w:t>
            </w:r>
            <w:r>
              <w:rPr>
                <w:color w:val="000000"/>
                <w:spacing w:val="13"/>
                <w:szCs w:val="21"/>
                <w:shd w:val="clear" w:color="auto" w:fill="FFFFFF"/>
              </w:rPr>
              <w:t>管线中的流体倒流入容器中。</w:t>
            </w:r>
          </w:p>
          <w:p w14:paraId="369F5D2F">
            <w:pPr>
              <w:rPr>
                <w:color w:val="000000"/>
                <w:spacing w:val="13"/>
                <w:szCs w:val="21"/>
                <w:shd w:val="clear" w:color="auto" w:fill="FFFFFF"/>
              </w:rPr>
            </w:pPr>
            <w:r>
              <w:rPr>
                <w:color w:val="000000"/>
                <w:spacing w:val="13"/>
                <w:szCs w:val="21"/>
                <w:shd w:val="clear" w:color="auto" w:fill="FFFFFF"/>
              </w:rPr>
              <w:t>2.SY/T 10033-2002《海上生产平台基本上部设施安全系统的分析设计安装和测试的推荐做法》A9.2 安全分析</w:t>
            </w:r>
          </w:p>
          <w:p w14:paraId="4DCB2A15">
            <w:pPr>
              <w:rPr>
                <w:color w:val="000000"/>
                <w:spacing w:val="13"/>
                <w:szCs w:val="21"/>
                <w:shd w:val="clear" w:color="auto" w:fill="FFFFFF"/>
              </w:rPr>
            </w:pPr>
            <w:r>
              <w:rPr>
                <w:color w:val="000000"/>
                <w:spacing w:val="13"/>
                <w:szCs w:val="21"/>
                <w:shd w:val="clear" w:color="auto" w:fill="FFFFFF"/>
              </w:rPr>
              <w:t>(2)流动安全装置(FSV)在输入管道上需装设FSV</w:t>
            </w:r>
            <w:r>
              <w:rPr>
                <w:rFonts w:hint="eastAsia"/>
                <w:color w:val="000000"/>
                <w:spacing w:val="13"/>
                <w:szCs w:val="21"/>
                <w:shd w:val="clear" w:color="auto" w:fill="FFFFFF"/>
                <w:lang w:eastAsia="zh-CN"/>
              </w:rPr>
              <w:t>，</w:t>
            </w:r>
            <w:r>
              <w:rPr>
                <w:color w:val="000000"/>
                <w:spacing w:val="13"/>
                <w:szCs w:val="21"/>
                <w:shd w:val="clear" w:color="auto" w:fill="FFFFFF"/>
              </w:rPr>
              <w:t>以将向管道泄漏处或破损处的回流降至最低限度。在输出管道上也需装设FSV</w:t>
            </w:r>
            <w:r>
              <w:rPr>
                <w:rFonts w:hint="eastAsia"/>
                <w:color w:val="000000"/>
                <w:spacing w:val="13"/>
                <w:szCs w:val="21"/>
                <w:shd w:val="clear" w:color="auto" w:fill="FFFFFF"/>
                <w:lang w:eastAsia="zh-CN"/>
              </w:rPr>
              <w:t>，</w:t>
            </w:r>
            <w:r>
              <w:rPr>
                <w:color w:val="000000"/>
                <w:spacing w:val="13"/>
                <w:szCs w:val="21"/>
                <w:shd w:val="clear" w:color="auto" w:fill="FFFFFF"/>
              </w:rPr>
              <w:t>以将向平台上设备的泄漏减破损处的回流降至最低限度。</w:t>
            </w:r>
          </w:p>
          <w:p w14:paraId="5629F882">
            <w:pPr>
              <w:rPr>
                <w:color w:val="000000"/>
                <w:spacing w:val="13"/>
                <w:szCs w:val="21"/>
                <w:shd w:val="clear" w:color="auto" w:fill="FFFFFF"/>
              </w:rPr>
            </w:pPr>
            <w:r>
              <w:rPr>
                <w:color w:val="000000"/>
                <w:spacing w:val="13"/>
                <w:szCs w:val="21"/>
                <w:shd w:val="clear" w:color="auto" w:fill="FFFFFF"/>
              </w:rPr>
              <w:t>当输入管道仅仅连接到输出管道上时，输出管道上的FSV也保护输入管道。如果输出管道上所有的输入源都安装有FSV</w:t>
            </w:r>
            <w:r>
              <w:rPr>
                <w:rFonts w:hint="eastAsia"/>
                <w:color w:val="000000"/>
                <w:spacing w:val="13"/>
                <w:szCs w:val="21"/>
                <w:shd w:val="clear" w:color="auto" w:fill="FFFFFF"/>
                <w:lang w:eastAsia="zh-CN"/>
              </w:rPr>
              <w:t>，</w:t>
            </w:r>
            <w:r>
              <w:rPr>
                <w:color w:val="000000"/>
                <w:spacing w:val="13"/>
                <w:szCs w:val="21"/>
                <w:shd w:val="clear" w:color="auto" w:fill="FFFFFF"/>
              </w:rPr>
              <w:t>并且其位置能使管道所有有效管段均避免回流，则在该输出管道上可省掉FSV。双向管道上不能安装FSV。</w:t>
            </w:r>
          </w:p>
        </w:tc>
      </w:tr>
      <w:tr w14:paraId="01B30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96" w:type="dxa"/>
          </w:tcPr>
          <w:p w14:paraId="5306DF92">
            <w:pPr>
              <w:numPr>
                <w:ilvl w:val="0"/>
                <w:numId w:val="132"/>
              </w:numPr>
              <w:jc w:val="center"/>
              <w:rPr>
                <w:color w:val="000000"/>
                <w:szCs w:val="21"/>
              </w:rPr>
            </w:pPr>
          </w:p>
        </w:tc>
        <w:tc>
          <w:tcPr>
            <w:tcW w:w="1172" w:type="dxa"/>
          </w:tcPr>
          <w:p w14:paraId="0C2EF7BF">
            <w:pPr>
              <w:jc w:val="center"/>
              <w:rPr>
                <w:color w:val="000000"/>
                <w:szCs w:val="21"/>
              </w:rPr>
            </w:pPr>
            <w:r>
              <w:rPr>
                <w:color w:val="000000"/>
                <w:szCs w:val="21"/>
              </w:rPr>
              <w:t>10.2.11.1</w:t>
            </w:r>
          </w:p>
          <w:p w14:paraId="0505FB8B">
            <w:pPr>
              <w:jc w:val="center"/>
              <w:rPr>
                <w:color w:val="000000"/>
                <w:szCs w:val="21"/>
              </w:rPr>
            </w:pPr>
            <w:r>
              <w:rPr>
                <w:color w:val="000000"/>
                <w:szCs w:val="21"/>
              </w:rPr>
              <w:t>10.2.11.1.1</w:t>
            </w:r>
          </w:p>
          <w:p w14:paraId="6A4BD4F8">
            <w:pPr>
              <w:jc w:val="center"/>
              <w:rPr>
                <w:color w:val="000000"/>
                <w:szCs w:val="21"/>
              </w:rPr>
            </w:pPr>
          </w:p>
          <w:p w14:paraId="4A3A72EE">
            <w:pPr>
              <w:jc w:val="center"/>
              <w:rPr>
                <w:color w:val="000000"/>
                <w:szCs w:val="21"/>
              </w:rPr>
            </w:pPr>
          </w:p>
          <w:p w14:paraId="34CFB968">
            <w:pPr>
              <w:jc w:val="center"/>
              <w:rPr>
                <w:color w:val="000000"/>
                <w:szCs w:val="21"/>
              </w:rPr>
            </w:pPr>
          </w:p>
          <w:p w14:paraId="5EB18EAE">
            <w:pPr>
              <w:jc w:val="center"/>
              <w:rPr>
                <w:color w:val="000000"/>
                <w:szCs w:val="21"/>
              </w:rPr>
            </w:pPr>
          </w:p>
          <w:p w14:paraId="65D54A7A">
            <w:pPr>
              <w:jc w:val="center"/>
              <w:rPr>
                <w:color w:val="000000"/>
                <w:szCs w:val="21"/>
              </w:rPr>
            </w:pPr>
            <w:r>
              <w:rPr>
                <w:color w:val="000000"/>
                <w:szCs w:val="21"/>
              </w:rPr>
              <w:t>10.2.11.1.2</w:t>
            </w:r>
          </w:p>
          <w:p w14:paraId="0A5DB4C8">
            <w:pPr>
              <w:jc w:val="center"/>
              <w:rPr>
                <w:color w:val="000000"/>
                <w:szCs w:val="21"/>
              </w:rPr>
            </w:pPr>
          </w:p>
          <w:p w14:paraId="05859BB2">
            <w:pPr>
              <w:jc w:val="center"/>
              <w:rPr>
                <w:color w:val="000000"/>
                <w:szCs w:val="21"/>
              </w:rPr>
            </w:pPr>
          </w:p>
          <w:p w14:paraId="062EA1A2">
            <w:pPr>
              <w:jc w:val="center"/>
              <w:rPr>
                <w:color w:val="000000"/>
                <w:szCs w:val="21"/>
              </w:rPr>
            </w:pPr>
          </w:p>
          <w:p w14:paraId="6BEDB3D2">
            <w:pPr>
              <w:jc w:val="center"/>
              <w:rPr>
                <w:color w:val="000000"/>
                <w:szCs w:val="21"/>
              </w:rPr>
            </w:pPr>
          </w:p>
          <w:p w14:paraId="4C591032">
            <w:pPr>
              <w:jc w:val="center"/>
              <w:rPr>
                <w:color w:val="000000"/>
                <w:szCs w:val="21"/>
              </w:rPr>
            </w:pPr>
            <w:r>
              <w:rPr>
                <w:color w:val="000000"/>
                <w:szCs w:val="21"/>
              </w:rPr>
              <w:t>10.2.11.1.3</w:t>
            </w:r>
          </w:p>
          <w:p w14:paraId="3C7E6616">
            <w:pPr>
              <w:jc w:val="center"/>
              <w:rPr>
                <w:color w:val="000000"/>
                <w:szCs w:val="21"/>
              </w:rPr>
            </w:pPr>
          </w:p>
          <w:p w14:paraId="3D82AD9D">
            <w:pPr>
              <w:jc w:val="center"/>
              <w:rPr>
                <w:color w:val="000000"/>
                <w:szCs w:val="21"/>
              </w:rPr>
            </w:pPr>
          </w:p>
          <w:p w14:paraId="48902635">
            <w:pPr>
              <w:jc w:val="center"/>
              <w:rPr>
                <w:color w:val="000000"/>
                <w:szCs w:val="21"/>
              </w:rPr>
            </w:pPr>
          </w:p>
          <w:p w14:paraId="0B99CA33">
            <w:pPr>
              <w:jc w:val="center"/>
              <w:rPr>
                <w:color w:val="000000"/>
                <w:szCs w:val="21"/>
              </w:rPr>
            </w:pPr>
          </w:p>
          <w:p w14:paraId="0AA81C0E">
            <w:pPr>
              <w:jc w:val="center"/>
              <w:rPr>
                <w:color w:val="000000"/>
                <w:szCs w:val="21"/>
              </w:rPr>
            </w:pPr>
          </w:p>
          <w:p w14:paraId="0ED457BA">
            <w:pPr>
              <w:jc w:val="center"/>
              <w:rPr>
                <w:color w:val="000000"/>
                <w:szCs w:val="21"/>
              </w:rPr>
            </w:pPr>
          </w:p>
          <w:p w14:paraId="28A931DB">
            <w:pPr>
              <w:jc w:val="center"/>
              <w:rPr>
                <w:color w:val="000000"/>
                <w:szCs w:val="21"/>
              </w:rPr>
            </w:pPr>
            <w:r>
              <w:rPr>
                <w:color w:val="000000"/>
                <w:szCs w:val="21"/>
              </w:rPr>
              <w:t>10.2.11.1.4</w:t>
            </w:r>
          </w:p>
          <w:p w14:paraId="4DE0601B">
            <w:pPr>
              <w:jc w:val="center"/>
              <w:rPr>
                <w:color w:val="000000"/>
                <w:szCs w:val="21"/>
              </w:rPr>
            </w:pPr>
          </w:p>
          <w:p w14:paraId="5923FE71">
            <w:pPr>
              <w:jc w:val="center"/>
              <w:rPr>
                <w:color w:val="000000"/>
                <w:szCs w:val="21"/>
              </w:rPr>
            </w:pPr>
          </w:p>
          <w:p w14:paraId="2A93430B">
            <w:pPr>
              <w:jc w:val="center"/>
              <w:rPr>
                <w:color w:val="000000"/>
                <w:szCs w:val="21"/>
              </w:rPr>
            </w:pPr>
          </w:p>
          <w:p w14:paraId="309A9C4D">
            <w:pPr>
              <w:jc w:val="center"/>
              <w:rPr>
                <w:color w:val="000000"/>
                <w:szCs w:val="21"/>
              </w:rPr>
            </w:pPr>
          </w:p>
          <w:p w14:paraId="47E4A1D2">
            <w:pPr>
              <w:jc w:val="center"/>
              <w:rPr>
                <w:color w:val="000000"/>
                <w:szCs w:val="21"/>
              </w:rPr>
            </w:pPr>
          </w:p>
          <w:p w14:paraId="04FEBCC8">
            <w:pPr>
              <w:jc w:val="center"/>
              <w:rPr>
                <w:color w:val="000000"/>
                <w:szCs w:val="21"/>
              </w:rPr>
            </w:pPr>
            <w:r>
              <w:rPr>
                <w:color w:val="000000"/>
                <w:szCs w:val="21"/>
              </w:rPr>
              <w:t>10.2.11.1.5</w:t>
            </w:r>
          </w:p>
          <w:p w14:paraId="7A0F8A2A">
            <w:pPr>
              <w:jc w:val="center"/>
              <w:rPr>
                <w:color w:val="000000"/>
                <w:szCs w:val="21"/>
              </w:rPr>
            </w:pPr>
          </w:p>
          <w:p w14:paraId="13C737CB">
            <w:pPr>
              <w:jc w:val="center"/>
              <w:rPr>
                <w:color w:val="000000"/>
                <w:szCs w:val="21"/>
              </w:rPr>
            </w:pPr>
          </w:p>
          <w:p w14:paraId="154F948C">
            <w:pPr>
              <w:jc w:val="center"/>
              <w:rPr>
                <w:color w:val="000000"/>
                <w:szCs w:val="21"/>
              </w:rPr>
            </w:pPr>
          </w:p>
          <w:p w14:paraId="7C35428C">
            <w:pPr>
              <w:jc w:val="center"/>
              <w:rPr>
                <w:color w:val="000000"/>
                <w:szCs w:val="21"/>
              </w:rPr>
            </w:pPr>
            <w:r>
              <w:rPr>
                <w:color w:val="000000"/>
                <w:szCs w:val="21"/>
              </w:rPr>
              <w:t>10.2.11.1.6</w:t>
            </w:r>
          </w:p>
          <w:p w14:paraId="7E2D3B18">
            <w:pPr>
              <w:jc w:val="center"/>
              <w:rPr>
                <w:color w:val="000000"/>
                <w:szCs w:val="21"/>
              </w:rPr>
            </w:pPr>
          </w:p>
          <w:p w14:paraId="42C8ED67">
            <w:pPr>
              <w:jc w:val="center"/>
              <w:rPr>
                <w:color w:val="000000"/>
                <w:szCs w:val="21"/>
              </w:rPr>
            </w:pPr>
          </w:p>
          <w:p w14:paraId="2023FA41">
            <w:pPr>
              <w:jc w:val="center"/>
              <w:rPr>
                <w:color w:val="000000"/>
                <w:szCs w:val="21"/>
              </w:rPr>
            </w:pPr>
          </w:p>
          <w:p w14:paraId="7D1ABE72">
            <w:pPr>
              <w:jc w:val="center"/>
              <w:rPr>
                <w:color w:val="000000"/>
                <w:szCs w:val="21"/>
              </w:rPr>
            </w:pPr>
          </w:p>
          <w:p w14:paraId="4E7ECC4C">
            <w:pPr>
              <w:jc w:val="center"/>
              <w:rPr>
                <w:color w:val="000000"/>
                <w:szCs w:val="21"/>
              </w:rPr>
            </w:pPr>
            <w:r>
              <w:rPr>
                <w:color w:val="000000"/>
                <w:szCs w:val="21"/>
              </w:rPr>
              <w:t>10.2.11.1.7</w:t>
            </w:r>
          </w:p>
          <w:p w14:paraId="05921A61">
            <w:pPr>
              <w:jc w:val="center"/>
              <w:rPr>
                <w:color w:val="000000"/>
                <w:szCs w:val="21"/>
              </w:rPr>
            </w:pPr>
          </w:p>
          <w:p w14:paraId="3A8A7F84">
            <w:pPr>
              <w:jc w:val="center"/>
              <w:rPr>
                <w:color w:val="000000"/>
                <w:szCs w:val="21"/>
              </w:rPr>
            </w:pPr>
          </w:p>
          <w:p w14:paraId="616024F7">
            <w:pPr>
              <w:jc w:val="center"/>
              <w:rPr>
                <w:color w:val="000000"/>
                <w:szCs w:val="21"/>
              </w:rPr>
            </w:pPr>
            <w:r>
              <w:rPr>
                <w:color w:val="000000"/>
                <w:szCs w:val="21"/>
              </w:rPr>
              <w:t>10.2.11.1.8</w:t>
            </w:r>
          </w:p>
          <w:p w14:paraId="21F21DA8">
            <w:pPr>
              <w:jc w:val="center"/>
              <w:rPr>
                <w:color w:val="000000"/>
                <w:szCs w:val="21"/>
              </w:rPr>
            </w:pPr>
          </w:p>
          <w:p w14:paraId="10829D93">
            <w:pPr>
              <w:jc w:val="center"/>
              <w:rPr>
                <w:color w:val="000000"/>
                <w:szCs w:val="21"/>
              </w:rPr>
            </w:pPr>
          </w:p>
          <w:p w14:paraId="798E1D02">
            <w:pPr>
              <w:jc w:val="center"/>
              <w:rPr>
                <w:color w:val="000000"/>
                <w:szCs w:val="21"/>
              </w:rPr>
            </w:pPr>
          </w:p>
          <w:p w14:paraId="2050B035">
            <w:pPr>
              <w:jc w:val="center"/>
              <w:rPr>
                <w:color w:val="000000"/>
                <w:szCs w:val="21"/>
              </w:rPr>
            </w:pPr>
          </w:p>
        </w:tc>
        <w:tc>
          <w:tcPr>
            <w:tcW w:w="2725" w:type="dxa"/>
          </w:tcPr>
          <w:p w14:paraId="046C89AA">
            <w:pPr>
              <w:pStyle w:val="328"/>
              <w:numPr>
                <w:ilvl w:val="0"/>
                <w:numId w:val="0"/>
              </w:numPr>
              <w:rPr>
                <w:rFonts w:ascii="Times New Roman"/>
                <w:color w:val="000000"/>
              </w:rPr>
            </w:pPr>
            <w:r>
              <w:rPr>
                <w:rFonts w:ascii="Times New Roman"/>
                <w:color w:val="000000"/>
              </w:rPr>
              <w:t>压力安全保护</w:t>
            </w:r>
          </w:p>
          <w:p w14:paraId="4D9CD0F0">
            <w:pPr>
              <w:pStyle w:val="328"/>
              <w:numPr>
                <w:ilvl w:val="0"/>
                <w:numId w:val="0"/>
              </w:numPr>
              <w:rPr>
                <w:rFonts w:ascii="Times New Roman"/>
                <w:color w:val="000000"/>
              </w:rPr>
            </w:pPr>
            <w:r>
              <w:rPr>
                <w:rFonts w:ascii="Times New Roman"/>
                <w:color w:val="000000"/>
              </w:rPr>
              <w:t>换热器应按受热端及供热端分别分析。可能导致超压的输入源接受端应设</w:t>
            </w:r>
            <w:r>
              <w:rPr>
                <w:rFonts w:ascii="Times New Roman"/>
              </w:rPr>
              <w:t>高压传感器（PSH）</w:t>
            </w:r>
            <w:r>
              <w:rPr>
                <w:rFonts w:ascii="Times New Roman"/>
                <w:color w:val="000000"/>
              </w:rPr>
              <w:t>，以便在必要时切断流入。</w:t>
            </w:r>
          </w:p>
          <w:p w14:paraId="02929DA4">
            <w:pPr>
              <w:pStyle w:val="328"/>
              <w:numPr>
                <w:ilvl w:val="0"/>
                <w:numId w:val="0"/>
              </w:numPr>
              <w:rPr>
                <w:rFonts w:ascii="Times New Roman"/>
                <w:color w:val="000000"/>
              </w:rPr>
            </w:pPr>
            <w:r>
              <w:rPr>
                <w:rFonts w:ascii="Times New Roman"/>
                <w:color w:val="000000"/>
              </w:rPr>
              <w:t>若换热器一个输入源可能由于其他输入源的泄漏或破裂而导致超压时，应设</w:t>
            </w:r>
            <w:r>
              <w:rPr>
                <w:rFonts w:ascii="Times New Roman"/>
              </w:rPr>
              <w:t>高压传感器（PSH）</w:t>
            </w:r>
            <w:r>
              <w:rPr>
                <w:rFonts w:ascii="Times New Roman"/>
                <w:color w:val="000000"/>
              </w:rPr>
              <w:t>以切断超压源向该输入源的流入。</w:t>
            </w:r>
          </w:p>
          <w:p w14:paraId="718FDB63">
            <w:pPr>
              <w:pStyle w:val="328"/>
              <w:numPr>
                <w:ilvl w:val="0"/>
                <w:numId w:val="0"/>
              </w:numPr>
              <w:rPr>
                <w:rFonts w:ascii="Times New Roman"/>
                <w:color w:val="000000"/>
              </w:rPr>
            </w:pPr>
            <w:r>
              <w:rPr>
                <w:rFonts w:ascii="Times New Roman"/>
                <w:color w:val="000000"/>
              </w:rPr>
              <w:t>若上游设备的</w:t>
            </w:r>
            <w:r>
              <w:rPr>
                <w:rFonts w:ascii="Times New Roman"/>
              </w:rPr>
              <w:t>高压传感器（PSH）</w:t>
            </w:r>
            <w:r>
              <w:rPr>
                <w:rFonts w:ascii="Times New Roman"/>
                <w:color w:val="000000"/>
              </w:rPr>
              <w:t>能检测到换热器一个输入源压力并可切断流入，或下游设备的</w:t>
            </w:r>
            <w:r>
              <w:rPr>
                <w:rFonts w:ascii="Times New Roman"/>
              </w:rPr>
              <w:t>高压传感器（PSH）</w:t>
            </w:r>
            <w:r>
              <w:rPr>
                <w:rFonts w:ascii="Times New Roman"/>
                <w:color w:val="000000"/>
              </w:rPr>
              <w:t>能保护该输入源，且不与之隔绝，则该输入源可不设PSH。</w:t>
            </w:r>
          </w:p>
          <w:p w14:paraId="37038E8B">
            <w:pPr>
              <w:pStyle w:val="328"/>
              <w:numPr>
                <w:ilvl w:val="0"/>
                <w:numId w:val="0"/>
              </w:numPr>
              <w:rPr>
                <w:rFonts w:ascii="Times New Roman"/>
                <w:color w:val="000000"/>
              </w:rPr>
            </w:pPr>
            <w:r>
              <w:rPr>
                <w:rFonts w:ascii="Times New Roman"/>
                <w:color w:val="000000"/>
              </w:rPr>
              <w:t>若换热器一个输入源的</w:t>
            </w:r>
            <w:r>
              <w:rPr>
                <w:rFonts w:ascii="Times New Roman"/>
              </w:rPr>
              <w:t>最大允许工作压力（MAWP）</w:t>
            </w:r>
            <w:r>
              <w:rPr>
                <w:rFonts w:ascii="Times New Roman"/>
                <w:color w:val="000000"/>
              </w:rPr>
              <w:t>大于该输入源潜在的</w:t>
            </w:r>
            <w:r>
              <w:rPr>
                <w:rFonts w:ascii="Times New Roman"/>
              </w:rPr>
              <w:t>最大允许工作压力（MAWP）</w:t>
            </w:r>
            <w:r>
              <w:rPr>
                <w:rFonts w:ascii="Times New Roman"/>
                <w:color w:val="000000"/>
              </w:rPr>
              <w:t>，该输入源也可不设</w:t>
            </w:r>
            <w:r>
              <w:rPr>
                <w:rFonts w:ascii="Times New Roman"/>
              </w:rPr>
              <w:t>高压传感器（PSH）</w:t>
            </w:r>
            <w:r>
              <w:rPr>
                <w:rFonts w:ascii="Times New Roman"/>
                <w:color w:val="000000"/>
              </w:rPr>
              <w:t>。</w:t>
            </w:r>
          </w:p>
          <w:p w14:paraId="7013C8F3">
            <w:pPr>
              <w:pStyle w:val="328"/>
              <w:numPr>
                <w:ilvl w:val="0"/>
                <w:numId w:val="0"/>
              </w:numPr>
              <w:rPr>
                <w:rFonts w:ascii="Times New Roman"/>
                <w:color w:val="000000"/>
              </w:rPr>
            </w:pPr>
            <w:r>
              <w:rPr>
                <w:rFonts w:ascii="Times New Roman"/>
                <w:color w:val="000000"/>
              </w:rPr>
              <w:t>有烃类介质流动的输入源应设</w:t>
            </w:r>
            <w:r>
              <w:rPr>
                <w:rFonts w:ascii="Times New Roman"/>
              </w:rPr>
              <w:t>低压传感器（PSL）</w:t>
            </w:r>
            <w:r>
              <w:rPr>
                <w:rFonts w:ascii="Times New Roman"/>
                <w:color w:val="000000"/>
              </w:rPr>
              <w:t>，当压力降低时切断向该输入源的流入。</w:t>
            </w:r>
          </w:p>
          <w:p w14:paraId="7D69E1D7">
            <w:pPr>
              <w:pStyle w:val="328"/>
              <w:numPr>
                <w:ilvl w:val="0"/>
                <w:numId w:val="0"/>
              </w:numPr>
              <w:rPr>
                <w:rFonts w:ascii="Times New Roman"/>
                <w:color w:val="000000"/>
              </w:rPr>
            </w:pPr>
            <w:r>
              <w:rPr>
                <w:rFonts w:ascii="Times New Roman"/>
                <w:color w:val="000000"/>
              </w:rPr>
              <w:t>若其它设备上的</w:t>
            </w:r>
            <w:r>
              <w:rPr>
                <w:rFonts w:ascii="Times New Roman"/>
              </w:rPr>
              <w:t>低压传感器（PSL）</w:t>
            </w:r>
            <w:r>
              <w:rPr>
                <w:rFonts w:ascii="Times New Roman"/>
                <w:color w:val="000000"/>
              </w:rPr>
              <w:t>能保护换热器一个输入源，且不与之隔绝，该输入源可不设</w:t>
            </w:r>
            <w:r>
              <w:rPr>
                <w:rFonts w:ascii="Times New Roman"/>
              </w:rPr>
              <w:t>低压传感器（PSL）</w:t>
            </w:r>
            <w:r>
              <w:rPr>
                <w:rFonts w:ascii="Times New Roman"/>
                <w:color w:val="000000"/>
              </w:rPr>
              <w:t>。</w:t>
            </w:r>
          </w:p>
          <w:p w14:paraId="01BD0EAD">
            <w:pPr>
              <w:pStyle w:val="328"/>
              <w:numPr>
                <w:ilvl w:val="0"/>
                <w:numId w:val="0"/>
              </w:numPr>
              <w:rPr>
                <w:rFonts w:ascii="Times New Roman"/>
                <w:color w:val="000000"/>
              </w:rPr>
            </w:pPr>
            <w:r>
              <w:rPr>
                <w:rFonts w:ascii="Times New Roman"/>
                <w:color w:val="000000"/>
              </w:rPr>
              <w:t>常压作业或作业中压力经常变动到常压的输入源可不设</w:t>
            </w:r>
            <w:r>
              <w:rPr>
                <w:rFonts w:ascii="Times New Roman"/>
              </w:rPr>
              <w:t>低压传感器（PSL）</w:t>
            </w:r>
            <w:r>
              <w:rPr>
                <w:rFonts w:ascii="Times New Roman"/>
                <w:color w:val="000000"/>
              </w:rPr>
              <w:t>。</w:t>
            </w:r>
          </w:p>
          <w:p w14:paraId="17A9ED0B">
            <w:pPr>
              <w:pStyle w:val="328"/>
              <w:numPr>
                <w:ilvl w:val="0"/>
                <w:numId w:val="0"/>
              </w:numPr>
              <w:rPr>
                <w:rFonts w:ascii="Times New Roman"/>
                <w:color w:val="000000"/>
              </w:rPr>
            </w:pPr>
            <w:r>
              <w:rPr>
                <w:rFonts w:ascii="Times New Roman"/>
                <w:color w:val="000000"/>
              </w:rPr>
              <w:t>换热器每个输入源均应设</w:t>
            </w:r>
            <w:r>
              <w:rPr>
                <w:rFonts w:ascii="Times New Roman"/>
              </w:rPr>
              <w:t>压力安全阀（PSV）</w:t>
            </w:r>
            <w:r>
              <w:rPr>
                <w:rFonts w:ascii="Times New Roman"/>
                <w:color w:val="000000"/>
              </w:rPr>
              <w:t>保护。若其它设备上的PSV能保护一个输入源，且不与之隔绝，该段可不设PSV。若一个段的MAWP大于任何输入源潜在的MAWP，则该输入源可不设PSV。</w:t>
            </w:r>
          </w:p>
        </w:tc>
        <w:tc>
          <w:tcPr>
            <w:tcW w:w="4401" w:type="dxa"/>
          </w:tcPr>
          <w:p w14:paraId="7450F3A0">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0B41E3A6">
            <w:pPr>
              <w:rPr>
                <w:color w:val="000000"/>
                <w:spacing w:val="13"/>
                <w:szCs w:val="21"/>
                <w:shd w:val="clear" w:color="auto" w:fill="FFFFFF"/>
              </w:rPr>
            </w:pPr>
            <w:r>
              <w:rPr>
                <w:color w:val="000000"/>
                <w:spacing w:val="13"/>
                <w:szCs w:val="21"/>
                <w:shd w:val="clear" w:color="auto" w:fill="FFFFFF"/>
              </w:rPr>
              <w:t>6.3.10 换热器（管壳型）</w:t>
            </w:r>
          </w:p>
          <w:p w14:paraId="363BB24C">
            <w:pPr>
              <w:rPr>
                <w:color w:val="000000"/>
                <w:spacing w:val="13"/>
                <w:szCs w:val="21"/>
                <w:shd w:val="clear" w:color="auto" w:fill="FFFFFF"/>
              </w:rPr>
            </w:pPr>
            <w:r>
              <w:rPr>
                <w:color w:val="000000"/>
                <w:spacing w:val="13"/>
                <w:szCs w:val="21"/>
                <w:shd w:val="clear" w:color="auto" w:fill="FFFFFF"/>
              </w:rPr>
              <w:t>6.3.10.1 压力安全保护</w:t>
            </w:r>
          </w:p>
          <w:p w14:paraId="1D814E36">
            <w:pPr>
              <w:rPr>
                <w:color w:val="000000"/>
                <w:spacing w:val="13"/>
                <w:szCs w:val="21"/>
                <w:shd w:val="clear" w:color="auto" w:fill="FFFFFF"/>
              </w:rPr>
            </w:pPr>
            <w:r>
              <w:rPr>
                <w:color w:val="000000"/>
                <w:spacing w:val="13"/>
                <w:szCs w:val="21"/>
                <w:shd w:val="clear" w:color="auto" w:fill="FFFFFF"/>
              </w:rPr>
              <w:t>a)管壳型换热器应按受热段及供热段分别分析。从一个可能导致超压的输入源接受流体的那一段应设PSH</w:t>
            </w:r>
            <w:r>
              <w:rPr>
                <w:rFonts w:hint="eastAsia"/>
                <w:color w:val="000000"/>
                <w:spacing w:val="13"/>
                <w:szCs w:val="21"/>
                <w:shd w:val="clear" w:color="auto" w:fill="FFFFFF"/>
              </w:rPr>
              <w:t>，</w:t>
            </w:r>
            <w:r>
              <w:rPr>
                <w:color w:val="000000"/>
                <w:spacing w:val="13"/>
                <w:szCs w:val="21"/>
                <w:shd w:val="clear" w:color="auto" w:fill="FFFFFF"/>
              </w:rPr>
              <w:t>以便在必要时切断流入。换热器的一段可能由于另一段的泄漏或破裂而导致超压时</w:t>
            </w:r>
            <w:r>
              <w:rPr>
                <w:rFonts w:hint="eastAsia"/>
                <w:color w:val="000000"/>
                <w:spacing w:val="13"/>
                <w:szCs w:val="21"/>
                <w:shd w:val="clear" w:color="auto" w:fill="FFFFFF"/>
              </w:rPr>
              <w:t>，</w:t>
            </w:r>
            <w:r>
              <w:rPr>
                <w:color w:val="000000"/>
                <w:spacing w:val="13"/>
                <w:szCs w:val="21"/>
                <w:shd w:val="clear" w:color="auto" w:fill="FFFFFF"/>
              </w:rPr>
              <w:t>应设PSH以切断超压源向该段的流入。若上游设备的PSH能检测到换热器一个段的压力并可切断流入</w:t>
            </w:r>
            <w:r>
              <w:rPr>
                <w:rFonts w:hint="eastAsia"/>
                <w:color w:val="000000"/>
                <w:spacing w:val="13"/>
                <w:szCs w:val="21"/>
                <w:shd w:val="clear" w:color="auto" w:fill="FFFFFF"/>
              </w:rPr>
              <w:t>，</w:t>
            </w:r>
            <w:r>
              <w:rPr>
                <w:color w:val="000000"/>
                <w:spacing w:val="13"/>
                <w:szCs w:val="21"/>
                <w:shd w:val="clear" w:color="auto" w:fill="FFFFFF"/>
              </w:rPr>
              <w:t>或下游设备的PSH能保护该段</w:t>
            </w:r>
            <w:r>
              <w:rPr>
                <w:rFonts w:hint="eastAsia"/>
                <w:color w:val="000000"/>
                <w:spacing w:val="13"/>
                <w:szCs w:val="21"/>
                <w:shd w:val="clear" w:color="auto" w:fill="FFFFFF"/>
              </w:rPr>
              <w:t>，</w:t>
            </w:r>
            <w:r>
              <w:rPr>
                <w:color w:val="000000"/>
                <w:spacing w:val="13"/>
                <w:szCs w:val="21"/>
                <w:shd w:val="clear" w:color="auto" w:fill="FFFFFF"/>
              </w:rPr>
              <w:t>且不与之隔绝</w:t>
            </w:r>
            <w:r>
              <w:rPr>
                <w:rFonts w:hint="eastAsia"/>
                <w:color w:val="000000"/>
                <w:spacing w:val="13"/>
                <w:szCs w:val="21"/>
                <w:shd w:val="clear" w:color="auto" w:fill="FFFFFF"/>
              </w:rPr>
              <w:t>，</w:t>
            </w:r>
            <w:r>
              <w:rPr>
                <w:color w:val="000000"/>
                <w:spacing w:val="13"/>
                <w:szCs w:val="21"/>
                <w:shd w:val="clear" w:color="auto" w:fill="FFFFFF"/>
              </w:rPr>
              <w:t>则该段可不设PSH。若换热器一个段的额定工作压力大于输入源的可能最大压力</w:t>
            </w:r>
            <w:r>
              <w:rPr>
                <w:rFonts w:hint="eastAsia"/>
                <w:color w:val="000000"/>
                <w:spacing w:val="13"/>
                <w:szCs w:val="21"/>
                <w:shd w:val="clear" w:color="auto" w:fill="FFFFFF"/>
              </w:rPr>
              <w:t>，</w:t>
            </w:r>
            <w:r>
              <w:rPr>
                <w:color w:val="000000"/>
                <w:spacing w:val="13"/>
                <w:szCs w:val="21"/>
                <w:shd w:val="clear" w:color="auto" w:fill="FFFFFF"/>
              </w:rPr>
              <w:t>该段也可不设PSH。</w:t>
            </w:r>
          </w:p>
          <w:p w14:paraId="4B4AC023">
            <w:pPr>
              <w:rPr>
                <w:color w:val="000000"/>
                <w:spacing w:val="13"/>
                <w:szCs w:val="21"/>
                <w:shd w:val="clear" w:color="auto" w:fill="FFFFFF"/>
              </w:rPr>
            </w:pPr>
            <w:r>
              <w:rPr>
                <w:color w:val="000000"/>
                <w:spacing w:val="13"/>
                <w:szCs w:val="21"/>
                <w:shd w:val="clear" w:color="auto" w:fill="FFFFFF"/>
              </w:rPr>
              <w:t>b)有烃类介质流动的段应设PSL</w:t>
            </w:r>
            <w:r>
              <w:rPr>
                <w:rFonts w:hint="eastAsia"/>
                <w:color w:val="000000"/>
                <w:spacing w:val="13"/>
                <w:szCs w:val="21"/>
                <w:shd w:val="clear" w:color="auto" w:fill="FFFFFF"/>
              </w:rPr>
              <w:t>，</w:t>
            </w:r>
            <w:r>
              <w:rPr>
                <w:color w:val="000000"/>
                <w:spacing w:val="13"/>
                <w:szCs w:val="21"/>
                <w:shd w:val="clear" w:color="auto" w:fill="FFFFFF"/>
              </w:rPr>
              <w:t>当压力降低时切断向该段的流入。若其它设备上的PSL能保护换热器的一个段</w:t>
            </w:r>
            <w:r>
              <w:rPr>
                <w:rFonts w:hint="eastAsia"/>
                <w:color w:val="000000"/>
                <w:spacing w:val="13"/>
                <w:szCs w:val="21"/>
                <w:shd w:val="clear" w:color="auto" w:fill="FFFFFF"/>
              </w:rPr>
              <w:t>，</w:t>
            </w:r>
            <w:r>
              <w:rPr>
                <w:color w:val="000000"/>
                <w:spacing w:val="13"/>
                <w:szCs w:val="21"/>
                <w:shd w:val="clear" w:color="auto" w:fill="FFFFFF"/>
              </w:rPr>
              <w:t>且不与之隔绝</w:t>
            </w:r>
            <w:r>
              <w:rPr>
                <w:rFonts w:hint="eastAsia"/>
                <w:color w:val="000000"/>
                <w:spacing w:val="13"/>
                <w:szCs w:val="21"/>
                <w:shd w:val="clear" w:color="auto" w:fill="FFFFFF"/>
              </w:rPr>
              <w:t>，</w:t>
            </w:r>
            <w:r>
              <w:rPr>
                <w:color w:val="000000"/>
                <w:spacing w:val="13"/>
                <w:szCs w:val="21"/>
                <w:shd w:val="clear" w:color="auto" w:fill="FFFFFF"/>
              </w:rPr>
              <w:t>该段可不设PSL。常压作业或作业中经常变动到常压的段可不设PSL。</w:t>
            </w:r>
          </w:p>
          <w:p w14:paraId="2C8932BC">
            <w:pPr>
              <w:rPr>
                <w:color w:val="000000"/>
                <w:spacing w:val="13"/>
                <w:szCs w:val="21"/>
                <w:shd w:val="clear" w:color="auto" w:fill="FFFFFF"/>
              </w:rPr>
            </w:pPr>
            <w:r>
              <w:rPr>
                <w:color w:val="000000"/>
                <w:spacing w:val="13"/>
                <w:szCs w:val="21"/>
                <w:shd w:val="clear" w:color="auto" w:fill="FFFFFF"/>
              </w:rPr>
              <w:t>c) 换热器每一个段应设PSV保护。若其它设备上的PSV能保护一个段</w:t>
            </w:r>
            <w:r>
              <w:rPr>
                <w:rFonts w:hint="eastAsia"/>
                <w:color w:val="000000"/>
                <w:spacing w:val="13"/>
                <w:szCs w:val="21"/>
                <w:shd w:val="clear" w:color="auto" w:fill="FFFFFF"/>
              </w:rPr>
              <w:t>，</w:t>
            </w:r>
            <w:r>
              <w:rPr>
                <w:color w:val="000000"/>
                <w:spacing w:val="13"/>
                <w:szCs w:val="21"/>
                <w:shd w:val="clear" w:color="auto" w:fill="FFFFFF"/>
              </w:rPr>
              <w:t>且不与之隔绝</w:t>
            </w:r>
            <w:r>
              <w:rPr>
                <w:rFonts w:hint="eastAsia"/>
                <w:color w:val="000000"/>
                <w:spacing w:val="13"/>
                <w:szCs w:val="21"/>
                <w:shd w:val="clear" w:color="auto" w:fill="FFFFFF"/>
              </w:rPr>
              <w:t>，</w:t>
            </w:r>
            <w:r>
              <w:rPr>
                <w:color w:val="000000"/>
                <w:spacing w:val="13"/>
                <w:szCs w:val="21"/>
                <w:shd w:val="clear" w:color="auto" w:fill="FFFFFF"/>
              </w:rPr>
              <w:t>该段可不设PSV。若一个段的额定工作压力大于任何输入源的可能最大压力</w:t>
            </w:r>
            <w:r>
              <w:rPr>
                <w:rFonts w:hint="eastAsia"/>
                <w:color w:val="000000"/>
                <w:spacing w:val="13"/>
                <w:szCs w:val="21"/>
                <w:shd w:val="clear" w:color="auto" w:fill="FFFFFF"/>
              </w:rPr>
              <w:t>，</w:t>
            </w:r>
            <w:r>
              <w:rPr>
                <w:color w:val="000000"/>
                <w:spacing w:val="13"/>
                <w:szCs w:val="21"/>
                <w:shd w:val="clear" w:color="auto" w:fill="FFFFFF"/>
              </w:rPr>
              <w:t>则该段可不设PSV。</w:t>
            </w:r>
          </w:p>
          <w:p w14:paraId="28509B61">
            <w:pPr>
              <w:rPr>
                <w:rFonts w:hint="eastAsia"/>
                <w:color w:val="000000"/>
                <w:spacing w:val="13"/>
                <w:szCs w:val="21"/>
                <w:shd w:val="clear" w:color="auto" w:fill="FFFFFF"/>
              </w:rPr>
            </w:pPr>
            <w:r>
              <w:rPr>
                <w:color w:val="000000"/>
                <w:spacing w:val="13"/>
                <w:szCs w:val="21"/>
                <w:shd w:val="clear" w:color="auto" w:fill="FFFFFF"/>
              </w:rPr>
              <w:t>2.SY/T 10033-2002《海上生产平台基本上部设施安全系统的分析设计安装和测试的推荐做法》</w:t>
            </w:r>
            <w:r>
              <w:rPr>
                <w:rFonts w:hint="eastAsia"/>
                <w:color w:val="000000"/>
                <w:spacing w:val="13"/>
                <w:szCs w:val="21"/>
                <w:shd w:val="clear" w:color="auto" w:fill="FFFFFF"/>
              </w:rPr>
              <w:t>：</w:t>
            </w:r>
          </w:p>
          <w:p w14:paraId="1697BF11">
            <w:pPr>
              <w:rPr>
                <w:rFonts w:hint="eastAsia"/>
                <w:color w:val="000000"/>
                <w:spacing w:val="13"/>
                <w:szCs w:val="21"/>
                <w:shd w:val="clear" w:color="auto" w:fill="FFFFFF"/>
              </w:rPr>
            </w:pPr>
            <w:r>
              <w:rPr>
                <w:rFonts w:hint="eastAsia"/>
                <w:color w:val="000000"/>
                <w:spacing w:val="13"/>
                <w:szCs w:val="21"/>
                <w:shd w:val="clear" w:color="auto" w:fill="FFFFFF"/>
              </w:rPr>
              <w:t>（a）在分析换热器的压力安全装置时，换热器两部分（受热部分和供热部分）应单独分析，因为这两部分设计可能不同，对操作压力的要求也可能不同。如果某输入源可能引起过压，则换热器中接收该输入源的那一部分应由PSH传感器保护，以切断过压流体的流入。另外，如果换热器的某一部分会因另一部分的破裂或泄露而导致过压，则可能导致过压的部分应由PSH保护，以切断过压流体的流入。如果上游其他工艺设备上的一个PSH传感器可以检测换热器某一部分中的压力并可以切断向换热器的流入，或在下游设备上的一个PSH传感器能检测换热器中这部分的压力，并与换热器中这部分始终贯通，则在换热器该部分上无需装设PSH传感器。还有，如果换热器中某一部分的最高允许工作压力超过该部分任何输入源的最高潜在压力，则换热器中这部分也无需装设PSH传感器。</w:t>
            </w:r>
          </w:p>
          <w:p w14:paraId="67179163">
            <w:pPr>
              <w:rPr>
                <w:rFonts w:hint="eastAsia"/>
                <w:color w:val="000000"/>
                <w:spacing w:val="13"/>
                <w:szCs w:val="21"/>
                <w:shd w:val="clear" w:color="auto" w:fill="FFFFFF"/>
              </w:rPr>
            </w:pPr>
            <w:r>
              <w:rPr>
                <w:rFonts w:hint="eastAsia"/>
                <w:color w:val="000000"/>
                <w:spacing w:val="13"/>
                <w:szCs w:val="21"/>
                <w:shd w:val="clear" w:color="auto" w:fill="FFFFFF"/>
              </w:rPr>
              <w:t>（b）换热器中包含烃类物质的部分应装设PSL传感器，以在泄露大到足以降低压力时切断流入，除非其他设备上的PSL传感器可以提供必要的保护，并且在工作时与换热器该部分始终贯通。如果换热器的某一部分通常工作于大气压力下，或者在工作时频繁变到大气压力，则该部分上无需装设PSL传感器，在这种情况下，使换热器在这些工作方式下不被切断的闭锁装置组合将足以代替PSL传感器的保护作用。</w:t>
            </w:r>
          </w:p>
          <w:p w14:paraId="666C17B8">
            <w:pPr>
              <w:rPr>
                <w:color w:val="000000"/>
                <w:spacing w:val="13"/>
                <w:szCs w:val="21"/>
                <w:shd w:val="clear" w:color="auto" w:fill="FFFFFF"/>
              </w:rPr>
            </w:pPr>
            <w:r>
              <w:rPr>
                <w:rFonts w:hint="eastAsia"/>
                <w:color w:val="000000"/>
                <w:spacing w:val="13"/>
                <w:szCs w:val="21"/>
                <w:shd w:val="clear" w:color="auto" w:fill="FFFFFF"/>
              </w:rPr>
              <w:t>（c）换热器各部分应装设其能力足以排出最大输入量的PSV。如果其他工艺设备上的PSV可以提供足够的释放能力，使换热器中某部分能保持在或低于其工作压力，并且在工作时与换热器这部分始终贯通，则在该部分上无需装设PSV。如果这些PSV位于工艺设备的下游，则任何时候都应与换热器这部分始终贯通。还有，如果换热器的某部分的最高允许工作压力高于该部分任何输入源的最高潜在压力，则在这部分上也无需装设PSV。此外，当换热器某部分工作时，其他设备上的PSV提供必要的保护，但当换热器该部分被切断时可能与其隔断，则在换热器的该部分上应装设PSV，以便释放由于热膨胀或受火所产生的压力。</w:t>
            </w:r>
          </w:p>
        </w:tc>
      </w:tr>
      <w:tr w14:paraId="4BFFC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96" w:type="dxa"/>
          </w:tcPr>
          <w:p w14:paraId="1C3834BB">
            <w:pPr>
              <w:numPr>
                <w:ilvl w:val="0"/>
                <w:numId w:val="132"/>
              </w:numPr>
              <w:jc w:val="center"/>
              <w:rPr>
                <w:color w:val="000000"/>
                <w:szCs w:val="21"/>
              </w:rPr>
            </w:pPr>
          </w:p>
        </w:tc>
        <w:tc>
          <w:tcPr>
            <w:tcW w:w="1172" w:type="dxa"/>
          </w:tcPr>
          <w:p w14:paraId="008ED7C7">
            <w:pPr>
              <w:jc w:val="center"/>
              <w:rPr>
                <w:color w:val="000000"/>
                <w:szCs w:val="21"/>
              </w:rPr>
            </w:pPr>
            <w:r>
              <w:rPr>
                <w:color w:val="000000"/>
                <w:szCs w:val="21"/>
              </w:rPr>
              <w:t>10.2.11.2</w:t>
            </w:r>
          </w:p>
        </w:tc>
        <w:tc>
          <w:tcPr>
            <w:tcW w:w="2725" w:type="dxa"/>
          </w:tcPr>
          <w:p w14:paraId="0E293563">
            <w:pPr>
              <w:pStyle w:val="328"/>
              <w:numPr>
                <w:ilvl w:val="0"/>
                <w:numId w:val="0"/>
              </w:numPr>
              <w:rPr>
                <w:rFonts w:ascii="Times New Roman"/>
                <w:color w:val="000000"/>
              </w:rPr>
            </w:pPr>
            <w:r>
              <w:rPr>
                <w:rFonts w:ascii="Times New Roman"/>
                <w:color w:val="000000"/>
              </w:rPr>
              <w:t>温度安全保护</w:t>
            </w:r>
          </w:p>
          <w:p w14:paraId="60B1FD10">
            <w:pPr>
              <w:pStyle w:val="328"/>
              <w:numPr>
                <w:ilvl w:val="0"/>
                <w:numId w:val="0"/>
              </w:numPr>
              <w:rPr>
                <w:rFonts w:ascii="Times New Roman"/>
                <w:color w:val="000000"/>
              </w:rPr>
            </w:pPr>
            <w:r>
              <w:rPr>
                <w:rFonts w:ascii="Times New Roman"/>
                <w:color w:val="000000"/>
              </w:rPr>
              <w:t>由于换热器两端一般均按加热介质的最高温度设计，因此不需设</w:t>
            </w:r>
            <w:r>
              <w:rPr>
                <w:rFonts w:ascii="Times New Roman"/>
              </w:rPr>
              <w:t>高温传感器（TSH）</w:t>
            </w:r>
            <w:r>
              <w:rPr>
                <w:rFonts w:ascii="Times New Roman"/>
                <w:color w:val="000000"/>
              </w:rPr>
              <w:t>。</w:t>
            </w:r>
          </w:p>
        </w:tc>
        <w:tc>
          <w:tcPr>
            <w:tcW w:w="4401" w:type="dxa"/>
          </w:tcPr>
          <w:p w14:paraId="35204A0B">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2D24154C">
            <w:pPr>
              <w:rPr>
                <w:color w:val="000000"/>
                <w:spacing w:val="13"/>
                <w:szCs w:val="21"/>
                <w:shd w:val="clear" w:color="auto" w:fill="FFFFFF"/>
              </w:rPr>
            </w:pPr>
            <w:r>
              <w:rPr>
                <w:color w:val="000000"/>
                <w:spacing w:val="13"/>
                <w:szCs w:val="21"/>
                <w:shd w:val="clear" w:color="auto" w:fill="FFFFFF"/>
              </w:rPr>
              <w:t>6.3.10.2 温度安全保护</w:t>
            </w:r>
          </w:p>
          <w:p w14:paraId="7047735C">
            <w:pPr>
              <w:rPr>
                <w:color w:val="000000"/>
                <w:spacing w:val="13"/>
                <w:szCs w:val="21"/>
                <w:shd w:val="clear" w:color="auto" w:fill="FFFFFF"/>
              </w:rPr>
            </w:pPr>
            <w:r>
              <w:rPr>
                <w:color w:val="000000"/>
                <w:spacing w:val="13"/>
                <w:szCs w:val="21"/>
                <w:shd w:val="clear" w:color="auto" w:fill="FFFFFF"/>
              </w:rPr>
              <w:t>由于换热器的两个段一般是按加热介质的最高温度设计</w:t>
            </w:r>
            <w:r>
              <w:rPr>
                <w:rFonts w:hint="eastAsia"/>
                <w:color w:val="000000"/>
                <w:spacing w:val="13"/>
                <w:szCs w:val="21"/>
                <w:shd w:val="clear" w:color="auto" w:fill="FFFFFF"/>
              </w:rPr>
              <w:t>，</w:t>
            </w:r>
            <w:r>
              <w:rPr>
                <w:color w:val="000000"/>
                <w:spacing w:val="13"/>
                <w:szCs w:val="21"/>
                <w:shd w:val="clear" w:color="auto" w:fill="FFFFFF"/>
              </w:rPr>
              <w:t>因此不需设TSH。</w:t>
            </w:r>
          </w:p>
          <w:p w14:paraId="57612997">
            <w:pPr>
              <w:rPr>
                <w:color w:val="000000"/>
                <w:spacing w:val="13"/>
                <w:szCs w:val="21"/>
                <w:shd w:val="clear" w:color="auto" w:fill="FFFFFF"/>
              </w:rPr>
            </w:pPr>
            <w:r>
              <w:rPr>
                <w:color w:val="000000"/>
                <w:spacing w:val="13"/>
                <w:szCs w:val="21"/>
                <w:shd w:val="clear" w:color="auto" w:fill="FFFFFF"/>
              </w:rPr>
              <w:t>2.SY/T 10033-2002《海上生产平台基本上部设施安全系统的分析设计安装和测试的推荐做法》A10.2</w:t>
            </w:r>
          </w:p>
          <w:p w14:paraId="4FAC187B">
            <w:pPr>
              <w:rPr>
                <w:color w:val="000000"/>
                <w:spacing w:val="13"/>
                <w:szCs w:val="21"/>
                <w:shd w:val="clear" w:color="auto" w:fill="FFFFFF"/>
              </w:rPr>
            </w:pPr>
            <w:r>
              <w:rPr>
                <w:color w:val="000000"/>
                <w:spacing w:val="13"/>
                <w:szCs w:val="21"/>
                <w:shd w:val="clear" w:color="auto" w:fill="FFFFFF"/>
              </w:rPr>
              <w:t>(2)温度安全装置（TSH）</w:t>
            </w:r>
            <w:r>
              <w:rPr>
                <w:rFonts w:hint="eastAsia"/>
                <w:color w:val="000000"/>
                <w:spacing w:val="13"/>
                <w:szCs w:val="21"/>
                <w:shd w:val="clear" w:color="auto" w:fill="FFFFFF"/>
                <w:lang w:eastAsia="zh-CN"/>
              </w:rPr>
              <w:t>，</w:t>
            </w:r>
            <w:r>
              <w:rPr>
                <w:color w:val="000000"/>
                <w:spacing w:val="13"/>
                <w:szCs w:val="21"/>
                <w:shd w:val="clear" w:color="auto" w:fill="FFFFFF"/>
              </w:rPr>
              <w:t>由于管壳式换热器的设计通常使其两部分均适应热介质的最高温度，因此一般在管壳式换热器上不需要。</w:t>
            </w:r>
          </w:p>
        </w:tc>
      </w:tr>
      <w:tr w14:paraId="4F485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96" w:type="dxa"/>
          </w:tcPr>
          <w:p w14:paraId="038002ED">
            <w:pPr>
              <w:numPr>
                <w:ilvl w:val="0"/>
                <w:numId w:val="132"/>
              </w:numPr>
              <w:jc w:val="center"/>
              <w:rPr>
                <w:color w:val="000000"/>
                <w:szCs w:val="21"/>
              </w:rPr>
            </w:pPr>
          </w:p>
        </w:tc>
        <w:tc>
          <w:tcPr>
            <w:tcW w:w="1172" w:type="dxa"/>
          </w:tcPr>
          <w:p w14:paraId="20C293A9">
            <w:pPr>
              <w:jc w:val="center"/>
              <w:rPr>
                <w:color w:val="000000"/>
                <w:szCs w:val="21"/>
              </w:rPr>
            </w:pPr>
            <w:r>
              <w:rPr>
                <w:color w:val="000000"/>
                <w:szCs w:val="21"/>
              </w:rPr>
              <w:t>10.2.12</w:t>
            </w:r>
          </w:p>
        </w:tc>
        <w:tc>
          <w:tcPr>
            <w:tcW w:w="2725" w:type="dxa"/>
          </w:tcPr>
          <w:p w14:paraId="6F3264DB">
            <w:pPr>
              <w:pStyle w:val="328"/>
              <w:numPr>
                <w:ilvl w:val="0"/>
                <w:numId w:val="0"/>
              </w:numPr>
              <w:rPr>
                <w:rFonts w:ascii="Times New Roman"/>
                <w:color w:val="000000"/>
              </w:rPr>
            </w:pPr>
            <w:r>
              <w:rPr>
                <w:rFonts w:ascii="Times New Roman"/>
                <w:color w:val="000000"/>
              </w:rPr>
              <w:t>电加热设备</w:t>
            </w:r>
          </w:p>
          <w:p w14:paraId="62AD1820">
            <w:pPr>
              <w:outlineLvl w:val="2"/>
              <w:rPr>
                <w:color w:val="000000"/>
                <w:szCs w:val="21"/>
              </w:rPr>
            </w:pPr>
            <w:r>
              <w:rPr>
                <w:rFonts w:hint="eastAsia"/>
                <w:color w:val="000000"/>
                <w:szCs w:val="21"/>
              </w:rPr>
              <w:t>应设置高温传感器（TSH）以便当工艺流体超温时关闭电加热控制器开关，切断电源。</w:t>
            </w:r>
          </w:p>
        </w:tc>
        <w:tc>
          <w:tcPr>
            <w:tcW w:w="4401" w:type="dxa"/>
          </w:tcPr>
          <w:p w14:paraId="65C69B38">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3F5F819F">
            <w:pPr>
              <w:rPr>
                <w:color w:val="000000"/>
                <w:spacing w:val="13"/>
                <w:szCs w:val="21"/>
                <w:shd w:val="clear" w:color="auto" w:fill="FFFFFF"/>
              </w:rPr>
            </w:pPr>
            <w:r>
              <w:rPr>
                <w:color w:val="000000"/>
                <w:spacing w:val="13"/>
                <w:szCs w:val="21"/>
                <w:shd w:val="clear" w:color="auto" w:fill="FFFFFF"/>
              </w:rPr>
              <w:t>6.3.14 电加热设备</w:t>
            </w:r>
          </w:p>
          <w:p w14:paraId="7FA137BB">
            <w:pPr>
              <w:rPr>
                <w:color w:val="000000"/>
                <w:spacing w:val="13"/>
                <w:szCs w:val="21"/>
                <w:shd w:val="clear" w:color="auto" w:fill="FFFFFF"/>
              </w:rPr>
            </w:pPr>
            <w:r>
              <w:rPr>
                <w:color w:val="000000"/>
                <w:spacing w:val="13"/>
                <w:szCs w:val="21"/>
                <w:shd w:val="clear" w:color="auto" w:fill="FFFFFF"/>
              </w:rPr>
              <w:t>用于生产工艺系统中的电加热设备应符合本《规则》9.1.4.7的有关规定。</w:t>
            </w:r>
          </w:p>
        </w:tc>
      </w:tr>
      <w:tr w14:paraId="137F9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96" w:type="dxa"/>
          </w:tcPr>
          <w:p w14:paraId="30F54A32">
            <w:pPr>
              <w:numPr>
                <w:ilvl w:val="0"/>
                <w:numId w:val="132"/>
              </w:numPr>
              <w:jc w:val="center"/>
              <w:rPr>
                <w:color w:val="000000"/>
                <w:szCs w:val="21"/>
              </w:rPr>
            </w:pPr>
          </w:p>
        </w:tc>
        <w:tc>
          <w:tcPr>
            <w:tcW w:w="1172" w:type="dxa"/>
          </w:tcPr>
          <w:p w14:paraId="6B640622">
            <w:pPr>
              <w:jc w:val="center"/>
              <w:rPr>
                <w:color w:val="000000"/>
                <w:szCs w:val="21"/>
              </w:rPr>
            </w:pPr>
            <w:r>
              <w:rPr>
                <w:color w:val="000000"/>
                <w:szCs w:val="21"/>
              </w:rPr>
              <w:t>10.3.1.9.1</w:t>
            </w:r>
          </w:p>
        </w:tc>
        <w:tc>
          <w:tcPr>
            <w:tcW w:w="2725" w:type="dxa"/>
          </w:tcPr>
          <w:p w14:paraId="2AADCB9E">
            <w:pPr>
              <w:outlineLvl w:val="2"/>
              <w:rPr>
                <w:color w:val="000000"/>
                <w:szCs w:val="21"/>
              </w:rPr>
            </w:pPr>
            <w:r>
              <w:rPr>
                <w:color w:val="000000"/>
                <w:szCs w:val="21"/>
              </w:rPr>
              <w:t>火炬系统应进行连续排放工况和间歇排放工况的热辐射强度分析。冷放空系统应进行意外引燃工况下的热辐射强度分析。</w:t>
            </w:r>
          </w:p>
        </w:tc>
        <w:tc>
          <w:tcPr>
            <w:tcW w:w="4401" w:type="dxa"/>
          </w:tcPr>
          <w:p w14:paraId="38A17BE7">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07514A8B">
            <w:pPr>
              <w:rPr>
                <w:color w:val="000000"/>
                <w:spacing w:val="13"/>
                <w:szCs w:val="21"/>
                <w:shd w:val="clear" w:color="auto" w:fill="FFFFFF"/>
              </w:rPr>
            </w:pPr>
            <w:r>
              <w:rPr>
                <w:color w:val="000000"/>
                <w:spacing w:val="13"/>
                <w:szCs w:val="21"/>
                <w:shd w:val="clear" w:color="auto" w:fill="FFFFFF"/>
              </w:rPr>
              <w:t>6.3.11.1 火炬应尽可能设在远离生活区和生产区的处所</w:t>
            </w:r>
            <w:r>
              <w:rPr>
                <w:rFonts w:hint="eastAsia"/>
                <w:color w:val="000000"/>
                <w:spacing w:val="13"/>
                <w:szCs w:val="21"/>
                <w:shd w:val="clear" w:color="auto" w:fill="FFFFFF"/>
              </w:rPr>
              <w:t>，</w:t>
            </w:r>
            <w:r>
              <w:rPr>
                <w:color w:val="000000"/>
                <w:spacing w:val="13"/>
                <w:szCs w:val="21"/>
                <w:shd w:val="clear" w:color="auto" w:fill="FFFFFF"/>
              </w:rPr>
              <w:t xml:space="preserve">其位置及高度应综合考虑下列因素: </w:t>
            </w:r>
          </w:p>
          <w:p w14:paraId="16E9D03E">
            <w:pPr>
              <w:rPr>
                <w:color w:val="000000"/>
                <w:spacing w:val="13"/>
                <w:szCs w:val="21"/>
                <w:shd w:val="clear" w:color="auto" w:fill="FFFFFF"/>
              </w:rPr>
            </w:pPr>
            <w:r>
              <w:rPr>
                <w:color w:val="000000"/>
                <w:spacing w:val="13"/>
                <w:szCs w:val="21"/>
                <w:shd w:val="clear" w:color="auto" w:fill="FFFFFF"/>
              </w:rPr>
              <w:t>a) 主风向;</w:t>
            </w:r>
          </w:p>
          <w:p w14:paraId="270E39CE">
            <w:pPr>
              <w:rPr>
                <w:color w:val="000000"/>
                <w:spacing w:val="13"/>
                <w:szCs w:val="21"/>
                <w:shd w:val="clear" w:color="auto" w:fill="FFFFFF"/>
              </w:rPr>
            </w:pPr>
            <w:r>
              <w:rPr>
                <w:color w:val="000000"/>
                <w:spacing w:val="13"/>
                <w:szCs w:val="21"/>
                <w:shd w:val="clear" w:color="auto" w:fill="FFFFFF"/>
              </w:rPr>
              <w:t>b) 气体最大排量时连续燃烧所产生的热幅射对离火炬头最近部位的设备及人员安全操作的影响;</w:t>
            </w:r>
          </w:p>
          <w:p w14:paraId="566A6786">
            <w:pPr>
              <w:rPr>
                <w:color w:val="000000"/>
                <w:spacing w:val="13"/>
                <w:szCs w:val="21"/>
                <w:shd w:val="clear" w:color="auto" w:fill="FFFFFF"/>
              </w:rPr>
            </w:pPr>
            <w:r>
              <w:rPr>
                <w:color w:val="000000"/>
                <w:spacing w:val="13"/>
                <w:szCs w:val="21"/>
                <w:shd w:val="clear" w:color="auto" w:fill="FFFFFF"/>
              </w:rPr>
              <w:t>c) 直升机起降等。</w:t>
            </w:r>
          </w:p>
          <w:p w14:paraId="1302B194">
            <w:pPr>
              <w:rPr>
                <w:color w:val="000000"/>
                <w:spacing w:val="13"/>
                <w:szCs w:val="21"/>
                <w:shd w:val="clear" w:color="auto" w:fill="FFFFFF"/>
              </w:rPr>
            </w:pPr>
            <w:r>
              <w:rPr>
                <w:color w:val="000000"/>
                <w:spacing w:val="13"/>
                <w:szCs w:val="21"/>
                <w:shd w:val="clear" w:color="auto" w:fill="FFFFFF"/>
              </w:rPr>
              <w:t>6.3.12 放空系统</w:t>
            </w:r>
          </w:p>
          <w:p w14:paraId="2C9E4392">
            <w:pPr>
              <w:rPr>
                <w:color w:val="000000"/>
                <w:spacing w:val="13"/>
                <w:szCs w:val="21"/>
                <w:shd w:val="clear" w:color="auto" w:fill="FFFFFF"/>
              </w:rPr>
            </w:pPr>
            <w:r>
              <w:rPr>
                <w:color w:val="000000"/>
                <w:spacing w:val="13"/>
                <w:szCs w:val="21"/>
                <w:shd w:val="clear" w:color="auto" w:fill="FFFFFF"/>
              </w:rPr>
              <w:t>放空系统包括冷态放空和大气放空。</w:t>
            </w:r>
          </w:p>
          <w:p w14:paraId="153D4B4C">
            <w:pPr>
              <w:rPr>
                <w:color w:val="000000"/>
                <w:spacing w:val="13"/>
                <w:szCs w:val="21"/>
                <w:shd w:val="clear" w:color="auto" w:fill="FFFFFF"/>
              </w:rPr>
            </w:pPr>
            <w:r>
              <w:rPr>
                <w:color w:val="000000"/>
                <w:spacing w:val="13"/>
                <w:szCs w:val="21"/>
                <w:shd w:val="clear" w:color="auto" w:fill="FFFFFF"/>
              </w:rPr>
              <w:t>a) 冷态放空</w:t>
            </w:r>
            <w:r>
              <w:rPr>
                <w:rFonts w:hint="eastAsia"/>
                <w:color w:val="000000"/>
                <w:spacing w:val="13"/>
                <w:szCs w:val="21"/>
                <w:shd w:val="clear" w:color="auto" w:fill="FFFFFF"/>
              </w:rPr>
              <w:t>，</w:t>
            </w:r>
            <w:r>
              <w:rPr>
                <w:color w:val="000000"/>
                <w:spacing w:val="13"/>
                <w:szCs w:val="21"/>
                <w:shd w:val="clear" w:color="auto" w:fill="FFFFFF"/>
              </w:rPr>
              <w:t>它是对于把连续放空物直接释放到一个未燃烧的火炬处所</w:t>
            </w:r>
            <w:r>
              <w:rPr>
                <w:rFonts w:hint="eastAsia"/>
                <w:color w:val="000000"/>
                <w:spacing w:val="13"/>
                <w:szCs w:val="21"/>
                <w:shd w:val="clear" w:color="auto" w:fill="FFFFFF"/>
              </w:rPr>
              <w:t>，</w:t>
            </w:r>
            <w:r>
              <w:rPr>
                <w:color w:val="000000"/>
                <w:spacing w:val="13"/>
                <w:szCs w:val="21"/>
                <w:shd w:val="clear" w:color="auto" w:fill="FFFFFF"/>
              </w:rPr>
              <w:t>其位置及高度应考虑: 气体扩散和可燃界限; 放空气体中存在的有害组分的浓度; 在放空气体发生意外燃烧的情况下</w:t>
            </w:r>
            <w:r>
              <w:rPr>
                <w:rFonts w:hint="eastAsia"/>
                <w:color w:val="000000"/>
                <w:spacing w:val="13"/>
                <w:szCs w:val="21"/>
                <w:shd w:val="clear" w:color="auto" w:fill="FFFFFF"/>
              </w:rPr>
              <w:t>，</w:t>
            </w:r>
            <w:r>
              <w:rPr>
                <w:color w:val="000000"/>
                <w:spacing w:val="13"/>
                <w:szCs w:val="21"/>
                <w:shd w:val="clear" w:color="auto" w:fill="FFFFFF"/>
              </w:rPr>
              <w:t>热幅射的强度。</w:t>
            </w:r>
          </w:p>
          <w:p w14:paraId="6340FD8F">
            <w:pPr>
              <w:rPr>
                <w:color w:val="000000"/>
                <w:spacing w:val="13"/>
                <w:szCs w:val="21"/>
                <w:shd w:val="clear" w:color="auto" w:fill="FFFFFF"/>
              </w:rPr>
            </w:pPr>
            <w:r>
              <w:rPr>
                <w:color w:val="000000"/>
                <w:spacing w:val="13"/>
                <w:szCs w:val="21"/>
                <w:shd w:val="clear" w:color="auto" w:fill="FFFFFF"/>
              </w:rPr>
              <w:t>b) 大气放空</w:t>
            </w:r>
            <w:r>
              <w:rPr>
                <w:rFonts w:hint="eastAsia"/>
                <w:color w:val="000000"/>
                <w:spacing w:val="13"/>
                <w:szCs w:val="21"/>
                <w:shd w:val="clear" w:color="auto" w:fill="FFFFFF"/>
              </w:rPr>
              <w:t>，</w:t>
            </w:r>
            <w:r>
              <w:rPr>
                <w:color w:val="000000"/>
                <w:spacing w:val="13"/>
                <w:szCs w:val="21"/>
                <w:shd w:val="clear" w:color="auto" w:fill="FFFFFF"/>
              </w:rPr>
              <w:t>通常来自压力低的释放源</w:t>
            </w:r>
            <w:r>
              <w:rPr>
                <w:rFonts w:hint="eastAsia"/>
                <w:color w:val="000000"/>
                <w:spacing w:val="13"/>
                <w:szCs w:val="21"/>
                <w:shd w:val="clear" w:color="auto" w:fill="FFFFFF"/>
              </w:rPr>
              <w:t>，</w:t>
            </w:r>
            <w:r>
              <w:rPr>
                <w:color w:val="000000"/>
                <w:spacing w:val="13"/>
                <w:szCs w:val="21"/>
                <w:shd w:val="clear" w:color="auto" w:fill="FFFFFF"/>
              </w:rPr>
              <w:t>且通常是间歇释放源</w:t>
            </w:r>
            <w:r>
              <w:rPr>
                <w:rFonts w:hint="eastAsia"/>
                <w:color w:val="000000"/>
                <w:spacing w:val="13"/>
                <w:szCs w:val="21"/>
                <w:shd w:val="clear" w:color="auto" w:fill="FFFFFF"/>
              </w:rPr>
              <w:t>，</w:t>
            </w:r>
            <w:r>
              <w:rPr>
                <w:color w:val="000000"/>
                <w:spacing w:val="13"/>
                <w:szCs w:val="21"/>
                <w:shd w:val="clear" w:color="auto" w:fill="FFFFFF"/>
              </w:rPr>
              <w:t>天然气可在一个安全位置放至大气中。</w:t>
            </w:r>
          </w:p>
          <w:p w14:paraId="1103EE17">
            <w:pPr>
              <w:rPr>
                <w:color w:val="000000"/>
                <w:spacing w:val="13"/>
                <w:szCs w:val="21"/>
                <w:shd w:val="clear" w:color="auto" w:fill="FFFFFF"/>
              </w:rPr>
            </w:pPr>
            <w:r>
              <w:rPr>
                <w:color w:val="000000"/>
                <w:spacing w:val="13"/>
                <w:szCs w:val="21"/>
                <w:shd w:val="clear" w:color="auto" w:fill="FFFFFF"/>
              </w:rPr>
              <w:t>2.SY/T 6776-2010《海上生产设施设计和危险性分析推荐作法》5.9火炬与大气放空正常和非正常情况下的工艺蒸气排放是通过设施气体处理系统收集并排放到安全的区域，压力部件或常压罐故空的紧急</w:t>
            </w:r>
            <w:r>
              <w:rPr>
                <w:rFonts w:hint="eastAsia"/>
                <w:color w:val="000000"/>
                <w:spacing w:val="13"/>
                <w:szCs w:val="21"/>
                <w:shd w:val="clear" w:color="auto" w:fill="FFFFFF"/>
              </w:rPr>
              <w:t>泄放</w:t>
            </w:r>
            <w:r>
              <w:rPr>
                <w:color w:val="000000"/>
                <w:spacing w:val="13"/>
                <w:szCs w:val="21"/>
                <w:shd w:val="clear" w:color="auto" w:fill="FFFFFF"/>
              </w:rPr>
              <w:t>或正常排放均为潜在燃料源，应从点火源可能存在的区域隔开。通常用火</w:t>
            </w:r>
          </w:p>
          <w:p w14:paraId="650C5398">
            <w:pPr>
              <w:rPr>
                <w:color w:val="000000"/>
                <w:spacing w:val="13"/>
                <w:szCs w:val="21"/>
                <w:shd w:val="clear" w:color="auto" w:fill="FFFFFF"/>
              </w:rPr>
            </w:pPr>
            <w:r>
              <w:rPr>
                <w:color w:val="000000"/>
                <w:spacing w:val="13"/>
                <w:szCs w:val="21"/>
                <w:shd w:val="clear" w:color="auto" w:fill="FFFFFF"/>
              </w:rPr>
              <w:t>炬或放空系统</w:t>
            </w:r>
            <w:r>
              <w:rPr>
                <w:rFonts w:hint="eastAsia"/>
                <w:color w:val="000000"/>
                <w:spacing w:val="13"/>
                <w:szCs w:val="21"/>
                <w:shd w:val="clear" w:color="auto" w:fill="FFFFFF"/>
              </w:rPr>
              <w:t>收集</w:t>
            </w:r>
            <w:r>
              <w:rPr>
                <w:color w:val="000000"/>
                <w:spacing w:val="13"/>
                <w:szCs w:val="21"/>
                <w:shd w:val="clear" w:color="auto" w:fill="FFFFFF"/>
              </w:rPr>
              <w:t>这些排放物并排放至远离生产设施的安全区域，以燃烧或扩散的方式对蒸气进行安全地处理。如果排放中含有液体，则火炬或放空系统将先进行除液体后再燃烧或排放到大气中，</w:t>
            </w:r>
            <w:r>
              <w:rPr>
                <w:rFonts w:hint="eastAsia"/>
                <w:color w:val="000000"/>
                <w:spacing w:val="13"/>
                <w:szCs w:val="21"/>
                <w:shd w:val="clear" w:color="auto" w:fill="FFFFFF"/>
              </w:rPr>
              <w:t>火炬</w:t>
            </w:r>
            <w:r>
              <w:rPr>
                <w:color w:val="000000"/>
                <w:spacing w:val="13"/>
                <w:szCs w:val="21"/>
                <w:shd w:val="clear" w:color="auto" w:fill="FFFFFF"/>
              </w:rPr>
              <w:t>是潜在的点火源，通常延伸到主平台之外或设置在一个独立的结构物上，某些情况下在主平台上会使用立式火矩塔</w:t>
            </w:r>
            <w:r>
              <w:rPr>
                <w:rFonts w:hint="eastAsia"/>
                <w:color w:val="000000"/>
                <w:spacing w:val="13"/>
                <w:szCs w:val="21"/>
                <w:shd w:val="clear" w:color="auto" w:fill="FFFFFF"/>
              </w:rPr>
              <w:t>。</w:t>
            </w:r>
          </w:p>
          <w:p w14:paraId="7A72E9B0">
            <w:pPr>
              <w:rPr>
                <w:color w:val="000000"/>
                <w:spacing w:val="13"/>
                <w:szCs w:val="21"/>
                <w:shd w:val="clear" w:color="auto" w:fill="FFFFFF"/>
              </w:rPr>
            </w:pPr>
            <w:r>
              <w:rPr>
                <w:color w:val="000000"/>
                <w:spacing w:val="13"/>
                <w:szCs w:val="21"/>
                <w:shd w:val="clear" w:color="auto" w:fill="FFFFFF"/>
              </w:rPr>
              <w:t>由火炬头至平台各部分区域的允许距离委根据辐射热的计算来确定，或者如果火炬已经熄灭，则应根据气体扩散的计算来确定。</w:t>
            </w:r>
          </w:p>
          <w:p w14:paraId="2B93EE82">
            <w:pPr>
              <w:numPr>
                <w:ilvl w:val="0"/>
                <w:numId w:val="137"/>
              </w:numPr>
              <w:rPr>
                <w:color w:val="000000"/>
                <w:spacing w:val="13"/>
                <w:szCs w:val="21"/>
                <w:shd w:val="clear" w:color="auto" w:fill="FFFFFF"/>
              </w:rPr>
            </w:pPr>
            <w:r>
              <w:rPr>
                <w:color w:val="000000"/>
                <w:spacing w:val="13"/>
                <w:szCs w:val="21"/>
                <w:shd w:val="clear" w:color="auto" w:fill="FFFFFF"/>
              </w:rPr>
              <w:t>SY/T 10043-2002《泄压和减压系统指南》</w:t>
            </w:r>
          </w:p>
          <w:p w14:paraId="3424777D">
            <w:pPr>
              <w:rPr>
                <w:color w:val="000000"/>
                <w:spacing w:val="13"/>
                <w:szCs w:val="21"/>
                <w:shd w:val="clear" w:color="auto" w:fill="FFFFFF"/>
              </w:rPr>
            </w:pPr>
            <w:r>
              <w:rPr>
                <w:color w:val="000000"/>
                <w:spacing w:val="13"/>
                <w:szCs w:val="21"/>
                <w:shd w:val="clear" w:color="auto" w:fill="FFFFFF"/>
              </w:rPr>
              <w:t>4.4.2.3.2在绝大多数情况下，设备能够安全承受的辐射热强度要比人员确定的热强度高。但是，如果遇到过热容易损坏的东西，诸如低熔点的建筑材料（例如铝或塑料）、热敏感的气流。可燃蒸汽空间或电气设备等，就可能需要分析辐射热对它们的影响。当为了与设备的可接受的温度进行对比而需要进行这种分析时，热平衡计算是必要的，以便确定最后的表面温度。</w:t>
            </w:r>
          </w:p>
          <w:p w14:paraId="4E76C3CB">
            <w:pPr>
              <w:rPr>
                <w:color w:val="000000"/>
                <w:spacing w:val="13"/>
                <w:szCs w:val="21"/>
                <w:shd w:val="clear" w:color="auto" w:fill="FFFFFF"/>
              </w:rPr>
            </w:pPr>
            <w:r>
              <w:rPr>
                <w:color w:val="000000"/>
                <w:spacing w:val="13"/>
                <w:szCs w:val="21"/>
                <w:shd w:val="clear" w:color="auto" w:fill="FFFFFF"/>
              </w:rPr>
              <w:t>3.SY/T 10047-2019《海上油（气）田开发工程环境保护设计规范》8.2.5陆上终端火炬高度不应低于等当量污染物排量的排气筒所需达到的高度：海上油气生产设施上的火炬臂高度（长度）应满足人员和设施对热辐射的安全要求。火炬头的设计还应考虑防风或防熄火的措施。</w:t>
            </w:r>
          </w:p>
          <w:p w14:paraId="6CFE66C9">
            <w:pPr>
              <w:rPr>
                <w:color w:val="000000"/>
                <w:spacing w:val="13"/>
                <w:szCs w:val="21"/>
                <w:shd w:val="clear" w:color="auto" w:fill="FFFFFF"/>
              </w:rPr>
            </w:pPr>
            <w:r>
              <w:rPr>
                <w:color w:val="000000"/>
                <w:spacing w:val="13"/>
                <w:szCs w:val="21"/>
                <w:shd w:val="clear" w:color="auto" w:fill="FFFFFF"/>
              </w:rPr>
              <w:t>4.T/CAOE 1-2019《海上油气田工艺设计导则》6.14.1.1火炬系统主要用于接收和处理来自泄放装置的泄放流体，并以燃烧方式处理分离出的可燃、有毒和腐蚀性气体，使其满足气体泄放、热辐射限值、噪音限值等要求。</w:t>
            </w:r>
          </w:p>
          <w:p w14:paraId="0385CFB2">
            <w:pPr>
              <w:rPr>
                <w:color w:val="000000"/>
                <w:spacing w:val="13"/>
                <w:szCs w:val="21"/>
                <w:shd w:val="clear" w:color="auto" w:fill="FFFFFF"/>
              </w:rPr>
            </w:pPr>
            <w:r>
              <w:rPr>
                <w:color w:val="000000"/>
                <w:spacing w:val="13"/>
                <w:szCs w:val="21"/>
                <w:shd w:val="clear" w:color="auto" w:fill="FFFFFF"/>
              </w:rPr>
              <w:t>6.14.2.5冷放空系统设计须满足可燃气体扩散浓度、安全隔离距离、以及可燃气体意外点燃情况下的热辐射限值要求。</w:t>
            </w:r>
          </w:p>
        </w:tc>
      </w:tr>
      <w:tr w14:paraId="28F79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96" w:type="dxa"/>
          </w:tcPr>
          <w:p w14:paraId="2C176DAA">
            <w:pPr>
              <w:numPr>
                <w:ilvl w:val="0"/>
                <w:numId w:val="132"/>
              </w:numPr>
              <w:jc w:val="center"/>
              <w:rPr>
                <w:color w:val="000000"/>
                <w:szCs w:val="21"/>
              </w:rPr>
            </w:pPr>
          </w:p>
        </w:tc>
        <w:tc>
          <w:tcPr>
            <w:tcW w:w="1172" w:type="dxa"/>
          </w:tcPr>
          <w:p w14:paraId="1A990D7F">
            <w:pPr>
              <w:jc w:val="center"/>
              <w:rPr>
                <w:color w:val="000000"/>
                <w:szCs w:val="21"/>
              </w:rPr>
            </w:pPr>
            <w:r>
              <w:rPr>
                <w:color w:val="000000"/>
                <w:szCs w:val="21"/>
              </w:rPr>
              <w:t>10.3.1.9.2</w:t>
            </w:r>
          </w:p>
          <w:p w14:paraId="6B747B12">
            <w:pPr>
              <w:jc w:val="center"/>
              <w:rPr>
                <w:color w:val="000000"/>
                <w:szCs w:val="21"/>
              </w:rPr>
            </w:pPr>
          </w:p>
          <w:p w14:paraId="4D2B5BE5">
            <w:pPr>
              <w:jc w:val="center"/>
              <w:rPr>
                <w:color w:val="000000"/>
                <w:szCs w:val="21"/>
              </w:rPr>
            </w:pPr>
          </w:p>
          <w:p w14:paraId="54ABE63E">
            <w:pPr>
              <w:jc w:val="center"/>
              <w:rPr>
                <w:color w:val="000000"/>
                <w:szCs w:val="21"/>
              </w:rPr>
            </w:pPr>
          </w:p>
          <w:p w14:paraId="3594EE58">
            <w:pPr>
              <w:jc w:val="center"/>
              <w:rPr>
                <w:color w:val="000000"/>
                <w:szCs w:val="21"/>
              </w:rPr>
            </w:pPr>
          </w:p>
          <w:p w14:paraId="1F4FCD93">
            <w:pPr>
              <w:jc w:val="center"/>
              <w:rPr>
                <w:color w:val="000000"/>
                <w:szCs w:val="21"/>
              </w:rPr>
            </w:pPr>
            <w:r>
              <w:rPr>
                <w:color w:val="000000"/>
                <w:szCs w:val="21"/>
              </w:rPr>
              <w:t>10.3.1.9.3</w:t>
            </w:r>
          </w:p>
        </w:tc>
        <w:tc>
          <w:tcPr>
            <w:tcW w:w="2725" w:type="dxa"/>
          </w:tcPr>
          <w:p w14:paraId="4BD0DD6A">
            <w:pPr>
              <w:outlineLvl w:val="2"/>
              <w:rPr>
                <w:color w:val="000000"/>
                <w:szCs w:val="21"/>
              </w:rPr>
            </w:pPr>
            <w:r>
              <w:rPr>
                <w:color w:val="000000"/>
                <w:szCs w:val="21"/>
              </w:rPr>
              <w:t>任何辐射热强度可能超过6.31 kW/m</w:t>
            </w:r>
            <w:r>
              <w:rPr>
                <w:color w:val="000000"/>
                <w:szCs w:val="21"/>
                <w:vertAlign w:val="superscript"/>
              </w:rPr>
              <w:t>2</w:t>
            </w:r>
            <w:r>
              <w:rPr>
                <w:color w:val="000000"/>
                <w:szCs w:val="21"/>
              </w:rPr>
              <w:t>的区域，均应限制人员进入，并在区域的边界上标示有潜在热辐射暴露危险的警告。</w:t>
            </w:r>
          </w:p>
          <w:p w14:paraId="48B7576B">
            <w:pPr>
              <w:outlineLvl w:val="2"/>
              <w:rPr>
                <w:color w:val="000000"/>
                <w:szCs w:val="21"/>
              </w:rPr>
            </w:pPr>
            <w:r>
              <w:rPr>
                <w:color w:val="000000"/>
                <w:szCs w:val="21"/>
              </w:rPr>
              <w:t>靠近火炬头且频繁作业的区域，操作人员在穿着适当防护服装的前提下，所承受的最大热辐射强度若超出相关标准规范的限值要求，应设置固定屏障或采用其它有效的保护装置。</w:t>
            </w:r>
          </w:p>
        </w:tc>
        <w:tc>
          <w:tcPr>
            <w:tcW w:w="4401" w:type="dxa"/>
          </w:tcPr>
          <w:p w14:paraId="25E647E7">
            <w:pPr>
              <w:numPr>
                <w:ilvl w:val="0"/>
                <w:numId w:val="138"/>
              </w:numPr>
              <w:rPr>
                <w:rFonts w:hint="eastAsia"/>
                <w:color w:val="000000"/>
                <w:spacing w:val="13"/>
                <w:szCs w:val="21"/>
                <w:shd w:val="clear" w:color="auto" w:fill="FFFFFF"/>
              </w:rPr>
            </w:pPr>
            <w:r>
              <w:rPr>
                <w:color w:val="000000"/>
                <w:spacing w:val="13"/>
                <w:szCs w:val="21"/>
                <w:shd w:val="clear" w:color="auto" w:fill="FFFFFF"/>
              </w:rPr>
              <w:t>SY/T 10043-2002《泄压和减压系统指南》</w:t>
            </w:r>
            <w:r>
              <w:rPr>
                <w:rFonts w:hint="eastAsia"/>
                <w:color w:val="000000"/>
                <w:spacing w:val="13"/>
                <w:szCs w:val="21"/>
                <w:shd w:val="clear" w:color="auto" w:fill="FFFFFF"/>
              </w:rPr>
              <w:t>：</w:t>
            </w:r>
          </w:p>
          <w:p w14:paraId="3B1235CA">
            <w:pPr>
              <w:jc w:val="center"/>
              <w:rPr>
                <w:color w:val="000000"/>
                <w:spacing w:val="13"/>
                <w:sz w:val="16"/>
                <w:szCs w:val="16"/>
                <w:shd w:val="clear" w:color="auto" w:fill="FFFFFF"/>
              </w:rPr>
            </w:pPr>
            <w:r>
              <w:rPr>
                <w:rFonts w:hint="eastAsia"/>
                <w:color w:val="000000"/>
                <w:spacing w:val="13"/>
                <w:sz w:val="16"/>
                <w:szCs w:val="16"/>
                <w:shd w:val="clear" w:color="auto" w:fill="FFFFFF"/>
              </w:rPr>
              <w:t>表8 推荐的总辐射热设计强度（不包括日光辐射）</w:t>
            </w:r>
          </w:p>
          <w:tbl>
            <w:tblPr>
              <w:tblStyle w:val="88"/>
              <w:tblW w:w="41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1166"/>
              <w:gridCol w:w="1624"/>
            </w:tblGrid>
            <w:tr w14:paraId="0C22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shd w:val="clear" w:color="auto" w:fill="auto"/>
                  <w:vAlign w:val="center"/>
                </w:tcPr>
                <w:p w14:paraId="1BFD6ACD">
                  <w:pPr>
                    <w:jc w:val="center"/>
                    <w:rPr>
                      <w:rFonts w:hint="eastAsia"/>
                      <w:color w:val="000000"/>
                      <w:spacing w:val="13"/>
                      <w:szCs w:val="21"/>
                      <w:shd w:val="clear" w:color="auto" w:fill="FFFFFF"/>
                    </w:rPr>
                  </w:pPr>
                  <w:r>
                    <w:rPr>
                      <w:rFonts w:hint="eastAsia"/>
                      <w:color w:val="000000"/>
                      <w:spacing w:val="13"/>
                      <w:szCs w:val="21"/>
                      <w:shd w:val="clear" w:color="auto" w:fill="FFFFFF"/>
                    </w:rPr>
                    <w:t>允许设计级别（K）</w:t>
                  </w:r>
                </w:p>
                <w:p w14:paraId="409AF87D">
                  <w:pPr>
                    <w:jc w:val="center"/>
                    <w:rPr>
                      <w:color w:val="000000"/>
                      <w:spacing w:val="13"/>
                      <w:szCs w:val="21"/>
                      <w:shd w:val="clear" w:color="auto" w:fill="FFFFFF"/>
                    </w:rPr>
                  </w:pPr>
                  <w:r>
                    <w:rPr>
                      <w:rFonts w:hint="eastAsia"/>
                      <w:color w:val="000000"/>
                      <w:spacing w:val="13"/>
                      <w:szCs w:val="21"/>
                      <w:shd w:val="clear" w:color="auto" w:fill="FFFFFF"/>
                    </w:rPr>
                    <w:t>Btu/h·ft</w:t>
                  </w:r>
                  <w:r>
                    <w:rPr>
                      <w:rFonts w:hint="eastAsia"/>
                      <w:color w:val="000000"/>
                      <w:spacing w:val="13"/>
                      <w:szCs w:val="21"/>
                      <w:shd w:val="clear" w:color="auto" w:fill="FFFFFF"/>
                      <w:vertAlign w:val="superscript"/>
                    </w:rPr>
                    <w:t>2</w:t>
                  </w:r>
                </w:p>
              </w:tc>
              <w:tc>
                <w:tcPr>
                  <w:tcW w:w="1166" w:type="dxa"/>
                  <w:shd w:val="clear" w:color="auto" w:fill="auto"/>
                  <w:vAlign w:val="center"/>
                </w:tcPr>
                <w:p w14:paraId="0A0406E3">
                  <w:pPr>
                    <w:jc w:val="center"/>
                    <w:rPr>
                      <w:rFonts w:hint="eastAsia"/>
                      <w:color w:val="000000"/>
                      <w:spacing w:val="13"/>
                      <w:szCs w:val="21"/>
                      <w:shd w:val="clear" w:color="auto" w:fill="FFFFFF"/>
                    </w:rPr>
                  </w:pPr>
                  <w:r>
                    <w:rPr>
                      <w:rFonts w:hint="eastAsia"/>
                      <w:color w:val="000000"/>
                      <w:spacing w:val="13"/>
                      <w:szCs w:val="21"/>
                      <w:shd w:val="clear" w:color="auto" w:fill="FFFFFF"/>
                    </w:rPr>
                    <w:t>公制单位</w:t>
                  </w:r>
                </w:p>
                <w:p w14:paraId="18374101">
                  <w:pPr>
                    <w:jc w:val="center"/>
                    <w:rPr>
                      <w:color w:val="000000"/>
                      <w:spacing w:val="13"/>
                      <w:szCs w:val="21"/>
                      <w:shd w:val="clear" w:color="auto" w:fill="FFFFFF"/>
                    </w:rPr>
                  </w:pPr>
                  <w:r>
                    <w:rPr>
                      <w:rFonts w:hint="eastAsia"/>
                      <w:color w:val="000000"/>
                      <w:spacing w:val="13"/>
                      <w:szCs w:val="21"/>
                      <w:shd w:val="clear" w:color="auto" w:fill="FFFFFF"/>
                    </w:rPr>
                    <w:t>kW/m</w:t>
                  </w:r>
                  <w:r>
                    <w:rPr>
                      <w:rFonts w:hint="eastAsia"/>
                      <w:color w:val="000000"/>
                      <w:spacing w:val="13"/>
                      <w:szCs w:val="21"/>
                      <w:shd w:val="clear" w:color="auto" w:fill="FFFFFF"/>
                      <w:vertAlign w:val="superscript"/>
                    </w:rPr>
                    <w:t>2</w:t>
                  </w:r>
                </w:p>
              </w:tc>
              <w:tc>
                <w:tcPr>
                  <w:tcW w:w="1624" w:type="dxa"/>
                  <w:shd w:val="clear" w:color="auto" w:fill="auto"/>
                  <w:vAlign w:val="center"/>
                </w:tcPr>
                <w:p w14:paraId="04231020">
                  <w:pPr>
                    <w:jc w:val="center"/>
                    <w:rPr>
                      <w:color w:val="000000"/>
                      <w:spacing w:val="13"/>
                      <w:szCs w:val="21"/>
                      <w:shd w:val="clear" w:color="auto" w:fill="FFFFFF"/>
                    </w:rPr>
                  </w:pPr>
                  <w:r>
                    <w:rPr>
                      <w:rFonts w:hint="eastAsia"/>
                      <w:color w:val="000000"/>
                      <w:spacing w:val="13"/>
                      <w:szCs w:val="21"/>
                      <w:shd w:val="clear" w:color="auto" w:fill="FFFFFF"/>
                    </w:rPr>
                    <w:t>条件</w:t>
                  </w:r>
                </w:p>
              </w:tc>
            </w:tr>
            <w:tr w14:paraId="2ACE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shd w:val="clear" w:color="auto" w:fill="auto"/>
                  <w:vAlign w:val="center"/>
                </w:tcPr>
                <w:p w14:paraId="7855D37F">
                  <w:pPr>
                    <w:jc w:val="center"/>
                    <w:rPr>
                      <w:color w:val="000000"/>
                      <w:spacing w:val="13"/>
                      <w:szCs w:val="21"/>
                      <w:shd w:val="clear" w:color="auto" w:fill="FFFFFF"/>
                    </w:rPr>
                  </w:pPr>
                  <w:r>
                    <w:rPr>
                      <w:rFonts w:hint="eastAsia"/>
                      <w:color w:val="000000"/>
                      <w:spacing w:val="13"/>
                      <w:szCs w:val="21"/>
                      <w:shd w:val="clear" w:color="auto" w:fill="FFFFFF"/>
                    </w:rPr>
                    <w:t>5000</w:t>
                  </w:r>
                </w:p>
              </w:tc>
              <w:tc>
                <w:tcPr>
                  <w:tcW w:w="1166" w:type="dxa"/>
                  <w:shd w:val="clear" w:color="auto" w:fill="auto"/>
                  <w:vAlign w:val="center"/>
                </w:tcPr>
                <w:p w14:paraId="0B189925">
                  <w:pPr>
                    <w:jc w:val="center"/>
                    <w:rPr>
                      <w:color w:val="000000"/>
                      <w:spacing w:val="13"/>
                      <w:szCs w:val="21"/>
                      <w:shd w:val="clear" w:color="auto" w:fill="FFFFFF"/>
                    </w:rPr>
                  </w:pPr>
                  <w:r>
                    <w:rPr>
                      <w:rFonts w:hint="eastAsia"/>
                      <w:color w:val="000000"/>
                      <w:spacing w:val="13"/>
                      <w:szCs w:val="21"/>
                      <w:shd w:val="clear" w:color="auto" w:fill="FFFFFF"/>
                    </w:rPr>
                    <w:t>15.77</w:t>
                  </w:r>
                </w:p>
              </w:tc>
              <w:tc>
                <w:tcPr>
                  <w:tcW w:w="1624" w:type="dxa"/>
                  <w:shd w:val="clear" w:color="auto" w:fill="auto"/>
                  <w:vAlign w:val="center"/>
                </w:tcPr>
                <w:p w14:paraId="19796F96">
                  <w:pPr>
                    <w:jc w:val="center"/>
                    <w:rPr>
                      <w:color w:val="000000"/>
                      <w:spacing w:val="13"/>
                      <w:szCs w:val="21"/>
                      <w:shd w:val="clear" w:color="auto" w:fill="FFFFFF"/>
                    </w:rPr>
                  </w:pPr>
                  <w:r>
                    <w:rPr>
                      <w:rFonts w:hint="eastAsia"/>
                      <w:color w:val="000000"/>
                      <w:spacing w:val="13"/>
                      <w:szCs w:val="21"/>
                      <w:shd w:val="clear" w:color="auto" w:fill="FFFFFF"/>
                    </w:rPr>
                    <w:t>在结构物、操作人员不可能进行操作的区域和已有防辐射热遮蔽的地方（如在设备后面），设计所采用的是辐射热强度</w:t>
                  </w:r>
                </w:p>
              </w:tc>
            </w:tr>
            <w:tr w14:paraId="7FAEE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shd w:val="clear" w:color="auto" w:fill="auto"/>
                  <w:vAlign w:val="center"/>
                </w:tcPr>
                <w:p w14:paraId="4273A86D">
                  <w:pPr>
                    <w:jc w:val="center"/>
                    <w:rPr>
                      <w:color w:val="000000"/>
                      <w:spacing w:val="13"/>
                      <w:szCs w:val="21"/>
                      <w:shd w:val="clear" w:color="auto" w:fill="FFFFFF"/>
                    </w:rPr>
                  </w:pPr>
                  <w:r>
                    <w:rPr>
                      <w:rFonts w:hint="eastAsia"/>
                      <w:color w:val="000000"/>
                      <w:spacing w:val="13"/>
                      <w:szCs w:val="21"/>
                      <w:shd w:val="clear" w:color="auto" w:fill="FFFFFF"/>
                    </w:rPr>
                    <w:t>3000</w:t>
                  </w:r>
                </w:p>
              </w:tc>
              <w:tc>
                <w:tcPr>
                  <w:tcW w:w="1166" w:type="dxa"/>
                  <w:shd w:val="clear" w:color="auto" w:fill="auto"/>
                  <w:vAlign w:val="center"/>
                </w:tcPr>
                <w:p w14:paraId="1AF0DBB8">
                  <w:pPr>
                    <w:jc w:val="center"/>
                    <w:rPr>
                      <w:color w:val="000000"/>
                      <w:spacing w:val="13"/>
                      <w:szCs w:val="21"/>
                      <w:shd w:val="clear" w:color="auto" w:fill="FFFFFF"/>
                    </w:rPr>
                  </w:pPr>
                  <w:r>
                    <w:rPr>
                      <w:rFonts w:hint="eastAsia"/>
                      <w:color w:val="000000"/>
                      <w:spacing w:val="13"/>
                      <w:szCs w:val="21"/>
                      <w:shd w:val="clear" w:color="auto" w:fill="FFFFFF"/>
                    </w:rPr>
                    <w:t>9.46</w:t>
                  </w:r>
                </w:p>
              </w:tc>
              <w:tc>
                <w:tcPr>
                  <w:tcW w:w="1624" w:type="dxa"/>
                  <w:shd w:val="clear" w:color="auto" w:fill="auto"/>
                  <w:vAlign w:val="center"/>
                </w:tcPr>
                <w:p w14:paraId="6EBE522A">
                  <w:pPr>
                    <w:jc w:val="center"/>
                    <w:rPr>
                      <w:color w:val="000000"/>
                      <w:spacing w:val="13"/>
                      <w:szCs w:val="21"/>
                      <w:shd w:val="clear" w:color="auto" w:fill="FFFFFF"/>
                    </w:rPr>
                  </w:pPr>
                  <w:r>
                    <w:rPr>
                      <w:rFonts w:hint="eastAsia"/>
                      <w:color w:val="000000"/>
                      <w:spacing w:val="13"/>
                      <w:szCs w:val="21"/>
                      <w:shd w:val="clear" w:color="auto" w:fill="FFFFFF"/>
                    </w:rPr>
                    <w:t>有通道，人员可以到达的所有位置（如在火炬下面的梯子或在火炬塔的操作平台上），暴露必须限制在仅足够逃脱的几秒钟时间，设计火炬泄放辐射热所采用的是K值</w:t>
                  </w:r>
                </w:p>
              </w:tc>
            </w:tr>
            <w:tr w14:paraId="641EA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shd w:val="clear" w:color="auto" w:fill="auto"/>
                  <w:vAlign w:val="center"/>
                </w:tcPr>
                <w:p w14:paraId="314DC23C">
                  <w:pPr>
                    <w:jc w:val="center"/>
                    <w:rPr>
                      <w:color w:val="000000"/>
                      <w:spacing w:val="13"/>
                      <w:szCs w:val="21"/>
                      <w:shd w:val="clear" w:color="auto" w:fill="FFFFFF"/>
                    </w:rPr>
                  </w:pPr>
                  <w:r>
                    <w:rPr>
                      <w:rFonts w:hint="eastAsia"/>
                      <w:color w:val="000000"/>
                      <w:spacing w:val="13"/>
                      <w:szCs w:val="21"/>
                      <w:shd w:val="clear" w:color="auto" w:fill="FFFFFF"/>
                    </w:rPr>
                    <w:t>2000</w:t>
                  </w:r>
                </w:p>
              </w:tc>
              <w:tc>
                <w:tcPr>
                  <w:tcW w:w="1166" w:type="dxa"/>
                  <w:shd w:val="clear" w:color="auto" w:fill="auto"/>
                  <w:vAlign w:val="center"/>
                </w:tcPr>
                <w:p w14:paraId="303C57B8">
                  <w:pPr>
                    <w:jc w:val="center"/>
                    <w:rPr>
                      <w:color w:val="000000"/>
                      <w:spacing w:val="13"/>
                      <w:szCs w:val="21"/>
                      <w:shd w:val="clear" w:color="auto" w:fill="FFFFFF"/>
                    </w:rPr>
                  </w:pPr>
                  <w:r>
                    <w:rPr>
                      <w:rFonts w:hint="eastAsia"/>
                      <w:color w:val="000000"/>
                      <w:spacing w:val="13"/>
                      <w:szCs w:val="21"/>
                      <w:shd w:val="clear" w:color="auto" w:fill="FFFFFF"/>
                    </w:rPr>
                    <w:t>6.31</w:t>
                  </w:r>
                </w:p>
              </w:tc>
              <w:tc>
                <w:tcPr>
                  <w:tcW w:w="1624" w:type="dxa"/>
                  <w:shd w:val="clear" w:color="auto" w:fill="auto"/>
                  <w:vAlign w:val="center"/>
                </w:tcPr>
                <w:p w14:paraId="72DB6F4A">
                  <w:pPr>
                    <w:jc w:val="center"/>
                    <w:rPr>
                      <w:color w:val="000000"/>
                      <w:spacing w:val="13"/>
                      <w:szCs w:val="21"/>
                      <w:shd w:val="clear" w:color="auto" w:fill="FFFFFF"/>
                    </w:rPr>
                  </w:pPr>
                  <w:r>
                    <w:rPr>
                      <w:rFonts w:hint="eastAsia"/>
                      <w:color w:val="000000"/>
                      <w:spacing w:val="13"/>
                      <w:szCs w:val="21"/>
                      <w:shd w:val="clear" w:color="auto" w:fill="FFFFFF"/>
                    </w:rPr>
                    <w:t>紧急作业可能需要坚持1min的地区，人员没有遮蔽物但穿有合适的工作服，设计所采用的是辐射热强度</w:t>
                  </w:r>
                </w:p>
              </w:tc>
            </w:tr>
            <w:tr w14:paraId="2FAF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 w:type="dxa"/>
                  <w:shd w:val="clear" w:color="auto" w:fill="auto"/>
                  <w:vAlign w:val="center"/>
                </w:tcPr>
                <w:p w14:paraId="0609FDFC">
                  <w:pPr>
                    <w:jc w:val="center"/>
                    <w:rPr>
                      <w:color w:val="000000"/>
                      <w:spacing w:val="13"/>
                      <w:szCs w:val="21"/>
                      <w:shd w:val="clear" w:color="auto" w:fill="FFFFFF"/>
                    </w:rPr>
                  </w:pPr>
                  <w:r>
                    <w:rPr>
                      <w:rFonts w:hint="eastAsia"/>
                      <w:color w:val="000000"/>
                      <w:spacing w:val="13"/>
                      <w:szCs w:val="21"/>
                      <w:shd w:val="clear" w:color="auto" w:fill="FFFFFF"/>
                    </w:rPr>
                    <w:t>1500</w:t>
                  </w:r>
                </w:p>
              </w:tc>
              <w:tc>
                <w:tcPr>
                  <w:tcW w:w="1166" w:type="dxa"/>
                  <w:shd w:val="clear" w:color="auto" w:fill="auto"/>
                  <w:vAlign w:val="center"/>
                </w:tcPr>
                <w:p w14:paraId="69B8ADEC">
                  <w:pPr>
                    <w:jc w:val="center"/>
                    <w:rPr>
                      <w:color w:val="000000"/>
                      <w:spacing w:val="13"/>
                      <w:szCs w:val="21"/>
                      <w:shd w:val="clear" w:color="auto" w:fill="FFFFFF"/>
                    </w:rPr>
                  </w:pPr>
                  <w:r>
                    <w:rPr>
                      <w:rFonts w:hint="eastAsia"/>
                      <w:color w:val="000000"/>
                      <w:spacing w:val="13"/>
                      <w:szCs w:val="21"/>
                      <w:shd w:val="clear" w:color="auto" w:fill="FFFFFF"/>
                    </w:rPr>
                    <w:t>4.73</w:t>
                  </w:r>
                </w:p>
              </w:tc>
              <w:tc>
                <w:tcPr>
                  <w:tcW w:w="1624" w:type="dxa"/>
                  <w:shd w:val="clear" w:color="auto" w:fill="auto"/>
                  <w:vAlign w:val="center"/>
                </w:tcPr>
                <w:p w14:paraId="479DE478">
                  <w:pPr>
                    <w:jc w:val="center"/>
                    <w:rPr>
                      <w:color w:val="000000"/>
                      <w:spacing w:val="13"/>
                      <w:szCs w:val="21"/>
                      <w:shd w:val="clear" w:color="auto" w:fill="FFFFFF"/>
                    </w:rPr>
                  </w:pPr>
                  <w:r>
                    <w:rPr>
                      <w:rFonts w:hint="eastAsia"/>
                      <w:color w:val="000000"/>
                      <w:spacing w:val="13"/>
                      <w:szCs w:val="21"/>
                      <w:shd w:val="clear" w:color="auto" w:fill="FFFFFF"/>
                    </w:rPr>
                    <w:t>紧急作业可能需要几分钟的地区，人员没有遮蔽物但穿有合适的工作服，设计所采用的是辐射热强度</w:t>
                  </w:r>
                </w:p>
              </w:tc>
            </w:tr>
          </w:tbl>
          <w:p w14:paraId="15BFCC7A">
            <w:pPr>
              <w:rPr>
                <w:color w:val="000000"/>
                <w:spacing w:val="13"/>
                <w:szCs w:val="21"/>
                <w:shd w:val="clear" w:color="auto" w:fill="FFFFFF"/>
              </w:rPr>
            </w:pPr>
            <w:r>
              <w:rPr>
                <w:color w:val="000000"/>
                <w:spacing w:val="13"/>
                <w:szCs w:val="21"/>
                <w:shd w:val="clear" w:color="auto" w:fill="FFFFFF"/>
              </w:rPr>
              <w:t>2.SH 3009-2013《石油化工可燃性气体排放系统设计规范》9.1.8火炬设施的分液罐、水封罐、泵等布置区域允许热辐射强度应小于或等于</w:t>
            </w:r>
            <w:r>
              <w:rPr>
                <w:color w:val="000000"/>
                <w:szCs w:val="21"/>
              </w:rPr>
              <w:t>9.00 kW/m</w:t>
            </w:r>
            <w:r>
              <w:rPr>
                <w:color w:val="000000"/>
                <w:szCs w:val="21"/>
                <w:vertAlign w:val="superscript"/>
              </w:rPr>
              <w:t>2</w:t>
            </w:r>
            <w:r>
              <w:rPr>
                <w:rFonts w:hint="eastAsia"/>
                <w:color w:val="000000"/>
                <w:spacing w:val="13"/>
                <w:szCs w:val="21"/>
                <w:shd w:val="clear" w:color="auto" w:fill="FFFFFF"/>
              </w:rPr>
              <w:t>，</w:t>
            </w:r>
            <w:r>
              <w:rPr>
                <w:color w:val="000000"/>
                <w:spacing w:val="13"/>
                <w:szCs w:val="21"/>
                <w:shd w:val="clear" w:color="auto" w:fill="FFFFFF"/>
              </w:rPr>
              <w:t>当该区域的热辐强度大于</w:t>
            </w:r>
            <w:r>
              <w:rPr>
                <w:color w:val="000000"/>
                <w:szCs w:val="21"/>
              </w:rPr>
              <w:t>6.31 kW/m</w:t>
            </w:r>
            <w:r>
              <w:rPr>
                <w:color w:val="000000"/>
                <w:szCs w:val="21"/>
                <w:vertAlign w:val="superscript"/>
              </w:rPr>
              <w:t>2</w:t>
            </w:r>
            <w:r>
              <w:rPr>
                <w:color w:val="000000"/>
                <w:spacing w:val="13"/>
                <w:szCs w:val="21"/>
                <w:shd w:val="clear" w:color="auto" w:fill="FFFFFF"/>
              </w:rPr>
              <w:t>时，应有操作或维修人员安全躲避场所。</w:t>
            </w:r>
          </w:p>
        </w:tc>
      </w:tr>
      <w:tr w14:paraId="502C4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96" w:type="dxa"/>
          </w:tcPr>
          <w:p w14:paraId="744CB7D1">
            <w:pPr>
              <w:numPr>
                <w:ilvl w:val="0"/>
                <w:numId w:val="132"/>
              </w:numPr>
              <w:jc w:val="center"/>
              <w:rPr>
                <w:color w:val="000000"/>
                <w:szCs w:val="21"/>
              </w:rPr>
            </w:pPr>
          </w:p>
        </w:tc>
        <w:tc>
          <w:tcPr>
            <w:tcW w:w="1172" w:type="dxa"/>
          </w:tcPr>
          <w:p w14:paraId="584018C0">
            <w:pPr>
              <w:jc w:val="center"/>
              <w:rPr>
                <w:color w:val="000000"/>
                <w:szCs w:val="21"/>
              </w:rPr>
            </w:pPr>
            <w:r>
              <w:rPr>
                <w:color w:val="000000"/>
                <w:szCs w:val="21"/>
              </w:rPr>
              <w:t>10.3.1.10</w:t>
            </w:r>
          </w:p>
        </w:tc>
        <w:tc>
          <w:tcPr>
            <w:tcW w:w="2725" w:type="dxa"/>
          </w:tcPr>
          <w:p w14:paraId="68F18A4A">
            <w:pPr>
              <w:outlineLvl w:val="2"/>
              <w:rPr>
                <w:color w:val="000000"/>
                <w:szCs w:val="21"/>
              </w:rPr>
            </w:pPr>
            <w:r>
              <w:rPr>
                <w:color w:val="000000"/>
                <w:szCs w:val="21"/>
              </w:rPr>
              <w:t>噪音安全保护</w:t>
            </w:r>
          </w:p>
          <w:p w14:paraId="346826F5">
            <w:pPr>
              <w:outlineLvl w:val="2"/>
              <w:rPr>
                <w:color w:val="000000"/>
                <w:szCs w:val="21"/>
              </w:rPr>
            </w:pPr>
            <w:r>
              <w:rPr>
                <w:color w:val="000000"/>
                <w:szCs w:val="21"/>
              </w:rPr>
              <w:t>火炬系统和冷放空系统应进行连续排放工况和间歇排放工况的噪音分析。所承受的最大噪音若超出相关标准规范限值要求，均应为操作人员配备有效的防护装备。</w:t>
            </w:r>
          </w:p>
        </w:tc>
        <w:tc>
          <w:tcPr>
            <w:tcW w:w="4401" w:type="dxa"/>
          </w:tcPr>
          <w:p w14:paraId="6D3153FD">
            <w:pPr>
              <w:numPr>
                <w:ilvl w:val="0"/>
                <w:numId w:val="139"/>
              </w:numPr>
              <w:rPr>
                <w:color w:val="000000"/>
                <w:spacing w:val="13"/>
                <w:szCs w:val="21"/>
                <w:shd w:val="clear" w:color="auto" w:fill="FFFFFF"/>
              </w:rPr>
            </w:pPr>
            <w:r>
              <w:rPr>
                <w:color w:val="000000"/>
                <w:spacing w:val="13"/>
                <w:szCs w:val="21"/>
                <w:shd w:val="clear" w:color="auto" w:fill="FFFFFF"/>
              </w:rPr>
              <w:t>GB/T 50087-2013 《工业企业噪声控制设计规范》</w:t>
            </w:r>
          </w:p>
          <w:p w14:paraId="3D2951AA">
            <w:pPr>
              <w:jc w:val="center"/>
              <w:rPr>
                <w:color w:val="000000"/>
                <w:spacing w:val="13"/>
                <w:szCs w:val="21"/>
                <w:shd w:val="clear" w:color="auto" w:fill="FFFFFF"/>
              </w:rPr>
            </w:pPr>
            <w:r>
              <w:rPr>
                <w:rFonts w:hint="eastAsia"/>
                <w:color w:val="000000"/>
                <w:spacing w:val="13"/>
                <w:szCs w:val="21"/>
                <w:shd w:val="clear" w:color="auto" w:fill="FFFFFF"/>
              </w:rPr>
              <w:t>表3.0.3 各类工作场所噪声限值</w:t>
            </w:r>
          </w:p>
          <w:tbl>
            <w:tblPr>
              <w:tblStyle w:val="88"/>
              <w:tblW w:w="41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9"/>
              <w:gridCol w:w="1486"/>
            </w:tblGrid>
            <w:tr w14:paraId="6F705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9" w:type="dxa"/>
                  <w:shd w:val="clear" w:color="auto" w:fill="auto"/>
                  <w:vAlign w:val="center"/>
                </w:tcPr>
                <w:p w14:paraId="55622F72">
                  <w:pPr>
                    <w:jc w:val="center"/>
                    <w:rPr>
                      <w:color w:val="000000"/>
                      <w:spacing w:val="13"/>
                      <w:szCs w:val="21"/>
                      <w:shd w:val="clear" w:color="auto" w:fill="FFFFFF"/>
                    </w:rPr>
                  </w:pPr>
                  <w:r>
                    <w:rPr>
                      <w:rFonts w:hint="eastAsia"/>
                      <w:color w:val="000000"/>
                      <w:spacing w:val="13"/>
                      <w:szCs w:val="21"/>
                      <w:shd w:val="clear" w:color="auto" w:fill="FFFFFF"/>
                    </w:rPr>
                    <w:t>工作场所</w:t>
                  </w:r>
                </w:p>
              </w:tc>
              <w:tc>
                <w:tcPr>
                  <w:tcW w:w="1486" w:type="dxa"/>
                  <w:shd w:val="clear" w:color="auto" w:fill="auto"/>
                  <w:vAlign w:val="center"/>
                </w:tcPr>
                <w:p w14:paraId="36961313">
                  <w:pPr>
                    <w:jc w:val="center"/>
                    <w:rPr>
                      <w:rFonts w:hint="eastAsia"/>
                      <w:color w:val="000000"/>
                      <w:spacing w:val="13"/>
                      <w:szCs w:val="21"/>
                      <w:shd w:val="clear" w:color="auto" w:fill="FFFFFF"/>
                    </w:rPr>
                  </w:pPr>
                  <w:r>
                    <w:rPr>
                      <w:rFonts w:hint="eastAsia"/>
                      <w:color w:val="000000"/>
                      <w:spacing w:val="13"/>
                      <w:szCs w:val="21"/>
                      <w:shd w:val="clear" w:color="auto" w:fill="FFFFFF"/>
                    </w:rPr>
                    <w:t>噪声限值</w:t>
                  </w:r>
                </w:p>
                <w:p w14:paraId="7A3B730B">
                  <w:pPr>
                    <w:jc w:val="center"/>
                    <w:rPr>
                      <w:color w:val="000000"/>
                      <w:spacing w:val="13"/>
                      <w:szCs w:val="21"/>
                      <w:shd w:val="clear" w:color="auto" w:fill="FFFFFF"/>
                    </w:rPr>
                  </w:pPr>
                  <w:r>
                    <w:rPr>
                      <w:rFonts w:hint="eastAsia"/>
                      <w:color w:val="000000"/>
                      <w:spacing w:val="13"/>
                      <w:szCs w:val="21"/>
                      <w:shd w:val="clear" w:color="auto" w:fill="FFFFFF"/>
                    </w:rPr>
                    <w:t>[dB（A）]</w:t>
                  </w:r>
                </w:p>
              </w:tc>
            </w:tr>
            <w:tr w14:paraId="65F37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9" w:type="dxa"/>
                  <w:shd w:val="clear" w:color="auto" w:fill="auto"/>
                  <w:vAlign w:val="center"/>
                </w:tcPr>
                <w:p w14:paraId="09A07159">
                  <w:pPr>
                    <w:jc w:val="center"/>
                    <w:rPr>
                      <w:color w:val="000000"/>
                      <w:spacing w:val="13"/>
                      <w:szCs w:val="21"/>
                      <w:shd w:val="clear" w:color="auto" w:fill="FFFFFF"/>
                    </w:rPr>
                  </w:pPr>
                  <w:r>
                    <w:rPr>
                      <w:rFonts w:hint="eastAsia"/>
                      <w:color w:val="000000"/>
                      <w:spacing w:val="13"/>
                      <w:szCs w:val="21"/>
                      <w:shd w:val="clear" w:color="auto" w:fill="FFFFFF"/>
                    </w:rPr>
                    <w:t>生产车间</w:t>
                  </w:r>
                </w:p>
              </w:tc>
              <w:tc>
                <w:tcPr>
                  <w:tcW w:w="1486" w:type="dxa"/>
                  <w:shd w:val="clear" w:color="auto" w:fill="auto"/>
                  <w:vAlign w:val="center"/>
                </w:tcPr>
                <w:p w14:paraId="4FE612F2">
                  <w:pPr>
                    <w:jc w:val="center"/>
                    <w:rPr>
                      <w:color w:val="000000"/>
                      <w:spacing w:val="13"/>
                      <w:szCs w:val="21"/>
                      <w:shd w:val="clear" w:color="auto" w:fill="FFFFFF"/>
                    </w:rPr>
                  </w:pPr>
                  <w:r>
                    <w:rPr>
                      <w:rFonts w:hint="eastAsia"/>
                      <w:color w:val="000000"/>
                      <w:spacing w:val="13"/>
                      <w:szCs w:val="21"/>
                      <w:shd w:val="clear" w:color="auto" w:fill="FFFFFF"/>
                    </w:rPr>
                    <w:t>85</w:t>
                  </w:r>
                </w:p>
              </w:tc>
            </w:tr>
            <w:tr w14:paraId="3EC6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9" w:type="dxa"/>
                  <w:shd w:val="clear" w:color="auto" w:fill="auto"/>
                  <w:vAlign w:val="center"/>
                </w:tcPr>
                <w:p w14:paraId="58F3B9E5">
                  <w:pPr>
                    <w:jc w:val="center"/>
                    <w:rPr>
                      <w:color w:val="000000"/>
                      <w:spacing w:val="13"/>
                      <w:szCs w:val="21"/>
                      <w:shd w:val="clear" w:color="auto" w:fill="FFFFFF"/>
                    </w:rPr>
                  </w:pPr>
                  <w:r>
                    <w:rPr>
                      <w:rFonts w:hint="eastAsia"/>
                      <w:color w:val="000000"/>
                      <w:spacing w:val="13"/>
                      <w:szCs w:val="21"/>
                      <w:shd w:val="clear" w:color="auto" w:fill="FFFFFF"/>
                    </w:rPr>
                    <w:t>车间内值班室、观察室、休息室、办公室、实验室、设计室室内背景噪声级</w:t>
                  </w:r>
                </w:p>
              </w:tc>
              <w:tc>
                <w:tcPr>
                  <w:tcW w:w="1486" w:type="dxa"/>
                  <w:shd w:val="clear" w:color="auto" w:fill="auto"/>
                  <w:vAlign w:val="center"/>
                </w:tcPr>
                <w:p w14:paraId="7C93BE9F">
                  <w:pPr>
                    <w:jc w:val="center"/>
                    <w:rPr>
                      <w:color w:val="000000"/>
                      <w:spacing w:val="13"/>
                      <w:szCs w:val="21"/>
                      <w:shd w:val="clear" w:color="auto" w:fill="FFFFFF"/>
                    </w:rPr>
                  </w:pPr>
                  <w:r>
                    <w:rPr>
                      <w:rFonts w:hint="eastAsia"/>
                      <w:color w:val="000000"/>
                      <w:spacing w:val="13"/>
                      <w:szCs w:val="21"/>
                      <w:shd w:val="clear" w:color="auto" w:fill="FFFFFF"/>
                    </w:rPr>
                    <w:t>70</w:t>
                  </w:r>
                </w:p>
              </w:tc>
            </w:tr>
            <w:tr w14:paraId="37AC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9" w:type="dxa"/>
                  <w:shd w:val="clear" w:color="auto" w:fill="auto"/>
                  <w:vAlign w:val="center"/>
                </w:tcPr>
                <w:p w14:paraId="21C5A25E">
                  <w:pPr>
                    <w:jc w:val="center"/>
                    <w:rPr>
                      <w:color w:val="000000"/>
                      <w:spacing w:val="13"/>
                      <w:szCs w:val="21"/>
                      <w:shd w:val="clear" w:color="auto" w:fill="FFFFFF"/>
                    </w:rPr>
                  </w:pPr>
                  <w:r>
                    <w:rPr>
                      <w:rFonts w:hint="eastAsia"/>
                      <w:color w:val="000000"/>
                      <w:spacing w:val="13"/>
                      <w:szCs w:val="21"/>
                      <w:shd w:val="clear" w:color="auto" w:fill="FFFFFF"/>
                    </w:rPr>
                    <w:t>正常工作状态下精密装配线、精密加工车间、计算机房</w:t>
                  </w:r>
                </w:p>
              </w:tc>
              <w:tc>
                <w:tcPr>
                  <w:tcW w:w="1486" w:type="dxa"/>
                  <w:shd w:val="clear" w:color="auto" w:fill="auto"/>
                  <w:vAlign w:val="center"/>
                </w:tcPr>
                <w:p w14:paraId="60D0F6A7">
                  <w:pPr>
                    <w:jc w:val="center"/>
                    <w:rPr>
                      <w:color w:val="000000"/>
                      <w:spacing w:val="13"/>
                      <w:szCs w:val="21"/>
                      <w:shd w:val="clear" w:color="auto" w:fill="FFFFFF"/>
                    </w:rPr>
                  </w:pPr>
                  <w:r>
                    <w:rPr>
                      <w:rFonts w:hint="eastAsia"/>
                      <w:color w:val="000000"/>
                      <w:spacing w:val="13"/>
                      <w:szCs w:val="21"/>
                      <w:shd w:val="clear" w:color="auto" w:fill="FFFFFF"/>
                    </w:rPr>
                    <w:t>60</w:t>
                  </w:r>
                </w:p>
              </w:tc>
            </w:tr>
            <w:tr w14:paraId="0825C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9" w:type="dxa"/>
                  <w:shd w:val="clear" w:color="auto" w:fill="auto"/>
                  <w:vAlign w:val="center"/>
                </w:tcPr>
                <w:p w14:paraId="63C51884">
                  <w:pPr>
                    <w:jc w:val="center"/>
                    <w:rPr>
                      <w:color w:val="000000"/>
                      <w:spacing w:val="13"/>
                      <w:szCs w:val="21"/>
                      <w:shd w:val="clear" w:color="auto" w:fill="FFFFFF"/>
                    </w:rPr>
                  </w:pPr>
                  <w:r>
                    <w:rPr>
                      <w:rFonts w:hint="eastAsia"/>
                      <w:color w:val="000000"/>
                      <w:spacing w:val="13"/>
                      <w:szCs w:val="21"/>
                      <w:shd w:val="clear" w:color="auto" w:fill="FFFFFF"/>
                    </w:rPr>
                    <w:t>主控室、集中控制室、通信室、电话总机室、消防值班室，一般办公室、会议室、设计室、实验室室内背景噪声级</w:t>
                  </w:r>
                </w:p>
              </w:tc>
              <w:tc>
                <w:tcPr>
                  <w:tcW w:w="1486" w:type="dxa"/>
                  <w:shd w:val="clear" w:color="auto" w:fill="auto"/>
                  <w:vAlign w:val="center"/>
                </w:tcPr>
                <w:p w14:paraId="6EB1D8C2">
                  <w:pPr>
                    <w:jc w:val="center"/>
                    <w:rPr>
                      <w:color w:val="000000"/>
                      <w:spacing w:val="13"/>
                      <w:szCs w:val="21"/>
                      <w:shd w:val="clear" w:color="auto" w:fill="FFFFFF"/>
                    </w:rPr>
                  </w:pPr>
                  <w:r>
                    <w:rPr>
                      <w:rFonts w:hint="eastAsia"/>
                      <w:color w:val="000000"/>
                      <w:spacing w:val="13"/>
                      <w:szCs w:val="21"/>
                      <w:shd w:val="clear" w:color="auto" w:fill="FFFFFF"/>
                    </w:rPr>
                    <w:t>60</w:t>
                  </w:r>
                </w:p>
              </w:tc>
            </w:tr>
            <w:tr w14:paraId="4047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9" w:type="dxa"/>
                  <w:shd w:val="clear" w:color="auto" w:fill="auto"/>
                  <w:vAlign w:val="center"/>
                </w:tcPr>
                <w:p w14:paraId="6662DC72">
                  <w:pPr>
                    <w:jc w:val="center"/>
                    <w:rPr>
                      <w:color w:val="000000"/>
                      <w:spacing w:val="13"/>
                      <w:szCs w:val="21"/>
                      <w:shd w:val="clear" w:color="auto" w:fill="FFFFFF"/>
                    </w:rPr>
                  </w:pPr>
                  <w:r>
                    <w:rPr>
                      <w:rFonts w:hint="eastAsia"/>
                      <w:color w:val="000000"/>
                      <w:spacing w:val="13"/>
                      <w:szCs w:val="21"/>
                      <w:shd w:val="clear" w:color="auto" w:fill="FFFFFF"/>
                    </w:rPr>
                    <w:t>医务室、教室、值班宿舍室内背景噪声级</w:t>
                  </w:r>
                </w:p>
              </w:tc>
              <w:tc>
                <w:tcPr>
                  <w:tcW w:w="1486" w:type="dxa"/>
                  <w:shd w:val="clear" w:color="auto" w:fill="auto"/>
                  <w:vAlign w:val="center"/>
                </w:tcPr>
                <w:p w14:paraId="629C23AD">
                  <w:pPr>
                    <w:jc w:val="center"/>
                    <w:rPr>
                      <w:color w:val="000000"/>
                      <w:spacing w:val="13"/>
                      <w:szCs w:val="21"/>
                      <w:shd w:val="clear" w:color="auto" w:fill="FFFFFF"/>
                    </w:rPr>
                  </w:pPr>
                  <w:r>
                    <w:rPr>
                      <w:rFonts w:hint="eastAsia"/>
                      <w:color w:val="000000"/>
                      <w:spacing w:val="13"/>
                      <w:szCs w:val="21"/>
                      <w:shd w:val="clear" w:color="auto" w:fill="FFFFFF"/>
                    </w:rPr>
                    <w:t>55</w:t>
                  </w:r>
                </w:p>
              </w:tc>
            </w:tr>
          </w:tbl>
          <w:p w14:paraId="43C9A79E">
            <w:pPr>
              <w:ind w:hanging="472" w:hangingChars="200"/>
              <w:rPr>
                <w:rFonts w:hint="eastAsia"/>
                <w:color w:val="000000"/>
                <w:spacing w:val="13"/>
                <w:szCs w:val="21"/>
                <w:shd w:val="clear" w:color="auto" w:fill="FFFFFF"/>
              </w:rPr>
            </w:pPr>
            <w:r>
              <w:rPr>
                <w:rFonts w:hint="eastAsia"/>
                <w:color w:val="000000"/>
                <w:spacing w:val="13"/>
                <w:szCs w:val="21"/>
                <w:shd w:val="clear" w:color="auto" w:fill="FFFFFF"/>
              </w:rPr>
              <w:t>注：1.生产车间噪声限值为每周工作5d，每天工作8h等效声级；对于每周工作5d，每天工作时间不是8h，需计算8h等效声级；对于每周工作日不是5d，需计算40h等效声级；</w:t>
            </w:r>
          </w:p>
          <w:p w14:paraId="477F5432">
            <w:pPr>
              <w:rPr>
                <w:color w:val="000000"/>
                <w:spacing w:val="13"/>
                <w:szCs w:val="21"/>
                <w:shd w:val="clear" w:color="auto" w:fill="FFFFFF"/>
              </w:rPr>
            </w:pPr>
            <w:r>
              <w:rPr>
                <w:rFonts w:hint="eastAsia"/>
                <w:color w:val="000000"/>
                <w:spacing w:val="13"/>
                <w:szCs w:val="21"/>
                <w:shd w:val="clear" w:color="auto" w:fill="FFFFFF"/>
              </w:rPr>
              <w:t>2.室内背景噪声级指室外传入室内的噪声级</w:t>
            </w:r>
          </w:p>
        </w:tc>
      </w:tr>
      <w:tr w14:paraId="79A23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6900844E">
            <w:pPr>
              <w:numPr>
                <w:ilvl w:val="0"/>
                <w:numId w:val="132"/>
              </w:numPr>
              <w:jc w:val="center"/>
              <w:rPr>
                <w:color w:val="000000"/>
                <w:szCs w:val="21"/>
              </w:rPr>
            </w:pPr>
          </w:p>
        </w:tc>
        <w:tc>
          <w:tcPr>
            <w:tcW w:w="1172" w:type="dxa"/>
          </w:tcPr>
          <w:p w14:paraId="151E473D">
            <w:pPr>
              <w:jc w:val="center"/>
              <w:rPr>
                <w:color w:val="000000"/>
                <w:szCs w:val="21"/>
              </w:rPr>
            </w:pPr>
            <w:r>
              <w:rPr>
                <w:color w:val="000000"/>
                <w:szCs w:val="21"/>
              </w:rPr>
              <w:t>10.3.2.1</w:t>
            </w:r>
          </w:p>
          <w:p w14:paraId="16A710C2">
            <w:pPr>
              <w:jc w:val="center"/>
              <w:rPr>
                <w:color w:val="000000"/>
                <w:szCs w:val="21"/>
              </w:rPr>
            </w:pPr>
          </w:p>
        </w:tc>
        <w:tc>
          <w:tcPr>
            <w:tcW w:w="2725" w:type="dxa"/>
          </w:tcPr>
          <w:p w14:paraId="007ED6BB">
            <w:pPr>
              <w:outlineLvl w:val="2"/>
              <w:rPr>
                <w:color w:val="000000"/>
                <w:szCs w:val="21"/>
              </w:rPr>
            </w:pPr>
            <w:r>
              <w:rPr>
                <w:color w:val="000000"/>
                <w:szCs w:val="21"/>
              </w:rPr>
              <w:t>开式排放系统</w:t>
            </w:r>
          </w:p>
          <w:p w14:paraId="3B2AF63F">
            <w:pPr>
              <w:outlineLvl w:val="2"/>
              <w:rPr>
                <w:color w:val="000000"/>
                <w:szCs w:val="21"/>
              </w:rPr>
            </w:pPr>
            <w:r>
              <w:rPr>
                <w:color w:val="000000"/>
                <w:szCs w:val="21"/>
              </w:rPr>
              <w:t>流动安全保护</w:t>
            </w:r>
          </w:p>
          <w:p w14:paraId="06855F7D">
            <w:pPr>
              <w:outlineLvl w:val="2"/>
              <w:rPr>
                <w:color w:val="000000"/>
                <w:szCs w:val="21"/>
              </w:rPr>
            </w:pPr>
            <w:r>
              <w:rPr>
                <w:color w:val="000000"/>
                <w:szCs w:val="21"/>
              </w:rPr>
              <w:t>每根开式排放管线均应设1:100的坡度使流体顺利排入开排罐、开排沉箱或开排槽中。</w:t>
            </w:r>
          </w:p>
        </w:tc>
        <w:tc>
          <w:tcPr>
            <w:tcW w:w="4401" w:type="dxa"/>
          </w:tcPr>
          <w:p w14:paraId="0FA64A15">
            <w:pPr>
              <w:numPr>
                <w:ilvl w:val="0"/>
                <w:numId w:val="140"/>
              </w:numPr>
              <w:rPr>
                <w:color w:val="000000"/>
                <w:spacing w:val="13"/>
                <w:szCs w:val="21"/>
                <w:shd w:val="clear" w:color="auto" w:fill="FFFFFF"/>
              </w:rPr>
            </w:pPr>
            <w:r>
              <w:rPr>
                <w:color w:val="000000"/>
                <w:spacing w:val="13"/>
                <w:szCs w:val="21"/>
                <w:shd w:val="clear" w:color="auto" w:fill="FFFFFF"/>
              </w:rPr>
              <w:t>国经贸安全2000年944号《海上固定平台安全规则》</w:t>
            </w:r>
          </w:p>
          <w:p w14:paraId="0860E99D">
            <w:pPr>
              <w:rPr>
                <w:color w:val="000000"/>
                <w:spacing w:val="13"/>
                <w:szCs w:val="21"/>
                <w:shd w:val="clear" w:color="auto" w:fill="FFFFFF"/>
              </w:rPr>
            </w:pPr>
            <w:r>
              <w:rPr>
                <w:color w:val="000000"/>
                <w:spacing w:val="13"/>
                <w:szCs w:val="21"/>
                <w:shd w:val="clear" w:color="auto" w:fill="FFFFFF"/>
              </w:rPr>
              <w:t>6.3.13.1 开式排放系统管线应考虑尽量减少弯管的数量。排放管线应沿流动方向向下倾斜1%的坡度。在特殊情况下</w:t>
            </w:r>
            <w:r>
              <w:rPr>
                <w:rFonts w:hint="eastAsia"/>
                <w:color w:val="000000"/>
                <w:spacing w:val="13"/>
                <w:szCs w:val="21"/>
                <w:shd w:val="clear" w:color="auto" w:fill="FFFFFF"/>
              </w:rPr>
              <w:t>，</w:t>
            </w:r>
            <w:r>
              <w:rPr>
                <w:color w:val="000000"/>
                <w:spacing w:val="13"/>
                <w:szCs w:val="21"/>
                <w:shd w:val="clear" w:color="auto" w:fill="FFFFFF"/>
              </w:rPr>
              <w:t>允许保持水平。但绝不允许向上倾斜。管线上应设置冲洗接头。</w:t>
            </w:r>
          </w:p>
        </w:tc>
      </w:tr>
      <w:tr w14:paraId="40317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2A4D59BB">
            <w:pPr>
              <w:numPr>
                <w:ilvl w:val="0"/>
                <w:numId w:val="132"/>
              </w:numPr>
              <w:jc w:val="center"/>
              <w:rPr>
                <w:color w:val="000000"/>
                <w:szCs w:val="21"/>
              </w:rPr>
            </w:pPr>
          </w:p>
        </w:tc>
        <w:tc>
          <w:tcPr>
            <w:tcW w:w="1172" w:type="dxa"/>
          </w:tcPr>
          <w:p w14:paraId="15F2BDC9">
            <w:pPr>
              <w:jc w:val="center"/>
              <w:rPr>
                <w:color w:val="000000"/>
                <w:szCs w:val="21"/>
              </w:rPr>
            </w:pPr>
            <w:r>
              <w:rPr>
                <w:color w:val="000000"/>
                <w:szCs w:val="21"/>
              </w:rPr>
              <w:t>10.3.2.2.2</w:t>
            </w:r>
          </w:p>
        </w:tc>
        <w:tc>
          <w:tcPr>
            <w:tcW w:w="2725" w:type="dxa"/>
          </w:tcPr>
          <w:p w14:paraId="115902FD">
            <w:pPr>
              <w:outlineLvl w:val="2"/>
              <w:rPr>
                <w:color w:val="000000"/>
                <w:szCs w:val="21"/>
              </w:rPr>
            </w:pPr>
            <w:r>
              <w:rPr>
                <w:color w:val="000000"/>
                <w:szCs w:val="21"/>
              </w:rPr>
              <w:t>每根与开排罐、开排沉箱或开排槽相连的开排管汇上均应设置水封，避免烃类气体逸出。</w:t>
            </w:r>
          </w:p>
        </w:tc>
        <w:tc>
          <w:tcPr>
            <w:tcW w:w="4401" w:type="dxa"/>
          </w:tcPr>
          <w:p w14:paraId="3B802A7E">
            <w:pPr>
              <w:rPr>
                <w:color w:val="000000"/>
                <w:spacing w:val="13"/>
                <w:szCs w:val="21"/>
                <w:shd w:val="clear" w:color="auto" w:fill="FFFFFF"/>
              </w:rPr>
            </w:pPr>
            <w:r>
              <w:rPr>
                <w:color w:val="000000"/>
                <w:spacing w:val="13"/>
                <w:szCs w:val="21"/>
                <w:shd w:val="clear" w:color="auto" w:fill="FFFFFF"/>
              </w:rPr>
              <w:t>1.SY/T 6776-2010《海上生产设施设计和危险性分析推荐作法》3.3.11排放系统</w:t>
            </w:r>
          </w:p>
          <w:p w14:paraId="4BB16D71">
            <w:pPr>
              <w:rPr>
                <w:color w:val="000000"/>
                <w:spacing w:val="13"/>
                <w:szCs w:val="21"/>
                <w:shd w:val="clear" w:color="auto" w:fill="FFFFFF"/>
              </w:rPr>
            </w:pPr>
            <w:r>
              <w:rPr>
                <w:color w:val="000000"/>
                <w:spacing w:val="13"/>
                <w:szCs w:val="21"/>
                <w:shd w:val="clear" w:color="auto" w:fill="FFFFFF"/>
              </w:rPr>
              <w:t>海上生产设施的规划和建造方案中应包括将溢流出的暖氢化合物收集和排放到“开排”系统（甲板或收油盘式地漏）的安全地方，所有容易发生渗漏或溢出的设备都应有</w:t>
            </w:r>
            <w:r>
              <w:rPr>
                <w:rFonts w:hint="eastAsia"/>
                <w:color w:val="000000"/>
                <w:spacing w:val="13"/>
                <w:szCs w:val="21"/>
                <w:shd w:val="clear" w:color="auto" w:fill="FFFFFF"/>
              </w:rPr>
              <w:t>围栏</w:t>
            </w:r>
            <w:r>
              <w:rPr>
                <w:color w:val="000000"/>
                <w:spacing w:val="13"/>
                <w:szCs w:val="21"/>
                <w:shd w:val="clear" w:color="auto" w:fill="FFFFFF"/>
              </w:rPr>
              <w:t>、挡油板或收油盘，将污油排放到污油池。固定的甲板区域通常先排污到污油槽，再通过污油槽系统或管线排故到处理系统。也可以通过在甲板上地漏</w:t>
            </w:r>
            <w:r>
              <w:rPr>
                <w:rFonts w:hint="eastAsia"/>
                <w:color w:val="000000"/>
                <w:spacing w:val="13"/>
                <w:szCs w:val="21"/>
                <w:shd w:val="clear" w:color="auto" w:fill="FFFFFF"/>
              </w:rPr>
              <w:t>排污口</w:t>
            </w:r>
            <w:r>
              <w:rPr>
                <w:color w:val="000000"/>
                <w:spacing w:val="13"/>
                <w:szCs w:val="21"/>
                <w:shd w:val="clear" w:color="auto" w:fill="FFFFFF"/>
              </w:rPr>
              <w:t>排放，进</w:t>
            </w:r>
            <w:r>
              <w:rPr>
                <w:rFonts w:hint="eastAsia"/>
                <w:color w:val="000000"/>
                <w:spacing w:val="13"/>
                <w:szCs w:val="21"/>
                <w:shd w:val="clear" w:color="auto" w:fill="FFFFFF"/>
              </w:rPr>
              <w:t>而</w:t>
            </w:r>
            <w:r>
              <w:rPr>
                <w:color w:val="000000"/>
                <w:spacing w:val="13"/>
                <w:szCs w:val="21"/>
                <w:shd w:val="clear" w:color="auto" w:fill="FFFFFF"/>
              </w:rPr>
              <w:t>由管线</w:t>
            </w:r>
            <w:r>
              <w:rPr>
                <w:rFonts w:hint="eastAsia"/>
                <w:color w:val="000000"/>
                <w:spacing w:val="13"/>
                <w:szCs w:val="21"/>
                <w:shd w:val="clear" w:color="auto" w:fill="FFFFFF"/>
              </w:rPr>
              <w:t>排放</w:t>
            </w:r>
            <w:r>
              <w:rPr>
                <w:color w:val="000000"/>
                <w:spacing w:val="13"/>
                <w:szCs w:val="21"/>
                <w:shd w:val="clear" w:color="auto" w:fill="FFFFFF"/>
              </w:rPr>
              <w:t>到处理系统存在漏、溅或滴油情况的甲板区域，应设水密封，四周月挡水围栏围住或配备不存在间断的污油情。或者，如果液体要流向一个中心点区域，也可以在设备方安装收油盘，如果结构物没有易于渗漏或溢出的工艺容器或设备（例如，只有井、管汇、管线、</w:t>
            </w:r>
            <w:r>
              <w:rPr>
                <w:rFonts w:hint="eastAsia"/>
                <w:color w:val="000000"/>
                <w:spacing w:val="13"/>
                <w:szCs w:val="21"/>
                <w:shd w:val="clear" w:color="auto" w:fill="FFFFFF"/>
              </w:rPr>
              <w:t>吊机</w:t>
            </w:r>
            <w:r>
              <w:rPr>
                <w:color w:val="000000"/>
                <w:spacing w:val="13"/>
                <w:szCs w:val="21"/>
                <w:shd w:val="clear" w:color="auto" w:fill="FFFFFF"/>
              </w:rPr>
              <w:t>和/或仪表气洗涤器的结构物），则通常不设开排系统，从开排系统收集的污液排放到一个污油罐，在此污油罐中由于密度不同而进行分离。污油罐应配备自动排污系统，使得液芯碳氢化合物能够被嫩出并输送回到生产系统。这样高腐蚀性、高含氧量的雨水将从泵回到工艺系统的液体中分离，由于排放到污油墟的液体可能含有能闪蒸的气体，所以污油罐应有一个足够大的气体排放系统</w:t>
            </w:r>
            <w:r>
              <w:rPr>
                <w:rFonts w:hint="eastAsia"/>
                <w:color w:val="000000"/>
                <w:spacing w:val="13"/>
                <w:szCs w:val="21"/>
                <w:shd w:val="clear" w:color="auto" w:fill="FFFFFF"/>
              </w:rPr>
              <w:t>。</w:t>
            </w:r>
            <w:r>
              <w:rPr>
                <w:color w:val="000000"/>
                <w:spacing w:val="13"/>
                <w:szCs w:val="21"/>
                <w:shd w:val="clear" w:color="auto" w:fill="FFFFFF"/>
              </w:rPr>
              <w:t>开排系统的总体设计应</w:t>
            </w:r>
            <w:r>
              <w:rPr>
                <w:rFonts w:hint="eastAsia"/>
                <w:color w:val="000000"/>
                <w:spacing w:val="13"/>
                <w:szCs w:val="21"/>
                <w:shd w:val="clear" w:color="auto" w:fill="FFFFFF"/>
              </w:rPr>
              <w:t>至少</w:t>
            </w:r>
            <w:r>
              <w:rPr>
                <w:color w:val="000000"/>
                <w:spacing w:val="13"/>
                <w:szCs w:val="21"/>
                <w:shd w:val="clear" w:color="auto" w:fill="FFFFFF"/>
              </w:rPr>
              <w:t>包括一个</w:t>
            </w:r>
            <w:r>
              <w:rPr>
                <w:rFonts w:hint="eastAsia"/>
                <w:color w:val="000000"/>
                <w:spacing w:val="13"/>
                <w:szCs w:val="21"/>
                <w:shd w:val="clear" w:color="auto" w:fill="FFFFFF"/>
              </w:rPr>
              <w:t>液封</w:t>
            </w:r>
            <w:r>
              <w:rPr>
                <w:color w:val="000000"/>
                <w:spacing w:val="13"/>
                <w:szCs w:val="21"/>
                <w:shd w:val="clear" w:color="auto" w:fill="FFFFFF"/>
              </w:rPr>
              <w:t>，防止污液罐的气体进</w:t>
            </w:r>
            <w:r>
              <w:rPr>
                <w:rFonts w:hint="eastAsia"/>
                <w:color w:val="000000"/>
                <w:spacing w:val="13"/>
                <w:szCs w:val="21"/>
                <w:shd w:val="clear" w:color="auto" w:fill="FFFFFF"/>
              </w:rPr>
              <w:t>入</w:t>
            </w:r>
            <w:r>
              <w:rPr>
                <w:color w:val="000000"/>
                <w:spacing w:val="13"/>
                <w:szCs w:val="21"/>
                <w:shd w:val="clear" w:color="auto" w:fill="FFFFFF"/>
              </w:rPr>
              <w:t>排污系统，应注意不要将建筑物和其他密闭之物放于排污口的上面，因为气体可通过其他区域的排污管线</w:t>
            </w:r>
            <w:r>
              <w:rPr>
                <w:rFonts w:hint="eastAsia"/>
                <w:color w:val="000000"/>
                <w:spacing w:val="13"/>
                <w:szCs w:val="21"/>
                <w:shd w:val="clear" w:color="auto" w:fill="FFFFFF"/>
              </w:rPr>
              <w:t>进入</w:t>
            </w:r>
            <w:r>
              <w:rPr>
                <w:color w:val="000000"/>
                <w:spacing w:val="13"/>
                <w:szCs w:val="21"/>
                <w:shd w:val="clear" w:color="auto" w:fill="FFFFFF"/>
              </w:rPr>
              <w:t>到这些区域。密闭区间的排污系统应尽可能不要与甲板的排污系统直接相连，相反，应在管线的一端设置液封，并提出能使操作人员能够核查液封是否正常的方法。液封也可用于平台不同敞开区域能隔离，防止气体通过排污系统进入。</w:t>
            </w:r>
          </w:p>
          <w:p w14:paraId="0551650F">
            <w:pPr>
              <w:rPr>
                <w:color w:val="000000"/>
                <w:spacing w:val="13"/>
                <w:szCs w:val="21"/>
                <w:shd w:val="clear" w:color="auto" w:fill="FFFFFF"/>
              </w:rPr>
            </w:pPr>
            <w:r>
              <w:rPr>
                <w:color w:val="000000"/>
                <w:spacing w:val="13"/>
                <w:szCs w:val="21"/>
                <w:shd w:val="clear" w:color="auto" w:fill="FFFFFF"/>
              </w:rPr>
              <w:t>2.T/CAOE 1-2019《海上油气田工艺设计导则》6.16.2.6与开排罐/开排沉箱相连的各类开排管汇上应设置水封，以避免</w:t>
            </w:r>
            <w:r>
              <w:rPr>
                <w:rFonts w:hint="eastAsia"/>
                <w:color w:val="000000"/>
                <w:spacing w:val="13"/>
                <w:szCs w:val="21"/>
                <w:shd w:val="clear" w:color="auto" w:fill="FFFFFF"/>
              </w:rPr>
              <w:t>烃类</w:t>
            </w:r>
            <w:r>
              <w:rPr>
                <w:color w:val="000000"/>
                <w:spacing w:val="13"/>
                <w:szCs w:val="21"/>
                <w:shd w:val="clear" w:color="auto" w:fill="FFFFFF"/>
              </w:rPr>
              <w:t>气体逸出。</w:t>
            </w:r>
          </w:p>
        </w:tc>
      </w:tr>
      <w:tr w14:paraId="7DF6F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34522555">
            <w:pPr>
              <w:numPr>
                <w:ilvl w:val="0"/>
                <w:numId w:val="132"/>
              </w:numPr>
              <w:jc w:val="center"/>
              <w:rPr>
                <w:color w:val="000000"/>
                <w:szCs w:val="21"/>
              </w:rPr>
            </w:pPr>
          </w:p>
        </w:tc>
        <w:tc>
          <w:tcPr>
            <w:tcW w:w="1172" w:type="dxa"/>
          </w:tcPr>
          <w:p w14:paraId="31DCC8F3">
            <w:pPr>
              <w:jc w:val="center"/>
              <w:rPr>
                <w:color w:val="000000"/>
                <w:szCs w:val="21"/>
              </w:rPr>
            </w:pPr>
            <w:r>
              <w:rPr>
                <w:color w:val="000000"/>
                <w:szCs w:val="21"/>
              </w:rPr>
              <w:t>10.3.2.2.4</w:t>
            </w:r>
          </w:p>
        </w:tc>
        <w:tc>
          <w:tcPr>
            <w:tcW w:w="2725" w:type="dxa"/>
          </w:tcPr>
          <w:p w14:paraId="6BA7B122">
            <w:pPr>
              <w:outlineLvl w:val="2"/>
              <w:rPr>
                <w:color w:val="000000"/>
                <w:szCs w:val="21"/>
              </w:rPr>
            </w:pPr>
            <w:r>
              <w:rPr>
                <w:color w:val="000000"/>
                <w:szCs w:val="21"/>
              </w:rPr>
              <w:t>各层甲板危险区含油设备撬块底座/围堰支管汇收集的流体，应排入开排罐/开排沉箱，不可直接排海。</w:t>
            </w:r>
          </w:p>
        </w:tc>
        <w:tc>
          <w:tcPr>
            <w:tcW w:w="4401" w:type="dxa"/>
          </w:tcPr>
          <w:p w14:paraId="00224423">
            <w:pPr>
              <w:rPr>
                <w:color w:val="000000"/>
                <w:spacing w:val="13"/>
                <w:szCs w:val="21"/>
                <w:shd w:val="clear" w:color="auto" w:fill="FFFFFF"/>
              </w:rPr>
            </w:pPr>
            <w:r>
              <w:rPr>
                <w:color w:val="000000"/>
                <w:spacing w:val="13"/>
                <w:szCs w:val="21"/>
                <w:shd w:val="clear" w:color="auto" w:fill="FFFFFF"/>
              </w:rPr>
              <w:t>1.T/CAOE 1-2019《海上油气田工艺设计导则》6.16.2.2各层甲板非危险区地漏和不含油设备撬块底座/围堰支管汇收集的雨水，宜在大雨前5分钟内排入开排罐开排沉箱，5分钟后直接排海。</w:t>
            </w:r>
          </w:p>
          <w:p w14:paraId="07C933C5">
            <w:pPr>
              <w:rPr>
                <w:color w:val="000000"/>
                <w:spacing w:val="13"/>
                <w:szCs w:val="21"/>
                <w:shd w:val="clear" w:color="auto" w:fill="FFFFFF"/>
              </w:rPr>
            </w:pPr>
            <w:r>
              <w:rPr>
                <w:color w:val="000000"/>
                <w:spacing w:val="13"/>
                <w:szCs w:val="21"/>
                <w:shd w:val="clear" w:color="auto" w:fill="FFFFFF"/>
              </w:rPr>
              <w:t>6.16.2.3各层甲板非危险区含油设备撬块底座/围堰支管汇、危险区地漏和不含油设备提块底座/围堰支管汇收集的流体，宜在大雨前10分钟-15分钟内排入开排罐/开排沉箱，10分钟-15分钟后直接排海。</w:t>
            </w:r>
          </w:p>
          <w:p w14:paraId="7C52E94F">
            <w:pPr>
              <w:rPr>
                <w:color w:val="000000"/>
                <w:spacing w:val="13"/>
                <w:szCs w:val="21"/>
                <w:shd w:val="clear" w:color="auto" w:fill="FFFFFF"/>
              </w:rPr>
            </w:pPr>
            <w:r>
              <w:rPr>
                <w:color w:val="000000"/>
                <w:spacing w:val="13"/>
                <w:szCs w:val="21"/>
                <w:shd w:val="clear" w:color="auto" w:fill="FFFFFF"/>
              </w:rPr>
              <w:t>6.16.2.4各层甲板危验区含油设备撬块底座/围堰支管汇收集的流体，应排入开排罐开排沉箱，不可直接排海。</w:t>
            </w:r>
          </w:p>
        </w:tc>
      </w:tr>
      <w:tr w14:paraId="17E43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561A5A30">
            <w:pPr>
              <w:numPr>
                <w:ilvl w:val="0"/>
                <w:numId w:val="132"/>
              </w:numPr>
              <w:jc w:val="center"/>
              <w:rPr>
                <w:color w:val="000000"/>
                <w:szCs w:val="21"/>
              </w:rPr>
            </w:pPr>
          </w:p>
        </w:tc>
        <w:tc>
          <w:tcPr>
            <w:tcW w:w="1172" w:type="dxa"/>
          </w:tcPr>
          <w:p w14:paraId="40C07CB1">
            <w:pPr>
              <w:jc w:val="center"/>
              <w:rPr>
                <w:color w:val="000000"/>
                <w:szCs w:val="21"/>
              </w:rPr>
            </w:pPr>
            <w:r>
              <w:rPr>
                <w:color w:val="000000"/>
                <w:szCs w:val="21"/>
              </w:rPr>
              <w:t>10.4.1</w:t>
            </w:r>
          </w:p>
        </w:tc>
        <w:tc>
          <w:tcPr>
            <w:tcW w:w="2725" w:type="dxa"/>
          </w:tcPr>
          <w:p w14:paraId="4DF11535">
            <w:pPr>
              <w:outlineLvl w:val="2"/>
              <w:rPr>
                <w:color w:val="000000"/>
                <w:szCs w:val="21"/>
              </w:rPr>
            </w:pPr>
            <w:r>
              <w:rPr>
                <w:color w:val="000000"/>
                <w:szCs w:val="21"/>
              </w:rPr>
              <w:t>安全分析和功能评价表是对基本安全系统的设计逻辑进行确认的必要手段。</w:t>
            </w:r>
          </w:p>
        </w:tc>
        <w:tc>
          <w:tcPr>
            <w:tcW w:w="4401" w:type="dxa"/>
          </w:tcPr>
          <w:p w14:paraId="732395CE">
            <w:pPr>
              <w:numPr>
                <w:ilvl w:val="0"/>
                <w:numId w:val="141"/>
              </w:numPr>
              <w:rPr>
                <w:color w:val="000000"/>
                <w:spacing w:val="13"/>
                <w:szCs w:val="21"/>
                <w:shd w:val="clear" w:color="auto" w:fill="FFFFFF"/>
              </w:rPr>
            </w:pPr>
            <w:r>
              <w:rPr>
                <w:color w:val="000000"/>
                <w:spacing w:val="13"/>
                <w:szCs w:val="21"/>
                <w:shd w:val="clear" w:color="auto" w:fill="FFFFFF"/>
              </w:rPr>
              <w:t>国经贸安全2000年944号《海上固定平台安全规则》</w:t>
            </w:r>
          </w:p>
          <w:p w14:paraId="5DD1316E">
            <w:pPr>
              <w:rPr>
                <w:color w:val="000000"/>
                <w:spacing w:val="13"/>
                <w:szCs w:val="21"/>
                <w:shd w:val="clear" w:color="auto" w:fill="FFFFFF"/>
              </w:rPr>
            </w:pPr>
            <w:r>
              <w:rPr>
                <w:color w:val="000000"/>
                <w:spacing w:val="13"/>
                <w:szCs w:val="21"/>
                <w:shd w:val="clear" w:color="auto" w:fill="FFFFFF"/>
              </w:rPr>
              <w:t>6.3.16.1 安全分析和功能评价表是对基本安全系统的设计逻辑进行确认的必要手段。</w:t>
            </w:r>
          </w:p>
        </w:tc>
      </w:tr>
      <w:tr w14:paraId="44E5F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7DC9812D">
            <w:pPr>
              <w:numPr>
                <w:ilvl w:val="0"/>
                <w:numId w:val="132"/>
              </w:numPr>
              <w:jc w:val="center"/>
              <w:rPr>
                <w:color w:val="000000"/>
                <w:szCs w:val="21"/>
              </w:rPr>
            </w:pPr>
          </w:p>
        </w:tc>
        <w:tc>
          <w:tcPr>
            <w:tcW w:w="1172" w:type="dxa"/>
          </w:tcPr>
          <w:p w14:paraId="4237511E">
            <w:pPr>
              <w:jc w:val="center"/>
              <w:rPr>
                <w:color w:val="000000"/>
                <w:szCs w:val="21"/>
              </w:rPr>
            </w:pPr>
            <w:r>
              <w:rPr>
                <w:color w:val="000000"/>
                <w:szCs w:val="21"/>
              </w:rPr>
              <w:t>10.4.2</w:t>
            </w:r>
          </w:p>
        </w:tc>
        <w:tc>
          <w:tcPr>
            <w:tcW w:w="2725" w:type="dxa"/>
          </w:tcPr>
          <w:p w14:paraId="28752F15">
            <w:pPr>
              <w:outlineLvl w:val="2"/>
              <w:rPr>
                <w:color w:val="000000"/>
                <w:szCs w:val="21"/>
              </w:rPr>
            </w:pPr>
            <w:r>
              <w:rPr>
                <w:color w:val="000000"/>
                <w:szCs w:val="21"/>
              </w:rPr>
              <w:t>平台流程设计完成后</w:t>
            </w:r>
            <w:r>
              <w:rPr>
                <w:rFonts w:hint="eastAsia"/>
                <w:color w:val="000000"/>
                <w:szCs w:val="21"/>
              </w:rPr>
              <w:t>，</w:t>
            </w:r>
            <w:r>
              <w:rPr>
                <w:color w:val="000000"/>
                <w:szCs w:val="21"/>
              </w:rPr>
              <w:t>应用安全分析和安全分析表对其进行安全分析。</w:t>
            </w:r>
          </w:p>
        </w:tc>
        <w:tc>
          <w:tcPr>
            <w:tcW w:w="4401" w:type="dxa"/>
          </w:tcPr>
          <w:p w14:paraId="76CE5CF2">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21D6B4EC">
            <w:pPr>
              <w:rPr>
                <w:color w:val="000000"/>
                <w:spacing w:val="13"/>
                <w:szCs w:val="21"/>
                <w:shd w:val="clear" w:color="auto" w:fill="FFFFFF"/>
              </w:rPr>
            </w:pPr>
            <w:r>
              <w:rPr>
                <w:color w:val="000000"/>
                <w:spacing w:val="13"/>
                <w:szCs w:val="21"/>
                <w:shd w:val="clear" w:color="auto" w:fill="FFFFFF"/>
              </w:rPr>
              <w:t>6.3.16.2 平台流程设计完成后</w:t>
            </w:r>
            <w:r>
              <w:rPr>
                <w:rFonts w:hint="eastAsia"/>
                <w:color w:val="000000"/>
                <w:spacing w:val="13"/>
                <w:szCs w:val="21"/>
                <w:shd w:val="clear" w:color="auto" w:fill="FFFFFF"/>
              </w:rPr>
              <w:t>，</w:t>
            </w:r>
            <w:r>
              <w:rPr>
                <w:color w:val="000000"/>
                <w:spacing w:val="13"/>
                <w:szCs w:val="21"/>
                <w:shd w:val="clear" w:color="auto" w:fill="FFFFFF"/>
              </w:rPr>
              <w:t>应用安全分析和功能评价表（简称SAFE）对其进行安全分析。安全分析和功能评价表应列出所有工艺设备、应急辅助系统（包括火灾与可燃气体探测报警系统、收集逸出的液态烃的溢流系统、应急关断系统和井下安全阀）和所有安全设施及其功能。表上应把所有的检测设施、关断阀、关断设施和应急辅助系统与它们的功能连系起来。</w:t>
            </w:r>
          </w:p>
        </w:tc>
      </w:tr>
      <w:tr w14:paraId="476DE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200F9B5F">
            <w:pPr>
              <w:numPr>
                <w:ilvl w:val="0"/>
                <w:numId w:val="132"/>
              </w:numPr>
              <w:jc w:val="center"/>
              <w:rPr>
                <w:color w:val="000000"/>
                <w:szCs w:val="21"/>
              </w:rPr>
            </w:pPr>
          </w:p>
        </w:tc>
        <w:tc>
          <w:tcPr>
            <w:tcW w:w="1172" w:type="dxa"/>
          </w:tcPr>
          <w:p w14:paraId="1C0911A7">
            <w:pPr>
              <w:jc w:val="center"/>
              <w:rPr>
                <w:color w:val="000000"/>
                <w:szCs w:val="21"/>
              </w:rPr>
            </w:pPr>
            <w:r>
              <w:rPr>
                <w:color w:val="000000"/>
                <w:szCs w:val="21"/>
              </w:rPr>
              <w:t>10.5.1</w:t>
            </w:r>
          </w:p>
        </w:tc>
        <w:tc>
          <w:tcPr>
            <w:tcW w:w="2725" w:type="dxa"/>
          </w:tcPr>
          <w:p w14:paraId="0DC7F031">
            <w:pPr>
              <w:outlineLvl w:val="2"/>
              <w:rPr>
                <w:color w:val="000000"/>
                <w:szCs w:val="21"/>
              </w:rPr>
            </w:pPr>
            <w:r>
              <w:rPr>
                <w:color w:val="000000"/>
                <w:szCs w:val="21"/>
              </w:rPr>
              <w:t>油（气）生产工艺/公用系统中设备与管系的保温应根据操作要求、流体的物理性质、人身保护、防冻、低温要求及环境温度等条件综合地分析并合理地确定。</w:t>
            </w:r>
          </w:p>
        </w:tc>
        <w:tc>
          <w:tcPr>
            <w:tcW w:w="4401" w:type="dxa"/>
          </w:tcPr>
          <w:p w14:paraId="5E147971">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185202C2">
            <w:pPr>
              <w:rPr>
                <w:color w:val="000000"/>
                <w:spacing w:val="13"/>
                <w:szCs w:val="21"/>
                <w:shd w:val="clear" w:color="auto" w:fill="FFFFFF"/>
              </w:rPr>
            </w:pPr>
            <w:r>
              <w:rPr>
                <w:color w:val="000000"/>
                <w:spacing w:val="13"/>
                <w:szCs w:val="21"/>
                <w:shd w:val="clear" w:color="auto" w:fill="FFFFFF"/>
              </w:rPr>
              <w:t>6.4.1 钻井系统、油（气）生产工艺系统及公用设施中设备与管系的保温应根据操作要求、流体的物理性质、人身保护、防冻、低温要求及环境温度等条件综合地分析并合理地确定。</w:t>
            </w:r>
          </w:p>
        </w:tc>
      </w:tr>
      <w:tr w14:paraId="09BE7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102DF3E3">
            <w:pPr>
              <w:numPr>
                <w:ilvl w:val="0"/>
                <w:numId w:val="132"/>
              </w:numPr>
              <w:jc w:val="center"/>
              <w:rPr>
                <w:color w:val="000000"/>
                <w:szCs w:val="21"/>
              </w:rPr>
            </w:pPr>
          </w:p>
        </w:tc>
        <w:tc>
          <w:tcPr>
            <w:tcW w:w="1172" w:type="dxa"/>
          </w:tcPr>
          <w:p w14:paraId="31E56988">
            <w:pPr>
              <w:jc w:val="center"/>
              <w:rPr>
                <w:color w:val="000000"/>
                <w:szCs w:val="21"/>
              </w:rPr>
            </w:pPr>
            <w:r>
              <w:rPr>
                <w:color w:val="000000"/>
                <w:szCs w:val="21"/>
              </w:rPr>
              <w:t>10.5.2</w:t>
            </w:r>
          </w:p>
        </w:tc>
        <w:tc>
          <w:tcPr>
            <w:tcW w:w="2725" w:type="dxa"/>
          </w:tcPr>
          <w:p w14:paraId="364770E0">
            <w:pPr>
              <w:outlineLvl w:val="2"/>
              <w:rPr>
                <w:color w:val="000000"/>
                <w:szCs w:val="21"/>
              </w:rPr>
            </w:pPr>
            <w:r>
              <w:rPr>
                <w:color w:val="000000"/>
                <w:szCs w:val="21"/>
              </w:rPr>
              <w:t>在保温措施不能满足流体物理性质要求的情况下</w:t>
            </w:r>
            <w:r>
              <w:rPr>
                <w:rFonts w:hint="eastAsia"/>
                <w:color w:val="000000"/>
                <w:szCs w:val="21"/>
              </w:rPr>
              <w:t>，</w:t>
            </w:r>
            <w:r>
              <w:rPr>
                <w:color w:val="000000"/>
                <w:szCs w:val="21"/>
              </w:rPr>
              <w:t>可采用伴热措施。若采用电伴热系统，应通过选择适当的材料和采取必要的措施使电气设备的腐蚀减至最小。</w:t>
            </w:r>
          </w:p>
        </w:tc>
        <w:tc>
          <w:tcPr>
            <w:tcW w:w="4401" w:type="dxa"/>
          </w:tcPr>
          <w:p w14:paraId="60492152">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04C31C7D">
            <w:pPr>
              <w:rPr>
                <w:color w:val="000000"/>
                <w:spacing w:val="13"/>
                <w:szCs w:val="21"/>
                <w:shd w:val="clear" w:color="auto" w:fill="FFFFFF"/>
              </w:rPr>
            </w:pPr>
            <w:r>
              <w:rPr>
                <w:color w:val="000000"/>
                <w:spacing w:val="13"/>
                <w:szCs w:val="21"/>
                <w:shd w:val="clear" w:color="auto" w:fill="FFFFFF"/>
              </w:rPr>
              <w:t>6.4.2 在保温措施不能满足流体物理性质要求的情况下</w:t>
            </w:r>
            <w:r>
              <w:rPr>
                <w:rFonts w:hint="eastAsia"/>
                <w:color w:val="000000"/>
                <w:spacing w:val="13"/>
                <w:szCs w:val="21"/>
                <w:shd w:val="clear" w:color="auto" w:fill="FFFFFF"/>
              </w:rPr>
              <w:t>，</w:t>
            </w:r>
            <w:r>
              <w:rPr>
                <w:color w:val="000000"/>
                <w:spacing w:val="13"/>
                <w:szCs w:val="21"/>
                <w:shd w:val="clear" w:color="auto" w:fill="FFFFFF"/>
              </w:rPr>
              <w:t>可采用伴热措施。若采用电伴热系统、应符合本《规则》9.1.4.7的有关规定。</w:t>
            </w:r>
          </w:p>
        </w:tc>
      </w:tr>
      <w:tr w14:paraId="72330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1EDA3038">
            <w:pPr>
              <w:numPr>
                <w:ilvl w:val="0"/>
                <w:numId w:val="132"/>
              </w:numPr>
              <w:jc w:val="center"/>
              <w:rPr>
                <w:color w:val="000000"/>
                <w:szCs w:val="21"/>
              </w:rPr>
            </w:pPr>
          </w:p>
        </w:tc>
        <w:tc>
          <w:tcPr>
            <w:tcW w:w="1172" w:type="dxa"/>
          </w:tcPr>
          <w:p w14:paraId="252551FD">
            <w:pPr>
              <w:jc w:val="center"/>
              <w:rPr>
                <w:color w:val="000000"/>
                <w:szCs w:val="21"/>
              </w:rPr>
            </w:pPr>
            <w:r>
              <w:rPr>
                <w:color w:val="000000"/>
                <w:szCs w:val="21"/>
              </w:rPr>
              <w:t>10.5.3</w:t>
            </w:r>
          </w:p>
        </w:tc>
        <w:tc>
          <w:tcPr>
            <w:tcW w:w="2725" w:type="dxa"/>
          </w:tcPr>
          <w:p w14:paraId="3320C4B6">
            <w:pPr>
              <w:outlineLvl w:val="2"/>
              <w:rPr>
                <w:color w:val="000000"/>
                <w:szCs w:val="21"/>
              </w:rPr>
            </w:pPr>
            <w:r>
              <w:rPr>
                <w:color w:val="000000"/>
                <w:szCs w:val="21"/>
              </w:rPr>
              <w:t>伴热的设备与管线应使用绝缘材料包覆，该绝缘材料应用耐腐蚀的防水层包覆</w:t>
            </w:r>
            <w:r>
              <w:rPr>
                <w:rFonts w:hint="eastAsia"/>
                <w:color w:val="000000"/>
                <w:szCs w:val="21"/>
              </w:rPr>
              <w:t>，</w:t>
            </w:r>
            <w:r>
              <w:rPr>
                <w:color w:val="000000"/>
                <w:szCs w:val="21"/>
              </w:rPr>
              <w:t>以免绝缘材料浸水失效。绝热表面温度一般不应超过60℃。</w:t>
            </w:r>
          </w:p>
        </w:tc>
        <w:tc>
          <w:tcPr>
            <w:tcW w:w="4401" w:type="dxa"/>
          </w:tcPr>
          <w:p w14:paraId="5AFADFCE">
            <w:pPr>
              <w:rPr>
                <w:color w:val="000000"/>
                <w:spacing w:val="13"/>
                <w:szCs w:val="21"/>
                <w:shd w:val="clear" w:color="auto" w:fill="FFFFFF"/>
              </w:rPr>
            </w:pPr>
            <w:r>
              <w:rPr>
                <w:color w:val="000000"/>
                <w:spacing w:val="13"/>
                <w:szCs w:val="21"/>
                <w:shd w:val="clear" w:color="auto" w:fill="FFFFFF"/>
              </w:rPr>
              <w:t>1.国经贸安全2000年944号《海上固定平台安全规则》</w:t>
            </w:r>
          </w:p>
          <w:p w14:paraId="3A4710FF">
            <w:pPr>
              <w:rPr>
                <w:color w:val="000000"/>
                <w:spacing w:val="13"/>
                <w:szCs w:val="21"/>
                <w:shd w:val="clear" w:color="auto" w:fill="FFFFFF"/>
              </w:rPr>
            </w:pPr>
            <w:r>
              <w:rPr>
                <w:color w:val="000000"/>
                <w:spacing w:val="13"/>
                <w:szCs w:val="21"/>
                <w:shd w:val="clear" w:color="auto" w:fill="FFFFFF"/>
              </w:rPr>
              <w:t>伴热的设备与管线应使用绝缘材料包覆。保温与伴热所用的绝缘材料应用耐腐蚀的防水层包覆</w:t>
            </w:r>
            <w:r>
              <w:rPr>
                <w:rFonts w:hint="eastAsia"/>
                <w:color w:val="000000"/>
                <w:spacing w:val="13"/>
                <w:szCs w:val="21"/>
                <w:shd w:val="clear" w:color="auto" w:fill="FFFFFF"/>
              </w:rPr>
              <w:t>，</w:t>
            </w:r>
            <w:r>
              <w:rPr>
                <w:color w:val="000000"/>
                <w:spacing w:val="13"/>
                <w:szCs w:val="21"/>
                <w:shd w:val="clear" w:color="auto" w:fill="FFFFFF"/>
              </w:rPr>
              <w:t>以免绝缘材料浸水失效。且绝热表面温度一般不应超过60℃。</w:t>
            </w:r>
          </w:p>
          <w:p w14:paraId="2AFC0DEF">
            <w:pPr>
              <w:rPr>
                <w:color w:val="000000"/>
                <w:spacing w:val="13"/>
                <w:szCs w:val="21"/>
                <w:shd w:val="clear" w:color="auto" w:fill="FFFFFF"/>
              </w:rPr>
            </w:pPr>
            <w:r>
              <w:rPr>
                <w:color w:val="000000"/>
                <w:spacing w:val="13"/>
                <w:szCs w:val="21"/>
                <w:shd w:val="clear" w:color="auto" w:fill="FFFFFF"/>
              </w:rPr>
              <w:t>2.GB/T 4272-2008 《设备及管道绝热技术通则》4.1具有下列工况之一的设备，管道及其附件必须保温：</w:t>
            </w:r>
          </w:p>
          <w:p w14:paraId="1D8E71FF">
            <w:pPr>
              <w:rPr>
                <w:color w:val="000000"/>
                <w:spacing w:val="13"/>
                <w:szCs w:val="21"/>
                <w:shd w:val="clear" w:color="auto" w:fill="FFFFFF"/>
              </w:rPr>
            </w:pPr>
            <w:r>
              <w:rPr>
                <w:color w:val="000000"/>
                <w:spacing w:val="13"/>
                <w:szCs w:val="21"/>
                <w:shd w:val="clear" w:color="auto" w:fill="FFFFFF"/>
              </w:rPr>
              <w:t>a)外表面温度高于323K(50℃)者：</w:t>
            </w:r>
          </w:p>
          <w:p w14:paraId="5457F366">
            <w:pPr>
              <w:rPr>
                <w:color w:val="000000"/>
                <w:spacing w:val="13"/>
                <w:szCs w:val="21"/>
                <w:shd w:val="clear" w:color="auto" w:fill="FFFFFF"/>
              </w:rPr>
            </w:pPr>
            <w:r>
              <w:rPr>
                <w:color w:val="000000"/>
                <w:spacing w:val="13"/>
                <w:szCs w:val="21"/>
                <w:shd w:val="clear" w:color="auto" w:fill="FFFFFF"/>
              </w:rPr>
              <w:t>b)工艺生产中需要减少介质的温降或延迟介质凝结的部位：</w:t>
            </w:r>
          </w:p>
          <w:p w14:paraId="6BAC1211">
            <w:pPr>
              <w:rPr>
                <w:color w:val="000000"/>
                <w:spacing w:val="13"/>
                <w:szCs w:val="21"/>
                <w:shd w:val="clear" w:color="auto" w:fill="FFFFFF"/>
              </w:rPr>
            </w:pPr>
            <w:r>
              <w:rPr>
                <w:color w:val="000000"/>
                <w:spacing w:val="13"/>
                <w:szCs w:val="21"/>
                <w:shd w:val="clear" w:color="auto" w:fill="FFFFFF"/>
              </w:rPr>
              <w:t>c)工艺生产中不需保温的设备、管道及其附件，其外表面温度超过333K(60℃)并需要经常操作维护，而又无法采用其他措施防止引起烫伤的部位。</w:t>
            </w:r>
          </w:p>
        </w:tc>
      </w:tr>
      <w:tr w14:paraId="712F4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94" w:type="dxa"/>
            <w:gridSpan w:val="4"/>
          </w:tcPr>
          <w:p w14:paraId="5A8D7E2C">
            <w:pPr>
              <w:jc w:val="center"/>
              <w:rPr>
                <w:color w:val="000000"/>
                <w:spacing w:val="13"/>
                <w:szCs w:val="21"/>
                <w:shd w:val="clear" w:color="auto" w:fill="FFFFFF"/>
              </w:rPr>
            </w:pPr>
            <w:r>
              <w:rPr>
                <w:color w:val="000000"/>
                <w:spacing w:val="13"/>
                <w:szCs w:val="21"/>
                <w:shd w:val="clear" w:color="auto" w:fill="FFFFFF"/>
              </w:rPr>
              <w:t>工艺管道</w:t>
            </w:r>
          </w:p>
        </w:tc>
      </w:tr>
      <w:tr w14:paraId="0AE54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24477E81">
            <w:pPr>
              <w:numPr>
                <w:ilvl w:val="0"/>
                <w:numId w:val="132"/>
              </w:numPr>
              <w:jc w:val="center"/>
              <w:rPr>
                <w:color w:val="000000"/>
                <w:szCs w:val="21"/>
              </w:rPr>
            </w:pPr>
          </w:p>
        </w:tc>
        <w:tc>
          <w:tcPr>
            <w:tcW w:w="1172" w:type="dxa"/>
          </w:tcPr>
          <w:p w14:paraId="6036DC3F">
            <w:pPr>
              <w:jc w:val="center"/>
              <w:rPr>
                <w:color w:val="000000"/>
                <w:szCs w:val="21"/>
              </w:rPr>
            </w:pPr>
            <w:r>
              <w:rPr>
                <w:color w:val="000000"/>
                <w:szCs w:val="21"/>
              </w:rPr>
              <w:t>11.2.1</w:t>
            </w:r>
          </w:p>
        </w:tc>
        <w:tc>
          <w:tcPr>
            <w:tcW w:w="2725" w:type="dxa"/>
          </w:tcPr>
          <w:p w14:paraId="04802F3B">
            <w:pPr>
              <w:outlineLvl w:val="2"/>
              <w:rPr>
                <w:color w:val="000000"/>
                <w:szCs w:val="21"/>
              </w:rPr>
            </w:pPr>
            <w:r>
              <w:rPr>
                <w:color w:val="000000"/>
                <w:szCs w:val="21"/>
              </w:rPr>
              <w:t>管道应布置在不易受碰损处所，布置位置受限时，应具有可靠的防护结构。</w:t>
            </w:r>
          </w:p>
        </w:tc>
        <w:tc>
          <w:tcPr>
            <w:tcW w:w="4401" w:type="dxa"/>
          </w:tcPr>
          <w:p w14:paraId="083B5F69">
            <w:pPr>
              <w:outlineLvl w:val="2"/>
              <w:rPr>
                <w:color w:val="000000"/>
                <w:szCs w:val="21"/>
              </w:rPr>
            </w:pPr>
            <w:r>
              <w:rPr>
                <w:color w:val="000000"/>
                <w:szCs w:val="21"/>
              </w:rPr>
              <w:t>国经贸安全2000年944号《海上固定平台安全规则》</w:t>
            </w:r>
          </w:p>
          <w:p w14:paraId="32BAF39A">
            <w:pPr>
              <w:outlineLvl w:val="2"/>
              <w:rPr>
                <w:color w:val="000000"/>
                <w:szCs w:val="21"/>
              </w:rPr>
            </w:pPr>
            <w:r>
              <w:rPr>
                <w:color w:val="000000"/>
                <w:szCs w:val="21"/>
              </w:rPr>
              <w:t xml:space="preserve">7.8.2.6 布置在易受碰损处所的管子应具有可靠的、便于拆装的防护罩。 </w:t>
            </w:r>
          </w:p>
        </w:tc>
      </w:tr>
      <w:tr w14:paraId="2036D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4A56892F">
            <w:pPr>
              <w:numPr>
                <w:ilvl w:val="0"/>
                <w:numId w:val="132"/>
              </w:numPr>
              <w:jc w:val="center"/>
              <w:rPr>
                <w:color w:val="000000"/>
                <w:szCs w:val="21"/>
              </w:rPr>
            </w:pPr>
          </w:p>
        </w:tc>
        <w:tc>
          <w:tcPr>
            <w:tcW w:w="1172" w:type="dxa"/>
          </w:tcPr>
          <w:p w14:paraId="100E1946">
            <w:pPr>
              <w:jc w:val="center"/>
              <w:rPr>
                <w:color w:val="000000"/>
                <w:szCs w:val="21"/>
              </w:rPr>
            </w:pPr>
            <w:r>
              <w:rPr>
                <w:color w:val="000000"/>
                <w:szCs w:val="21"/>
              </w:rPr>
              <w:t>11.2.3</w:t>
            </w:r>
          </w:p>
        </w:tc>
        <w:tc>
          <w:tcPr>
            <w:tcW w:w="2725" w:type="dxa"/>
          </w:tcPr>
          <w:p w14:paraId="56F0538E">
            <w:pPr>
              <w:outlineLvl w:val="2"/>
              <w:rPr>
                <w:color w:val="000000"/>
                <w:szCs w:val="21"/>
              </w:rPr>
            </w:pPr>
            <w:r>
              <w:rPr>
                <w:color w:val="000000"/>
                <w:szCs w:val="21"/>
              </w:rPr>
              <w:t>应避免燃油罐的透气管、溢流管通过居住处所及蒸汽管系通过储物间和油漆间</w:t>
            </w:r>
            <w:r>
              <w:rPr>
                <w:rFonts w:hint="eastAsia"/>
                <w:color w:val="000000"/>
                <w:szCs w:val="21"/>
              </w:rPr>
              <w:t>，</w:t>
            </w:r>
            <w:r>
              <w:rPr>
                <w:color w:val="000000"/>
                <w:szCs w:val="21"/>
              </w:rPr>
              <w:t>若不可避免</w:t>
            </w:r>
            <w:r>
              <w:rPr>
                <w:rFonts w:hint="eastAsia"/>
                <w:color w:val="000000"/>
                <w:szCs w:val="21"/>
                <w:lang w:eastAsia="zh-CN"/>
              </w:rPr>
              <w:t>，</w:t>
            </w:r>
            <w:r>
              <w:rPr>
                <w:color w:val="000000"/>
                <w:szCs w:val="21"/>
              </w:rPr>
              <w:t>则通过这类处所的管系不得有可拆接头。</w:t>
            </w:r>
          </w:p>
        </w:tc>
        <w:tc>
          <w:tcPr>
            <w:tcW w:w="4401" w:type="dxa"/>
          </w:tcPr>
          <w:p w14:paraId="7A4DA4DC">
            <w:pPr>
              <w:outlineLvl w:val="2"/>
              <w:rPr>
                <w:color w:val="000000"/>
                <w:szCs w:val="21"/>
              </w:rPr>
            </w:pPr>
            <w:r>
              <w:rPr>
                <w:color w:val="000000"/>
                <w:szCs w:val="21"/>
              </w:rPr>
              <w:t>国经贸安全2000年944号《海上固定平台安全规则》</w:t>
            </w:r>
          </w:p>
          <w:p w14:paraId="4008AFD6">
            <w:pPr>
              <w:outlineLvl w:val="2"/>
              <w:rPr>
                <w:color w:val="000000"/>
                <w:szCs w:val="21"/>
              </w:rPr>
            </w:pPr>
            <w:r>
              <w:rPr>
                <w:color w:val="000000"/>
                <w:szCs w:val="21"/>
              </w:rPr>
              <w:t>7.8.2.2 应避免燃油罐的透气管、溢流管通过居住处所及蒸汽管系通过储物间和油漆间</w:t>
            </w:r>
            <w:r>
              <w:rPr>
                <w:rFonts w:hint="eastAsia"/>
                <w:color w:val="000000"/>
                <w:szCs w:val="21"/>
              </w:rPr>
              <w:t>，</w:t>
            </w:r>
            <w:r>
              <w:rPr>
                <w:color w:val="000000"/>
                <w:szCs w:val="21"/>
              </w:rPr>
              <w:t>若不可避免</w:t>
            </w:r>
            <w:r>
              <w:rPr>
                <w:rFonts w:hint="eastAsia"/>
                <w:color w:val="000000"/>
                <w:szCs w:val="21"/>
              </w:rPr>
              <w:t>，</w:t>
            </w:r>
            <w:r>
              <w:rPr>
                <w:color w:val="000000"/>
                <w:szCs w:val="21"/>
              </w:rPr>
              <w:t xml:space="preserve">则通过这类处所的管系不得有可拆接头 </w:t>
            </w:r>
          </w:p>
        </w:tc>
      </w:tr>
      <w:tr w14:paraId="419F9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087EDBF4">
            <w:pPr>
              <w:numPr>
                <w:ilvl w:val="0"/>
                <w:numId w:val="132"/>
              </w:numPr>
              <w:jc w:val="center"/>
              <w:rPr>
                <w:color w:val="000000"/>
                <w:szCs w:val="21"/>
              </w:rPr>
            </w:pPr>
          </w:p>
        </w:tc>
        <w:tc>
          <w:tcPr>
            <w:tcW w:w="1172" w:type="dxa"/>
          </w:tcPr>
          <w:p w14:paraId="066A7389">
            <w:pPr>
              <w:jc w:val="center"/>
              <w:rPr>
                <w:color w:val="000000"/>
                <w:szCs w:val="21"/>
              </w:rPr>
            </w:pPr>
            <w:r>
              <w:rPr>
                <w:color w:val="000000"/>
                <w:szCs w:val="21"/>
              </w:rPr>
              <w:t>11.2.4</w:t>
            </w:r>
          </w:p>
        </w:tc>
        <w:tc>
          <w:tcPr>
            <w:tcW w:w="2725" w:type="dxa"/>
          </w:tcPr>
          <w:p w14:paraId="0FD9503D">
            <w:pPr>
              <w:outlineLvl w:val="2"/>
              <w:rPr>
                <w:color w:val="000000"/>
                <w:szCs w:val="21"/>
              </w:rPr>
            </w:pPr>
            <w:r>
              <w:rPr>
                <w:color w:val="000000"/>
                <w:szCs w:val="21"/>
              </w:rPr>
              <w:t>原油与天然气管系不应穿越封闭或半封闭的非危险处所</w:t>
            </w:r>
            <w:r>
              <w:rPr>
                <w:rFonts w:hint="eastAsia"/>
                <w:color w:val="000000"/>
                <w:szCs w:val="21"/>
              </w:rPr>
              <w:t>，</w:t>
            </w:r>
            <w:r>
              <w:rPr>
                <w:color w:val="000000"/>
                <w:szCs w:val="21"/>
              </w:rPr>
              <w:t xml:space="preserve">若不可避免，需采取相应的防护措施。 </w:t>
            </w:r>
          </w:p>
        </w:tc>
        <w:tc>
          <w:tcPr>
            <w:tcW w:w="4401" w:type="dxa"/>
          </w:tcPr>
          <w:p w14:paraId="430F6613">
            <w:pPr>
              <w:outlineLvl w:val="2"/>
              <w:rPr>
                <w:color w:val="000000"/>
                <w:szCs w:val="21"/>
              </w:rPr>
            </w:pPr>
            <w:r>
              <w:rPr>
                <w:color w:val="000000"/>
                <w:szCs w:val="21"/>
              </w:rPr>
              <w:t>国经贸安全2000年944号《海上固定平台安全规则》</w:t>
            </w:r>
          </w:p>
          <w:p w14:paraId="7F56CB7A">
            <w:pPr>
              <w:outlineLvl w:val="2"/>
              <w:rPr>
                <w:color w:val="000000"/>
                <w:szCs w:val="21"/>
              </w:rPr>
            </w:pPr>
            <w:r>
              <w:rPr>
                <w:color w:val="000000"/>
                <w:szCs w:val="21"/>
              </w:rPr>
              <w:t>7.8.2.8 原油与天然气管系不应穿越封闭或半封闭的非危险处所</w:t>
            </w:r>
            <w:r>
              <w:rPr>
                <w:rFonts w:hint="eastAsia"/>
                <w:color w:val="000000"/>
                <w:szCs w:val="21"/>
              </w:rPr>
              <w:t>，</w:t>
            </w:r>
            <w:r>
              <w:rPr>
                <w:color w:val="000000"/>
                <w:szCs w:val="21"/>
              </w:rPr>
              <w:t>若无法避免</w:t>
            </w:r>
            <w:r>
              <w:rPr>
                <w:rFonts w:hint="eastAsia"/>
                <w:color w:val="000000"/>
                <w:szCs w:val="21"/>
                <w:lang w:eastAsia="zh-CN"/>
              </w:rPr>
              <w:t>，</w:t>
            </w:r>
            <w:r>
              <w:rPr>
                <w:color w:val="000000"/>
                <w:szCs w:val="21"/>
              </w:rPr>
              <w:t xml:space="preserve">需采取相应的防护措施。 </w:t>
            </w:r>
          </w:p>
        </w:tc>
      </w:tr>
      <w:tr w14:paraId="07845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43D73858">
            <w:pPr>
              <w:numPr>
                <w:ilvl w:val="0"/>
                <w:numId w:val="132"/>
              </w:numPr>
              <w:jc w:val="center"/>
              <w:rPr>
                <w:color w:val="000000"/>
                <w:szCs w:val="21"/>
              </w:rPr>
            </w:pPr>
          </w:p>
        </w:tc>
        <w:tc>
          <w:tcPr>
            <w:tcW w:w="1172" w:type="dxa"/>
          </w:tcPr>
          <w:p w14:paraId="77570167">
            <w:pPr>
              <w:jc w:val="center"/>
              <w:rPr>
                <w:color w:val="000000"/>
                <w:szCs w:val="21"/>
              </w:rPr>
            </w:pPr>
            <w:r>
              <w:rPr>
                <w:color w:val="000000"/>
                <w:szCs w:val="21"/>
              </w:rPr>
              <w:t>11.2.5</w:t>
            </w:r>
          </w:p>
        </w:tc>
        <w:tc>
          <w:tcPr>
            <w:tcW w:w="2725" w:type="dxa"/>
          </w:tcPr>
          <w:p w14:paraId="619BB2BD">
            <w:pPr>
              <w:outlineLvl w:val="2"/>
              <w:rPr>
                <w:color w:val="000000"/>
                <w:szCs w:val="21"/>
              </w:rPr>
            </w:pPr>
            <w:r>
              <w:rPr>
                <w:color w:val="000000"/>
                <w:szCs w:val="21"/>
              </w:rPr>
              <w:t>输送液体介质的生产管道布置，应避免穿越电气房间。</w:t>
            </w:r>
          </w:p>
        </w:tc>
        <w:tc>
          <w:tcPr>
            <w:tcW w:w="4401" w:type="dxa"/>
          </w:tcPr>
          <w:p w14:paraId="6F0DBB6F">
            <w:pPr>
              <w:outlineLvl w:val="2"/>
              <w:rPr>
                <w:color w:val="000000"/>
                <w:szCs w:val="21"/>
              </w:rPr>
            </w:pPr>
            <w:r>
              <w:rPr>
                <w:color w:val="000000"/>
                <w:szCs w:val="21"/>
              </w:rPr>
              <w:t>国经贸安全2000年944号《海上固定平台安全规则》</w:t>
            </w:r>
          </w:p>
          <w:p w14:paraId="3EA1AE4D">
            <w:pPr>
              <w:outlineLvl w:val="2"/>
              <w:rPr>
                <w:color w:val="000000"/>
                <w:szCs w:val="21"/>
              </w:rPr>
            </w:pPr>
            <w:r>
              <w:rPr>
                <w:color w:val="000000"/>
                <w:szCs w:val="21"/>
              </w:rPr>
              <w:t>7.8.2.5 所有管系、油罐和水罐不应设置在配电盘上方及后面</w:t>
            </w:r>
            <w:r>
              <w:rPr>
                <w:rFonts w:hint="eastAsia"/>
                <w:color w:val="000000"/>
                <w:szCs w:val="21"/>
              </w:rPr>
              <w:t>，</w:t>
            </w:r>
            <w:r>
              <w:rPr>
                <w:color w:val="000000"/>
                <w:szCs w:val="21"/>
              </w:rPr>
              <w:t xml:space="preserve">并应尽量远离配电气装置。 </w:t>
            </w:r>
          </w:p>
        </w:tc>
      </w:tr>
      <w:tr w14:paraId="0F8EE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7C7D8D3C">
            <w:pPr>
              <w:numPr>
                <w:ilvl w:val="0"/>
                <w:numId w:val="132"/>
              </w:numPr>
              <w:jc w:val="center"/>
              <w:rPr>
                <w:color w:val="000000"/>
                <w:szCs w:val="21"/>
              </w:rPr>
            </w:pPr>
          </w:p>
        </w:tc>
        <w:tc>
          <w:tcPr>
            <w:tcW w:w="1172" w:type="dxa"/>
          </w:tcPr>
          <w:p w14:paraId="5AC94B2D">
            <w:pPr>
              <w:jc w:val="center"/>
              <w:rPr>
                <w:color w:val="000000"/>
                <w:szCs w:val="21"/>
              </w:rPr>
            </w:pPr>
            <w:r>
              <w:rPr>
                <w:color w:val="000000"/>
                <w:szCs w:val="21"/>
              </w:rPr>
              <w:t>11.3.3</w:t>
            </w:r>
          </w:p>
        </w:tc>
        <w:tc>
          <w:tcPr>
            <w:tcW w:w="2725" w:type="dxa"/>
          </w:tcPr>
          <w:p w14:paraId="01C1F653">
            <w:pPr>
              <w:outlineLvl w:val="2"/>
              <w:rPr>
                <w:color w:val="000000"/>
                <w:szCs w:val="21"/>
              </w:rPr>
            </w:pPr>
            <w:r>
              <w:rPr>
                <w:color w:val="000000"/>
                <w:szCs w:val="21"/>
              </w:rPr>
              <w:t>油气管道和消防管道中所有管道元件均不得含有石棉材料。</w:t>
            </w:r>
          </w:p>
        </w:tc>
        <w:tc>
          <w:tcPr>
            <w:tcW w:w="4401" w:type="dxa"/>
          </w:tcPr>
          <w:p w14:paraId="1B237B4C">
            <w:pPr>
              <w:outlineLvl w:val="2"/>
              <w:rPr>
                <w:color w:val="000000"/>
                <w:szCs w:val="21"/>
              </w:rPr>
            </w:pPr>
            <w:r>
              <w:rPr>
                <w:color w:val="000000"/>
                <w:szCs w:val="21"/>
              </w:rPr>
              <w:t>2023年国际海事组织海上安全委员会第107次会议通过了《海上移动式钻井平台构造和设备规则》修订草案，禁止在现有平台上安装使用包含石棉材料的物质，相关要求与SOLAS公约规定保持一致，该修正案于2024年1月1日起生效。</w:t>
            </w:r>
          </w:p>
        </w:tc>
      </w:tr>
      <w:tr w14:paraId="7A59B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1524019E">
            <w:pPr>
              <w:numPr>
                <w:ilvl w:val="0"/>
                <w:numId w:val="132"/>
              </w:numPr>
              <w:jc w:val="center"/>
              <w:rPr>
                <w:color w:val="000000"/>
                <w:szCs w:val="21"/>
              </w:rPr>
            </w:pPr>
          </w:p>
        </w:tc>
        <w:tc>
          <w:tcPr>
            <w:tcW w:w="1172" w:type="dxa"/>
          </w:tcPr>
          <w:p w14:paraId="4530B60E">
            <w:pPr>
              <w:jc w:val="center"/>
              <w:rPr>
                <w:color w:val="000000"/>
                <w:szCs w:val="21"/>
              </w:rPr>
            </w:pPr>
            <w:r>
              <w:rPr>
                <w:color w:val="000000"/>
                <w:szCs w:val="21"/>
              </w:rPr>
              <w:t>11.3.5</w:t>
            </w:r>
          </w:p>
        </w:tc>
        <w:tc>
          <w:tcPr>
            <w:tcW w:w="2725" w:type="dxa"/>
          </w:tcPr>
          <w:p w14:paraId="257FBBC4">
            <w:pPr>
              <w:outlineLvl w:val="2"/>
              <w:rPr>
                <w:color w:val="000000"/>
                <w:szCs w:val="21"/>
              </w:rPr>
            </w:pPr>
            <w:r>
              <w:rPr>
                <w:color w:val="000000"/>
                <w:szCs w:val="21"/>
              </w:rPr>
              <w:t>油罐的透气管应引至安全的位置。</w:t>
            </w:r>
          </w:p>
        </w:tc>
        <w:tc>
          <w:tcPr>
            <w:tcW w:w="4401" w:type="dxa"/>
          </w:tcPr>
          <w:p w14:paraId="00BF6934">
            <w:pPr>
              <w:outlineLvl w:val="2"/>
              <w:rPr>
                <w:color w:val="000000"/>
                <w:szCs w:val="21"/>
              </w:rPr>
            </w:pPr>
            <w:r>
              <w:rPr>
                <w:color w:val="000000"/>
                <w:szCs w:val="21"/>
              </w:rPr>
              <w:t>安全的位置指无点火源且通风良好的区域，透气口排出的危险物质可以快速扩散且不会对生活楼和人员构成危害。通常位于工艺区较高的开阔处所。</w:t>
            </w:r>
          </w:p>
        </w:tc>
      </w:tr>
      <w:tr w14:paraId="01F09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07075C7F">
            <w:pPr>
              <w:numPr>
                <w:ilvl w:val="0"/>
                <w:numId w:val="132"/>
              </w:numPr>
              <w:jc w:val="center"/>
              <w:rPr>
                <w:color w:val="000000"/>
                <w:szCs w:val="21"/>
              </w:rPr>
            </w:pPr>
          </w:p>
        </w:tc>
        <w:tc>
          <w:tcPr>
            <w:tcW w:w="1172" w:type="dxa"/>
          </w:tcPr>
          <w:p w14:paraId="388251FA">
            <w:pPr>
              <w:jc w:val="center"/>
              <w:rPr>
                <w:color w:val="000000"/>
                <w:szCs w:val="21"/>
              </w:rPr>
            </w:pPr>
            <w:r>
              <w:rPr>
                <w:color w:val="000000"/>
                <w:szCs w:val="21"/>
              </w:rPr>
              <w:t>11.3.6</w:t>
            </w:r>
          </w:p>
        </w:tc>
        <w:tc>
          <w:tcPr>
            <w:tcW w:w="2725" w:type="dxa"/>
          </w:tcPr>
          <w:p w14:paraId="58650AF8">
            <w:pPr>
              <w:outlineLvl w:val="2"/>
              <w:rPr>
                <w:color w:val="000000"/>
                <w:szCs w:val="21"/>
              </w:rPr>
            </w:pPr>
            <w:r>
              <w:rPr>
                <w:color w:val="000000"/>
                <w:szCs w:val="21"/>
              </w:rPr>
              <w:t>安全阀的排出管应尽量减少弯头，弯曲角度不能大于 90°，排出管的安装应牢固，且要有足够的支承，不使阀体受到附加应力。</w:t>
            </w:r>
          </w:p>
        </w:tc>
        <w:tc>
          <w:tcPr>
            <w:tcW w:w="4401" w:type="dxa"/>
          </w:tcPr>
          <w:p w14:paraId="034AFAEB">
            <w:pPr>
              <w:outlineLvl w:val="2"/>
              <w:rPr>
                <w:color w:val="000000"/>
                <w:szCs w:val="21"/>
              </w:rPr>
            </w:pPr>
            <w:r>
              <w:rPr>
                <w:color w:val="000000"/>
                <w:szCs w:val="21"/>
              </w:rPr>
              <w:t>安全阀排出管瞬时排出流量大，保排放过程需确保不因管道设计不当而受阻并保证支承结构可靠。</w:t>
            </w:r>
          </w:p>
        </w:tc>
      </w:tr>
      <w:tr w14:paraId="5CDAC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2F98C5CE">
            <w:pPr>
              <w:numPr>
                <w:ilvl w:val="0"/>
                <w:numId w:val="132"/>
              </w:numPr>
              <w:jc w:val="center"/>
              <w:rPr>
                <w:color w:val="000000"/>
                <w:szCs w:val="21"/>
              </w:rPr>
            </w:pPr>
          </w:p>
        </w:tc>
        <w:tc>
          <w:tcPr>
            <w:tcW w:w="1172" w:type="dxa"/>
          </w:tcPr>
          <w:p w14:paraId="01125C33">
            <w:pPr>
              <w:jc w:val="center"/>
              <w:rPr>
                <w:color w:val="000000"/>
                <w:szCs w:val="21"/>
              </w:rPr>
            </w:pPr>
            <w:r>
              <w:rPr>
                <w:color w:val="000000"/>
                <w:szCs w:val="21"/>
              </w:rPr>
              <w:t>11.4.1</w:t>
            </w:r>
          </w:p>
        </w:tc>
        <w:tc>
          <w:tcPr>
            <w:tcW w:w="2725" w:type="dxa"/>
          </w:tcPr>
          <w:p w14:paraId="4CA5D8CA">
            <w:pPr>
              <w:outlineLvl w:val="2"/>
              <w:rPr>
                <w:color w:val="000000"/>
                <w:szCs w:val="21"/>
              </w:rPr>
            </w:pPr>
            <w:r>
              <w:rPr>
                <w:color w:val="000000"/>
                <w:szCs w:val="21"/>
              </w:rPr>
              <w:t>输送含有可燃介质的管</w:t>
            </w:r>
            <w:r>
              <w:rPr>
                <w:rFonts w:hint="eastAsia"/>
                <w:color w:val="000000"/>
                <w:szCs w:val="21"/>
              </w:rPr>
              <w:t>道</w:t>
            </w:r>
            <w:r>
              <w:t>应尽量减少</w:t>
            </w:r>
            <w:r>
              <w:rPr>
                <w:rFonts w:hint="eastAsia"/>
              </w:rPr>
              <w:t>可拆接头数量</w:t>
            </w:r>
            <w:r>
              <w:t>，并确保密封。</w:t>
            </w:r>
          </w:p>
        </w:tc>
        <w:tc>
          <w:tcPr>
            <w:tcW w:w="4401" w:type="dxa"/>
          </w:tcPr>
          <w:p w14:paraId="391F56C3">
            <w:pPr>
              <w:outlineLvl w:val="2"/>
              <w:rPr>
                <w:color w:val="000000"/>
                <w:szCs w:val="21"/>
              </w:rPr>
            </w:pPr>
            <w:r>
              <w:rPr>
                <w:color w:val="000000"/>
                <w:szCs w:val="21"/>
              </w:rPr>
              <w:t>国经贸安全2000年944号《海上固定平台安全规则》</w:t>
            </w:r>
          </w:p>
          <w:p w14:paraId="7A55045D">
            <w:pPr>
              <w:outlineLvl w:val="2"/>
              <w:rPr>
                <w:color w:val="000000"/>
                <w:szCs w:val="21"/>
              </w:rPr>
            </w:pPr>
            <w:r>
              <w:rPr>
                <w:color w:val="000000"/>
                <w:szCs w:val="21"/>
              </w:rPr>
              <w:t>7.8.3.1 输送含有可燃气体或液体的管系应用焊接连接</w:t>
            </w:r>
            <w:r>
              <w:rPr>
                <w:rFonts w:hint="eastAsia"/>
                <w:color w:val="000000"/>
                <w:szCs w:val="21"/>
              </w:rPr>
              <w:t>，</w:t>
            </w:r>
            <w:r>
              <w:rPr>
                <w:color w:val="000000"/>
                <w:szCs w:val="21"/>
              </w:rPr>
              <w:t>其可拆接头的数量应尽</w:t>
            </w:r>
          </w:p>
          <w:p w14:paraId="54EAB34C">
            <w:pPr>
              <w:outlineLvl w:val="2"/>
              <w:rPr>
                <w:color w:val="000000"/>
                <w:szCs w:val="21"/>
              </w:rPr>
            </w:pPr>
            <w:r>
              <w:rPr>
                <w:color w:val="000000"/>
                <w:szCs w:val="21"/>
              </w:rPr>
              <w:t>量减少</w:t>
            </w:r>
            <w:r>
              <w:rPr>
                <w:rFonts w:hint="eastAsia"/>
                <w:color w:val="000000"/>
                <w:szCs w:val="21"/>
              </w:rPr>
              <w:t>，</w:t>
            </w:r>
            <w:r>
              <w:rPr>
                <w:color w:val="000000"/>
                <w:szCs w:val="21"/>
              </w:rPr>
              <w:t xml:space="preserve">并确保密封。 </w:t>
            </w:r>
          </w:p>
        </w:tc>
      </w:tr>
      <w:tr w14:paraId="3DED3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0AC7BCAF">
            <w:pPr>
              <w:numPr>
                <w:ilvl w:val="0"/>
                <w:numId w:val="132"/>
              </w:numPr>
              <w:jc w:val="center"/>
              <w:rPr>
                <w:color w:val="000000"/>
                <w:szCs w:val="21"/>
              </w:rPr>
            </w:pPr>
          </w:p>
        </w:tc>
        <w:tc>
          <w:tcPr>
            <w:tcW w:w="1172" w:type="dxa"/>
          </w:tcPr>
          <w:p w14:paraId="0CCC765F">
            <w:pPr>
              <w:jc w:val="center"/>
              <w:rPr>
                <w:color w:val="000000"/>
                <w:szCs w:val="21"/>
              </w:rPr>
            </w:pPr>
            <w:r>
              <w:rPr>
                <w:color w:val="000000"/>
                <w:szCs w:val="21"/>
              </w:rPr>
              <w:t>11.4.2</w:t>
            </w:r>
          </w:p>
        </w:tc>
        <w:tc>
          <w:tcPr>
            <w:tcW w:w="2725" w:type="dxa"/>
          </w:tcPr>
          <w:p w14:paraId="31350C43">
            <w:pPr>
              <w:outlineLvl w:val="2"/>
              <w:rPr>
                <w:color w:val="000000"/>
                <w:szCs w:val="21"/>
              </w:rPr>
            </w:pPr>
            <w:r>
              <w:rPr>
                <w:color w:val="000000"/>
                <w:szCs w:val="21"/>
              </w:rPr>
              <w:t xml:space="preserve">管道的支承应避免由于温度、载荷变化使管道产生过大的应力，危险区内管道的支承应确保防止产生火花。 </w:t>
            </w:r>
          </w:p>
        </w:tc>
        <w:tc>
          <w:tcPr>
            <w:tcW w:w="4401" w:type="dxa"/>
          </w:tcPr>
          <w:p w14:paraId="3B3ADDC5">
            <w:pPr>
              <w:outlineLvl w:val="2"/>
              <w:rPr>
                <w:color w:val="000000"/>
                <w:szCs w:val="21"/>
              </w:rPr>
            </w:pPr>
            <w:r>
              <w:rPr>
                <w:color w:val="000000"/>
                <w:szCs w:val="21"/>
              </w:rPr>
              <w:t>国经贸安全2000年944号《海上固定平台安全规则》</w:t>
            </w:r>
          </w:p>
          <w:p w14:paraId="1F67BC2C">
            <w:pPr>
              <w:outlineLvl w:val="2"/>
              <w:rPr>
                <w:color w:val="000000"/>
                <w:szCs w:val="21"/>
              </w:rPr>
            </w:pPr>
            <w:r>
              <w:rPr>
                <w:color w:val="000000"/>
                <w:szCs w:val="21"/>
              </w:rPr>
              <w:t>7.8.3.2 管系应</w:t>
            </w:r>
            <w:r>
              <w:rPr>
                <w:rFonts w:hint="eastAsia"/>
                <w:color w:val="000000"/>
                <w:szCs w:val="21"/>
              </w:rPr>
              <w:t>设</w:t>
            </w:r>
            <w:r>
              <w:rPr>
                <w:color w:val="000000"/>
                <w:szCs w:val="21"/>
              </w:rPr>
              <w:t>为固定</w:t>
            </w:r>
            <w:r>
              <w:rPr>
                <w:rFonts w:hint="eastAsia"/>
                <w:color w:val="000000"/>
                <w:szCs w:val="21"/>
              </w:rPr>
              <w:t>，</w:t>
            </w:r>
            <w:r>
              <w:rPr>
                <w:color w:val="000000"/>
                <w:szCs w:val="21"/>
              </w:rPr>
              <w:t xml:space="preserve">危险区内管系的固定应确保防止产生火花。 </w:t>
            </w:r>
          </w:p>
        </w:tc>
      </w:tr>
      <w:tr w14:paraId="430C2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11CAC29A">
            <w:pPr>
              <w:numPr>
                <w:ilvl w:val="0"/>
                <w:numId w:val="132"/>
              </w:numPr>
              <w:jc w:val="center"/>
              <w:rPr>
                <w:color w:val="000000"/>
                <w:szCs w:val="21"/>
              </w:rPr>
            </w:pPr>
          </w:p>
        </w:tc>
        <w:tc>
          <w:tcPr>
            <w:tcW w:w="1172" w:type="dxa"/>
          </w:tcPr>
          <w:p w14:paraId="7AB05C06">
            <w:pPr>
              <w:jc w:val="center"/>
              <w:rPr>
                <w:color w:val="000000"/>
                <w:szCs w:val="21"/>
              </w:rPr>
            </w:pPr>
            <w:r>
              <w:rPr>
                <w:color w:val="000000"/>
                <w:szCs w:val="21"/>
              </w:rPr>
              <w:t>11.5.2</w:t>
            </w:r>
          </w:p>
        </w:tc>
        <w:tc>
          <w:tcPr>
            <w:tcW w:w="2725" w:type="dxa"/>
          </w:tcPr>
          <w:p w14:paraId="04015152">
            <w:pPr>
              <w:outlineLvl w:val="2"/>
              <w:rPr>
                <w:color w:val="000000"/>
                <w:szCs w:val="21"/>
              </w:rPr>
            </w:pPr>
            <w:r>
              <w:rPr>
                <w:color w:val="000000"/>
                <w:szCs w:val="21"/>
              </w:rPr>
              <w:t>表面温度超过60℃的不保温绝热管道，需要经常维护又无法采用其他措施防止烫伤的部位，应采用防烫绝热。</w:t>
            </w:r>
          </w:p>
        </w:tc>
        <w:tc>
          <w:tcPr>
            <w:tcW w:w="4401" w:type="dxa"/>
          </w:tcPr>
          <w:p w14:paraId="70B5AD18">
            <w:pPr>
              <w:outlineLvl w:val="2"/>
              <w:rPr>
                <w:color w:val="000000"/>
                <w:szCs w:val="21"/>
              </w:rPr>
            </w:pPr>
            <w:r>
              <w:rPr>
                <w:color w:val="000000"/>
                <w:szCs w:val="21"/>
              </w:rPr>
              <w:t>GB/T8175-2008《设备及管道绝热设计导则》3.1.3表面温度超过60℃的不保温设备和管道，需要经常维护又无法采用其他措施防止烫伤的部位应在下列范围内采取防烫保温。</w:t>
            </w:r>
          </w:p>
        </w:tc>
      </w:tr>
      <w:tr w14:paraId="4D18D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651E30EB">
            <w:pPr>
              <w:numPr>
                <w:ilvl w:val="0"/>
                <w:numId w:val="132"/>
              </w:numPr>
              <w:jc w:val="center"/>
              <w:rPr>
                <w:color w:val="000000"/>
                <w:szCs w:val="21"/>
              </w:rPr>
            </w:pPr>
          </w:p>
        </w:tc>
        <w:tc>
          <w:tcPr>
            <w:tcW w:w="1172" w:type="dxa"/>
          </w:tcPr>
          <w:p w14:paraId="375C455A">
            <w:pPr>
              <w:jc w:val="center"/>
              <w:rPr>
                <w:color w:val="000000"/>
                <w:szCs w:val="21"/>
              </w:rPr>
            </w:pPr>
            <w:r>
              <w:rPr>
                <w:color w:val="000000"/>
                <w:szCs w:val="21"/>
              </w:rPr>
              <w:t>11.5.5</w:t>
            </w:r>
          </w:p>
        </w:tc>
        <w:tc>
          <w:tcPr>
            <w:tcW w:w="2725" w:type="dxa"/>
          </w:tcPr>
          <w:p w14:paraId="6770FBA5">
            <w:pPr>
              <w:outlineLvl w:val="2"/>
              <w:rPr>
                <w:color w:val="000000"/>
                <w:szCs w:val="21"/>
              </w:rPr>
            </w:pPr>
            <w:r>
              <w:rPr>
                <w:color w:val="000000"/>
                <w:szCs w:val="21"/>
              </w:rPr>
              <w:t>应特别注意伴热管道在穿越甲板处以及在其他受限空间处的保温，以避免该处的伴热管道发生冻堵。</w:t>
            </w:r>
          </w:p>
        </w:tc>
        <w:tc>
          <w:tcPr>
            <w:tcW w:w="4401" w:type="dxa"/>
          </w:tcPr>
          <w:p w14:paraId="2105340B">
            <w:pPr>
              <w:outlineLvl w:val="2"/>
              <w:rPr>
                <w:color w:val="000000"/>
                <w:szCs w:val="21"/>
              </w:rPr>
            </w:pPr>
            <w:r>
              <w:rPr>
                <w:color w:val="000000"/>
                <w:szCs w:val="21"/>
              </w:rPr>
              <w:t>受限空间处和穿越甲板处不宜施工和检修，在管道工程施工、检查和运维过程中给予特别关注，避免发生安全风险。</w:t>
            </w:r>
          </w:p>
        </w:tc>
      </w:tr>
      <w:tr w14:paraId="4758B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677AF813">
            <w:pPr>
              <w:numPr>
                <w:ilvl w:val="0"/>
                <w:numId w:val="132"/>
              </w:numPr>
              <w:jc w:val="center"/>
              <w:rPr>
                <w:color w:val="000000"/>
                <w:szCs w:val="21"/>
              </w:rPr>
            </w:pPr>
          </w:p>
        </w:tc>
        <w:tc>
          <w:tcPr>
            <w:tcW w:w="1172" w:type="dxa"/>
          </w:tcPr>
          <w:p w14:paraId="71281FC8">
            <w:pPr>
              <w:jc w:val="center"/>
              <w:rPr>
                <w:color w:val="000000"/>
                <w:szCs w:val="21"/>
              </w:rPr>
            </w:pPr>
            <w:r>
              <w:rPr>
                <w:color w:val="000000"/>
                <w:szCs w:val="21"/>
              </w:rPr>
              <w:t>11.6.2</w:t>
            </w:r>
          </w:p>
        </w:tc>
        <w:tc>
          <w:tcPr>
            <w:tcW w:w="2725" w:type="dxa"/>
          </w:tcPr>
          <w:p w14:paraId="3EF9E6F7">
            <w:pPr>
              <w:outlineLvl w:val="2"/>
              <w:rPr>
                <w:color w:val="000000"/>
                <w:szCs w:val="21"/>
              </w:rPr>
            </w:pPr>
            <w:r>
              <w:rPr>
                <w:color w:val="000000"/>
                <w:szCs w:val="21"/>
              </w:rPr>
              <w:t>各管道应按输送介质的不同涂以不同颜色的面漆或色环，并设立标明流向的标识。</w:t>
            </w:r>
          </w:p>
        </w:tc>
        <w:tc>
          <w:tcPr>
            <w:tcW w:w="4401" w:type="dxa"/>
          </w:tcPr>
          <w:p w14:paraId="722B33A5">
            <w:pPr>
              <w:outlineLvl w:val="2"/>
              <w:rPr>
                <w:color w:val="000000"/>
                <w:szCs w:val="21"/>
              </w:rPr>
            </w:pPr>
            <w:r>
              <w:rPr>
                <w:color w:val="000000"/>
                <w:szCs w:val="21"/>
              </w:rPr>
              <w:t>国经贸安全2000年944号《海上固定平台安全规则》</w:t>
            </w:r>
          </w:p>
          <w:p w14:paraId="0B3D847F">
            <w:pPr>
              <w:outlineLvl w:val="2"/>
              <w:rPr>
                <w:color w:val="000000"/>
                <w:szCs w:val="21"/>
              </w:rPr>
            </w:pPr>
            <w:r>
              <w:rPr>
                <w:color w:val="000000"/>
                <w:szCs w:val="21"/>
              </w:rPr>
              <w:t>7.8.4.2 各管系应按输送介质的不同。涂以不同颜色的面漆或色环</w:t>
            </w:r>
            <w:r>
              <w:rPr>
                <w:rFonts w:hint="eastAsia"/>
                <w:color w:val="000000"/>
                <w:szCs w:val="21"/>
              </w:rPr>
              <w:t>，</w:t>
            </w:r>
            <w:r>
              <w:rPr>
                <w:color w:val="000000"/>
                <w:szCs w:val="21"/>
              </w:rPr>
              <w:t xml:space="preserve">并设立标明流向的标志。 </w:t>
            </w:r>
          </w:p>
        </w:tc>
      </w:tr>
      <w:tr w14:paraId="6470B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94" w:type="dxa"/>
            <w:gridSpan w:val="4"/>
          </w:tcPr>
          <w:p w14:paraId="16A4642A">
            <w:pPr>
              <w:jc w:val="center"/>
              <w:rPr>
                <w:color w:val="000000"/>
                <w:spacing w:val="13"/>
                <w:szCs w:val="21"/>
                <w:shd w:val="clear" w:color="auto" w:fill="FFFFFF"/>
              </w:rPr>
            </w:pPr>
            <w:r>
              <w:rPr>
                <w:color w:val="000000"/>
                <w:spacing w:val="13"/>
                <w:szCs w:val="21"/>
                <w:shd w:val="clear" w:color="auto" w:fill="FFFFFF"/>
              </w:rPr>
              <w:t>机械设备及管系</w:t>
            </w:r>
          </w:p>
        </w:tc>
      </w:tr>
      <w:tr w14:paraId="32DFF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78DC9590">
            <w:pPr>
              <w:numPr>
                <w:ilvl w:val="0"/>
                <w:numId w:val="132"/>
              </w:numPr>
              <w:jc w:val="center"/>
              <w:rPr>
                <w:color w:val="000000"/>
                <w:szCs w:val="21"/>
              </w:rPr>
            </w:pPr>
          </w:p>
        </w:tc>
        <w:tc>
          <w:tcPr>
            <w:tcW w:w="1172" w:type="dxa"/>
          </w:tcPr>
          <w:p w14:paraId="655E3C89">
            <w:pPr>
              <w:jc w:val="center"/>
              <w:rPr>
                <w:szCs w:val="21"/>
              </w:rPr>
            </w:pPr>
            <w:r>
              <w:rPr>
                <w:szCs w:val="21"/>
              </w:rPr>
              <w:t>12.1.2.1</w:t>
            </w:r>
          </w:p>
        </w:tc>
        <w:tc>
          <w:tcPr>
            <w:tcW w:w="2725" w:type="dxa"/>
          </w:tcPr>
          <w:p w14:paraId="2C9C5FA5">
            <w:pPr>
              <w:jc w:val="left"/>
              <w:rPr>
                <w:szCs w:val="21"/>
              </w:rPr>
            </w:pPr>
            <w:r>
              <w:rPr>
                <w:szCs w:val="21"/>
              </w:rPr>
              <w:t>内燃机所用柴油的闪点（闭杯试验）一般不低于60℃。应急发电机原动机所用柴油的闪点不低于 43℃。</w:t>
            </w:r>
          </w:p>
        </w:tc>
        <w:tc>
          <w:tcPr>
            <w:tcW w:w="4401" w:type="dxa"/>
          </w:tcPr>
          <w:p w14:paraId="4E172A63">
            <w:pPr>
              <w:jc w:val="left"/>
              <w:rPr>
                <w:szCs w:val="21"/>
              </w:rPr>
            </w:pPr>
            <w:r>
              <w:rPr>
                <w:szCs w:val="21"/>
              </w:rPr>
              <w:t>依据我国现行船用燃料油国家标准GB17411-2015，来源于国际标准ISO8217。</w:t>
            </w:r>
          </w:p>
        </w:tc>
      </w:tr>
      <w:tr w14:paraId="40EA4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454DC0A1">
            <w:pPr>
              <w:numPr>
                <w:ilvl w:val="0"/>
                <w:numId w:val="132"/>
              </w:numPr>
              <w:jc w:val="center"/>
              <w:rPr>
                <w:color w:val="000000"/>
                <w:szCs w:val="21"/>
              </w:rPr>
            </w:pPr>
          </w:p>
        </w:tc>
        <w:tc>
          <w:tcPr>
            <w:tcW w:w="1172" w:type="dxa"/>
          </w:tcPr>
          <w:p w14:paraId="050F9526">
            <w:pPr>
              <w:jc w:val="center"/>
              <w:rPr>
                <w:szCs w:val="21"/>
              </w:rPr>
            </w:pPr>
            <w:r>
              <w:rPr>
                <w:szCs w:val="21"/>
              </w:rPr>
              <w:t>12.2.2</w:t>
            </w:r>
          </w:p>
        </w:tc>
        <w:tc>
          <w:tcPr>
            <w:tcW w:w="2725" w:type="dxa"/>
          </w:tcPr>
          <w:p w14:paraId="421630F8">
            <w:pPr>
              <w:jc w:val="left"/>
              <w:rPr>
                <w:szCs w:val="21"/>
              </w:rPr>
            </w:pPr>
            <w:r>
              <w:rPr>
                <w:szCs w:val="21"/>
              </w:rPr>
              <w:t>a)气缸直径大于200mm或曲轴箱容积大于0.6m</w:t>
            </w:r>
            <w:r>
              <w:rPr>
                <w:szCs w:val="21"/>
                <w:vertAlign w:val="superscript"/>
              </w:rPr>
              <w:t>3</w:t>
            </w:r>
            <w:r>
              <w:rPr>
                <w:szCs w:val="21"/>
              </w:rPr>
              <w:t>的柴油机，应设有防爆门。</w:t>
            </w:r>
          </w:p>
        </w:tc>
        <w:tc>
          <w:tcPr>
            <w:tcW w:w="4401" w:type="dxa"/>
          </w:tcPr>
          <w:p w14:paraId="24CCD2B1">
            <w:pPr>
              <w:jc w:val="left"/>
              <w:rPr>
                <w:szCs w:val="21"/>
              </w:rPr>
            </w:pPr>
            <w:r>
              <w:rPr>
                <w:szCs w:val="21"/>
              </w:rPr>
              <w:t>依据CB3451-92《船用柴油机曲轴箱防爆门》1主题内容和适用范围；《钢制海船入级与建造规范》9.7.4.1气缸直径大于等于200mm或曲轴箱总容积大于等于0.6m</w:t>
            </w:r>
            <w:r>
              <w:rPr>
                <w:szCs w:val="21"/>
                <w:vertAlign w:val="superscript"/>
              </w:rPr>
              <w:t>3</w:t>
            </w:r>
            <w:r>
              <w:rPr>
                <w:szCs w:val="21"/>
              </w:rPr>
              <w:t xml:space="preserve"> 的柴油机，应按照本节9.7.4.2～9.7.4.6的规定安装安全阀</w:t>
            </w:r>
          </w:p>
        </w:tc>
      </w:tr>
      <w:tr w14:paraId="566B2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063C5175">
            <w:pPr>
              <w:numPr>
                <w:ilvl w:val="0"/>
                <w:numId w:val="132"/>
              </w:numPr>
              <w:jc w:val="center"/>
              <w:rPr>
                <w:color w:val="000000"/>
                <w:szCs w:val="21"/>
              </w:rPr>
            </w:pPr>
          </w:p>
        </w:tc>
        <w:tc>
          <w:tcPr>
            <w:tcW w:w="1172" w:type="dxa"/>
          </w:tcPr>
          <w:p w14:paraId="709ED9ED">
            <w:pPr>
              <w:jc w:val="center"/>
              <w:rPr>
                <w:szCs w:val="21"/>
              </w:rPr>
            </w:pPr>
            <w:r>
              <w:rPr>
                <w:szCs w:val="21"/>
              </w:rPr>
              <w:t>12.2.2</w:t>
            </w:r>
          </w:p>
        </w:tc>
        <w:tc>
          <w:tcPr>
            <w:tcW w:w="2725" w:type="dxa"/>
          </w:tcPr>
          <w:p w14:paraId="2BD3C756">
            <w:pPr>
              <w:jc w:val="left"/>
              <w:rPr>
                <w:szCs w:val="21"/>
              </w:rPr>
            </w:pPr>
            <w:r>
              <w:rPr>
                <w:szCs w:val="21"/>
              </w:rPr>
              <w:t>b)气缸直径大于230mm的柴油机，气缸盖上应设有安全阀；</w:t>
            </w:r>
          </w:p>
        </w:tc>
        <w:tc>
          <w:tcPr>
            <w:tcW w:w="4401" w:type="dxa"/>
          </w:tcPr>
          <w:p w14:paraId="77D437A2">
            <w:pPr>
              <w:jc w:val="left"/>
              <w:rPr>
                <w:szCs w:val="21"/>
              </w:rPr>
            </w:pPr>
            <w:r>
              <w:rPr>
                <w:szCs w:val="21"/>
              </w:rPr>
              <w:t>依据《钢制海船入级与建造规范》9.7.2.1气缸直径大于230mm的柴油机，每个气缸盖上应装有安全阀</w:t>
            </w:r>
          </w:p>
        </w:tc>
      </w:tr>
      <w:tr w14:paraId="02B0D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36357094">
            <w:pPr>
              <w:numPr>
                <w:ilvl w:val="0"/>
                <w:numId w:val="132"/>
              </w:numPr>
              <w:jc w:val="center"/>
              <w:rPr>
                <w:color w:val="000000"/>
                <w:szCs w:val="21"/>
              </w:rPr>
            </w:pPr>
          </w:p>
        </w:tc>
        <w:tc>
          <w:tcPr>
            <w:tcW w:w="1172" w:type="dxa"/>
          </w:tcPr>
          <w:p w14:paraId="11E6B29A">
            <w:pPr>
              <w:jc w:val="center"/>
              <w:rPr>
                <w:szCs w:val="21"/>
              </w:rPr>
            </w:pPr>
            <w:r>
              <w:rPr>
                <w:szCs w:val="21"/>
              </w:rPr>
              <w:t>12.2.6</w:t>
            </w:r>
          </w:p>
        </w:tc>
        <w:tc>
          <w:tcPr>
            <w:tcW w:w="2725" w:type="dxa"/>
          </w:tcPr>
          <w:p w14:paraId="7B683ED9">
            <w:pPr>
              <w:rPr>
                <w:szCs w:val="21"/>
              </w:rPr>
            </w:pPr>
            <w:r>
              <w:rPr>
                <w:szCs w:val="21"/>
              </w:rPr>
              <w:t>b)柴油机应配备可靠的启动装置，应急发电机应能在所处的环境下进行启动，自动启动的应急发电机组应设有经检验机构认可的启动装置</w:t>
            </w:r>
            <w:r>
              <w:rPr>
                <w:rFonts w:hint="eastAsia"/>
                <w:szCs w:val="21"/>
                <w:lang w:eastAsia="zh-CN"/>
              </w:rPr>
              <w:t>，</w:t>
            </w:r>
            <w:r>
              <w:rPr>
                <w:szCs w:val="21"/>
              </w:rPr>
              <w:t>并配备至少能供6次连续启动的能源。此外</w:t>
            </w:r>
            <w:r>
              <w:rPr>
                <w:rFonts w:hint="eastAsia"/>
                <w:szCs w:val="21"/>
                <w:lang w:eastAsia="zh-CN"/>
              </w:rPr>
              <w:t>，</w:t>
            </w:r>
            <w:r>
              <w:rPr>
                <w:szCs w:val="21"/>
              </w:rPr>
              <w:t>应配备在 30 分钟内能启动6次的第二能源；</w:t>
            </w:r>
          </w:p>
        </w:tc>
        <w:tc>
          <w:tcPr>
            <w:tcW w:w="4401" w:type="dxa"/>
          </w:tcPr>
          <w:p w14:paraId="5EA34AB9">
            <w:pPr>
              <w:jc w:val="left"/>
              <w:rPr>
                <w:szCs w:val="21"/>
              </w:rPr>
            </w:pPr>
            <w:r>
              <w:rPr>
                <w:szCs w:val="21"/>
              </w:rPr>
              <w:t>依据《钢制海船入级与建造规范》，9.5.3.2自动起动的每台应急发电机组，应设有起动装置，并配备至少能供3次连续起动的能源。储备的能源应受到保护，以免被自动系统耗尽，除非设有第二套独立的起动装置。此外，还应配备能在30min内能起动3次的第二能源，但人工起动能被证明是有效者除外。</w:t>
            </w:r>
          </w:p>
        </w:tc>
      </w:tr>
      <w:tr w14:paraId="30E85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295AE893">
            <w:pPr>
              <w:numPr>
                <w:ilvl w:val="0"/>
                <w:numId w:val="132"/>
              </w:numPr>
              <w:jc w:val="center"/>
              <w:rPr>
                <w:color w:val="000000"/>
                <w:szCs w:val="21"/>
              </w:rPr>
            </w:pPr>
          </w:p>
        </w:tc>
        <w:tc>
          <w:tcPr>
            <w:tcW w:w="1172" w:type="dxa"/>
          </w:tcPr>
          <w:p w14:paraId="3035BD08">
            <w:pPr>
              <w:jc w:val="left"/>
              <w:rPr>
                <w:szCs w:val="21"/>
              </w:rPr>
            </w:pPr>
            <w:r>
              <w:rPr>
                <w:szCs w:val="21"/>
              </w:rPr>
              <w:t>12.7.1</w:t>
            </w:r>
          </w:p>
        </w:tc>
        <w:tc>
          <w:tcPr>
            <w:tcW w:w="2725" w:type="dxa"/>
          </w:tcPr>
          <w:p w14:paraId="367C51F0">
            <w:pPr>
              <w:jc w:val="left"/>
              <w:rPr>
                <w:szCs w:val="21"/>
              </w:rPr>
            </w:pPr>
            <w:r>
              <w:rPr>
                <w:szCs w:val="21"/>
              </w:rPr>
              <w:t>安装与布置要求</w:t>
            </w:r>
          </w:p>
        </w:tc>
        <w:tc>
          <w:tcPr>
            <w:tcW w:w="4401" w:type="dxa"/>
          </w:tcPr>
          <w:p w14:paraId="7F356CEE">
            <w:pPr>
              <w:jc w:val="left"/>
              <w:rPr>
                <w:szCs w:val="21"/>
              </w:rPr>
            </w:pPr>
            <w:r>
              <w:rPr>
                <w:szCs w:val="21"/>
              </w:rPr>
              <w:t>依据《锅炉安全技术规程》，第5章，安全附件和仪表；第6章，燃烧设备、辅助设备及系统。</w:t>
            </w:r>
          </w:p>
        </w:tc>
      </w:tr>
      <w:tr w14:paraId="75870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143E6846">
            <w:pPr>
              <w:numPr>
                <w:ilvl w:val="0"/>
                <w:numId w:val="132"/>
              </w:numPr>
              <w:jc w:val="center"/>
              <w:rPr>
                <w:color w:val="000000"/>
                <w:szCs w:val="21"/>
              </w:rPr>
            </w:pPr>
          </w:p>
        </w:tc>
        <w:tc>
          <w:tcPr>
            <w:tcW w:w="1172" w:type="dxa"/>
          </w:tcPr>
          <w:p w14:paraId="381E5325">
            <w:pPr>
              <w:jc w:val="left"/>
              <w:rPr>
                <w:szCs w:val="21"/>
              </w:rPr>
            </w:pPr>
            <w:r>
              <w:rPr>
                <w:szCs w:val="21"/>
              </w:rPr>
              <w:t>12.7.2</w:t>
            </w:r>
          </w:p>
        </w:tc>
        <w:tc>
          <w:tcPr>
            <w:tcW w:w="2725" w:type="dxa"/>
          </w:tcPr>
          <w:p w14:paraId="4FC67B6E">
            <w:pPr>
              <w:jc w:val="left"/>
              <w:rPr>
                <w:szCs w:val="21"/>
              </w:rPr>
            </w:pPr>
            <w:r>
              <w:rPr>
                <w:szCs w:val="21"/>
              </w:rPr>
              <w:t>蒸汽锅炉的安全装置要求</w:t>
            </w:r>
          </w:p>
        </w:tc>
        <w:tc>
          <w:tcPr>
            <w:tcW w:w="4401" w:type="dxa"/>
          </w:tcPr>
          <w:p w14:paraId="7A3BF7FB">
            <w:pPr>
              <w:jc w:val="left"/>
              <w:rPr>
                <w:szCs w:val="21"/>
              </w:rPr>
            </w:pPr>
            <w:r>
              <w:rPr>
                <w:szCs w:val="21"/>
              </w:rPr>
              <w:t>依据《锅炉安全技术规程》，第5章，安全附件和仪表；5.1.2.1，对于安全阀的规定。</w:t>
            </w:r>
          </w:p>
          <w:p w14:paraId="503C12DF">
            <w:pPr>
              <w:jc w:val="left"/>
              <w:rPr>
                <w:szCs w:val="21"/>
              </w:rPr>
            </w:pPr>
            <w:r>
              <w:rPr>
                <w:szCs w:val="21"/>
              </w:rPr>
              <w:t>依据《GB/T 16507-2022 水管锅炉》，第7部分，安全附件和仪表；</w:t>
            </w:r>
          </w:p>
        </w:tc>
      </w:tr>
      <w:tr w14:paraId="359CB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6D143766">
            <w:pPr>
              <w:numPr>
                <w:ilvl w:val="0"/>
                <w:numId w:val="132"/>
              </w:numPr>
              <w:jc w:val="center"/>
              <w:rPr>
                <w:color w:val="000000"/>
                <w:szCs w:val="21"/>
              </w:rPr>
            </w:pPr>
          </w:p>
        </w:tc>
        <w:tc>
          <w:tcPr>
            <w:tcW w:w="1172" w:type="dxa"/>
          </w:tcPr>
          <w:p w14:paraId="11FC0C76">
            <w:pPr>
              <w:jc w:val="left"/>
              <w:rPr>
                <w:szCs w:val="21"/>
              </w:rPr>
            </w:pPr>
            <w:r>
              <w:rPr>
                <w:szCs w:val="21"/>
              </w:rPr>
              <w:t>12.7.3</w:t>
            </w:r>
          </w:p>
        </w:tc>
        <w:tc>
          <w:tcPr>
            <w:tcW w:w="2725" w:type="dxa"/>
          </w:tcPr>
          <w:p w14:paraId="32CC712E">
            <w:pPr>
              <w:jc w:val="left"/>
              <w:rPr>
                <w:szCs w:val="21"/>
              </w:rPr>
            </w:pPr>
            <w:r>
              <w:rPr>
                <w:szCs w:val="21"/>
              </w:rPr>
              <w:t>热介质锅炉的安全装置要求</w:t>
            </w:r>
          </w:p>
        </w:tc>
        <w:tc>
          <w:tcPr>
            <w:tcW w:w="4401" w:type="dxa"/>
          </w:tcPr>
          <w:p w14:paraId="7864356C">
            <w:pPr>
              <w:jc w:val="left"/>
              <w:rPr>
                <w:szCs w:val="21"/>
              </w:rPr>
            </w:pPr>
            <w:r>
              <w:rPr>
                <w:szCs w:val="21"/>
              </w:rPr>
              <w:t>依据《锅炉安全技术规程》，第5章，安全附件和仪表；第6章，燃烧设备、辅助设备及系统。</w:t>
            </w:r>
          </w:p>
        </w:tc>
      </w:tr>
      <w:tr w14:paraId="2A324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46098DFB">
            <w:pPr>
              <w:numPr>
                <w:ilvl w:val="0"/>
                <w:numId w:val="132"/>
              </w:numPr>
              <w:jc w:val="center"/>
              <w:rPr>
                <w:color w:val="000000"/>
                <w:szCs w:val="21"/>
              </w:rPr>
            </w:pPr>
          </w:p>
        </w:tc>
        <w:tc>
          <w:tcPr>
            <w:tcW w:w="1172" w:type="dxa"/>
          </w:tcPr>
          <w:p w14:paraId="5502DF9F">
            <w:pPr>
              <w:jc w:val="left"/>
              <w:rPr>
                <w:szCs w:val="21"/>
              </w:rPr>
            </w:pPr>
            <w:r>
              <w:rPr>
                <w:szCs w:val="21"/>
              </w:rPr>
              <w:t>12.8.1</w:t>
            </w:r>
          </w:p>
        </w:tc>
        <w:tc>
          <w:tcPr>
            <w:tcW w:w="2725" w:type="dxa"/>
          </w:tcPr>
          <w:p w14:paraId="170216A2">
            <w:pPr>
              <w:jc w:val="left"/>
              <w:rPr>
                <w:szCs w:val="21"/>
              </w:rPr>
            </w:pPr>
            <w:r>
              <w:rPr>
                <w:szCs w:val="21"/>
              </w:rPr>
              <w:t>压力容器应根据所用规范、标准进行设计、制造、检验、验收，并取得发证检验机构的产品检验证书。</w:t>
            </w:r>
          </w:p>
        </w:tc>
        <w:tc>
          <w:tcPr>
            <w:tcW w:w="4401" w:type="dxa"/>
          </w:tcPr>
          <w:p w14:paraId="2923BABB">
            <w:pPr>
              <w:jc w:val="left"/>
              <w:rPr>
                <w:szCs w:val="21"/>
              </w:rPr>
            </w:pPr>
            <w:r>
              <w:rPr>
                <w:szCs w:val="21"/>
              </w:rPr>
              <w:t>1、依据《压力容器》（GB150.2-2011）</w:t>
            </w:r>
          </w:p>
          <w:p w14:paraId="34753C3F">
            <w:pPr>
              <w:jc w:val="left"/>
              <w:rPr>
                <w:szCs w:val="21"/>
              </w:rPr>
            </w:pPr>
            <w:r>
              <w:rPr>
                <w:szCs w:val="21"/>
              </w:rPr>
              <w:t>4.1压力容器的制造、检验与验收依据</w:t>
            </w:r>
          </w:p>
          <w:p w14:paraId="05F3A461">
            <w:pPr>
              <w:jc w:val="left"/>
              <w:rPr>
                <w:szCs w:val="21"/>
              </w:rPr>
            </w:pPr>
            <w:r>
              <w:rPr>
                <w:szCs w:val="21"/>
              </w:rPr>
              <w:t>依据《特种设备安全技术规范》（TSG 21-2016）</w:t>
            </w:r>
          </w:p>
          <w:p w14:paraId="4A5565EB">
            <w:pPr>
              <w:jc w:val="left"/>
              <w:rPr>
                <w:szCs w:val="21"/>
              </w:rPr>
            </w:pPr>
            <w:r>
              <w:rPr>
                <w:szCs w:val="21"/>
              </w:rPr>
              <w:t>4.1制造通用要求</w:t>
            </w:r>
          </w:p>
        </w:tc>
      </w:tr>
      <w:tr w14:paraId="0B6FA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0C95D2F8">
            <w:pPr>
              <w:numPr>
                <w:ilvl w:val="0"/>
                <w:numId w:val="132"/>
              </w:numPr>
              <w:jc w:val="center"/>
              <w:rPr>
                <w:color w:val="000000"/>
                <w:szCs w:val="21"/>
              </w:rPr>
            </w:pPr>
          </w:p>
        </w:tc>
        <w:tc>
          <w:tcPr>
            <w:tcW w:w="1172" w:type="dxa"/>
          </w:tcPr>
          <w:p w14:paraId="43C893BA">
            <w:pPr>
              <w:jc w:val="left"/>
              <w:rPr>
                <w:szCs w:val="21"/>
              </w:rPr>
            </w:pPr>
            <w:r>
              <w:rPr>
                <w:szCs w:val="21"/>
              </w:rPr>
              <w:t>12.8.2</w:t>
            </w:r>
          </w:p>
        </w:tc>
        <w:tc>
          <w:tcPr>
            <w:tcW w:w="2725" w:type="dxa"/>
          </w:tcPr>
          <w:p w14:paraId="0FE34BC6">
            <w:pPr>
              <w:jc w:val="left"/>
              <w:rPr>
                <w:szCs w:val="21"/>
              </w:rPr>
            </w:pPr>
            <w:r>
              <w:rPr>
                <w:szCs w:val="21"/>
              </w:rPr>
              <w:t>压力容器的制造、检验与验收。</w:t>
            </w:r>
          </w:p>
          <w:p w14:paraId="24C7C93A">
            <w:pPr>
              <w:jc w:val="left"/>
              <w:rPr>
                <w:szCs w:val="21"/>
              </w:rPr>
            </w:pPr>
          </w:p>
        </w:tc>
        <w:tc>
          <w:tcPr>
            <w:tcW w:w="4401" w:type="dxa"/>
          </w:tcPr>
          <w:p w14:paraId="475A2E58">
            <w:pPr>
              <w:jc w:val="left"/>
              <w:rPr>
                <w:szCs w:val="21"/>
              </w:rPr>
            </w:pPr>
            <w:r>
              <w:rPr>
                <w:szCs w:val="21"/>
              </w:rPr>
              <w:t>1、依据《压力容器》（GB150.2-2011）</w:t>
            </w:r>
          </w:p>
          <w:p w14:paraId="3A9FCBF3">
            <w:pPr>
              <w:jc w:val="left"/>
              <w:rPr>
                <w:szCs w:val="21"/>
              </w:rPr>
            </w:pPr>
            <w:r>
              <w:rPr>
                <w:szCs w:val="21"/>
              </w:rPr>
              <w:t>4.1压力容器的制造、检验与验收依据</w:t>
            </w:r>
          </w:p>
          <w:p w14:paraId="26134613">
            <w:pPr>
              <w:jc w:val="left"/>
              <w:rPr>
                <w:szCs w:val="21"/>
              </w:rPr>
            </w:pPr>
            <w:r>
              <w:rPr>
                <w:szCs w:val="21"/>
              </w:rPr>
              <w:t>依据《特种设备安全技术规范》（TSG 21-2016）4 制造 6 监督检验</w:t>
            </w:r>
          </w:p>
        </w:tc>
      </w:tr>
      <w:tr w14:paraId="7EFBC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34D64D43">
            <w:pPr>
              <w:numPr>
                <w:ilvl w:val="0"/>
                <w:numId w:val="132"/>
              </w:numPr>
              <w:jc w:val="center"/>
              <w:rPr>
                <w:color w:val="000000"/>
                <w:szCs w:val="21"/>
              </w:rPr>
            </w:pPr>
          </w:p>
        </w:tc>
        <w:tc>
          <w:tcPr>
            <w:tcW w:w="1172" w:type="dxa"/>
          </w:tcPr>
          <w:p w14:paraId="55160537">
            <w:pPr>
              <w:rPr>
                <w:szCs w:val="21"/>
              </w:rPr>
            </w:pPr>
            <w:r>
              <w:rPr>
                <w:szCs w:val="21"/>
              </w:rPr>
              <w:t>12.8.3</w:t>
            </w:r>
          </w:p>
        </w:tc>
        <w:tc>
          <w:tcPr>
            <w:tcW w:w="2725" w:type="dxa"/>
          </w:tcPr>
          <w:p w14:paraId="6FF8BBAF">
            <w:pPr>
              <w:jc w:val="left"/>
              <w:rPr>
                <w:szCs w:val="21"/>
              </w:rPr>
            </w:pPr>
            <w:r>
              <w:rPr>
                <w:szCs w:val="21"/>
              </w:rPr>
              <w:t>在压力容器上应设压力表以便监测容器内的压力，还应设一套压力传感器和一套安全阀或设两套安全阀对容器进行压力保护。</w:t>
            </w:r>
          </w:p>
        </w:tc>
        <w:tc>
          <w:tcPr>
            <w:tcW w:w="4401" w:type="dxa"/>
          </w:tcPr>
          <w:p w14:paraId="1B523534">
            <w:pPr>
              <w:jc w:val="left"/>
              <w:rPr>
                <w:szCs w:val="21"/>
              </w:rPr>
            </w:pPr>
            <w:r>
              <w:rPr>
                <w:szCs w:val="21"/>
              </w:rPr>
              <w:t>依据《特种设备安全技术规范》（TSG 21-2016）9 安全附件及仪表</w:t>
            </w:r>
          </w:p>
          <w:p w14:paraId="4159BC36">
            <w:pPr>
              <w:jc w:val="left"/>
              <w:rPr>
                <w:szCs w:val="21"/>
              </w:rPr>
            </w:pPr>
            <w:r>
              <w:rPr>
                <w:szCs w:val="21"/>
              </w:rPr>
              <w:t>9.1.3超压泄放装置的安装要求</w:t>
            </w:r>
          </w:p>
          <w:p w14:paraId="07852DEC">
            <w:r>
              <w:rPr>
                <w:szCs w:val="21"/>
              </w:rPr>
              <w:t>9.2.1压力表</w:t>
            </w:r>
          </w:p>
          <w:p w14:paraId="39A349BA">
            <w:pPr>
              <w:jc w:val="left"/>
              <w:rPr>
                <w:szCs w:val="21"/>
              </w:rPr>
            </w:pPr>
          </w:p>
        </w:tc>
      </w:tr>
      <w:tr w14:paraId="7F838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66B884F6">
            <w:pPr>
              <w:numPr>
                <w:ilvl w:val="0"/>
                <w:numId w:val="132"/>
              </w:numPr>
              <w:jc w:val="center"/>
              <w:rPr>
                <w:color w:val="000000"/>
                <w:szCs w:val="21"/>
              </w:rPr>
            </w:pPr>
          </w:p>
        </w:tc>
        <w:tc>
          <w:tcPr>
            <w:tcW w:w="1172" w:type="dxa"/>
          </w:tcPr>
          <w:p w14:paraId="2EBE475F">
            <w:pPr>
              <w:rPr>
                <w:szCs w:val="21"/>
              </w:rPr>
            </w:pPr>
            <w:r>
              <w:rPr>
                <w:szCs w:val="21"/>
              </w:rPr>
              <w:t>12.8.4</w:t>
            </w:r>
          </w:p>
        </w:tc>
        <w:tc>
          <w:tcPr>
            <w:tcW w:w="2725" w:type="dxa"/>
          </w:tcPr>
          <w:p w14:paraId="14094272">
            <w:pPr>
              <w:jc w:val="left"/>
              <w:rPr>
                <w:szCs w:val="21"/>
              </w:rPr>
            </w:pPr>
            <w:r>
              <w:rPr>
                <w:szCs w:val="21"/>
              </w:rPr>
              <w:t xml:space="preserve">对于盛装液体的压力容器应设液位计及液位控制措施。 </w:t>
            </w:r>
          </w:p>
        </w:tc>
        <w:tc>
          <w:tcPr>
            <w:tcW w:w="4401" w:type="dxa"/>
          </w:tcPr>
          <w:p w14:paraId="4BE9B818">
            <w:pPr>
              <w:jc w:val="left"/>
              <w:rPr>
                <w:szCs w:val="21"/>
              </w:rPr>
            </w:pPr>
            <w:r>
              <w:rPr>
                <w:szCs w:val="21"/>
              </w:rPr>
              <w:t>依据《特种设备安全技术规范》（TSG 21-2016）9 安全附件及仪表</w:t>
            </w:r>
          </w:p>
          <w:p w14:paraId="513B6053">
            <w:pPr>
              <w:jc w:val="left"/>
              <w:rPr>
                <w:szCs w:val="21"/>
              </w:rPr>
            </w:pPr>
            <w:r>
              <w:rPr>
                <w:szCs w:val="21"/>
              </w:rPr>
              <w:t>9.2.2液位计</w:t>
            </w:r>
          </w:p>
        </w:tc>
      </w:tr>
      <w:tr w14:paraId="52E2F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2FE429C0">
            <w:pPr>
              <w:numPr>
                <w:ilvl w:val="0"/>
                <w:numId w:val="132"/>
              </w:numPr>
              <w:jc w:val="center"/>
              <w:rPr>
                <w:color w:val="000000"/>
                <w:szCs w:val="21"/>
              </w:rPr>
            </w:pPr>
          </w:p>
        </w:tc>
        <w:tc>
          <w:tcPr>
            <w:tcW w:w="1172" w:type="dxa"/>
          </w:tcPr>
          <w:p w14:paraId="14B954C3">
            <w:pPr>
              <w:rPr>
                <w:szCs w:val="21"/>
              </w:rPr>
            </w:pPr>
            <w:r>
              <w:rPr>
                <w:szCs w:val="21"/>
              </w:rPr>
              <w:t>12.10.8　</w:t>
            </w:r>
          </w:p>
        </w:tc>
        <w:tc>
          <w:tcPr>
            <w:tcW w:w="2725" w:type="dxa"/>
          </w:tcPr>
          <w:p w14:paraId="7E239DB7">
            <w:pPr>
              <w:jc w:val="left"/>
              <w:rPr>
                <w:szCs w:val="21"/>
              </w:rPr>
            </w:pPr>
            <w:r>
              <w:rPr>
                <w:szCs w:val="21"/>
              </w:rPr>
              <w:t>安全装置</w:t>
            </w:r>
          </w:p>
        </w:tc>
        <w:tc>
          <w:tcPr>
            <w:tcW w:w="4401" w:type="dxa"/>
          </w:tcPr>
          <w:p w14:paraId="080F303F">
            <w:pPr>
              <w:jc w:val="left"/>
              <w:rPr>
                <w:szCs w:val="21"/>
              </w:rPr>
            </w:pPr>
            <w:r>
              <w:rPr>
                <w:szCs w:val="21"/>
              </w:rPr>
              <w:t>依据《船舶与海上设施起重设备规范》4.3.2节要求编制</w:t>
            </w:r>
            <w:r>
              <w:rPr>
                <w:rFonts w:hint="eastAsia"/>
                <w:szCs w:val="21"/>
                <w:lang w:eastAsia="zh-CN"/>
              </w:rPr>
              <w:t>，</w:t>
            </w:r>
            <w:r>
              <w:rPr>
                <w:szCs w:val="21"/>
              </w:rPr>
              <w:t>每根吊杆应按表12.3.1规定的试验负荷进行试验，试验程序应经同意。</w:t>
            </w:r>
          </w:p>
        </w:tc>
      </w:tr>
      <w:tr w14:paraId="2918B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94" w:type="dxa"/>
            <w:gridSpan w:val="4"/>
          </w:tcPr>
          <w:p w14:paraId="329A1C20">
            <w:pPr>
              <w:jc w:val="center"/>
              <w:rPr>
                <w:color w:val="000000"/>
                <w:spacing w:val="13"/>
                <w:szCs w:val="21"/>
                <w:shd w:val="clear" w:color="auto" w:fill="FFFFFF"/>
              </w:rPr>
            </w:pPr>
            <w:r>
              <w:rPr>
                <w:color w:val="000000"/>
                <w:spacing w:val="13"/>
                <w:szCs w:val="21"/>
                <w:shd w:val="clear" w:color="auto" w:fill="FFFFFF"/>
              </w:rPr>
              <w:t>暖通</w:t>
            </w:r>
          </w:p>
        </w:tc>
      </w:tr>
      <w:tr w14:paraId="511D9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79F8190E">
            <w:pPr>
              <w:numPr>
                <w:ilvl w:val="0"/>
                <w:numId w:val="132"/>
              </w:numPr>
              <w:jc w:val="center"/>
              <w:rPr>
                <w:color w:val="000000"/>
                <w:szCs w:val="21"/>
              </w:rPr>
            </w:pPr>
          </w:p>
        </w:tc>
        <w:tc>
          <w:tcPr>
            <w:tcW w:w="1172" w:type="dxa"/>
            <w:vAlign w:val="center"/>
          </w:tcPr>
          <w:p w14:paraId="2C5A6417">
            <w:pPr>
              <w:jc w:val="center"/>
              <w:rPr>
                <w:szCs w:val="21"/>
              </w:rPr>
            </w:pPr>
            <w:r>
              <w:rPr>
                <w:szCs w:val="21"/>
              </w:rPr>
              <w:t>13.1.2</w:t>
            </w:r>
          </w:p>
        </w:tc>
        <w:tc>
          <w:tcPr>
            <w:tcW w:w="2725" w:type="dxa"/>
            <w:vAlign w:val="center"/>
          </w:tcPr>
          <w:p w14:paraId="781988B7">
            <w:pPr>
              <w:pStyle w:val="326"/>
              <w:numPr>
                <w:ilvl w:val="0"/>
                <w:numId w:val="0"/>
              </w:numPr>
              <w:rPr>
                <w:rFonts w:ascii="Times New Roman"/>
                <w:kern w:val="2"/>
              </w:rPr>
            </w:pPr>
            <w:r>
              <w:rPr>
                <w:rFonts w:ascii="Times New Roman"/>
                <w:kern w:val="2"/>
              </w:rPr>
              <w:t>封闭机器区域应有足够的通风，所有存在积聚有害物质或爆炸火灾危险物质的区域均应设置安全、有效的通风。</w:t>
            </w:r>
          </w:p>
          <w:p w14:paraId="08F4E478">
            <w:pPr>
              <w:jc w:val="center"/>
              <w:rPr>
                <w:szCs w:val="21"/>
              </w:rPr>
            </w:pPr>
          </w:p>
        </w:tc>
        <w:tc>
          <w:tcPr>
            <w:tcW w:w="4401" w:type="dxa"/>
            <w:vAlign w:val="center"/>
          </w:tcPr>
          <w:p w14:paraId="3C9E8E9A">
            <w:pPr>
              <w:pStyle w:val="260"/>
              <w:numPr>
                <w:ilvl w:val="0"/>
                <w:numId w:val="0"/>
              </w:numPr>
              <w:outlineLvl w:val="1"/>
              <w:rPr>
                <w:rFonts w:ascii="Times New Roman" w:eastAsia="宋体"/>
              </w:rPr>
            </w:pPr>
            <w:r>
              <w:rPr>
                <w:rFonts w:ascii="Times New Roman" w:eastAsia="宋体"/>
              </w:rPr>
              <w:t>本条规定了有空气需求、积聚有害物质或爆炸火灾危险物质的区域的通风要求，应采取通风措施。通风可以促使封闭区域内有害物质或爆炸火灾危险物质的浓度降低，能有效降低有害物质或爆炸火灾危险物质的危害，例如电池间、油漆间、高压开关间等；并满足封闭机器区域的空气需求，例如压缩机、柴油机等机器放置于封闭区域内时的空气消耗需求。</w:t>
            </w:r>
          </w:p>
        </w:tc>
      </w:tr>
      <w:tr w14:paraId="2CD2A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713B0421">
            <w:pPr>
              <w:numPr>
                <w:ilvl w:val="0"/>
                <w:numId w:val="132"/>
              </w:numPr>
              <w:jc w:val="center"/>
              <w:rPr>
                <w:color w:val="000000"/>
                <w:szCs w:val="21"/>
              </w:rPr>
            </w:pPr>
          </w:p>
        </w:tc>
        <w:tc>
          <w:tcPr>
            <w:tcW w:w="1172" w:type="dxa"/>
            <w:vAlign w:val="center"/>
          </w:tcPr>
          <w:p w14:paraId="11F6CBBA">
            <w:pPr>
              <w:jc w:val="center"/>
              <w:rPr>
                <w:szCs w:val="21"/>
              </w:rPr>
            </w:pPr>
            <w:r>
              <w:rPr>
                <w:szCs w:val="21"/>
              </w:rPr>
              <w:t>13.1.3</w:t>
            </w:r>
          </w:p>
        </w:tc>
        <w:tc>
          <w:tcPr>
            <w:tcW w:w="2725" w:type="dxa"/>
            <w:vAlign w:val="center"/>
          </w:tcPr>
          <w:p w14:paraId="4637EDD6">
            <w:pPr>
              <w:jc w:val="left"/>
              <w:rPr>
                <w:szCs w:val="21"/>
              </w:rPr>
            </w:pPr>
            <w:r>
              <w:rPr>
                <w:szCs w:val="21"/>
              </w:rPr>
              <w:t>通风系统的进风口应位于非危险区。若其进气管线通过一个危险程度更大的区域，其管线内压力应高于该区域</w:t>
            </w:r>
          </w:p>
        </w:tc>
        <w:tc>
          <w:tcPr>
            <w:tcW w:w="4401" w:type="dxa"/>
            <w:vAlign w:val="center"/>
          </w:tcPr>
          <w:p w14:paraId="1764D078">
            <w:pPr>
              <w:pStyle w:val="530"/>
              <w:spacing w:after="0" w:afterLines="0"/>
              <w:jc w:val="both"/>
              <w:rPr>
                <w:rFonts w:ascii="Times New Roman" w:eastAsia="宋体"/>
                <w:sz w:val="21"/>
                <w:szCs w:val="21"/>
              </w:rPr>
            </w:pPr>
            <w:r>
              <w:rPr>
                <w:rFonts w:ascii="Times New Roman" w:eastAsia="宋体"/>
                <w:sz w:val="21"/>
                <w:szCs w:val="21"/>
              </w:rPr>
              <w:t>本条规定了通风系统进风口的布置及风管压力的要求，对进风口布置的要求是为了避免送风系统把有害物质或爆炸火灾危险物质吸入并送到封闭区域内；对风管压力的要求是为了避免把危险程度更大的区域内的气体吸入并送到危险程度稍小的区域内。</w:t>
            </w:r>
          </w:p>
        </w:tc>
      </w:tr>
      <w:tr w14:paraId="3D757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5A7B9D11">
            <w:pPr>
              <w:numPr>
                <w:ilvl w:val="0"/>
                <w:numId w:val="132"/>
              </w:numPr>
              <w:jc w:val="center"/>
              <w:rPr>
                <w:color w:val="000000"/>
                <w:szCs w:val="21"/>
              </w:rPr>
            </w:pPr>
          </w:p>
        </w:tc>
        <w:tc>
          <w:tcPr>
            <w:tcW w:w="1172" w:type="dxa"/>
            <w:vAlign w:val="center"/>
          </w:tcPr>
          <w:p w14:paraId="61D58A26">
            <w:pPr>
              <w:jc w:val="center"/>
              <w:rPr>
                <w:szCs w:val="21"/>
              </w:rPr>
            </w:pPr>
            <w:r>
              <w:rPr>
                <w:szCs w:val="21"/>
              </w:rPr>
              <w:t>13.1.4</w:t>
            </w:r>
          </w:p>
        </w:tc>
        <w:tc>
          <w:tcPr>
            <w:tcW w:w="2725" w:type="dxa"/>
            <w:vAlign w:val="center"/>
          </w:tcPr>
          <w:p w14:paraId="1BAD3B45">
            <w:pPr>
              <w:jc w:val="left"/>
              <w:rPr>
                <w:szCs w:val="21"/>
              </w:rPr>
            </w:pPr>
            <w:r>
              <w:rPr>
                <w:szCs w:val="21"/>
              </w:rPr>
              <w:t>通风系统的排出管</w:t>
            </w:r>
            <w:r>
              <w:rPr>
                <w:rFonts w:hint="eastAsia"/>
                <w:szCs w:val="21"/>
              </w:rPr>
              <w:t>线</w:t>
            </w:r>
            <w:r>
              <w:rPr>
                <w:szCs w:val="21"/>
              </w:rPr>
              <w:t>应位于危险程度等于或小于该通风区域的露天区域，并应通向开敞空间，防止排出的污浊空气被本系统或其它系统所吸入。</w:t>
            </w:r>
          </w:p>
        </w:tc>
        <w:tc>
          <w:tcPr>
            <w:tcW w:w="4401" w:type="dxa"/>
            <w:vAlign w:val="center"/>
          </w:tcPr>
          <w:p w14:paraId="6602D4AA">
            <w:pPr>
              <w:pStyle w:val="530"/>
              <w:spacing w:after="0" w:afterLines="0"/>
              <w:jc w:val="both"/>
              <w:rPr>
                <w:rFonts w:ascii="Times New Roman" w:eastAsia="宋体"/>
                <w:sz w:val="21"/>
                <w:szCs w:val="21"/>
              </w:rPr>
            </w:pPr>
            <w:r>
              <w:rPr>
                <w:rFonts w:ascii="Times New Roman" w:eastAsia="宋体"/>
                <w:sz w:val="21"/>
                <w:szCs w:val="21"/>
              </w:rPr>
              <w:t>本条规定了通风系统排出口的布置的要求，为了使排风系统排出的有害物质或爆炸火灾危险物质在大气中有利扩散稀释，并防止排出的气体污染其它区域。</w:t>
            </w:r>
          </w:p>
        </w:tc>
      </w:tr>
      <w:tr w14:paraId="443E1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2FC98D5D">
            <w:pPr>
              <w:numPr>
                <w:ilvl w:val="0"/>
                <w:numId w:val="132"/>
              </w:numPr>
              <w:jc w:val="center"/>
              <w:rPr>
                <w:color w:val="000000"/>
                <w:szCs w:val="21"/>
              </w:rPr>
            </w:pPr>
          </w:p>
        </w:tc>
        <w:tc>
          <w:tcPr>
            <w:tcW w:w="1172" w:type="dxa"/>
            <w:vAlign w:val="center"/>
          </w:tcPr>
          <w:p w14:paraId="0F22B5ED">
            <w:pPr>
              <w:jc w:val="center"/>
              <w:rPr>
                <w:szCs w:val="21"/>
              </w:rPr>
            </w:pPr>
            <w:r>
              <w:rPr>
                <w:szCs w:val="21"/>
              </w:rPr>
              <w:t>13.1.5</w:t>
            </w:r>
          </w:p>
        </w:tc>
        <w:tc>
          <w:tcPr>
            <w:tcW w:w="2725" w:type="dxa"/>
            <w:vAlign w:val="center"/>
          </w:tcPr>
          <w:p w14:paraId="4F70DD5A">
            <w:pPr>
              <w:jc w:val="left"/>
              <w:rPr>
                <w:szCs w:val="21"/>
              </w:rPr>
            </w:pPr>
            <w:r>
              <w:t>危险区和非危险区的通风系统应彼此独立。</w:t>
            </w:r>
          </w:p>
        </w:tc>
        <w:tc>
          <w:tcPr>
            <w:tcW w:w="4401" w:type="dxa"/>
            <w:vAlign w:val="center"/>
          </w:tcPr>
          <w:p w14:paraId="4A32EEB6">
            <w:pPr>
              <w:pStyle w:val="530"/>
              <w:spacing w:after="0" w:afterLines="0"/>
              <w:jc w:val="both"/>
              <w:rPr>
                <w:rFonts w:ascii="Times New Roman" w:eastAsia="宋体"/>
                <w:sz w:val="21"/>
                <w:szCs w:val="21"/>
              </w:rPr>
            </w:pPr>
            <w:r>
              <w:rPr>
                <w:rFonts w:ascii="Times New Roman" w:eastAsia="宋体"/>
                <w:sz w:val="21"/>
                <w:szCs w:val="21"/>
              </w:rPr>
              <w:t>本条规定了危险区域所设置的通风系统应是独立的系统，为了防止危险区和非危险区互相干扰，以免通过风管窜入其它房间，防止火灾蔓延，造成严重后果。</w:t>
            </w:r>
          </w:p>
        </w:tc>
      </w:tr>
      <w:tr w14:paraId="7DA10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2FD332C6">
            <w:pPr>
              <w:numPr>
                <w:ilvl w:val="0"/>
                <w:numId w:val="132"/>
              </w:numPr>
              <w:jc w:val="center"/>
              <w:rPr>
                <w:color w:val="000000"/>
                <w:szCs w:val="21"/>
              </w:rPr>
            </w:pPr>
          </w:p>
        </w:tc>
        <w:tc>
          <w:tcPr>
            <w:tcW w:w="1172" w:type="dxa"/>
            <w:vAlign w:val="center"/>
          </w:tcPr>
          <w:p w14:paraId="0CB23A3F">
            <w:pPr>
              <w:jc w:val="center"/>
              <w:rPr>
                <w:szCs w:val="21"/>
              </w:rPr>
            </w:pPr>
            <w:r>
              <w:rPr>
                <w:szCs w:val="21"/>
              </w:rPr>
              <w:t>13.1.6</w:t>
            </w:r>
          </w:p>
        </w:tc>
        <w:tc>
          <w:tcPr>
            <w:tcW w:w="2725" w:type="dxa"/>
            <w:vAlign w:val="center"/>
          </w:tcPr>
          <w:p w14:paraId="28EDEE10">
            <w:pPr>
              <w:jc w:val="left"/>
              <w:rPr>
                <w:szCs w:val="21"/>
              </w:rPr>
            </w:pPr>
            <w:r>
              <w:t>当封闭区域内产生有害物质或爆炸火灾危险物质能造成相邻房间或区域的污染时，该封闭区域应保持负压；当封闭区域有人员常驻或对空气有清洁要求时，该封闭区域应保持正压；以确保气流组织由非危险区流向危险区，由危险等级低的区域流向危险等级高的区域。</w:t>
            </w:r>
          </w:p>
        </w:tc>
        <w:tc>
          <w:tcPr>
            <w:tcW w:w="4401" w:type="dxa"/>
            <w:vAlign w:val="center"/>
          </w:tcPr>
          <w:p w14:paraId="17411164">
            <w:pPr>
              <w:rPr>
                <w:szCs w:val="21"/>
              </w:rPr>
            </w:pPr>
            <w:r>
              <w:rPr>
                <w:szCs w:val="21"/>
              </w:rPr>
              <w:t>本条规定了关于封闭区域气流组织的原则规定，为了防止有害物质或爆炸火灾危险物质扩散形成对相邻区域的影响，该封闭区域应保持负压；正压送风的目的是为了防止有害物质或爆炸火灾危险物质进入封闭区域。</w:t>
            </w:r>
          </w:p>
        </w:tc>
      </w:tr>
      <w:tr w14:paraId="590F7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1F5D3DA6">
            <w:pPr>
              <w:numPr>
                <w:ilvl w:val="0"/>
                <w:numId w:val="132"/>
              </w:numPr>
              <w:jc w:val="center"/>
              <w:rPr>
                <w:color w:val="000000"/>
                <w:szCs w:val="21"/>
              </w:rPr>
            </w:pPr>
          </w:p>
        </w:tc>
        <w:tc>
          <w:tcPr>
            <w:tcW w:w="1172" w:type="dxa"/>
            <w:vAlign w:val="center"/>
          </w:tcPr>
          <w:p w14:paraId="6A206C89">
            <w:pPr>
              <w:jc w:val="center"/>
              <w:rPr>
                <w:szCs w:val="21"/>
              </w:rPr>
            </w:pPr>
            <w:r>
              <w:rPr>
                <w:szCs w:val="21"/>
              </w:rPr>
              <w:t>13.1.7</w:t>
            </w:r>
          </w:p>
        </w:tc>
        <w:tc>
          <w:tcPr>
            <w:tcW w:w="2725" w:type="dxa"/>
            <w:vAlign w:val="center"/>
          </w:tcPr>
          <w:p w14:paraId="751EDEBD">
            <w:pPr>
              <w:jc w:val="left"/>
              <w:rPr>
                <w:szCs w:val="21"/>
              </w:rPr>
            </w:pPr>
            <w:r>
              <w:t>所有的通风机应在其处所外易于到达的非危险处所设有应急关断设施；所有通风系统的主要进气口和排气口应能在通风区域的外边进行关闭；所有防火风闸应能在该通风处所的内外部进行关闭。</w:t>
            </w:r>
          </w:p>
        </w:tc>
        <w:tc>
          <w:tcPr>
            <w:tcW w:w="4401" w:type="dxa"/>
            <w:vAlign w:val="center"/>
          </w:tcPr>
          <w:p w14:paraId="179E1695">
            <w:pPr>
              <w:pStyle w:val="530"/>
              <w:spacing w:after="0" w:afterLines="0"/>
              <w:jc w:val="both"/>
              <w:rPr>
                <w:rFonts w:ascii="Times New Roman" w:eastAsia="宋体"/>
                <w:sz w:val="21"/>
                <w:szCs w:val="21"/>
              </w:rPr>
            </w:pPr>
            <w:r>
              <w:rPr>
                <w:rFonts w:ascii="Times New Roman" w:eastAsia="宋体"/>
                <w:sz w:val="21"/>
                <w:szCs w:val="21"/>
              </w:rPr>
              <w:t>本条规定了通风机、进排气口和防火风闸的安全关闭原则，确保在火灾情况下可以易于关闭相关设施，防止火灾蔓延。</w:t>
            </w:r>
          </w:p>
        </w:tc>
      </w:tr>
      <w:tr w14:paraId="3A445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5E48C079">
            <w:pPr>
              <w:jc w:val="center"/>
              <w:rPr>
                <w:color w:val="000000"/>
                <w:szCs w:val="21"/>
              </w:rPr>
            </w:pPr>
          </w:p>
        </w:tc>
        <w:tc>
          <w:tcPr>
            <w:tcW w:w="1172" w:type="dxa"/>
            <w:vAlign w:val="center"/>
          </w:tcPr>
          <w:p w14:paraId="1BB30319">
            <w:pPr>
              <w:jc w:val="center"/>
              <w:rPr>
                <w:szCs w:val="21"/>
              </w:rPr>
            </w:pPr>
            <w:r>
              <w:rPr>
                <w:szCs w:val="21"/>
              </w:rPr>
              <w:t>13.1.8</w:t>
            </w:r>
          </w:p>
        </w:tc>
        <w:tc>
          <w:tcPr>
            <w:tcW w:w="2725" w:type="dxa"/>
            <w:vAlign w:val="center"/>
          </w:tcPr>
          <w:p w14:paraId="60CFAA12">
            <w:pPr>
              <w:pStyle w:val="326"/>
              <w:numPr>
                <w:ilvl w:val="0"/>
                <w:numId w:val="0"/>
              </w:numPr>
              <w:rPr>
                <w:rFonts w:ascii="Times New Roman"/>
                <w:kern w:val="2"/>
              </w:rPr>
            </w:pPr>
            <w:r>
              <w:rPr>
                <w:rFonts w:ascii="Times New Roman"/>
                <w:kern w:val="2"/>
                <w:szCs w:val="24"/>
              </w:rPr>
              <w:t>在释放气体灭火剂之前，</w:t>
            </w:r>
            <w:r>
              <w:rPr>
                <w:rFonts w:hint="eastAsia" w:ascii="Times New Roman"/>
                <w:kern w:val="2"/>
                <w:szCs w:val="24"/>
              </w:rPr>
              <w:t>应确保</w:t>
            </w:r>
            <w:r>
              <w:rPr>
                <w:rFonts w:ascii="Times New Roman"/>
                <w:kern w:val="2"/>
                <w:szCs w:val="24"/>
              </w:rPr>
              <w:t>被保护区域的所有通风机自动停止</w:t>
            </w:r>
            <w:r>
              <w:rPr>
                <w:rFonts w:hint="eastAsia" w:ascii="Times New Roman"/>
                <w:kern w:val="2"/>
                <w:szCs w:val="24"/>
              </w:rPr>
              <w:t>，</w:t>
            </w:r>
            <w:r>
              <w:rPr>
                <w:rFonts w:ascii="Times New Roman"/>
                <w:kern w:val="2"/>
                <w:szCs w:val="24"/>
              </w:rPr>
              <w:t>防火风闸自动关闭。</w:t>
            </w:r>
          </w:p>
        </w:tc>
        <w:tc>
          <w:tcPr>
            <w:tcW w:w="4401" w:type="dxa"/>
            <w:vAlign w:val="center"/>
          </w:tcPr>
          <w:p w14:paraId="10B232F3">
            <w:pPr>
              <w:pStyle w:val="530"/>
              <w:spacing w:after="0" w:afterLines="0"/>
              <w:jc w:val="both"/>
              <w:rPr>
                <w:rFonts w:ascii="Times New Roman" w:eastAsia="宋体"/>
                <w:sz w:val="21"/>
                <w:szCs w:val="21"/>
              </w:rPr>
            </w:pPr>
            <w:r>
              <w:rPr>
                <w:rFonts w:ascii="Times New Roman" w:eastAsia="宋体"/>
                <w:sz w:val="21"/>
                <w:szCs w:val="21"/>
              </w:rPr>
              <w:t>本条规定了通风系统与火灾监测系统的联动逻辑关系，以避免气体灭火剂浓度被稀释，保证其达到灭火效果。</w:t>
            </w:r>
          </w:p>
        </w:tc>
      </w:tr>
      <w:tr w14:paraId="3EDA7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36BD8524">
            <w:pPr>
              <w:numPr>
                <w:ilvl w:val="0"/>
                <w:numId w:val="132"/>
              </w:numPr>
              <w:jc w:val="center"/>
              <w:rPr>
                <w:color w:val="000000"/>
                <w:szCs w:val="21"/>
              </w:rPr>
            </w:pPr>
          </w:p>
        </w:tc>
        <w:tc>
          <w:tcPr>
            <w:tcW w:w="1172" w:type="dxa"/>
            <w:vAlign w:val="center"/>
          </w:tcPr>
          <w:p w14:paraId="3B95AE5C">
            <w:pPr>
              <w:jc w:val="center"/>
              <w:rPr>
                <w:szCs w:val="21"/>
              </w:rPr>
            </w:pPr>
            <w:r>
              <w:rPr>
                <w:szCs w:val="21"/>
              </w:rPr>
              <w:t>13.1.9</w:t>
            </w:r>
          </w:p>
        </w:tc>
        <w:tc>
          <w:tcPr>
            <w:tcW w:w="2725" w:type="dxa"/>
            <w:vAlign w:val="center"/>
          </w:tcPr>
          <w:p w14:paraId="33E78FB4">
            <w:pPr>
              <w:jc w:val="left"/>
              <w:rPr>
                <w:szCs w:val="21"/>
              </w:rPr>
            </w:pPr>
            <w:r>
              <w:rPr>
                <w:szCs w:val="21"/>
              </w:rPr>
              <w:t>暖通空调系统电加热器控制回路中应具备下列安全措施：</w:t>
            </w:r>
          </w:p>
          <w:p w14:paraId="71095B92">
            <w:pPr>
              <w:jc w:val="left"/>
              <w:rPr>
                <w:szCs w:val="21"/>
              </w:rPr>
            </w:pPr>
            <w:r>
              <w:rPr>
                <w:szCs w:val="21"/>
              </w:rPr>
              <w:t>a)应与风机连锁，即风机不开时电加热器不开，电加热器关闭后，风机才能关闭（风机延迟关闭）；</w:t>
            </w:r>
          </w:p>
          <w:p w14:paraId="2F32BA2F">
            <w:pPr>
              <w:jc w:val="left"/>
              <w:rPr>
                <w:szCs w:val="21"/>
              </w:rPr>
            </w:pPr>
            <w:r>
              <w:rPr>
                <w:szCs w:val="21"/>
              </w:rPr>
              <w:t>b)应装有风量开关，即无风时电加热器不开；</w:t>
            </w:r>
          </w:p>
          <w:p w14:paraId="6E021A8D">
            <w:pPr>
              <w:jc w:val="left"/>
              <w:rPr>
                <w:szCs w:val="21"/>
              </w:rPr>
            </w:pPr>
            <w:r>
              <w:rPr>
                <w:szCs w:val="21"/>
              </w:rPr>
              <w:t>c)应设有超温开关，即温度超过设定值时切断加热器电源。</w:t>
            </w:r>
          </w:p>
        </w:tc>
        <w:tc>
          <w:tcPr>
            <w:tcW w:w="4401" w:type="dxa"/>
            <w:vAlign w:val="center"/>
          </w:tcPr>
          <w:p w14:paraId="3F8848EA">
            <w:pPr>
              <w:pStyle w:val="530"/>
              <w:spacing w:after="0" w:afterLines="0"/>
              <w:jc w:val="both"/>
              <w:rPr>
                <w:rFonts w:ascii="Times New Roman" w:eastAsia="宋体"/>
                <w:sz w:val="21"/>
                <w:szCs w:val="21"/>
              </w:rPr>
            </w:pPr>
            <w:r>
              <w:rPr>
                <w:rFonts w:ascii="Times New Roman" w:eastAsia="宋体"/>
                <w:sz w:val="21"/>
                <w:szCs w:val="21"/>
              </w:rPr>
              <w:t>本条规定是为了防止电加热器在风机关闭的情况下不断内循环加热，造成封闭区域温度不断升高，为了减少发生火灾的风险。</w:t>
            </w:r>
          </w:p>
        </w:tc>
      </w:tr>
      <w:tr w14:paraId="47045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3D70C053">
            <w:pPr>
              <w:numPr>
                <w:ilvl w:val="0"/>
                <w:numId w:val="132"/>
              </w:numPr>
              <w:jc w:val="center"/>
              <w:rPr>
                <w:color w:val="000000"/>
                <w:szCs w:val="21"/>
              </w:rPr>
            </w:pPr>
          </w:p>
        </w:tc>
        <w:tc>
          <w:tcPr>
            <w:tcW w:w="1172" w:type="dxa"/>
            <w:vAlign w:val="center"/>
          </w:tcPr>
          <w:p w14:paraId="121573A8">
            <w:pPr>
              <w:jc w:val="center"/>
              <w:rPr>
                <w:szCs w:val="21"/>
              </w:rPr>
            </w:pPr>
            <w:r>
              <w:rPr>
                <w:szCs w:val="21"/>
              </w:rPr>
              <w:t>13.1.10</w:t>
            </w:r>
          </w:p>
        </w:tc>
        <w:tc>
          <w:tcPr>
            <w:tcW w:w="2725" w:type="dxa"/>
            <w:vAlign w:val="center"/>
          </w:tcPr>
          <w:p w14:paraId="6D31FE6F">
            <w:pPr>
              <w:jc w:val="left"/>
              <w:rPr>
                <w:szCs w:val="21"/>
              </w:rPr>
            </w:pPr>
            <w:r>
              <w:rPr>
                <w:szCs w:val="21"/>
              </w:rPr>
              <w:t>一般规定</w:t>
            </w:r>
          </w:p>
        </w:tc>
        <w:tc>
          <w:tcPr>
            <w:tcW w:w="4401" w:type="dxa"/>
            <w:vAlign w:val="center"/>
          </w:tcPr>
          <w:p w14:paraId="1C4FFC63">
            <w:pPr>
              <w:pStyle w:val="530"/>
              <w:spacing w:after="0" w:afterLines="0"/>
              <w:jc w:val="both"/>
              <w:rPr>
                <w:rFonts w:ascii="Times New Roman" w:eastAsia="宋体"/>
                <w:sz w:val="21"/>
                <w:szCs w:val="21"/>
              </w:rPr>
            </w:pPr>
            <w:r>
              <w:rPr>
                <w:rFonts w:ascii="Times New Roman" w:eastAsia="宋体"/>
                <w:sz w:val="21"/>
                <w:szCs w:val="21"/>
              </w:rPr>
              <w:t>本条规定了通风管道及防火风闸还应符合本规范防火结构等章节的适用规定。</w:t>
            </w:r>
          </w:p>
        </w:tc>
      </w:tr>
      <w:tr w14:paraId="3B1A2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0EA05497">
            <w:pPr>
              <w:numPr>
                <w:ilvl w:val="0"/>
                <w:numId w:val="132"/>
              </w:numPr>
              <w:jc w:val="center"/>
              <w:rPr>
                <w:color w:val="000000"/>
                <w:szCs w:val="21"/>
              </w:rPr>
            </w:pPr>
          </w:p>
        </w:tc>
        <w:tc>
          <w:tcPr>
            <w:tcW w:w="1172" w:type="dxa"/>
            <w:vAlign w:val="center"/>
          </w:tcPr>
          <w:p w14:paraId="29CFFA65">
            <w:pPr>
              <w:jc w:val="center"/>
              <w:rPr>
                <w:szCs w:val="21"/>
              </w:rPr>
            </w:pPr>
            <w:r>
              <w:rPr>
                <w:szCs w:val="21"/>
              </w:rPr>
              <w:t>13.2.1</w:t>
            </w:r>
          </w:p>
        </w:tc>
        <w:tc>
          <w:tcPr>
            <w:tcW w:w="2725" w:type="dxa"/>
            <w:vAlign w:val="center"/>
          </w:tcPr>
          <w:p w14:paraId="64AF01F0">
            <w:pPr>
              <w:jc w:val="left"/>
              <w:rPr>
                <w:szCs w:val="21"/>
              </w:rPr>
            </w:pPr>
            <w:r>
              <w:rPr>
                <w:szCs w:val="21"/>
              </w:rPr>
              <w:t>通风设备采用防爆等级的设置条件</w:t>
            </w:r>
          </w:p>
        </w:tc>
        <w:tc>
          <w:tcPr>
            <w:tcW w:w="4401" w:type="dxa"/>
            <w:vAlign w:val="center"/>
          </w:tcPr>
          <w:p w14:paraId="4B0C2141">
            <w:pPr>
              <w:pStyle w:val="261"/>
              <w:numPr>
                <w:ilvl w:val="0"/>
                <w:numId w:val="0"/>
              </w:numPr>
              <w:spacing w:before="156" w:after="156"/>
              <w:rPr>
                <w:rFonts w:ascii="Times New Roman" w:eastAsia="宋体"/>
                <w:kern w:val="2"/>
              </w:rPr>
            </w:pPr>
            <w:r>
              <w:rPr>
                <w:rFonts w:ascii="Times New Roman" w:eastAsia="宋体"/>
              </w:rPr>
              <w:t>本条文规定了通风设备采用防爆等级的设置条件。危险区设置的通风设备，一般用于排除、输送或处理燃烧或爆炸等危险性物质，由于设备内或外的空气中均含有燃烧、爆炸或有毒等危险性物质，遇火花即可能引起燃烧或爆炸事故，为此规定应采用满足该危险区防爆等级要求的防爆型通风设备。</w:t>
            </w:r>
          </w:p>
        </w:tc>
      </w:tr>
      <w:tr w14:paraId="37FD7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7A0D77DA">
            <w:pPr>
              <w:numPr>
                <w:ilvl w:val="0"/>
                <w:numId w:val="132"/>
              </w:numPr>
              <w:jc w:val="center"/>
              <w:rPr>
                <w:color w:val="000000"/>
                <w:szCs w:val="21"/>
              </w:rPr>
            </w:pPr>
          </w:p>
        </w:tc>
        <w:tc>
          <w:tcPr>
            <w:tcW w:w="1172" w:type="dxa"/>
            <w:vAlign w:val="center"/>
          </w:tcPr>
          <w:p w14:paraId="1E92C481">
            <w:pPr>
              <w:jc w:val="center"/>
              <w:rPr>
                <w:szCs w:val="21"/>
              </w:rPr>
            </w:pPr>
            <w:r>
              <w:rPr>
                <w:szCs w:val="21"/>
              </w:rPr>
              <w:t>13.2.2</w:t>
            </w:r>
          </w:p>
        </w:tc>
        <w:tc>
          <w:tcPr>
            <w:tcW w:w="2725" w:type="dxa"/>
            <w:vAlign w:val="center"/>
          </w:tcPr>
          <w:p w14:paraId="3CB9C60E">
            <w:pPr>
              <w:jc w:val="left"/>
              <w:rPr>
                <w:szCs w:val="21"/>
              </w:rPr>
            </w:pPr>
            <w:r>
              <w:rPr>
                <w:szCs w:val="21"/>
              </w:rPr>
              <w:t>不同危险等级的封闭区域之间的气压设计要求</w:t>
            </w:r>
          </w:p>
        </w:tc>
        <w:tc>
          <w:tcPr>
            <w:tcW w:w="4401" w:type="dxa"/>
            <w:vAlign w:val="center"/>
          </w:tcPr>
          <w:p w14:paraId="0CD5C097">
            <w:pPr>
              <w:rPr>
                <w:szCs w:val="21"/>
              </w:rPr>
            </w:pPr>
            <w:r>
              <w:rPr>
                <w:szCs w:val="21"/>
              </w:rPr>
              <w:t>本条文规定了不同危险等级的封闭区域之间的气压设计要求。为了防止更高危险等级区域的危险物质扩散对周围危险程度较小区域的影响，更高危险等级区域的气压应低于相邻但危险程度较小的区域，即负压。封闭的非危险区内通常安装有非防爆型的电气、仪表设备，封闭非危险区域的起亚应高于相邻危险区域的气压以保证安全，即正压。</w:t>
            </w:r>
          </w:p>
        </w:tc>
      </w:tr>
      <w:tr w14:paraId="257B5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62F42618">
            <w:pPr>
              <w:numPr>
                <w:ilvl w:val="0"/>
                <w:numId w:val="132"/>
              </w:numPr>
              <w:jc w:val="center"/>
              <w:rPr>
                <w:color w:val="000000"/>
                <w:szCs w:val="21"/>
              </w:rPr>
            </w:pPr>
          </w:p>
        </w:tc>
        <w:tc>
          <w:tcPr>
            <w:tcW w:w="1172" w:type="dxa"/>
            <w:vAlign w:val="center"/>
          </w:tcPr>
          <w:p w14:paraId="373F4A4C">
            <w:pPr>
              <w:jc w:val="center"/>
              <w:rPr>
                <w:szCs w:val="21"/>
              </w:rPr>
            </w:pPr>
            <w:r>
              <w:rPr>
                <w:szCs w:val="21"/>
              </w:rPr>
              <w:t>13.2.3</w:t>
            </w:r>
          </w:p>
        </w:tc>
        <w:tc>
          <w:tcPr>
            <w:tcW w:w="2725" w:type="dxa"/>
            <w:vAlign w:val="center"/>
          </w:tcPr>
          <w:p w14:paraId="15D59F94">
            <w:pPr>
              <w:jc w:val="left"/>
              <w:rPr>
                <w:szCs w:val="21"/>
              </w:rPr>
            </w:pPr>
            <w:r>
              <w:rPr>
                <w:szCs w:val="21"/>
              </w:rPr>
              <w:t>存在可燃气体释放源的封闭危险区域的通风设计</w:t>
            </w:r>
          </w:p>
        </w:tc>
        <w:tc>
          <w:tcPr>
            <w:tcW w:w="4401" w:type="dxa"/>
            <w:vAlign w:val="center"/>
          </w:tcPr>
          <w:p w14:paraId="576BEF76">
            <w:pPr>
              <w:pStyle w:val="261"/>
              <w:numPr>
                <w:ilvl w:val="0"/>
                <w:numId w:val="0"/>
              </w:numPr>
              <w:spacing w:before="156" w:after="156"/>
              <w:rPr>
                <w:rFonts w:ascii="Times New Roman" w:eastAsia="宋体"/>
              </w:rPr>
            </w:pPr>
            <w:r>
              <w:rPr>
                <w:rFonts w:ascii="Times New Roman" w:eastAsia="宋体"/>
              </w:rPr>
              <w:t>本条文规定了存在可燃气体释放源的封闭危险区域的通风设计要求。可以通过充分通风的手段使其可燃气体浓度降至安全范围之内。对于1类危险区处所，充分通风应满足1小时换气大于20次；对于2类危险处所，充分通风应满足1小时换气大于12次。</w:t>
            </w:r>
          </w:p>
        </w:tc>
      </w:tr>
      <w:tr w14:paraId="5B36A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1C44A714">
            <w:pPr>
              <w:numPr>
                <w:ilvl w:val="0"/>
                <w:numId w:val="132"/>
              </w:numPr>
              <w:jc w:val="center"/>
              <w:rPr>
                <w:color w:val="000000"/>
                <w:szCs w:val="21"/>
              </w:rPr>
            </w:pPr>
          </w:p>
        </w:tc>
        <w:tc>
          <w:tcPr>
            <w:tcW w:w="1172" w:type="dxa"/>
            <w:vAlign w:val="center"/>
          </w:tcPr>
          <w:p w14:paraId="2DF418D3">
            <w:pPr>
              <w:jc w:val="center"/>
              <w:rPr>
                <w:szCs w:val="21"/>
              </w:rPr>
            </w:pPr>
            <w:r>
              <w:rPr>
                <w:szCs w:val="21"/>
              </w:rPr>
              <w:t>13.2.4</w:t>
            </w:r>
          </w:p>
        </w:tc>
        <w:tc>
          <w:tcPr>
            <w:tcW w:w="2725" w:type="dxa"/>
            <w:vAlign w:val="center"/>
          </w:tcPr>
          <w:p w14:paraId="3FCD627F">
            <w:pPr>
              <w:jc w:val="left"/>
              <w:rPr>
                <w:szCs w:val="21"/>
              </w:rPr>
            </w:pPr>
            <w:r>
              <w:rPr>
                <w:szCs w:val="21"/>
              </w:rPr>
              <w:t>存在积聚毒性气体、使人窒息气体的区域的通风设计要求</w:t>
            </w:r>
          </w:p>
        </w:tc>
        <w:tc>
          <w:tcPr>
            <w:tcW w:w="4401" w:type="dxa"/>
            <w:vAlign w:val="center"/>
          </w:tcPr>
          <w:p w14:paraId="0D718631">
            <w:pPr>
              <w:pStyle w:val="530"/>
              <w:spacing w:after="0" w:afterLines="0"/>
              <w:jc w:val="left"/>
              <w:rPr>
                <w:rFonts w:ascii="Times New Roman" w:eastAsia="宋体"/>
                <w:sz w:val="21"/>
                <w:szCs w:val="21"/>
              </w:rPr>
            </w:pPr>
            <w:r>
              <w:rPr>
                <w:rFonts w:ascii="Times New Roman"/>
                <w:sz w:val="21"/>
                <w:szCs w:val="21"/>
              </w:rPr>
              <w:t xml:space="preserve"> </w:t>
            </w:r>
            <w:r>
              <w:rPr>
                <w:rFonts w:ascii="Times New Roman" w:eastAsia="宋体"/>
                <w:sz w:val="21"/>
                <w:szCs w:val="21"/>
              </w:rPr>
              <w:t>本条文规定了存在积聚毒性气体、使人窒息气体的区域的通风设计要求。对于可能积聚毒性气体、使人窒息气体的区域，为了避免人员进入后中毒或窒息，应设置有效的排风并根据换气次数要求计算通风量。</w:t>
            </w:r>
          </w:p>
        </w:tc>
      </w:tr>
      <w:tr w14:paraId="48C76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6AA82E9A">
            <w:pPr>
              <w:numPr>
                <w:ilvl w:val="0"/>
                <w:numId w:val="132"/>
              </w:numPr>
              <w:jc w:val="center"/>
              <w:rPr>
                <w:color w:val="000000"/>
                <w:szCs w:val="21"/>
              </w:rPr>
            </w:pPr>
          </w:p>
        </w:tc>
        <w:tc>
          <w:tcPr>
            <w:tcW w:w="1172" w:type="dxa"/>
            <w:vAlign w:val="center"/>
          </w:tcPr>
          <w:p w14:paraId="441CE67F">
            <w:pPr>
              <w:jc w:val="center"/>
              <w:rPr>
                <w:szCs w:val="21"/>
              </w:rPr>
            </w:pPr>
            <w:r>
              <w:rPr>
                <w:szCs w:val="21"/>
              </w:rPr>
              <w:t>13.2.5</w:t>
            </w:r>
          </w:p>
        </w:tc>
        <w:tc>
          <w:tcPr>
            <w:tcW w:w="2725" w:type="dxa"/>
            <w:vAlign w:val="center"/>
          </w:tcPr>
          <w:p w14:paraId="57162EC2">
            <w:pPr>
              <w:jc w:val="left"/>
              <w:rPr>
                <w:szCs w:val="21"/>
              </w:rPr>
            </w:pPr>
            <w:r>
              <w:rPr>
                <w:szCs w:val="21"/>
              </w:rPr>
              <w:t>通风管线的气压设计要求</w:t>
            </w:r>
          </w:p>
        </w:tc>
        <w:tc>
          <w:tcPr>
            <w:tcW w:w="4401" w:type="dxa"/>
            <w:vAlign w:val="center"/>
          </w:tcPr>
          <w:p w14:paraId="354A9EF8">
            <w:pPr>
              <w:pStyle w:val="530"/>
              <w:spacing w:after="0" w:afterLines="0"/>
              <w:jc w:val="both"/>
              <w:rPr>
                <w:rFonts w:ascii="Times New Roman" w:eastAsia="宋体"/>
                <w:sz w:val="21"/>
                <w:szCs w:val="21"/>
              </w:rPr>
            </w:pPr>
            <w:r>
              <w:rPr>
                <w:rFonts w:ascii="Times New Roman" w:eastAsia="宋体"/>
                <w:sz w:val="21"/>
                <w:szCs w:val="21"/>
              </w:rPr>
              <w:t>本条文规定了通风管线的气压设计要求。与封闭区域相似，为了防止危险物质通过通风管线扩散至相邻区域，应避免不同程度危险区或危险区与非危险区之间直接相通并确保气体只能从危险程度较低的区域流向危险程度较高的区域。</w:t>
            </w:r>
          </w:p>
        </w:tc>
      </w:tr>
      <w:tr w14:paraId="77CA4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4FAB6A11">
            <w:pPr>
              <w:numPr>
                <w:ilvl w:val="0"/>
                <w:numId w:val="132"/>
              </w:numPr>
              <w:jc w:val="center"/>
              <w:rPr>
                <w:color w:val="000000"/>
                <w:szCs w:val="21"/>
              </w:rPr>
            </w:pPr>
          </w:p>
        </w:tc>
        <w:tc>
          <w:tcPr>
            <w:tcW w:w="1172" w:type="dxa"/>
            <w:vAlign w:val="center"/>
          </w:tcPr>
          <w:p w14:paraId="630659FA">
            <w:pPr>
              <w:jc w:val="center"/>
              <w:rPr>
                <w:szCs w:val="21"/>
              </w:rPr>
            </w:pPr>
            <w:r>
              <w:rPr>
                <w:szCs w:val="21"/>
              </w:rPr>
              <w:t>13.2.6</w:t>
            </w:r>
          </w:p>
        </w:tc>
        <w:tc>
          <w:tcPr>
            <w:tcW w:w="2725" w:type="dxa"/>
            <w:vAlign w:val="center"/>
          </w:tcPr>
          <w:p w14:paraId="04E86670">
            <w:pPr>
              <w:jc w:val="left"/>
              <w:rPr>
                <w:szCs w:val="21"/>
              </w:rPr>
            </w:pPr>
            <w:r>
              <w:rPr>
                <w:szCs w:val="21"/>
              </w:rPr>
              <w:t>危险区通风设备的备用设计和故障后控制设计要求</w:t>
            </w:r>
          </w:p>
        </w:tc>
        <w:tc>
          <w:tcPr>
            <w:tcW w:w="4401" w:type="dxa"/>
            <w:vAlign w:val="center"/>
          </w:tcPr>
          <w:p w14:paraId="77C5D80A">
            <w:pPr>
              <w:pStyle w:val="530"/>
              <w:spacing w:after="0" w:afterLines="0"/>
              <w:jc w:val="both"/>
              <w:rPr>
                <w:rFonts w:ascii="Times New Roman" w:eastAsia="宋体"/>
                <w:sz w:val="21"/>
                <w:szCs w:val="21"/>
              </w:rPr>
            </w:pPr>
            <w:r>
              <w:rPr>
                <w:rFonts w:ascii="Times New Roman" w:eastAsia="宋体"/>
                <w:sz w:val="21"/>
                <w:szCs w:val="21"/>
              </w:rPr>
              <w:t>本条文规定了危险区通风设备的备用设计和故障后控制设计要求。当危险区采用机械通风时，下列情况可不计机械通风故障的影响：</w:t>
            </w:r>
          </w:p>
          <w:p w14:paraId="36A25B50">
            <w:pPr>
              <w:pStyle w:val="530"/>
              <w:numPr>
                <w:ilvl w:val="0"/>
                <w:numId w:val="142"/>
              </w:numPr>
              <w:spacing w:after="0" w:afterLines="0"/>
              <w:ind w:left="0"/>
              <w:jc w:val="left"/>
              <w:rPr>
                <w:rFonts w:ascii="Times New Roman" w:eastAsia="宋体"/>
                <w:sz w:val="21"/>
                <w:szCs w:val="21"/>
              </w:rPr>
            </w:pPr>
            <w:r>
              <w:rPr>
                <w:rFonts w:ascii="Times New Roman" w:eastAsia="宋体"/>
                <w:sz w:val="21"/>
                <w:szCs w:val="21"/>
              </w:rPr>
              <w:t>封闭或半封闭式的危险区设置备用的独立通风系统；</w:t>
            </w:r>
          </w:p>
          <w:p w14:paraId="7C96DD8E">
            <w:pPr>
              <w:pStyle w:val="530"/>
              <w:numPr>
                <w:ilvl w:val="0"/>
                <w:numId w:val="142"/>
              </w:numPr>
              <w:spacing w:after="0" w:afterLines="0"/>
              <w:ind w:left="0"/>
              <w:jc w:val="left"/>
              <w:rPr>
                <w:rFonts w:ascii="Times New Roman" w:eastAsia="宋体"/>
                <w:sz w:val="21"/>
                <w:szCs w:val="21"/>
              </w:rPr>
            </w:pPr>
            <w:r>
              <w:rPr>
                <w:rFonts w:ascii="Times New Roman" w:eastAsia="宋体"/>
                <w:sz w:val="21"/>
                <w:szCs w:val="21"/>
              </w:rPr>
              <w:t>当通风设备发生故障时，设置自动报警和自动启动等确保能稀释或排除危险物质的预防措</w:t>
            </w:r>
          </w:p>
        </w:tc>
      </w:tr>
      <w:tr w14:paraId="4722C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6080FAE8">
            <w:pPr>
              <w:numPr>
                <w:ilvl w:val="0"/>
                <w:numId w:val="132"/>
              </w:numPr>
              <w:jc w:val="center"/>
              <w:rPr>
                <w:color w:val="000000"/>
                <w:szCs w:val="21"/>
              </w:rPr>
            </w:pPr>
          </w:p>
        </w:tc>
        <w:tc>
          <w:tcPr>
            <w:tcW w:w="1172" w:type="dxa"/>
            <w:vAlign w:val="center"/>
          </w:tcPr>
          <w:p w14:paraId="19955289">
            <w:pPr>
              <w:jc w:val="center"/>
              <w:rPr>
                <w:szCs w:val="21"/>
              </w:rPr>
            </w:pPr>
            <w:r>
              <w:rPr>
                <w:szCs w:val="21"/>
              </w:rPr>
              <w:t>13.2.7</w:t>
            </w:r>
          </w:p>
        </w:tc>
        <w:tc>
          <w:tcPr>
            <w:tcW w:w="2725" w:type="dxa"/>
            <w:vAlign w:val="center"/>
          </w:tcPr>
          <w:p w14:paraId="0419E1CF">
            <w:pPr>
              <w:jc w:val="left"/>
              <w:rPr>
                <w:szCs w:val="21"/>
              </w:rPr>
            </w:pPr>
            <w:r>
              <w:rPr>
                <w:szCs w:val="21"/>
              </w:rPr>
              <w:t>天然气发电机房、电池间等具有易燃易爆气体的封闭区域通风量的计算</w:t>
            </w:r>
          </w:p>
        </w:tc>
        <w:tc>
          <w:tcPr>
            <w:tcW w:w="4401" w:type="dxa"/>
            <w:vAlign w:val="center"/>
          </w:tcPr>
          <w:p w14:paraId="34326D9B">
            <w:pPr>
              <w:pStyle w:val="530"/>
              <w:spacing w:after="0" w:afterLines="0"/>
              <w:jc w:val="both"/>
              <w:rPr>
                <w:rFonts w:ascii="Times New Roman" w:eastAsia="宋体"/>
                <w:sz w:val="21"/>
                <w:szCs w:val="21"/>
              </w:rPr>
            </w:pPr>
            <w:r>
              <w:rPr>
                <w:rFonts w:ascii="Times New Roman" w:eastAsia="宋体"/>
                <w:sz w:val="21"/>
                <w:szCs w:val="21"/>
              </w:rPr>
              <w:t>本条规定了天然气发电机房、电池间等具有易燃易爆气体的封闭区域通风量的计算。</w:t>
            </w:r>
          </w:p>
        </w:tc>
      </w:tr>
      <w:tr w14:paraId="1052A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94" w:type="dxa"/>
            <w:gridSpan w:val="4"/>
          </w:tcPr>
          <w:p w14:paraId="78671808">
            <w:pPr>
              <w:jc w:val="center"/>
              <w:rPr>
                <w:color w:val="000000"/>
                <w:spacing w:val="13"/>
                <w:szCs w:val="21"/>
                <w:shd w:val="clear" w:color="auto" w:fill="FFFFFF"/>
              </w:rPr>
            </w:pPr>
            <w:r>
              <w:rPr>
                <w:color w:val="000000"/>
                <w:spacing w:val="13"/>
                <w:szCs w:val="21"/>
                <w:shd w:val="clear" w:color="auto" w:fill="FFFFFF"/>
              </w:rPr>
              <w:t>电气</w:t>
            </w:r>
          </w:p>
        </w:tc>
      </w:tr>
      <w:tr w14:paraId="2AFDE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0D7EDA86">
            <w:pPr>
              <w:numPr>
                <w:ilvl w:val="0"/>
                <w:numId w:val="132"/>
              </w:numPr>
              <w:jc w:val="center"/>
              <w:rPr>
                <w:color w:val="000000"/>
                <w:szCs w:val="21"/>
              </w:rPr>
            </w:pPr>
          </w:p>
        </w:tc>
        <w:tc>
          <w:tcPr>
            <w:tcW w:w="1172" w:type="dxa"/>
            <w:vAlign w:val="center"/>
          </w:tcPr>
          <w:p w14:paraId="28D04005">
            <w:pPr>
              <w:jc w:val="center"/>
              <w:rPr>
                <w:szCs w:val="21"/>
              </w:rPr>
            </w:pPr>
            <w:r>
              <w:rPr>
                <w:szCs w:val="21"/>
              </w:rPr>
              <w:t>14.2</w:t>
            </w:r>
          </w:p>
        </w:tc>
        <w:tc>
          <w:tcPr>
            <w:tcW w:w="2725" w:type="dxa"/>
            <w:vAlign w:val="center"/>
          </w:tcPr>
          <w:p w14:paraId="70F49E81">
            <w:pPr>
              <w:jc w:val="center"/>
              <w:rPr>
                <w:szCs w:val="21"/>
              </w:rPr>
            </w:pPr>
            <w:r>
              <w:rPr>
                <w:szCs w:val="21"/>
              </w:rPr>
              <w:t>主电源系统</w:t>
            </w:r>
          </w:p>
        </w:tc>
        <w:tc>
          <w:tcPr>
            <w:tcW w:w="4401" w:type="dxa"/>
            <w:vAlign w:val="center"/>
          </w:tcPr>
          <w:p w14:paraId="34013BEA">
            <w:pPr>
              <w:jc w:val="left"/>
              <w:rPr>
                <w:szCs w:val="21"/>
              </w:rPr>
            </w:pPr>
            <w:r>
              <w:rPr>
                <w:szCs w:val="21"/>
              </w:rPr>
              <w:t>依据IEC 61892-1以及海上油田供电实际情况，按照平台设发电机组、区域岸电以及单一平台外部电源供电三种模式要求。</w:t>
            </w:r>
          </w:p>
        </w:tc>
      </w:tr>
      <w:tr w14:paraId="25866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53F4EC45">
            <w:pPr>
              <w:numPr>
                <w:ilvl w:val="0"/>
                <w:numId w:val="132"/>
              </w:numPr>
              <w:jc w:val="center"/>
              <w:rPr>
                <w:color w:val="000000"/>
                <w:szCs w:val="21"/>
              </w:rPr>
            </w:pPr>
          </w:p>
        </w:tc>
        <w:tc>
          <w:tcPr>
            <w:tcW w:w="1172" w:type="dxa"/>
            <w:vAlign w:val="center"/>
          </w:tcPr>
          <w:p w14:paraId="5FA40D91">
            <w:pPr>
              <w:jc w:val="center"/>
              <w:rPr>
                <w:szCs w:val="21"/>
              </w:rPr>
            </w:pPr>
            <w:r>
              <w:rPr>
                <w:szCs w:val="21"/>
              </w:rPr>
              <w:t>14.3</w:t>
            </w:r>
          </w:p>
        </w:tc>
        <w:tc>
          <w:tcPr>
            <w:tcW w:w="2725" w:type="dxa"/>
            <w:vAlign w:val="center"/>
          </w:tcPr>
          <w:p w14:paraId="7AAE3F6A">
            <w:pPr>
              <w:jc w:val="center"/>
              <w:rPr>
                <w:szCs w:val="21"/>
              </w:rPr>
            </w:pPr>
            <w:r>
              <w:rPr>
                <w:szCs w:val="21"/>
              </w:rPr>
              <w:t>应急电源系统</w:t>
            </w:r>
          </w:p>
        </w:tc>
        <w:tc>
          <w:tcPr>
            <w:tcW w:w="4401" w:type="dxa"/>
            <w:vAlign w:val="center"/>
          </w:tcPr>
          <w:p w14:paraId="6A512CB5">
            <w:pPr>
              <w:rPr>
                <w:szCs w:val="21"/>
              </w:rPr>
            </w:pPr>
            <w:r>
              <w:rPr>
                <w:szCs w:val="21"/>
              </w:rPr>
              <w:t>依据《海上固定平台安全规则》定义应急电源类型；结合海上油田供电实际情况，平台设置应急发电机时应满足应急设备供电18h。</w:t>
            </w:r>
          </w:p>
          <w:p w14:paraId="5E6CFC56">
            <w:pPr>
              <w:jc w:val="left"/>
              <w:rPr>
                <w:szCs w:val="21"/>
              </w:rPr>
            </w:pPr>
            <w:r>
              <w:rPr>
                <w:szCs w:val="21"/>
              </w:rPr>
              <w:t>对于无人驻守平台，依据IEC 61892-2并结合海上油田实际情况予以规定。</w:t>
            </w:r>
          </w:p>
        </w:tc>
      </w:tr>
      <w:tr w14:paraId="15104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31D45B31">
            <w:pPr>
              <w:numPr>
                <w:ilvl w:val="0"/>
                <w:numId w:val="132"/>
              </w:numPr>
              <w:jc w:val="center"/>
              <w:rPr>
                <w:color w:val="000000"/>
                <w:szCs w:val="21"/>
              </w:rPr>
            </w:pPr>
          </w:p>
        </w:tc>
        <w:tc>
          <w:tcPr>
            <w:tcW w:w="1172" w:type="dxa"/>
            <w:vAlign w:val="center"/>
          </w:tcPr>
          <w:p w14:paraId="23CB9D9D">
            <w:pPr>
              <w:jc w:val="center"/>
              <w:rPr>
                <w:szCs w:val="21"/>
              </w:rPr>
            </w:pPr>
            <w:r>
              <w:rPr>
                <w:szCs w:val="21"/>
              </w:rPr>
              <w:t>14.4</w:t>
            </w:r>
          </w:p>
        </w:tc>
        <w:tc>
          <w:tcPr>
            <w:tcW w:w="2725" w:type="dxa"/>
            <w:vAlign w:val="center"/>
          </w:tcPr>
          <w:p w14:paraId="42767228">
            <w:pPr>
              <w:jc w:val="center"/>
              <w:rPr>
                <w:szCs w:val="21"/>
              </w:rPr>
            </w:pPr>
            <w:r>
              <w:rPr>
                <w:szCs w:val="21"/>
              </w:rPr>
              <w:t>供配电系统</w:t>
            </w:r>
          </w:p>
        </w:tc>
        <w:tc>
          <w:tcPr>
            <w:tcW w:w="4401" w:type="dxa"/>
            <w:vAlign w:val="center"/>
          </w:tcPr>
          <w:p w14:paraId="7575D1E3">
            <w:pPr>
              <w:rPr>
                <w:szCs w:val="21"/>
              </w:rPr>
            </w:pPr>
            <w:r>
              <w:rPr>
                <w:szCs w:val="21"/>
              </w:rPr>
              <w:t>依据IEC 6189-2 对平台供配电系统接地电流予以规定。</w:t>
            </w:r>
          </w:p>
        </w:tc>
      </w:tr>
      <w:tr w14:paraId="7F84D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55A9E555">
            <w:pPr>
              <w:numPr>
                <w:ilvl w:val="0"/>
                <w:numId w:val="132"/>
              </w:numPr>
              <w:jc w:val="center"/>
              <w:rPr>
                <w:color w:val="000000"/>
                <w:szCs w:val="21"/>
              </w:rPr>
            </w:pPr>
          </w:p>
        </w:tc>
        <w:tc>
          <w:tcPr>
            <w:tcW w:w="1172" w:type="dxa"/>
            <w:vAlign w:val="center"/>
          </w:tcPr>
          <w:p w14:paraId="4B3B527B">
            <w:pPr>
              <w:jc w:val="center"/>
              <w:rPr>
                <w:szCs w:val="21"/>
              </w:rPr>
            </w:pPr>
            <w:r>
              <w:rPr>
                <w:szCs w:val="21"/>
              </w:rPr>
              <w:t>14.5</w:t>
            </w:r>
          </w:p>
        </w:tc>
        <w:tc>
          <w:tcPr>
            <w:tcW w:w="2725" w:type="dxa"/>
            <w:vAlign w:val="center"/>
          </w:tcPr>
          <w:p w14:paraId="0AFE7549">
            <w:pPr>
              <w:jc w:val="center"/>
              <w:rPr>
                <w:szCs w:val="21"/>
              </w:rPr>
            </w:pPr>
            <w:r>
              <w:rPr>
                <w:szCs w:val="21"/>
              </w:rPr>
              <w:t>照明</w:t>
            </w:r>
          </w:p>
        </w:tc>
        <w:tc>
          <w:tcPr>
            <w:tcW w:w="4401" w:type="dxa"/>
            <w:vAlign w:val="center"/>
          </w:tcPr>
          <w:p w14:paraId="20433091">
            <w:pPr>
              <w:rPr>
                <w:szCs w:val="21"/>
              </w:rPr>
            </w:pPr>
            <w:r>
              <w:rPr>
                <w:szCs w:val="21"/>
              </w:rPr>
              <w:t>依据IEC 6189-2 对平台照明系统中涉及到安全的条目进行规定。</w:t>
            </w:r>
          </w:p>
        </w:tc>
      </w:tr>
      <w:tr w14:paraId="2FC37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689EE1E3">
            <w:pPr>
              <w:numPr>
                <w:ilvl w:val="0"/>
                <w:numId w:val="132"/>
              </w:numPr>
              <w:jc w:val="center"/>
              <w:rPr>
                <w:color w:val="000000"/>
                <w:szCs w:val="21"/>
              </w:rPr>
            </w:pPr>
          </w:p>
        </w:tc>
        <w:tc>
          <w:tcPr>
            <w:tcW w:w="1172" w:type="dxa"/>
            <w:vAlign w:val="center"/>
          </w:tcPr>
          <w:p w14:paraId="5FDF2F93">
            <w:pPr>
              <w:jc w:val="center"/>
              <w:rPr>
                <w:szCs w:val="21"/>
              </w:rPr>
            </w:pPr>
            <w:r>
              <w:rPr>
                <w:szCs w:val="21"/>
              </w:rPr>
              <w:t>14.6</w:t>
            </w:r>
          </w:p>
        </w:tc>
        <w:tc>
          <w:tcPr>
            <w:tcW w:w="2725" w:type="dxa"/>
            <w:vAlign w:val="center"/>
          </w:tcPr>
          <w:p w14:paraId="32D2903C">
            <w:pPr>
              <w:jc w:val="center"/>
              <w:rPr>
                <w:szCs w:val="21"/>
              </w:rPr>
            </w:pPr>
            <w:r>
              <w:rPr>
                <w:szCs w:val="21"/>
              </w:rPr>
              <w:t>电伴热设施和电加热设备</w:t>
            </w:r>
          </w:p>
        </w:tc>
        <w:tc>
          <w:tcPr>
            <w:tcW w:w="4401" w:type="dxa"/>
            <w:vAlign w:val="center"/>
          </w:tcPr>
          <w:p w14:paraId="3E6F5B25">
            <w:pPr>
              <w:rPr>
                <w:szCs w:val="21"/>
              </w:rPr>
            </w:pPr>
            <w:r>
              <w:rPr>
                <w:szCs w:val="21"/>
              </w:rPr>
              <w:t>依据IEC 6189-2 对平台电伴热设施和加热器设备在设计和使用中影响到安全的一般技术要求进行规定。</w:t>
            </w:r>
          </w:p>
        </w:tc>
      </w:tr>
      <w:tr w14:paraId="6A28F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2C653A03">
            <w:pPr>
              <w:numPr>
                <w:ilvl w:val="0"/>
                <w:numId w:val="132"/>
              </w:numPr>
              <w:jc w:val="center"/>
              <w:rPr>
                <w:color w:val="000000"/>
                <w:szCs w:val="21"/>
              </w:rPr>
            </w:pPr>
          </w:p>
        </w:tc>
        <w:tc>
          <w:tcPr>
            <w:tcW w:w="1172" w:type="dxa"/>
            <w:vAlign w:val="center"/>
          </w:tcPr>
          <w:p w14:paraId="5A0A6C25">
            <w:pPr>
              <w:jc w:val="center"/>
              <w:rPr>
                <w:szCs w:val="21"/>
              </w:rPr>
            </w:pPr>
            <w:r>
              <w:rPr>
                <w:szCs w:val="21"/>
              </w:rPr>
              <w:t>14.7</w:t>
            </w:r>
          </w:p>
        </w:tc>
        <w:tc>
          <w:tcPr>
            <w:tcW w:w="2725" w:type="dxa"/>
            <w:vAlign w:val="center"/>
          </w:tcPr>
          <w:p w14:paraId="3342A347">
            <w:pPr>
              <w:jc w:val="center"/>
              <w:rPr>
                <w:szCs w:val="21"/>
              </w:rPr>
            </w:pPr>
            <w:r>
              <w:rPr>
                <w:szCs w:val="21"/>
              </w:rPr>
              <w:t>电缆</w:t>
            </w:r>
          </w:p>
        </w:tc>
        <w:tc>
          <w:tcPr>
            <w:tcW w:w="4401" w:type="dxa"/>
            <w:vAlign w:val="center"/>
          </w:tcPr>
          <w:p w14:paraId="399F14A2">
            <w:pPr>
              <w:jc w:val="left"/>
              <w:rPr>
                <w:szCs w:val="21"/>
              </w:rPr>
            </w:pPr>
            <w:r>
              <w:rPr>
                <w:szCs w:val="21"/>
              </w:rPr>
              <w:t>依据CCS钢质海船入级规范和IEC 61892对电缆要求予以规定。</w:t>
            </w:r>
          </w:p>
        </w:tc>
      </w:tr>
      <w:tr w14:paraId="4A8D9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2BA8DA0A">
            <w:pPr>
              <w:numPr>
                <w:ilvl w:val="0"/>
                <w:numId w:val="132"/>
              </w:numPr>
              <w:jc w:val="center"/>
              <w:rPr>
                <w:color w:val="000000"/>
                <w:szCs w:val="21"/>
              </w:rPr>
            </w:pPr>
          </w:p>
        </w:tc>
        <w:tc>
          <w:tcPr>
            <w:tcW w:w="1172" w:type="dxa"/>
            <w:vAlign w:val="center"/>
          </w:tcPr>
          <w:p w14:paraId="35857BCA">
            <w:pPr>
              <w:jc w:val="center"/>
              <w:rPr>
                <w:szCs w:val="21"/>
              </w:rPr>
            </w:pPr>
            <w:r>
              <w:rPr>
                <w:szCs w:val="21"/>
              </w:rPr>
              <w:t>14.8</w:t>
            </w:r>
          </w:p>
        </w:tc>
        <w:tc>
          <w:tcPr>
            <w:tcW w:w="2725" w:type="dxa"/>
            <w:vAlign w:val="center"/>
          </w:tcPr>
          <w:p w14:paraId="35762363">
            <w:pPr>
              <w:jc w:val="center"/>
              <w:rPr>
                <w:szCs w:val="21"/>
              </w:rPr>
            </w:pPr>
            <w:r>
              <w:rPr>
                <w:szCs w:val="21"/>
              </w:rPr>
              <w:t>接地、防雷及防干扰措施</w:t>
            </w:r>
          </w:p>
        </w:tc>
        <w:tc>
          <w:tcPr>
            <w:tcW w:w="4401" w:type="dxa"/>
            <w:vAlign w:val="center"/>
          </w:tcPr>
          <w:p w14:paraId="026D985E">
            <w:pPr>
              <w:jc w:val="left"/>
              <w:rPr>
                <w:szCs w:val="21"/>
              </w:rPr>
            </w:pPr>
            <w:r>
              <w:rPr>
                <w:szCs w:val="21"/>
              </w:rPr>
              <w:t>依据CCS钢质海船入级规范和IEC 61892对接地、防雷和防干扰予以规定。</w:t>
            </w:r>
          </w:p>
        </w:tc>
      </w:tr>
      <w:tr w14:paraId="55D8C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1685D0B1">
            <w:pPr>
              <w:numPr>
                <w:ilvl w:val="0"/>
                <w:numId w:val="132"/>
              </w:numPr>
              <w:jc w:val="center"/>
              <w:rPr>
                <w:color w:val="000000"/>
                <w:szCs w:val="21"/>
              </w:rPr>
            </w:pPr>
          </w:p>
        </w:tc>
        <w:tc>
          <w:tcPr>
            <w:tcW w:w="1172" w:type="dxa"/>
            <w:vAlign w:val="center"/>
          </w:tcPr>
          <w:p w14:paraId="16C03D20">
            <w:pPr>
              <w:jc w:val="center"/>
              <w:rPr>
                <w:szCs w:val="21"/>
              </w:rPr>
            </w:pPr>
            <w:r>
              <w:rPr>
                <w:szCs w:val="21"/>
              </w:rPr>
              <w:t>14.9</w:t>
            </w:r>
          </w:p>
        </w:tc>
        <w:tc>
          <w:tcPr>
            <w:tcW w:w="2725" w:type="dxa"/>
            <w:vAlign w:val="center"/>
          </w:tcPr>
          <w:p w14:paraId="57F7F7C1">
            <w:pPr>
              <w:jc w:val="center"/>
              <w:rPr>
                <w:szCs w:val="21"/>
              </w:rPr>
            </w:pPr>
            <w:r>
              <w:rPr>
                <w:szCs w:val="21"/>
              </w:rPr>
              <w:t>危险场所内的电气设备</w:t>
            </w:r>
          </w:p>
        </w:tc>
        <w:tc>
          <w:tcPr>
            <w:tcW w:w="4401" w:type="dxa"/>
            <w:vAlign w:val="center"/>
          </w:tcPr>
          <w:p w14:paraId="3E659412">
            <w:pPr>
              <w:jc w:val="left"/>
              <w:rPr>
                <w:szCs w:val="21"/>
              </w:rPr>
            </w:pPr>
            <w:r>
              <w:rPr>
                <w:szCs w:val="21"/>
              </w:rPr>
              <w:t>依据GB 3836.15对危险区域内电气设备、电缆和照明设备予以规定。</w:t>
            </w:r>
          </w:p>
        </w:tc>
      </w:tr>
      <w:tr w14:paraId="70131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94" w:type="dxa"/>
            <w:gridSpan w:val="4"/>
          </w:tcPr>
          <w:p w14:paraId="4E4DDBB2">
            <w:pPr>
              <w:jc w:val="center"/>
              <w:rPr>
                <w:color w:val="000000"/>
                <w:spacing w:val="13"/>
                <w:szCs w:val="21"/>
                <w:shd w:val="clear" w:color="auto" w:fill="FFFFFF"/>
              </w:rPr>
            </w:pPr>
            <w:r>
              <w:rPr>
                <w:szCs w:val="21"/>
              </w:rPr>
              <w:t>仪表及控制系统</w:t>
            </w:r>
          </w:p>
        </w:tc>
      </w:tr>
      <w:tr w14:paraId="375BA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6CD44A21">
            <w:pPr>
              <w:numPr>
                <w:ilvl w:val="0"/>
                <w:numId w:val="132"/>
              </w:numPr>
              <w:jc w:val="center"/>
              <w:rPr>
                <w:color w:val="000000"/>
                <w:szCs w:val="21"/>
              </w:rPr>
            </w:pPr>
          </w:p>
        </w:tc>
        <w:tc>
          <w:tcPr>
            <w:tcW w:w="1172" w:type="dxa"/>
          </w:tcPr>
          <w:p w14:paraId="35436DF6">
            <w:pPr>
              <w:jc w:val="center"/>
              <w:rPr>
                <w:szCs w:val="21"/>
              </w:rPr>
            </w:pPr>
            <w:r>
              <w:rPr>
                <w:szCs w:val="21"/>
              </w:rPr>
              <w:t>15.2.5</w:t>
            </w:r>
          </w:p>
        </w:tc>
        <w:tc>
          <w:tcPr>
            <w:tcW w:w="2725" w:type="dxa"/>
          </w:tcPr>
          <w:p w14:paraId="5F2B3DE3">
            <w:pPr>
              <w:rPr>
                <w:szCs w:val="21"/>
              </w:rPr>
            </w:pPr>
            <w:r>
              <w:rPr>
                <w:szCs w:val="21"/>
              </w:rPr>
              <w:t>中控室或者中控设备间机柜门上应设置中控手操盘。盘面应包含蜂鸣器、ESD主要关断级别报警灯/确认启动按钮、复位按钮、声光测试按钮、报警确认按钮。针对有消防系统和灭火系统的平台还应设置主备设备切换开关及启动按钮。</w:t>
            </w:r>
          </w:p>
        </w:tc>
        <w:tc>
          <w:tcPr>
            <w:tcW w:w="4401" w:type="dxa"/>
          </w:tcPr>
          <w:p w14:paraId="7C286C84">
            <w:pPr>
              <w:jc w:val="left"/>
              <w:rPr>
                <w:szCs w:val="21"/>
              </w:rPr>
            </w:pPr>
            <w:r>
              <w:rPr>
                <w:szCs w:val="21"/>
              </w:rPr>
              <w:t>根据</w:t>
            </w:r>
            <w:r>
              <w:rPr>
                <w:rFonts w:hint="eastAsia"/>
                <w:szCs w:val="21"/>
              </w:rPr>
              <w:t>目前海上平台</w:t>
            </w:r>
            <w:r>
              <w:rPr>
                <w:szCs w:val="21"/>
              </w:rPr>
              <w:t>CONSOLE盘设计</w:t>
            </w:r>
            <w:r>
              <w:rPr>
                <w:rFonts w:hint="eastAsia"/>
                <w:szCs w:val="21"/>
              </w:rPr>
              <w:t>实际</w:t>
            </w:r>
            <w:r>
              <w:rPr>
                <w:szCs w:val="21"/>
              </w:rPr>
              <w:t>作法</w:t>
            </w:r>
            <w:r>
              <w:rPr>
                <w:rFonts w:hint="eastAsia"/>
                <w:szCs w:val="21"/>
              </w:rPr>
              <w:t>编制</w:t>
            </w:r>
          </w:p>
        </w:tc>
      </w:tr>
      <w:tr w14:paraId="74267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42C319AF">
            <w:pPr>
              <w:numPr>
                <w:ilvl w:val="0"/>
                <w:numId w:val="132"/>
              </w:numPr>
              <w:jc w:val="center"/>
              <w:rPr>
                <w:color w:val="000000"/>
                <w:szCs w:val="21"/>
              </w:rPr>
            </w:pPr>
          </w:p>
        </w:tc>
        <w:tc>
          <w:tcPr>
            <w:tcW w:w="1172" w:type="dxa"/>
          </w:tcPr>
          <w:p w14:paraId="47CE7C0C">
            <w:pPr>
              <w:jc w:val="center"/>
              <w:rPr>
                <w:szCs w:val="21"/>
              </w:rPr>
            </w:pPr>
            <w:r>
              <w:rPr>
                <w:szCs w:val="21"/>
              </w:rPr>
              <w:t>15.3</w:t>
            </w:r>
          </w:p>
        </w:tc>
        <w:tc>
          <w:tcPr>
            <w:tcW w:w="2725" w:type="dxa"/>
          </w:tcPr>
          <w:p w14:paraId="5088C71B">
            <w:pPr>
              <w:rPr>
                <w:szCs w:val="21"/>
              </w:rPr>
            </w:pPr>
            <w:r>
              <w:rPr>
                <w:szCs w:val="21"/>
              </w:rPr>
              <w:t>井口安全控制系统</w:t>
            </w:r>
          </w:p>
        </w:tc>
        <w:tc>
          <w:tcPr>
            <w:tcW w:w="4401" w:type="dxa"/>
          </w:tcPr>
          <w:p w14:paraId="7C37AA73">
            <w:pPr>
              <w:rPr>
                <w:szCs w:val="21"/>
              </w:rPr>
            </w:pPr>
            <w:r>
              <w:rPr>
                <w:szCs w:val="21"/>
              </w:rPr>
              <w:t>根据</w:t>
            </w:r>
            <w:r>
              <w:rPr>
                <w:rFonts w:hint="eastAsia"/>
                <w:szCs w:val="21"/>
              </w:rPr>
              <w:t>目前海上平台井口控制盘设计</w:t>
            </w:r>
            <w:r>
              <w:rPr>
                <w:rFonts w:eastAsia="Helvetica"/>
                <w:color w:val="333333"/>
                <w:szCs w:val="21"/>
              </w:rPr>
              <w:t>作法</w:t>
            </w:r>
            <w:r>
              <w:rPr>
                <w:szCs w:val="21"/>
              </w:rPr>
              <w:t>编制</w:t>
            </w:r>
          </w:p>
        </w:tc>
      </w:tr>
      <w:tr w14:paraId="333C9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052FA572">
            <w:pPr>
              <w:numPr>
                <w:ilvl w:val="0"/>
                <w:numId w:val="132"/>
              </w:numPr>
              <w:jc w:val="center"/>
              <w:rPr>
                <w:color w:val="000000"/>
                <w:szCs w:val="21"/>
              </w:rPr>
            </w:pPr>
          </w:p>
        </w:tc>
        <w:tc>
          <w:tcPr>
            <w:tcW w:w="1172" w:type="dxa"/>
          </w:tcPr>
          <w:p w14:paraId="7349CBDA">
            <w:pPr>
              <w:jc w:val="center"/>
              <w:rPr>
                <w:szCs w:val="21"/>
              </w:rPr>
            </w:pPr>
            <w:r>
              <w:rPr>
                <w:szCs w:val="21"/>
              </w:rPr>
              <w:t>15.4.3</w:t>
            </w:r>
          </w:p>
        </w:tc>
        <w:tc>
          <w:tcPr>
            <w:tcW w:w="2725" w:type="dxa"/>
          </w:tcPr>
          <w:p w14:paraId="68F6CF5A">
            <w:pPr>
              <w:pStyle w:val="326"/>
              <w:numPr>
                <w:ilvl w:val="2"/>
                <w:numId w:val="0"/>
              </w:numPr>
              <w:rPr>
                <w:rFonts w:ascii="Times New Roman"/>
                <w:kern w:val="2"/>
              </w:rPr>
            </w:pPr>
            <w:r>
              <w:rPr>
                <w:rFonts w:hint="eastAsia" w:ascii="Times New Roman"/>
                <w:kern w:val="2"/>
              </w:rPr>
              <w:t>手动应急关断按钮应设置在直升机甲板、救生艇登乘处所、井口区附近等关键地点。中控室手操盘上或中控设备间机柜门上设置手动应急关断按钮。</w:t>
            </w:r>
          </w:p>
        </w:tc>
        <w:tc>
          <w:tcPr>
            <w:tcW w:w="4401" w:type="dxa"/>
          </w:tcPr>
          <w:p w14:paraId="0D84AFC3">
            <w:pPr>
              <w:rPr>
                <w:szCs w:val="21"/>
              </w:rPr>
            </w:pPr>
            <w:r>
              <w:rPr>
                <w:color w:val="333333"/>
                <w:szCs w:val="21"/>
              </w:rPr>
              <w:t>依据</w:t>
            </w:r>
            <w:r>
              <w:rPr>
                <w:rFonts w:hint="eastAsia"/>
                <w:color w:val="333333"/>
                <w:szCs w:val="21"/>
              </w:rPr>
              <w:t>目前</w:t>
            </w:r>
            <w:r>
              <w:rPr>
                <w:rFonts w:eastAsia="Helvetica"/>
                <w:color w:val="333333"/>
                <w:szCs w:val="21"/>
              </w:rPr>
              <w:t>海上油气田火气设备布置及选型</w:t>
            </w:r>
            <w:r>
              <w:rPr>
                <w:rFonts w:hint="eastAsia"/>
                <w:color w:val="333333"/>
                <w:szCs w:val="21"/>
              </w:rPr>
              <w:t>设计</w:t>
            </w:r>
            <w:r>
              <w:rPr>
                <w:rFonts w:eastAsia="Helvetica"/>
                <w:color w:val="333333"/>
                <w:szCs w:val="21"/>
              </w:rPr>
              <w:t>作法</w:t>
            </w:r>
            <w:r>
              <w:rPr>
                <w:color w:val="333333"/>
                <w:szCs w:val="21"/>
              </w:rPr>
              <w:t>编制</w:t>
            </w:r>
          </w:p>
        </w:tc>
      </w:tr>
      <w:tr w14:paraId="258E9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01E45771">
            <w:pPr>
              <w:numPr>
                <w:ilvl w:val="0"/>
                <w:numId w:val="132"/>
              </w:numPr>
              <w:jc w:val="center"/>
              <w:rPr>
                <w:color w:val="000000"/>
                <w:szCs w:val="21"/>
              </w:rPr>
            </w:pPr>
          </w:p>
        </w:tc>
        <w:tc>
          <w:tcPr>
            <w:tcW w:w="1172" w:type="dxa"/>
          </w:tcPr>
          <w:p w14:paraId="434B706E">
            <w:pPr>
              <w:jc w:val="center"/>
              <w:rPr>
                <w:szCs w:val="21"/>
              </w:rPr>
            </w:pPr>
            <w:r>
              <w:rPr>
                <w:szCs w:val="21"/>
              </w:rPr>
              <w:t>15.5.2.2</w:t>
            </w:r>
          </w:p>
        </w:tc>
        <w:tc>
          <w:tcPr>
            <w:tcW w:w="2725" w:type="dxa"/>
          </w:tcPr>
          <w:p w14:paraId="229FD806">
            <w:pPr>
              <w:rPr>
                <w:szCs w:val="21"/>
              </w:rPr>
            </w:pPr>
            <w:r>
              <w:rPr>
                <w:szCs w:val="21"/>
              </w:rPr>
              <w:t>当探测到的可燃性气体其浓度达到爆炸下限的20%时</w:t>
            </w:r>
            <w:r>
              <w:rPr>
                <w:rFonts w:hint="eastAsia"/>
                <w:szCs w:val="21"/>
              </w:rPr>
              <w:t>，</w:t>
            </w:r>
            <w:r>
              <w:rPr>
                <w:szCs w:val="21"/>
              </w:rPr>
              <w:t>应在火气系统上进行声、光报警; 浓度达到爆炸下限的50%时，应在火气系统上进行声、光报警和相应的关断。</w:t>
            </w:r>
          </w:p>
        </w:tc>
        <w:tc>
          <w:tcPr>
            <w:tcW w:w="4401" w:type="dxa"/>
          </w:tcPr>
          <w:p w14:paraId="25AAAF18">
            <w:pPr>
              <w:rPr>
                <w:szCs w:val="21"/>
              </w:rPr>
            </w:pPr>
            <w:r>
              <w:rPr>
                <w:color w:val="333333"/>
                <w:szCs w:val="21"/>
              </w:rPr>
              <w:t>依据</w:t>
            </w:r>
            <w:r>
              <w:rPr>
                <w:rFonts w:hint="eastAsia"/>
                <w:color w:val="333333"/>
                <w:szCs w:val="21"/>
              </w:rPr>
              <w:t>目前</w:t>
            </w:r>
            <w:r>
              <w:rPr>
                <w:rFonts w:eastAsia="Helvetica"/>
                <w:color w:val="333333"/>
                <w:szCs w:val="21"/>
              </w:rPr>
              <w:t>海上油气田火气设备布置及选型</w:t>
            </w:r>
            <w:r>
              <w:rPr>
                <w:rFonts w:hint="eastAsia"/>
                <w:color w:val="333333"/>
                <w:szCs w:val="21"/>
              </w:rPr>
              <w:t>设计</w:t>
            </w:r>
            <w:r>
              <w:rPr>
                <w:rFonts w:eastAsia="Helvetica"/>
                <w:color w:val="333333"/>
                <w:szCs w:val="21"/>
              </w:rPr>
              <w:t>作法</w:t>
            </w:r>
            <w:r>
              <w:rPr>
                <w:color w:val="333333"/>
                <w:szCs w:val="21"/>
              </w:rPr>
              <w:t>编制</w:t>
            </w:r>
          </w:p>
        </w:tc>
      </w:tr>
      <w:tr w14:paraId="46C40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6D0D36CF">
            <w:pPr>
              <w:numPr>
                <w:ilvl w:val="0"/>
                <w:numId w:val="132"/>
              </w:numPr>
              <w:jc w:val="center"/>
              <w:rPr>
                <w:color w:val="000000"/>
                <w:szCs w:val="21"/>
              </w:rPr>
            </w:pPr>
          </w:p>
        </w:tc>
        <w:tc>
          <w:tcPr>
            <w:tcW w:w="1172" w:type="dxa"/>
          </w:tcPr>
          <w:p w14:paraId="09499669">
            <w:pPr>
              <w:jc w:val="center"/>
              <w:rPr>
                <w:szCs w:val="21"/>
              </w:rPr>
            </w:pPr>
            <w:r>
              <w:rPr>
                <w:szCs w:val="21"/>
              </w:rPr>
              <w:t>15.5.2.3</w:t>
            </w:r>
          </w:p>
        </w:tc>
        <w:tc>
          <w:tcPr>
            <w:tcW w:w="2725" w:type="dxa"/>
          </w:tcPr>
          <w:p w14:paraId="1400BE27">
            <w:pPr>
              <w:rPr>
                <w:szCs w:val="21"/>
              </w:rPr>
            </w:pPr>
            <w:r>
              <w:rPr>
                <w:szCs w:val="21"/>
              </w:rPr>
              <w:t>当探测到的有毒气体其浓度达到职业接触限值的100%时</w:t>
            </w:r>
            <w:r>
              <w:rPr>
                <w:rFonts w:hint="eastAsia"/>
                <w:szCs w:val="21"/>
              </w:rPr>
              <w:t>，</w:t>
            </w:r>
            <w:r>
              <w:rPr>
                <w:szCs w:val="21"/>
              </w:rPr>
              <w:t>应在火气系统上进行连续的声、光报警; 浓度达到职业接触限值的200%时应在火气系统上进行声、光报警和相应的关断。</w:t>
            </w:r>
          </w:p>
        </w:tc>
        <w:tc>
          <w:tcPr>
            <w:tcW w:w="4401" w:type="dxa"/>
          </w:tcPr>
          <w:p w14:paraId="3411C094">
            <w:pPr>
              <w:rPr>
                <w:szCs w:val="21"/>
              </w:rPr>
            </w:pPr>
            <w:r>
              <w:rPr>
                <w:color w:val="333333"/>
                <w:szCs w:val="21"/>
              </w:rPr>
              <w:t>依据</w:t>
            </w:r>
            <w:r>
              <w:rPr>
                <w:rFonts w:hint="eastAsia"/>
                <w:color w:val="333333"/>
                <w:szCs w:val="21"/>
              </w:rPr>
              <w:t>目前</w:t>
            </w:r>
            <w:r>
              <w:rPr>
                <w:rFonts w:eastAsia="Helvetica"/>
                <w:color w:val="333333"/>
                <w:szCs w:val="21"/>
              </w:rPr>
              <w:t>海上油气田火气设备布置及选型</w:t>
            </w:r>
            <w:r>
              <w:rPr>
                <w:rFonts w:hint="eastAsia"/>
                <w:color w:val="333333"/>
                <w:szCs w:val="21"/>
              </w:rPr>
              <w:t>涉及</w:t>
            </w:r>
            <w:r>
              <w:rPr>
                <w:rFonts w:eastAsia="Helvetica"/>
                <w:color w:val="333333"/>
                <w:szCs w:val="21"/>
              </w:rPr>
              <w:t>作法</w:t>
            </w:r>
            <w:r>
              <w:rPr>
                <w:color w:val="333333"/>
                <w:szCs w:val="21"/>
              </w:rPr>
              <w:t>编制</w:t>
            </w:r>
          </w:p>
        </w:tc>
      </w:tr>
      <w:tr w14:paraId="4107C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28591B2F">
            <w:pPr>
              <w:numPr>
                <w:ilvl w:val="0"/>
                <w:numId w:val="132"/>
              </w:numPr>
              <w:jc w:val="center"/>
              <w:rPr>
                <w:color w:val="000000"/>
                <w:szCs w:val="21"/>
              </w:rPr>
            </w:pPr>
          </w:p>
        </w:tc>
        <w:tc>
          <w:tcPr>
            <w:tcW w:w="1172" w:type="dxa"/>
          </w:tcPr>
          <w:p w14:paraId="1CC442FC">
            <w:pPr>
              <w:jc w:val="center"/>
              <w:rPr>
                <w:szCs w:val="21"/>
              </w:rPr>
            </w:pPr>
            <w:r>
              <w:rPr>
                <w:szCs w:val="21"/>
              </w:rPr>
              <w:t>15.6</w:t>
            </w:r>
          </w:p>
        </w:tc>
        <w:tc>
          <w:tcPr>
            <w:tcW w:w="2725" w:type="dxa"/>
          </w:tcPr>
          <w:p w14:paraId="1EAE1149">
            <w:pPr>
              <w:rPr>
                <w:szCs w:val="21"/>
              </w:rPr>
            </w:pPr>
            <w:r>
              <w:rPr>
                <w:szCs w:val="21"/>
              </w:rPr>
              <w:t>高完整性压力保护系统（HIPPS）</w:t>
            </w:r>
          </w:p>
        </w:tc>
        <w:tc>
          <w:tcPr>
            <w:tcW w:w="4401" w:type="dxa"/>
          </w:tcPr>
          <w:p w14:paraId="63014BD6">
            <w:pPr>
              <w:rPr>
                <w:szCs w:val="21"/>
              </w:rPr>
            </w:pPr>
            <w:r>
              <w:rPr>
                <w:color w:val="333333"/>
                <w:szCs w:val="21"/>
              </w:rPr>
              <w:t>依据</w:t>
            </w:r>
            <w:r>
              <w:rPr>
                <w:rFonts w:hint="eastAsia"/>
                <w:color w:val="333333"/>
                <w:szCs w:val="21"/>
              </w:rPr>
              <w:t>目前</w:t>
            </w:r>
            <w:r>
              <w:rPr>
                <w:color w:val="333333"/>
                <w:szCs w:val="21"/>
              </w:rPr>
              <w:t>海上油气田高完整性压力保护系统设计</w:t>
            </w:r>
            <w:r>
              <w:rPr>
                <w:rFonts w:hint="eastAsia"/>
                <w:color w:val="333333"/>
                <w:szCs w:val="21"/>
              </w:rPr>
              <w:t>设计</w:t>
            </w:r>
            <w:r>
              <w:rPr>
                <w:rFonts w:eastAsia="Helvetica"/>
                <w:color w:val="333333"/>
                <w:szCs w:val="21"/>
              </w:rPr>
              <w:t>作法</w:t>
            </w:r>
            <w:r>
              <w:rPr>
                <w:color w:val="333333"/>
                <w:szCs w:val="21"/>
              </w:rPr>
              <w:t>编制</w:t>
            </w:r>
          </w:p>
        </w:tc>
      </w:tr>
      <w:tr w14:paraId="625F6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94" w:type="dxa"/>
            <w:gridSpan w:val="4"/>
          </w:tcPr>
          <w:p w14:paraId="77063B15">
            <w:pPr>
              <w:jc w:val="center"/>
              <w:rPr>
                <w:color w:val="333333"/>
                <w:szCs w:val="21"/>
              </w:rPr>
            </w:pPr>
            <w:r>
              <w:rPr>
                <w:color w:val="333333"/>
                <w:szCs w:val="21"/>
              </w:rPr>
              <w:t>生活区</w:t>
            </w:r>
          </w:p>
        </w:tc>
      </w:tr>
      <w:tr w14:paraId="145B0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13C805F9">
            <w:pPr>
              <w:numPr>
                <w:ilvl w:val="0"/>
                <w:numId w:val="132"/>
              </w:numPr>
              <w:jc w:val="center"/>
              <w:rPr>
                <w:color w:val="000000"/>
                <w:szCs w:val="21"/>
              </w:rPr>
            </w:pPr>
          </w:p>
        </w:tc>
        <w:tc>
          <w:tcPr>
            <w:tcW w:w="1172" w:type="dxa"/>
          </w:tcPr>
          <w:p w14:paraId="593C3A9D">
            <w:pPr>
              <w:jc w:val="center"/>
              <w:rPr>
                <w:szCs w:val="21"/>
              </w:rPr>
            </w:pPr>
            <w:r>
              <w:rPr>
                <w:szCs w:val="21"/>
              </w:rPr>
              <w:t>16.5.2</w:t>
            </w:r>
          </w:p>
        </w:tc>
        <w:tc>
          <w:tcPr>
            <w:tcW w:w="2725" w:type="dxa"/>
          </w:tcPr>
          <w:p w14:paraId="3C257A47">
            <w:pPr>
              <w:rPr>
                <w:szCs w:val="21"/>
              </w:rPr>
            </w:pPr>
            <w:r>
              <w:t>所在海域最低水温小于10</w:t>
            </w:r>
            <w:r>
              <w:rPr>
                <w:sz w:val="10"/>
                <w:szCs w:val="10"/>
              </w:rPr>
              <w:t xml:space="preserve"> </w:t>
            </w:r>
            <w:r>
              <w:t>℃的平台，医务室应设有供抢救落水人员用的温水浴盆</w:t>
            </w:r>
            <w:r>
              <w:rPr>
                <w:szCs w:val="21"/>
              </w:rPr>
              <w:t>。</w:t>
            </w:r>
          </w:p>
        </w:tc>
        <w:tc>
          <w:tcPr>
            <w:tcW w:w="4401" w:type="dxa"/>
          </w:tcPr>
          <w:p w14:paraId="6677F85E">
            <w:pPr>
              <w:rPr>
                <w:color w:val="333333"/>
                <w:szCs w:val="21"/>
              </w:rPr>
            </w:pPr>
            <w:r>
              <w:rPr>
                <w:color w:val="333333"/>
                <w:szCs w:val="21"/>
              </w:rPr>
              <w:t>参考GB50176-2016中的相关标准，寒冷地区一般指冬季最低水温低于10℃的地区，例如渤海、黄海、东海海域。</w:t>
            </w:r>
          </w:p>
        </w:tc>
      </w:tr>
      <w:tr w14:paraId="071D4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94" w:type="dxa"/>
            <w:gridSpan w:val="4"/>
          </w:tcPr>
          <w:p w14:paraId="75A42592">
            <w:pPr>
              <w:jc w:val="center"/>
              <w:rPr>
                <w:color w:val="333333"/>
                <w:szCs w:val="21"/>
              </w:rPr>
            </w:pPr>
            <w:r>
              <w:rPr>
                <w:color w:val="333333"/>
                <w:szCs w:val="21"/>
              </w:rPr>
              <w:t>防火结构</w:t>
            </w:r>
          </w:p>
        </w:tc>
      </w:tr>
      <w:tr w14:paraId="07504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56738BA1">
            <w:pPr>
              <w:numPr>
                <w:ilvl w:val="0"/>
                <w:numId w:val="132"/>
              </w:numPr>
              <w:jc w:val="center"/>
              <w:rPr>
                <w:color w:val="000000"/>
                <w:szCs w:val="21"/>
              </w:rPr>
            </w:pPr>
          </w:p>
        </w:tc>
        <w:tc>
          <w:tcPr>
            <w:tcW w:w="1172" w:type="dxa"/>
            <w:vAlign w:val="center"/>
          </w:tcPr>
          <w:p w14:paraId="1BBC00C2">
            <w:pPr>
              <w:jc w:val="center"/>
              <w:rPr>
                <w:szCs w:val="21"/>
              </w:rPr>
            </w:pPr>
            <w:r>
              <w:rPr>
                <w:szCs w:val="21"/>
              </w:rPr>
              <w:t>17.5</w:t>
            </w:r>
          </w:p>
        </w:tc>
        <w:tc>
          <w:tcPr>
            <w:tcW w:w="2725" w:type="dxa"/>
            <w:vAlign w:val="center"/>
          </w:tcPr>
          <w:p w14:paraId="1C043210">
            <w:pPr>
              <w:pStyle w:val="260"/>
              <w:numPr>
                <w:ilvl w:val="0"/>
                <w:numId w:val="0"/>
              </w:numPr>
              <w:jc w:val="center"/>
              <w:outlineLvl w:val="9"/>
              <w:rPr>
                <w:rFonts w:ascii="Times New Roman" w:eastAsia="宋体"/>
              </w:rPr>
            </w:pPr>
            <w:r>
              <w:rPr>
                <w:rFonts w:ascii="Times New Roman" w:eastAsia="宋体"/>
              </w:rPr>
              <w:t>被动防火</w:t>
            </w:r>
          </w:p>
        </w:tc>
        <w:tc>
          <w:tcPr>
            <w:tcW w:w="4401" w:type="dxa"/>
            <w:vAlign w:val="center"/>
          </w:tcPr>
          <w:p w14:paraId="48D63E9F">
            <w:pPr>
              <w:jc w:val="center"/>
              <w:rPr>
                <w:color w:val="666666"/>
                <w:spacing w:val="13"/>
                <w:szCs w:val="21"/>
                <w:shd w:val="clear" w:color="auto" w:fill="FFFFFF"/>
              </w:rPr>
            </w:pPr>
            <w:r>
              <w:rPr>
                <w:spacing w:val="13"/>
                <w:szCs w:val="21"/>
                <w:shd w:val="clear" w:color="auto" w:fill="FFFFFF"/>
              </w:rPr>
              <w:t>依据ISO 13702 12 Passive fire protection。</w:t>
            </w:r>
          </w:p>
        </w:tc>
      </w:tr>
      <w:tr w14:paraId="4232F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94" w:type="dxa"/>
            <w:gridSpan w:val="4"/>
          </w:tcPr>
          <w:p w14:paraId="4DA1D1B8">
            <w:pPr>
              <w:jc w:val="center"/>
              <w:rPr>
                <w:color w:val="333333"/>
                <w:szCs w:val="21"/>
              </w:rPr>
            </w:pPr>
            <w:r>
              <w:rPr>
                <w:color w:val="333333"/>
                <w:szCs w:val="21"/>
              </w:rPr>
              <w:t>消防系统</w:t>
            </w:r>
          </w:p>
        </w:tc>
      </w:tr>
      <w:tr w14:paraId="11808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5481C84E">
            <w:pPr>
              <w:numPr>
                <w:ilvl w:val="0"/>
                <w:numId w:val="132"/>
              </w:numPr>
              <w:jc w:val="center"/>
              <w:rPr>
                <w:color w:val="000000"/>
                <w:szCs w:val="21"/>
              </w:rPr>
            </w:pPr>
          </w:p>
        </w:tc>
        <w:tc>
          <w:tcPr>
            <w:tcW w:w="1172" w:type="dxa"/>
            <w:vAlign w:val="center"/>
          </w:tcPr>
          <w:p w14:paraId="30808785">
            <w:pPr>
              <w:jc w:val="center"/>
              <w:rPr>
                <w:szCs w:val="21"/>
              </w:rPr>
            </w:pPr>
            <w:r>
              <w:rPr>
                <w:szCs w:val="21"/>
              </w:rPr>
              <w:t>18.3.2（b）</w:t>
            </w:r>
          </w:p>
        </w:tc>
        <w:tc>
          <w:tcPr>
            <w:tcW w:w="2725" w:type="dxa"/>
            <w:vAlign w:val="center"/>
          </w:tcPr>
          <w:p w14:paraId="4A472518">
            <w:pPr>
              <w:rPr>
                <w:szCs w:val="21"/>
              </w:rPr>
            </w:pPr>
            <w:r>
              <w:rPr>
                <w:szCs w:val="21"/>
              </w:rPr>
              <w:t>设置柴油机驱动的消防泵，柴油机应能就地启动和遥控启动，柴油机应能连续启动6次，柴油储量应能保证消防泵至少连续工作18小时；</w:t>
            </w:r>
          </w:p>
        </w:tc>
        <w:tc>
          <w:tcPr>
            <w:tcW w:w="4401" w:type="dxa"/>
            <w:vAlign w:val="center"/>
          </w:tcPr>
          <w:p w14:paraId="2F22B96A">
            <w:pPr>
              <w:rPr>
                <w:szCs w:val="21"/>
              </w:rPr>
            </w:pPr>
            <w:r>
              <w:rPr>
                <w:szCs w:val="21"/>
              </w:rPr>
              <w:t>依据FSS CODE 2.2.2.1作为应急消防泵驱动力的柴油机，这些起动装置，应能在30min内至少使柴油机驱动的动力源起动6次，并在前10min内至少起动2次。</w:t>
            </w:r>
          </w:p>
        </w:tc>
      </w:tr>
      <w:tr w14:paraId="2115C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3FC6DEE2">
            <w:pPr>
              <w:numPr>
                <w:ilvl w:val="0"/>
                <w:numId w:val="132"/>
              </w:numPr>
              <w:jc w:val="center"/>
              <w:rPr>
                <w:color w:val="000000"/>
                <w:szCs w:val="21"/>
              </w:rPr>
            </w:pPr>
          </w:p>
        </w:tc>
        <w:tc>
          <w:tcPr>
            <w:tcW w:w="1172" w:type="dxa"/>
            <w:vAlign w:val="center"/>
          </w:tcPr>
          <w:p w14:paraId="5A27F6EA">
            <w:pPr>
              <w:jc w:val="center"/>
              <w:rPr>
                <w:szCs w:val="21"/>
              </w:rPr>
            </w:pPr>
            <w:r>
              <w:rPr>
                <w:szCs w:val="21"/>
              </w:rPr>
              <w:t>18.6.2</w:t>
            </w:r>
          </w:p>
        </w:tc>
        <w:tc>
          <w:tcPr>
            <w:tcW w:w="2725" w:type="dxa"/>
            <w:vAlign w:val="center"/>
          </w:tcPr>
          <w:p w14:paraId="0D2153D0">
            <w:pPr>
              <w:rPr>
                <w:szCs w:val="21"/>
              </w:rPr>
            </w:pPr>
            <w:r>
              <w:rPr>
                <w:szCs w:val="21"/>
              </w:rPr>
              <w:t>瓶组型灭火系统应具有自动、手动和机械应急操作控制方式。</w:t>
            </w:r>
          </w:p>
        </w:tc>
        <w:tc>
          <w:tcPr>
            <w:tcW w:w="4401" w:type="dxa"/>
            <w:vAlign w:val="center"/>
          </w:tcPr>
          <w:p w14:paraId="2CEBE174">
            <w:pPr>
              <w:rPr>
                <w:szCs w:val="21"/>
              </w:rPr>
            </w:pPr>
            <w:r>
              <w:rPr>
                <w:szCs w:val="21"/>
              </w:rPr>
              <w:t>依据GB50898《细水雾灭火系统技术规范》3.6.1瓶组型灭火系统应具有自动、手动和机械应急操作控制方式。</w:t>
            </w:r>
          </w:p>
        </w:tc>
      </w:tr>
      <w:tr w14:paraId="06112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53984CF9">
            <w:pPr>
              <w:numPr>
                <w:ilvl w:val="0"/>
                <w:numId w:val="132"/>
              </w:numPr>
              <w:jc w:val="center"/>
              <w:rPr>
                <w:color w:val="000000"/>
                <w:szCs w:val="21"/>
              </w:rPr>
            </w:pPr>
          </w:p>
        </w:tc>
        <w:tc>
          <w:tcPr>
            <w:tcW w:w="1172" w:type="dxa"/>
            <w:vAlign w:val="center"/>
          </w:tcPr>
          <w:p w14:paraId="77E3D080">
            <w:pPr>
              <w:jc w:val="center"/>
              <w:rPr>
                <w:szCs w:val="21"/>
              </w:rPr>
            </w:pPr>
            <w:r>
              <w:rPr>
                <w:szCs w:val="21"/>
              </w:rPr>
              <w:t>18.6.3</w:t>
            </w:r>
          </w:p>
        </w:tc>
        <w:tc>
          <w:tcPr>
            <w:tcW w:w="2725" w:type="dxa"/>
            <w:vAlign w:val="center"/>
          </w:tcPr>
          <w:p w14:paraId="3D677947">
            <w:pPr>
              <w:rPr>
                <w:szCs w:val="21"/>
              </w:rPr>
            </w:pPr>
            <w:r>
              <w:rPr>
                <w:szCs w:val="21"/>
              </w:rPr>
              <w:t>泵组型灭火系统应具有自动、手动控制方式。</w:t>
            </w:r>
          </w:p>
        </w:tc>
        <w:tc>
          <w:tcPr>
            <w:tcW w:w="4401" w:type="dxa"/>
            <w:vAlign w:val="center"/>
          </w:tcPr>
          <w:p w14:paraId="7DEAEE7F">
            <w:pPr>
              <w:rPr>
                <w:szCs w:val="21"/>
              </w:rPr>
            </w:pPr>
            <w:r>
              <w:rPr>
                <w:szCs w:val="21"/>
              </w:rPr>
              <w:t>依据GB50898《细水雾灭火系统技术规范》3.6.1泵组系统应具有自动、手动控制方式。</w:t>
            </w:r>
          </w:p>
        </w:tc>
      </w:tr>
      <w:tr w14:paraId="73080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94" w:type="dxa"/>
            <w:gridSpan w:val="4"/>
          </w:tcPr>
          <w:p w14:paraId="7158EC04">
            <w:pPr>
              <w:jc w:val="center"/>
              <w:rPr>
                <w:color w:val="333333"/>
                <w:szCs w:val="21"/>
              </w:rPr>
            </w:pPr>
            <w:r>
              <w:rPr>
                <w:color w:val="333333"/>
                <w:szCs w:val="21"/>
              </w:rPr>
              <w:t>救逃生系统</w:t>
            </w:r>
          </w:p>
        </w:tc>
      </w:tr>
      <w:tr w14:paraId="0BC31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0A4B85C5">
            <w:pPr>
              <w:numPr>
                <w:ilvl w:val="0"/>
                <w:numId w:val="132"/>
              </w:numPr>
              <w:jc w:val="center"/>
              <w:rPr>
                <w:color w:val="000000"/>
                <w:szCs w:val="21"/>
              </w:rPr>
            </w:pPr>
          </w:p>
        </w:tc>
        <w:tc>
          <w:tcPr>
            <w:tcW w:w="1172" w:type="dxa"/>
            <w:vAlign w:val="center"/>
          </w:tcPr>
          <w:p w14:paraId="2F8AF5FE">
            <w:pPr>
              <w:jc w:val="center"/>
              <w:rPr>
                <w:szCs w:val="21"/>
              </w:rPr>
            </w:pPr>
            <w:r>
              <w:rPr>
                <w:szCs w:val="21"/>
              </w:rPr>
              <w:t>19.11.4</w:t>
            </w:r>
          </w:p>
        </w:tc>
        <w:tc>
          <w:tcPr>
            <w:tcW w:w="2725" w:type="dxa"/>
            <w:vAlign w:val="center"/>
          </w:tcPr>
          <w:p w14:paraId="645A9793">
            <w:pPr>
              <w:rPr>
                <w:szCs w:val="21"/>
              </w:rPr>
            </w:pPr>
            <w:r>
              <w:t>在平台上有可能遭遇到H</w:t>
            </w:r>
            <w:r>
              <w:rPr>
                <w:vertAlign w:val="subscript"/>
              </w:rPr>
              <w:t>2</w:t>
            </w:r>
            <w:r>
              <w:t>S气体或高浓度CO</w:t>
            </w:r>
            <w:r>
              <w:rPr>
                <w:vertAlign w:val="subscript"/>
              </w:rPr>
              <w:t>2</w:t>
            </w:r>
            <w:r>
              <w:t>的工作处所，每一位现场操作人员应配备一套全面罩式、正压自给式呼吸装置，该装置的额定供气时间应至少为30 min。必要时可配备集中式供气系统</w:t>
            </w:r>
            <w:r>
              <w:rPr>
                <w:szCs w:val="21"/>
              </w:rPr>
              <w:t>；</w:t>
            </w:r>
          </w:p>
        </w:tc>
        <w:tc>
          <w:tcPr>
            <w:tcW w:w="4401" w:type="dxa"/>
            <w:vAlign w:val="center"/>
          </w:tcPr>
          <w:p w14:paraId="103F6FA5">
            <w:pPr>
              <w:rPr>
                <w:szCs w:val="21"/>
              </w:rPr>
            </w:pPr>
            <w:r>
              <w:rPr>
                <w:szCs w:val="21"/>
              </w:rPr>
              <w:t>依据《海洋石油安全管理细则》第六十九条在已知存在含硫油气生产设施上，全员配备正压式空气呼吸器，并配备一定数量的备用气瓶及1台呼吸器空气压缩机。</w:t>
            </w:r>
          </w:p>
        </w:tc>
      </w:tr>
      <w:tr w14:paraId="4383D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0DE13A78">
            <w:pPr>
              <w:numPr>
                <w:ilvl w:val="0"/>
                <w:numId w:val="132"/>
              </w:numPr>
              <w:jc w:val="center"/>
              <w:rPr>
                <w:color w:val="000000"/>
                <w:szCs w:val="21"/>
              </w:rPr>
            </w:pPr>
          </w:p>
        </w:tc>
        <w:tc>
          <w:tcPr>
            <w:tcW w:w="1172" w:type="dxa"/>
            <w:vAlign w:val="center"/>
          </w:tcPr>
          <w:p w14:paraId="37A9C94B">
            <w:pPr>
              <w:jc w:val="center"/>
              <w:rPr>
                <w:szCs w:val="21"/>
              </w:rPr>
            </w:pPr>
            <w:r>
              <w:rPr>
                <w:szCs w:val="21"/>
              </w:rPr>
              <w:t>19.11.5</w:t>
            </w:r>
          </w:p>
        </w:tc>
        <w:tc>
          <w:tcPr>
            <w:tcW w:w="2725" w:type="dxa"/>
            <w:vAlign w:val="center"/>
          </w:tcPr>
          <w:p w14:paraId="0F8DE38E">
            <w:pPr>
              <w:pStyle w:val="326"/>
              <w:numPr>
                <w:ilvl w:val="0"/>
                <w:numId w:val="0"/>
              </w:numPr>
              <w:rPr>
                <w:rFonts w:ascii="Times New Roman"/>
                <w:kern w:val="2"/>
              </w:rPr>
            </w:pPr>
            <w:r>
              <w:rPr>
                <w:rFonts w:ascii="Times New Roman"/>
              </w:rPr>
              <w:t>生活区按照平台总人数配备全面罩式、正压自给式呼吸装置，额定供气时间不应少于15 min；其他区域根据作业人数和作业性质配备正压自给式呼吸器。</w:t>
            </w:r>
          </w:p>
        </w:tc>
        <w:tc>
          <w:tcPr>
            <w:tcW w:w="4401" w:type="dxa"/>
            <w:vAlign w:val="center"/>
          </w:tcPr>
          <w:p w14:paraId="0EDBDA71">
            <w:pPr>
              <w:rPr>
                <w:szCs w:val="21"/>
              </w:rPr>
            </w:pPr>
            <w:r>
              <w:rPr>
                <w:szCs w:val="21"/>
              </w:rPr>
              <w:t>依据《海洋石油安全管理细则》第六十九条在已知存在含硫油气生产设施上，全员配备正压式空气呼吸器，并配备一定数量的备用气瓶及1台呼吸器空气压缩机。</w:t>
            </w:r>
          </w:p>
        </w:tc>
      </w:tr>
      <w:tr w14:paraId="45714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5B627C4F">
            <w:pPr>
              <w:numPr>
                <w:ilvl w:val="0"/>
                <w:numId w:val="132"/>
              </w:numPr>
              <w:jc w:val="center"/>
              <w:rPr>
                <w:color w:val="000000"/>
                <w:szCs w:val="21"/>
              </w:rPr>
            </w:pPr>
          </w:p>
        </w:tc>
        <w:tc>
          <w:tcPr>
            <w:tcW w:w="1172" w:type="dxa"/>
            <w:vAlign w:val="center"/>
          </w:tcPr>
          <w:p w14:paraId="261A9286">
            <w:pPr>
              <w:jc w:val="center"/>
              <w:rPr>
                <w:szCs w:val="21"/>
              </w:rPr>
            </w:pPr>
            <w:r>
              <w:rPr>
                <w:szCs w:val="21"/>
              </w:rPr>
              <w:t>19.13.1</w:t>
            </w:r>
          </w:p>
        </w:tc>
        <w:tc>
          <w:tcPr>
            <w:tcW w:w="2725" w:type="dxa"/>
            <w:vAlign w:val="center"/>
          </w:tcPr>
          <w:p w14:paraId="42E1D660">
            <w:pPr>
              <w:rPr>
                <w:szCs w:val="21"/>
              </w:rPr>
            </w:pPr>
            <w:r>
              <w:rPr>
                <w:szCs w:val="21"/>
              </w:rPr>
              <w:t>登艇集合区的面积应不低于0.35m</w:t>
            </w:r>
            <w:r>
              <w:rPr>
                <w:szCs w:val="21"/>
                <w:vertAlign w:val="superscript"/>
              </w:rPr>
              <w:t>2</w:t>
            </w:r>
            <w:r>
              <w:rPr>
                <w:szCs w:val="21"/>
              </w:rPr>
              <w:t>/人。配置呼吸器的平台，集合区面积不低于0.56m</w:t>
            </w:r>
            <w:r>
              <w:rPr>
                <w:szCs w:val="21"/>
                <w:vertAlign w:val="superscript"/>
              </w:rPr>
              <w:t>2</w:t>
            </w:r>
            <w:r>
              <w:rPr>
                <w:szCs w:val="21"/>
              </w:rPr>
              <w:t>/人。</w:t>
            </w:r>
          </w:p>
        </w:tc>
        <w:tc>
          <w:tcPr>
            <w:tcW w:w="4401" w:type="dxa"/>
            <w:vAlign w:val="center"/>
          </w:tcPr>
          <w:p w14:paraId="1DA85DC2">
            <w:pPr>
              <w:rPr>
                <w:szCs w:val="21"/>
              </w:rPr>
            </w:pPr>
            <w:r>
              <w:rPr>
                <w:szCs w:val="21"/>
              </w:rPr>
              <w:t>依据SOLAS中第25条集合站，有集结和指挥乘客用的宽敞场地，每位乘客所占面积至少为0.35m</w:t>
            </w:r>
            <w:r>
              <w:rPr>
                <w:szCs w:val="21"/>
                <w:vertAlign w:val="superscript"/>
              </w:rPr>
              <w:t>2</w:t>
            </w:r>
            <w:r>
              <w:rPr>
                <w:szCs w:val="21"/>
              </w:rPr>
              <w:t>。参考NFPA101配置呼吸器时人员所占面积增大，结合国内项目实践集合区面积推荐0.56m</w:t>
            </w:r>
            <w:r>
              <w:rPr>
                <w:szCs w:val="21"/>
                <w:vertAlign w:val="superscript"/>
              </w:rPr>
              <w:t>2</w:t>
            </w:r>
            <w:r>
              <w:rPr>
                <w:szCs w:val="21"/>
              </w:rPr>
              <w:t>/人。</w:t>
            </w:r>
          </w:p>
        </w:tc>
      </w:tr>
      <w:tr w14:paraId="0E18F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36D5BF87">
            <w:pPr>
              <w:numPr>
                <w:ilvl w:val="0"/>
                <w:numId w:val="132"/>
              </w:numPr>
              <w:jc w:val="center"/>
              <w:rPr>
                <w:color w:val="000000"/>
                <w:szCs w:val="21"/>
              </w:rPr>
            </w:pPr>
          </w:p>
        </w:tc>
        <w:tc>
          <w:tcPr>
            <w:tcW w:w="1172" w:type="dxa"/>
            <w:vAlign w:val="center"/>
          </w:tcPr>
          <w:p w14:paraId="1B6CC98D">
            <w:pPr>
              <w:jc w:val="center"/>
              <w:rPr>
                <w:szCs w:val="21"/>
              </w:rPr>
            </w:pPr>
            <w:r>
              <w:rPr>
                <w:szCs w:val="21"/>
              </w:rPr>
              <w:t>19.14</w:t>
            </w:r>
          </w:p>
        </w:tc>
        <w:tc>
          <w:tcPr>
            <w:tcW w:w="2725" w:type="dxa"/>
            <w:vAlign w:val="center"/>
          </w:tcPr>
          <w:p w14:paraId="0F676408">
            <w:pPr>
              <w:jc w:val="center"/>
              <w:rPr>
                <w:szCs w:val="21"/>
              </w:rPr>
            </w:pPr>
            <w:r>
              <w:rPr>
                <w:szCs w:val="21"/>
              </w:rPr>
              <w:t>临时避难所</w:t>
            </w:r>
          </w:p>
        </w:tc>
        <w:tc>
          <w:tcPr>
            <w:tcW w:w="4401" w:type="dxa"/>
            <w:vAlign w:val="center"/>
          </w:tcPr>
          <w:p w14:paraId="0A62C772">
            <w:pPr>
              <w:rPr>
                <w:szCs w:val="21"/>
              </w:rPr>
            </w:pPr>
            <w:r>
              <w:rPr>
                <w:szCs w:val="21"/>
              </w:rPr>
              <w:t>参考ABS、DNV等规范内容，结合海上平台已有临时避难所设置。</w:t>
            </w:r>
          </w:p>
        </w:tc>
      </w:tr>
      <w:tr w14:paraId="0460E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94" w:type="dxa"/>
            <w:gridSpan w:val="4"/>
          </w:tcPr>
          <w:p w14:paraId="7EF5B62E">
            <w:pPr>
              <w:jc w:val="center"/>
              <w:rPr>
                <w:color w:val="333333"/>
                <w:szCs w:val="21"/>
              </w:rPr>
            </w:pPr>
            <w:r>
              <w:rPr>
                <w:szCs w:val="21"/>
              </w:rPr>
              <w:t>助航标志与信号</w:t>
            </w:r>
          </w:p>
        </w:tc>
      </w:tr>
      <w:tr w14:paraId="725C7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61A281A8">
            <w:pPr>
              <w:numPr>
                <w:ilvl w:val="0"/>
                <w:numId w:val="132"/>
              </w:numPr>
              <w:jc w:val="center"/>
              <w:rPr>
                <w:color w:val="000000"/>
                <w:szCs w:val="21"/>
              </w:rPr>
            </w:pPr>
          </w:p>
        </w:tc>
        <w:tc>
          <w:tcPr>
            <w:tcW w:w="1172" w:type="dxa"/>
            <w:vAlign w:val="center"/>
          </w:tcPr>
          <w:p w14:paraId="79E5E61C">
            <w:pPr>
              <w:jc w:val="center"/>
              <w:rPr>
                <w:szCs w:val="21"/>
              </w:rPr>
            </w:pPr>
            <w:r>
              <w:rPr>
                <w:szCs w:val="21"/>
              </w:rPr>
              <w:t>20.2.1</w:t>
            </w:r>
          </w:p>
        </w:tc>
        <w:tc>
          <w:tcPr>
            <w:tcW w:w="2725" w:type="dxa"/>
            <w:vAlign w:val="center"/>
          </w:tcPr>
          <w:p w14:paraId="20150415">
            <w:pPr>
              <w:jc w:val="center"/>
              <w:rPr>
                <w:szCs w:val="21"/>
              </w:rPr>
            </w:pPr>
            <w:r>
              <w:rPr>
                <w:szCs w:val="21"/>
              </w:rPr>
              <w:t>助航标识灯</w:t>
            </w:r>
          </w:p>
        </w:tc>
        <w:tc>
          <w:tcPr>
            <w:tcW w:w="4401" w:type="dxa"/>
            <w:vAlign w:val="center"/>
          </w:tcPr>
          <w:p w14:paraId="6BD43E1B">
            <w:pPr>
              <w:rPr>
                <w:szCs w:val="21"/>
              </w:rPr>
            </w:pPr>
            <w:r>
              <w:rPr>
                <w:szCs w:val="21"/>
              </w:rPr>
              <w:t>依据GB17380-2020对助航标识灯光强和射程予以规定。</w:t>
            </w:r>
          </w:p>
        </w:tc>
      </w:tr>
      <w:tr w14:paraId="180F3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0A7A4417">
            <w:pPr>
              <w:numPr>
                <w:ilvl w:val="0"/>
                <w:numId w:val="132"/>
              </w:numPr>
              <w:jc w:val="center"/>
              <w:rPr>
                <w:color w:val="000000"/>
                <w:szCs w:val="21"/>
              </w:rPr>
            </w:pPr>
          </w:p>
        </w:tc>
        <w:tc>
          <w:tcPr>
            <w:tcW w:w="1172" w:type="dxa"/>
            <w:vAlign w:val="center"/>
          </w:tcPr>
          <w:p w14:paraId="7F938E9F">
            <w:pPr>
              <w:jc w:val="center"/>
              <w:rPr>
                <w:szCs w:val="21"/>
              </w:rPr>
            </w:pPr>
            <w:r>
              <w:rPr>
                <w:szCs w:val="21"/>
              </w:rPr>
              <w:t>20.2.2</w:t>
            </w:r>
          </w:p>
        </w:tc>
        <w:tc>
          <w:tcPr>
            <w:tcW w:w="2725" w:type="dxa"/>
            <w:vAlign w:val="center"/>
          </w:tcPr>
          <w:p w14:paraId="3176ACDC">
            <w:pPr>
              <w:jc w:val="center"/>
              <w:rPr>
                <w:szCs w:val="21"/>
              </w:rPr>
            </w:pPr>
            <w:r>
              <w:rPr>
                <w:szCs w:val="21"/>
              </w:rPr>
              <w:t>障碍灯</w:t>
            </w:r>
          </w:p>
        </w:tc>
        <w:tc>
          <w:tcPr>
            <w:tcW w:w="4401" w:type="dxa"/>
            <w:vAlign w:val="center"/>
          </w:tcPr>
          <w:p w14:paraId="10F4CACB">
            <w:pPr>
              <w:rPr>
                <w:szCs w:val="21"/>
              </w:rPr>
            </w:pPr>
            <w:r>
              <w:rPr>
                <w:szCs w:val="21"/>
              </w:rPr>
              <w:t>依据GB/T 37307对障碍灯安装要求予以规定，依据CAP 437和MH/T 6012对障碍灯的强度予以规定。</w:t>
            </w:r>
          </w:p>
        </w:tc>
      </w:tr>
      <w:tr w14:paraId="1BA60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tcPr>
          <w:p w14:paraId="69E344DA">
            <w:pPr>
              <w:numPr>
                <w:ilvl w:val="0"/>
                <w:numId w:val="132"/>
              </w:numPr>
              <w:jc w:val="center"/>
              <w:rPr>
                <w:color w:val="000000"/>
                <w:szCs w:val="21"/>
              </w:rPr>
            </w:pPr>
          </w:p>
        </w:tc>
        <w:tc>
          <w:tcPr>
            <w:tcW w:w="1172" w:type="dxa"/>
            <w:vAlign w:val="center"/>
          </w:tcPr>
          <w:p w14:paraId="6162DBFC">
            <w:pPr>
              <w:jc w:val="center"/>
              <w:rPr>
                <w:szCs w:val="21"/>
              </w:rPr>
            </w:pPr>
            <w:r>
              <w:rPr>
                <w:szCs w:val="21"/>
              </w:rPr>
              <w:t>20.2.3</w:t>
            </w:r>
          </w:p>
        </w:tc>
        <w:tc>
          <w:tcPr>
            <w:tcW w:w="2725" w:type="dxa"/>
            <w:vAlign w:val="center"/>
          </w:tcPr>
          <w:p w14:paraId="34043A7B">
            <w:pPr>
              <w:jc w:val="center"/>
              <w:rPr>
                <w:szCs w:val="21"/>
              </w:rPr>
            </w:pPr>
            <w:r>
              <w:rPr>
                <w:szCs w:val="21"/>
              </w:rPr>
              <w:t>雾笛</w:t>
            </w:r>
          </w:p>
        </w:tc>
        <w:tc>
          <w:tcPr>
            <w:tcW w:w="4401" w:type="dxa"/>
            <w:vAlign w:val="center"/>
          </w:tcPr>
          <w:p w14:paraId="5020ADBE">
            <w:pPr>
              <w:rPr>
                <w:szCs w:val="21"/>
              </w:rPr>
            </w:pPr>
            <w:r>
              <w:rPr>
                <w:szCs w:val="21"/>
              </w:rPr>
              <w:t>依据《海上固定平台安全规则》规定了雾笛的听程和音响信号要求。</w:t>
            </w:r>
          </w:p>
        </w:tc>
      </w:tr>
      <w:tr w14:paraId="76F0C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94" w:type="dxa"/>
            <w:gridSpan w:val="4"/>
            <w:vAlign w:val="center"/>
          </w:tcPr>
          <w:p w14:paraId="72582395">
            <w:pPr>
              <w:jc w:val="center"/>
              <w:rPr>
                <w:szCs w:val="21"/>
              </w:rPr>
            </w:pPr>
            <w:r>
              <w:rPr>
                <w:szCs w:val="21"/>
              </w:rPr>
              <w:t>通信</w:t>
            </w:r>
          </w:p>
        </w:tc>
      </w:tr>
      <w:tr w14:paraId="6531D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63BD79C7">
            <w:pPr>
              <w:numPr>
                <w:ilvl w:val="0"/>
                <w:numId w:val="132"/>
              </w:numPr>
              <w:jc w:val="center"/>
              <w:rPr>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1F9A779C">
            <w:pPr>
              <w:jc w:val="center"/>
              <w:rPr>
                <w:szCs w:val="21"/>
              </w:rPr>
            </w:pPr>
            <w:r>
              <w:rPr>
                <w:szCs w:val="21"/>
              </w:rPr>
              <w:t>21.1.2</w:t>
            </w:r>
          </w:p>
        </w:tc>
        <w:tc>
          <w:tcPr>
            <w:tcW w:w="2725" w:type="dxa"/>
            <w:vAlign w:val="center"/>
          </w:tcPr>
          <w:p w14:paraId="588DA41F">
            <w:pPr>
              <w:jc w:val="center"/>
              <w:rPr>
                <w:szCs w:val="21"/>
              </w:rPr>
            </w:pPr>
            <w:r>
              <w:rPr>
                <w:szCs w:val="21"/>
              </w:rPr>
              <w:t>一般规定</w:t>
            </w:r>
          </w:p>
        </w:tc>
        <w:tc>
          <w:tcPr>
            <w:tcW w:w="4401" w:type="dxa"/>
            <w:vAlign w:val="center"/>
          </w:tcPr>
          <w:p w14:paraId="155A21A0">
            <w:pPr>
              <w:pStyle w:val="326"/>
              <w:numPr>
                <w:ilvl w:val="0"/>
                <w:numId w:val="0"/>
              </w:numPr>
              <w:rPr>
                <w:rFonts w:ascii="Times New Roman"/>
                <w:kern w:val="2"/>
              </w:rPr>
            </w:pPr>
            <w:r>
              <w:rPr>
                <w:rFonts w:ascii="Times New Roman"/>
              </w:rPr>
              <w:t>依据实际取证要求，增加了：无线电设备应取得政府颁发的电台执照及MMSI证书。</w:t>
            </w:r>
          </w:p>
        </w:tc>
      </w:tr>
      <w:tr w14:paraId="2A8FD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4A676E6A">
            <w:pPr>
              <w:numPr>
                <w:ilvl w:val="0"/>
                <w:numId w:val="132"/>
              </w:numPr>
              <w:jc w:val="center"/>
              <w:rPr>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1FD67B61">
            <w:pPr>
              <w:jc w:val="center"/>
              <w:rPr>
                <w:szCs w:val="21"/>
              </w:rPr>
            </w:pPr>
            <w:r>
              <w:rPr>
                <w:szCs w:val="21"/>
              </w:rPr>
              <w:t>21.2.1</w:t>
            </w:r>
          </w:p>
        </w:tc>
        <w:tc>
          <w:tcPr>
            <w:tcW w:w="2725" w:type="dxa"/>
            <w:vAlign w:val="center"/>
          </w:tcPr>
          <w:p w14:paraId="5746DA2F">
            <w:pPr>
              <w:jc w:val="center"/>
              <w:rPr>
                <w:szCs w:val="21"/>
              </w:rPr>
            </w:pPr>
            <w:r>
              <w:rPr>
                <w:szCs w:val="21"/>
              </w:rPr>
              <w:t>外部通信设备</w:t>
            </w:r>
          </w:p>
        </w:tc>
        <w:tc>
          <w:tcPr>
            <w:tcW w:w="4401" w:type="dxa"/>
            <w:vAlign w:val="center"/>
          </w:tcPr>
          <w:p w14:paraId="2B85C3EC">
            <w:pPr>
              <w:rPr>
                <w:szCs w:val="21"/>
              </w:rPr>
            </w:pPr>
            <w:r>
              <w:rPr>
                <w:szCs w:val="21"/>
              </w:rPr>
              <w:t>明确：21.2.1.1通信中心平台</w:t>
            </w:r>
          </w:p>
          <w:p w14:paraId="326C6EBC">
            <w:pPr>
              <w:rPr>
                <w:szCs w:val="21"/>
              </w:rPr>
            </w:pPr>
            <w:r>
              <w:rPr>
                <w:szCs w:val="21"/>
              </w:rPr>
              <w:t>增加：21.2.1.2奈伏泰斯英文名称（NAVTEX）</w:t>
            </w:r>
          </w:p>
          <w:p w14:paraId="479E791B">
            <w:pPr>
              <w:rPr>
                <w:szCs w:val="21"/>
              </w:rPr>
            </w:pPr>
            <w:r>
              <w:rPr>
                <w:szCs w:val="21"/>
              </w:rPr>
              <w:t>增加：21.2.1.3奈伏泰斯英文名称（NAVTEX）</w:t>
            </w:r>
          </w:p>
          <w:p w14:paraId="4CDDBD83">
            <w:pPr>
              <w:rPr>
                <w:szCs w:val="21"/>
              </w:rPr>
            </w:pPr>
            <w:r>
              <w:rPr>
                <w:szCs w:val="21"/>
              </w:rPr>
              <w:t>明确：21.2.1.4通信中心平台、</w:t>
            </w:r>
            <w:r>
              <w:rPr>
                <w:kern w:val="0"/>
                <w:szCs w:val="21"/>
              </w:rPr>
              <w:t>无人驻守作业平台及</w:t>
            </w:r>
            <w:r>
              <w:rPr>
                <w:szCs w:val="21"/>
              </w:rPr>
              <w:t>有栈桥连结并设有救生艇筏的应急通信配置</w:t>
            </w:r>
          </w:p>
          <w:p w14:paraId="0314B861">
            <w:pPr>
              <w:rPr>
                <w:szCs w:val="21"/>
              </w:rPr>
            </w:pPr>
            <w:r>
              <w:rPr>
                <w:szCs w:val="21"/>
              </w:rPr>
              <w:t>删除：21.2.1.5还应遵守《民用直升机海上平台运行规定》（民航总局令第67号）</w:t>
            </w:r>
          </w:p>
          <w:p w14:paraId="4EEECD22">
            <w:pPr>
              <w:rPr>
                <w:szCs w:val="21"/>
              </w:rPr>
            </w:pPr>
            <w:r>
              <w:rPr>
                <w:szCs w:val="21"/>
              </w:rPr>
              <w:t>增加：21.2.1.8光纤通信及微波配置要求</w:t>
            </w:r>
          </w:p>
        </w:tc>
      </w:tr>
      <w:tr w14:paraId="40A0A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0AE9F127">
            <w:pPr>
              <w:numPr>
                <w:ilvl w:val="0"/>
                <w:numId w:val="132"/>
              </w:numPr>
              <w:jc w:val="center"/>
              <w:rPr>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12867960">
            <w:pPr>
              <w:jc w:val="center"/>
              <w:rPr>
                <w:szCs w:val="21"/>
              </w:rPr>
            </w:pPr>
            <w:r>
              <w:rPr>
                <w:szCs w:val="21"/>
              </w:rPr>
              <w:t>21.2.2</w:t>
            </w:r>
          </w:p>
        </w:tc>
        <w:tc>
          <w:tcPr>
            <w:tcW w:w="2725" w:type="dxa"/>
            <w:vAlign w:val="center"/>
          </w:tcPr>
          <w:p w14:paraId="2A1BAF7E">
            <w:pPr>
              <w:jc w:val="center"/>
              <w:rPr>
                <w:szCs w:val="21"/>
              </w:rPr>
            </w:pPr>
            <w:r>
              <w:rPr>
                <w:szCs w:val="21"/>
              </w:rPr>
              <w:t>内部通信设备</w:t>
            </w:r>
          </w:p>
        </w:tc>
        <w:tc>
          <w:tcPr>
            <w:tcW w:w="4401" w:type="dxa"/>
            <w:vAlign w:val="center"/>
          </w:tcPr>
          <w:p w14:paraId="6505C806">
            <w:pPr>
              <w:rPr>
                <w:szCs w:val="21"/>
              </w:rPr>
            </w:pPr>
            <w:r>
              <w:rPr>
                <w:szCs w:val="21"/>
              </w:rPr>
              <w:t>根据安全要求规定：21.2.2.4通信中心平台应配备冗余广播告警系统（A/B双主机）。</w:t>
            </w:r>
          </w:p>
          <w:p w14:paraId="12BA1D6C">
            <w:pPr>
              <w:rPr>
                <w:szCs w:val="21"/>
              </w:rPr>
            </w:pPr>
            <w:r>
              <w:rPr>
                <w:szCs w:val="21"/>
              </w:rPr>
              <w:t>根据安全要求规定：21.2.3视频监控、AIS及雷达的配置要求。</w:t>
            </w:r>
          </w:p>
        </w:tc>
      </w:tr>
      <w:tr w14:paraId="15E38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5E684E55">
            <w:pPr>
              <w:numPr>
                <w:ilvl w:val="0"/>
                <w:numId w:val="132"/>
              </w:numPr>
              <w:jc w:val="center"/>
              <w:rPr>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67536637">
            <w:pPr>
              <w:jc w:val="center"/>
              <w:rPr>
                <w:szCs w:val="21"/>
              </w:rPr>
            </w:pPr>
            <w:r>
              <w:rPr>
                <w:szCs w:val="21"/>
              </w:rPr>
              <w:t>21.4</w:t>
            </w:r>
          </w:p>
        </w:tc>
        <w:tc>
          <w:tcPr>
            <w:tcW w:w="2725" w:type="dxa"/>
            <w:vAlign w:val="center"/>
          </w:tcPr>
          <w:p w14:paraId="304E1191">
            <w:pPr>
              <w:jc w:val="center"/>
              <w:rPr>
                <w:szCs w:val="21"/>
              </w:rPr>
            </w:pPr>
            <w:r>
              <w:rPr>
                <w:szCs w:val="21"/>
              </w:rPr>
              <w:t>电源</w:t>
            </w:r>
          </w:p>
        </w:tc>
        <w:tc>
          <w:tcPr>
            <w:tcW w:w="4401" w:type="dxa"/>
            <w:vAlign w:val="center"/>
          </w:tcPr>
          <w:p w14:paraId="70461464">
            <w:pPr>
              <w:rPr>
                <w:szCs w:val="21"/>
              </w:rPr>
            </w:pPr>
            <w:r>
              <w:rPr>
                <w:szCs w:val="21"/>
              </w:rPr>
              <w:t>依据设计需求：21.4.1主电源和应急电源应能向重要通信设备供电及作为通信设备备用电源的蓄电池组充电。</w:t>
            </w:r>
          </w:p>
        </w:tc>
      </w:tr>
      <w:tr w14:paraId="0BD4D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028ADB63">
            <w:pPr>
              <w:numPr>
                <w:ilvl w:val="0"/>
                <w:numId w:val="132"/>
              </w:numPr>
              <w:jc w:val="center"/>
              <w:rPr>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15BEFDE3">
            <w:pPr>
              <w:jc w:val="center"/>
              <w:rPr>
                <w:szCs w:val="21"/>
              </w:rPr>
            </w:pPr>
            <w:r>
              <w:rPr>
                <w:szCs w:val="21"/>
              </w:rPr>
              <w:t>21.6</w:t>
            </w:r>
          </w:p>
        </w:tc>
        <w:tc>
          <w:tcPr>
            <w:tcW w:w="2725" w:type="dxa"/>
            <w:vAlign w:val="center"/>
          </w:tcPr>
          <w:p w14:paraId="14521842">
            <w:pPr>
              <w:pStyle w:val="260"/>
              <w:numPr>
                <w:ilvl w:val="0"/>
                <w:numId w:val="0"/>
              </w:numPr>
              <w:jc w:val="center"/>
              <w:outlineLvl w:val="1"/>
              <w:rPr>
                <w:rFonts w:ascii="Times New Roman" w:eastAsia="宋体"/>
                <w:kern w:val="2"/>
              </w:rPr>
            </w:pPr>
            <w:r>
              <w:rPr>
                <w:rFonts w:ascii="Times New Roman" w:eastAsia="宋体"/>
                <w:kern w:val="2"/>
              </w:rPr>
              <w:t>电缆及接地</w:t>
            </w:r>
          </w:p>
        </w:tc>
        <w:tc>
          <w:tcPr>
            <w:tcW w:w="4401" w:type="dxa"/>
            <w:vAlign w:val="center"/>
          </w:tcPr>
          <w:p w14:paraId="568ED8CC">
            <w:pPr>
              <w:rPr>
                <w:szCs w:val="21"/>
              </w:rPr>
            </w:pPr>
            <w:r>
              <w:rPr>
                <w:szCs w:val="21"/>
              </w:rPr>
              <w:t>修改引用章节：21.6.1.3通信电缆及危险区内的通信电缆应符合本《规范》14.1、14.8 的有关规定。</w:t>
            </w:r>
          </w:p>
        </w:tc>
      </w:tr>
      <w:tr w14:paraId="143B3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6" w:type="dxa"/>
            <w:vAlign w:val="center"/>
          </w:tcPr>
          <w:p w14:paraId="2042AEF4">
            <w:pPr>
              <w:numPr>
                <w:ilvl w:val="0"/>
                <w:numId w:val="132"/>
              </w:numPr>
              <w:jc w:val="center"/>
              <w:rPr>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57DBA8EA">
            <w:pPr>
              <w:jc w:val="center"/>
              <w:rPr>
                <w:szCs w:val="21"/>
              </w:rPr>
            </w:pPr>
          </w:p>
        </w:tc>
        <w:tc>
          <w:tcPr>
            <w:tcW w:w="2725" w:type="dxa"/>
            <w:vAlign w:val="center"/>
          </w:tcPr>
          <w:p w14:paraId="1285505F">
            <w:pPr>
              <w:jc w:val="center"/>
              <w:rPr>
                <w:szCs w:val="21"/>
              </w:rPr>
            </w:pPr>
            <w:r>
              <w:rPr>
                <w:szCs w:val="21"/>
              </w:rPr>
              <w:t>注：</w:t>
            </w:r>
          </w:p>
        </w:tc>
        <w:tc>
          <w:tcPr>
            <w:tcW w:w="4401" w:type="dxa"/>
            <w:vAlign w:val="center"/>
          </w:tcPr>
          <w:p w14:paraId="27663BD1">
            <w:pPr>
              <w:pStyle w:val="303"/>
              <w:numPr>
                <w:ilvl w:val="0"/>
                <w:numId w:val="0"/>
              </w:numPr>
              <w:rPr>
                <w:rFonts w:ascii="Times New Roman"/>
                <w:kern w:val="2"/>
                <w:sz w:val="21"/>
                <w:szCs w:val="21"/>
              </w:rPr>
            </w:pPr>
            <w:r>
              <w:rPr>
                <w:rFonts w:ascii="Times New Roman"/>
                <w:sz w:val="20"/>
                <w:szCs w:val="20"/>
              </w:rPr>
              <w:t>根据国家对A1A2海区规定，增加：中国A1海区参见“海事局公告2009年第5号-关于发布我国A1A2海区覆盖范围的公告”。</w:t>
            </w:r>
          </w:p>
        </w:tc>
      </w:tr>
    </w:tbl>
    <w:p w14:paraId="2A674809">
      <w:pPr>
        <w:spacing w:line="360" w:lineRule="auto"/>
        <w:ind w:firstLine="480" w:firstLineChars="200"/>
        <w:rPr>
          <w:sz w:val="24"/>
        </w:rPr>
      </w:pPr>
    </w:p>
    <w:p w14:paraId="6C1489F6">
      <w:pPr>
        <w:numPr>
          <w:ilvl w:val="255"/>
          <w:numId w:val="0"/>
        </w:numPr>
        <w:ind w:firstLine="420" w:firstLineChars="200"/>
      </w:pPr>
    </w:p>
    <w:sectPr>
      <w:pgSz w:w="11907" w:h="16839"/>
      <w:pgMar w:top="1418" w:right="1134" w:bottom="1134" w:left="1418" w:header="1418" w:footer="113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9" w:usb3="00000000" w:csb0="200001FF" w:csb1="00000000"/>
  </w:font>
  <w:font w:name="Microsoft YaHei UI">
    <w:altName w:val="宋体"/>
    <w:panose1 w:val="020B0503020204020204"/>
    <w:charset w:val="86"/>
    <w:family w:val="swiss"/>
    <w:pitch w:val="default"/>
    <w:sig w:usb0="00000000" w:usb1="00000000" w:usb2="00000016" w:usb3="00000000" w:csb0="0004001F" w:csb1="00000000"/>
  </w:font>
  <w:font w:name="Britannic Bold">
    <w:altName w:val="Segoe Print"/>
    <w:panose1 w:val="020B0903060703020204"/>
    <w:charset w:val="00"/>
    <w:family w:val="swiss"/>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Arial Black">
    <w:panose1 w:val="020B0A04020102020204"/>
    <w:charset w:val="00"/>
    <w:family w:val="swiss"/>
    <w:pitch w:val="default"/>
    <w:sig w:usb0="00000287" w:usb1="00000000" w:usb2="00000000" w:usb3="00000000" w:csb0="2000009F" w:csb1="DFD70000"/>
  </w:font>
  <w:font w:name="TimesNewRomanPSMT">
    <w:altName w:val="Times New Roman"/>
    <w:panose1 w:val="00000000000000000000"/>
    <w:charset w:val="00"/>
    <w:family w:val="auto"/>
    <w:pitch w:val="default"/>
    <w:sig w:usb0="00000000" w:usb1="00000000" w:usb2="00000000" w:usb3="00000000" w:csb0="00040001" w:csb1="00000000"/>
  </w:font>
  <w:font w:name="Univers">
    <w:altName w:val="Segoe Print"/>
    <w:panose1 w:val="00000000000000000000"/>
    <w:charset w:val="00"/>
    <w:family w:val="swiss"/>
    <w:pitch w:val="default"/>
    <w:sig w:usb0="00000000" w:usb1="00000000" w:usb2="00000000" w:usb3="00000000" w:csb0="0000000F" w:csb1="00000000"/>
  </w:font>
  <w:font w:name="Verdana">
    <w:panose1 w:val="020B0604030504040204"/>
    <w:charset w:val="00"/>
    <w:family w:val="swiss"/>
    <w:pitch w:val="default"/>
    <w:sig w:usb0="A10006FF" w:usb1="4000205B" w:usb2="0000001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Helvetica">
    <w:altName w:val="Arial"/>
    <w:panose1 w:val="020B0604020202020204"/>
    <w:charset w:val="00"/>
    <w:family w:val="swiss"/>
    <w:pitch w:val="default"/>
    <w:sig w:usb0="00000000" w:usb1="00000000" w:usb2="00000000" w:usb3="00000000" w:csb0="0000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23417">
    <w:pPr>
      <w:pStyle w:val="251"/>
      <w:rPr>
        <w:rStyle w:val="234"/>
      </w:rPr>
    </w:pPr>
    <w:r>
      <w:rPr>
        <w:rStyle w:val="234"/>
      </w:rPr>
      <w:fldChar w:fldCharType="begin"/>
    </w:r>
    <w:r>
      <w:rPr>
        <w:rStyle w:val="234"/>
      </w:rPr>
      <w:instrText xml:space="preserve">PAGE  </w:instrText>
    </w:r>
    <w:r>
      <w:rPr>
        <w:rStyle w:val="234"/>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C715A">
    <w:pPr>
      <w:pStyle w:val="59"/>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3705D3">
                          <w:pPr>
                            <w:pStyle w:val="5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C3705D3">
                    <w:pPr>
                      <w:pStyle w:val="59"/>
                    </w:pPr>
                    <w:r>
                      <w:fldChar w:fldCharType="begin"/>
                    </w:r>
                    <w:r>
                      <w:instrText xml:space="preserve"> PAGE  \* MERGEFORMAT </w:instrText>
                    </w:r>
                    <w:r>
                      <w:fldChar w:fldCharType="separate"/>
                    </w:r>
                    <w:r>
                      <w:t>1</w:t>
                    </w:r>
                    <w:r>
                      <w:fldChar w:fldCharType="end"/>
                    </w:r>
                  </w:p>
                </w:txbxContent>
              </v:textbox>
            </v:shape>
          </w:pict>
        </mc:Fallback>
      </mc:AlternateContent>
    </w:r>
  </w:p>
  <w:p w14:paraId="08549361">
    <w:pPr>
      <w:pStyle w:val="59"/>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90174">
    <w:pPr>
      <w:pStyle w:val="59"/>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61C809">
                          <w:pPr>
                            <w:pStyle w:val="5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261C809">
                    <w:pPr>
                      <w:pStyle w:val="59"/>
                    </w:pPr>
                    <w:r>
                      <w:fldChar w:fldCharType="begin"/>
                    </w:r>
                    <w:r>
                      <w:instrText xml:space="preserve"> PAGE  \* MERGEFORMAT </w:instrText>
                    </w:r>
                    <w:r>
                      <w:fldChar w:fldCharType="separate"/>
                    </w:r>
                    <w:r>
                      <w:t>3</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722629514"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0CBD3996">
                          <w:pPr>
                            <w:pStyle w:val="59"/>
                            <w:rPr>
                              <w:rFonts w:hint="eastAsia"/>
                            </w:rPr>
                          </w:pPr>
                        </w:p>
                      </w:txbxContent>
                    </wps:txbx>
                    <wps:bodyPr rot="0" vert="horz" wrap="none" lIns="0" tIns="0" rIns="0" bIns="0" anchor="t" anchorCtr="0" upright="1">
                      <a:spAutoFit/>
                    </wps:bodyPr>
                  </wps:wsp>
                </a:graphicData>
              </a:graphic>
            </wp:anchor>
          </w:drawing>
        </mc:Choice>
        <mc:Fallback>
          <w:pict>
            <v:shape id="文本框 11"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D5X5J0AAAAAMBAAAPAAAAAAAAAAEAIAAAACIA&#10;AABkcnMvZG93bnJldi54bWxQSwECFAAUAAAACACHTuJAi80lrhECAAALBAAADgAAAAAAAAABACAA&#10;AAAfAQAAZHJzL2Uyb0RvYy54bWxQSwUGAAAAAAYABgBZAQAAogUAAAAA&#10;">
              <v:fill on="f" focussize="0,0"/>
              <v:stroke on="f"/>
              <v:imagedata o:title=""/>
              <o:lock v:ext="edit" aspectratio="f"/>
              <v:textbox inset="0mm,0mm,0mm,0mm" style="mso-fit-shape-to-text:t;">
                <w:txbxContent>
                  <w:p w14:paraId="0CBD3996">
                    <w:pPr>
                      <w:pStyle w:val="59"/>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EAF74">
    <w:pPr>
      <w:pStyle w:val="59"/>
      <w:ind w:firstLine="360"/>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9920FF">
                          <w:pPr>
                            <w:pStyle w:val="59"/>
                          </w:pPr>
                          <w:r>
                            <w:rPr>
                              <w:rStyle w:val="234"/>
                            </w:rPr>
                            <w:fldChar w:fldCharType="begin"/>
                          </w:r>
                          <w:r>
                            <w:rPr>
                              <w:rStyle w:val="234"/>
                            </w:rPr>
                            <w:instrText xml:space="preserve"> PAGE  </w:instrText>
                          </w:r>
                          <w:r>
                            <w:rPr>
                              <w:rStyle w:val="234"/>
                            </w:rPr>
                            <w:fldChar w:fldCharType="separate"/>
                          </w:r>
                          <w:r>
                            <w:rPr>
                              <w:rStyle w:val="234"/>
                            </w:rPr>
                            <w:t>I</w:t>
                          </w:r>
                          <w:r>
                            <w:rPr>
                              <w:rStyle w:val="23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A9920FF">
                    <w:pPr>
                      <w:pStyle w:val="59"/>
                    </w:pPr>
                    <w:r>
                      <w:rPr>
                        <w:rStyle w:val="234"/>
                      </w:rPr>
                      <w:fldChar w:fldCharType="begin"/>
                    </w:r>
                    <w:r>
                      <w:rPr>
                        <w:rStyle w:val="234"/>
                      </w:rPr>
                      <w:instrText xml:space="preserve"> PAGE  </w:instrText>
                    </w:r>
                    <w:r>
                      <w:rPr>
                        <w:rStyle w:val="234"/>
                      </w:rPr>
                      <w:fldChar w:fldCharType="separate"/>
                    </w:r>
                    <w:r>
                      <w:rPr>
                        <w:rStyle w:val="234"/>
                      </w:rPr>
                      <w:t>I</w:t>
                    </w:r>
                    <w:r>
                      <w:rPr>
                        <w:rStyle w:val="23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DDF34">
    <w:pPr>
      <w:pStyle w:val="59"/>
      <w:framePr w:wrap="around" w:vAnchor="text" w:hAnchor="margin" w:xAlign="outside" w:y="1"/>
    </w:pPr>
    <w:r>
      <w:rPr>
        <w:rStyle w:val="234"/>
      </w:rPr>
      <w:fldChar w:fldCharType="begin"/>
    </w:r>
    <w:r>
      <w:rPr>
        <w:rStyle w:val="234"/>
      </w:rPr>
      <w:instrText xml:space="preserve"> PAGE  </w:instrText>
    </w:r>
    <w:r>
      <w:rPr>
        <w:rStyle w:val="234"/>
      </w:rPr>
      <w:fldChar w:fldCharType="separate"/>
    </w:r>
    <w:r>
      <w:rPr>
        <w:rStyle w:val="234"/>
      </w:rPr>
      <w:t>II</w:t>
    </w:r>
    <w:r>
      <w:rPr>
        <w:rStyle w:val="234"/>
      </w:rPr>
      <w:fldChar w:fldCharType="end"/>
    </w:r>
  </w:p>
  <w:p w14:paraId="161523F4">
    <w:pPr>
      <w:pStyle w:val="5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AAE39">
    <w:pPr>
      <w:pStyle w:val="59"/>
      <w:ind w:firstLine="360"/>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62CA92">
                          <w:pPr>
                            <w:pStyle w:val="59"/>
                          </w:pPr>
                          <w:r>
                            <w:rPr>
                              <w:rStyle w:val="234"/>
                            </w:rPr>
                            <w:fldChar w:fldCharType="begin"/>
                          </w:r>
                          <w:r>
                            <w:rPr>
                              <w:rStyle w:val="234"/>
                            </w:rPr>
                            <w:instrText xml:space="preserve"> PAGE  </w:instrText>
                          </w:r>
                          <w:r>
                            <w:rPr>
                              <w:rStyle w:val="234"/>
                            </w:rPr>
                            <w:fldChar w:fldCharType="separate"/>
                          </w:r>
                          <w:r>
                            <w:rPr>
                              <w:rStyle w:val="234"/>
                            </w:rPr>
                            <w:t>I</w:t>
                          </w:r>
                          <w:r>
                            <w:rPr>
                              <w:rStyle w:val="23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962CA92">
                    <w:pPr>
                      <w:pStyle w:val="59"/>
                    </w:pPr>
                    <w:r>
                      <w:rPr>
                        <w:rStyle w:val="234"/>
                      </w:rPr>
                      <w:fldChar w:fldCharType="begin"/>
                    </w:r>
                    <w:r>
                      <w:rPr>
                        <w:rStyle w:val="234"/>
                      </w:rPr>
                      <w:instrText xml:space="preserve"> PAGE  </w:instrText>
                    </w:r>
                    <w:r>
                      <w:rPr>
                        <w:rStyle w:val="234"/>
                      </w:rPr>
                      <w:fldChar w:fldCharType="separate"/>
                    </w:r>
                    <w:r>
                      <w:rPr>
                        <w:rStyle w:val="234"/>
                      </w:rPr>
                      <w:t>I</w:t>
                    </w:r>
                    <w:r>
                      <w:rPr>
                        <w:rStyle w:val="23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08406">
    <w:pPr>
      <w:pStyle w:val="252"/>
      <w:ind w:right="360" w:firstLine="360"/>
      <w:rPr>
        <w:rStyle w:val="234"/>
      </w:rPr>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97500A">
                          <w:pPr>
                            <w:pStyle w:val="252"/>
                            <w:rPr>
                              <w:rStyle w:val="234"/>
                            </w:rPr>
                          </w:pPr>
                          <w:r>
                            <w:rPr>
                              <w:rStyle w:val="234"/>
                            </w:rPr>
                            <w:fldChar w:fldCharType="begin"/>
                          </w:r>
                          <w:r>
                            <w:rPr>
                              <w:rStyle w:val="234"/>
                            </w:rPr>
                            <w:instrText xml:space="preserve"> PAGE  </w:instrText>
                          </w:r>
                          <w:r>
                            <w:rPr>
                              <w:rStyle w:val="234"/>
                            </w:rPr>
                            <w:fldChar w:fldCharType="separate"/>
                          </w:r>
                          <w:r>
                            <w:rPr>
                              <w:rStyle w:val="234"/>
                            </w:rPr>
                            <w:t>1</w:t>
                          </w:r>
                          <w:r>
                            <w:rPr>
                              <w:rStyle w:val="23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697500A">
                    <w:pPr>
                      <w:pStyle w:val="252"/>
                      <w:rPr>
                        <w:rStyle w:val="234"/>
                      </w:rPr>
                    </w:pPr>
                    <w:r>
                      <w:rPr>
                        <w:rStyle w:val="234"/>
                      </w:rPr>
                      <w:fldChar w:fldCharType="begin"/>
                    </w:r>
                    <w:r>
                      <w:rPr>
                        <w:rStyle w:val="234"/>
                      </w:rPr>
                      <w:instrText xml:space="preserve"> PAGE  </w:instrText>
                    </w:r>
                    <w:r>
                      <w:rPr>
                        <w:rStyle w:val="234"/>
                      </w:rPr>
                      <w:fldChar w:fldCharType="separate"/>
                    </w:r>
                    <w:r>
                      <w:rPr>
                        <w:rStyle w:val="234"/>
                      </w:rPr>
                      <w:t>1</w:t>
                    </w:r>
                    <w:r>
                      <w:rPr>
                        <w:rStyle w:val="23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13BE9">
    <w:pPr>
      <w:pStyle w:val="251"/>
      <w:framePr w:wrap="around" w:vAnchor="text" w:hAnchor="margin" w:xAlign="outside" w:y="1"/>
      <w:rPr>
        <w:rStyle w:val="234"/>
      </w:rPr>
    </w:pPr>
    <w:r>
      <w:rPr>
        <w:rStyle w:val="234"/>
      </w:rPr>
      <w:fldChar w:fldCharType="begin"/>
    </w:r>
    <w:r>
      <w:rPr>
        <w:rStyle w:val="234"/>
      </w:rPr>
      <w:instrText xml:space="preserve"> PAGE  </w:instrText>
    </w:r>
    <w:r>
      <w:rPr>
        <w:rStyle w:val="234"/>
      </w:rPr>
      <w:fldChar w:fldCharType="separate"/>
    </w:r>
    <w:r>
      <w:rPr>
        <w:rStyle w:val="234"/>
      </w:rPr>
      <w:t>1</w:t>
    </w:r>
    <w:r>
      <w:rPr>
        <w:rStyle w:val="234"/>
      </w:rPr>
      <w:fldChar w:fldCharType="end"/>
    </w:r>
  </w:p>
  <w:p w14:paraId="3F718B2A">
    <w:pPr>
      <w:pStyle w:val="251"/>
      <w:ind w:right="360" w:firstLine="360"/>
      <w:rPr>
        <w:rStyle w:val="23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A3033">
    <w:pPr>
      <w:pStyle w:val="59"/>
      <w:framePr w:wrap="around" w:vAnchor="text" w:hAnchor="margin" w:xAlign="outside" w:y="1"/>
    </w:pPr>
    <w:r>
      <w:rPr>
        <w:rStyle w:val="234"/>
      </w:rPr>
      <w:fldChar w:fldCharType="begin"/>
    </w:r>
    <w:r>
      <w:rPr>
        <w:rStyle w:val="234"/>
      </w:rPr>
      <w:instrText xml:space="preserve"> PAGE  </w:instrText>
    </w:r>
    <w:r>
      <w:rPr>
        <w:rStyle w:val="234"/>
      </w:rPr>
      <w:fldChar w:fldCharType="separate"/>
    </w:r>
    <w:r>
      <w:rPr>
        <w:rStyle w:val="234"/>
      </w:rPr>
      <w:t>1</w:t>
    </w:r>
    <w:r>
      <w:rPr>
        <w:rStyle w:val="234"/>
      </w:rPr>
      <w:fldChar w:fldCharType="end"/>
    </w:r>
  </w:p>
  <w:p w14:paraId="5917F791">
    <w:pPr>
      <w:pStyle w:val="59"/>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37B9D">
    <w:pPr>
      <w:pStyle w:val="59"/>
    </w:pPr>
    <w:r>
      <w:pict>
        <v:shape id="文本框 1030" o:spid="_x0000_s1025" o:spt="202" type="#_x0000_t202" style="position:absolute;left:0pt;margin-top:0pt;height:10.35pt;width:16.6pt;mso-position-horizontal:outside;mso-position-horizontal-relative:margin;z-index:251659264;mso-width-relative:page;mso-height-relative:page;" filled="f" stroked="f" coordsize="21600,21600">
          <v:path/>
          <v:fill on="f" focussize="0,0"/>
          <v:stroke on="f"/>
          <v:imagedata o:title=""/>
          <o:lock v:ext="edit" aspectratio="f"/>
          <v:textbox inset="0mm,0mm,0mm,0mm" style="mso-fit-shape-to-text:t;">
            <w:txbxContent>
              <w:p w14:paraId="6287D520">
                <w:pPr>
                  <w:pStyle w:val="5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1</w:t>
                </w:r>
                <w:r>
                  <w:rPr>
                    <w:rFonts w:hint="eastAsia"/>
                  </w:rPr>
                  <w:fldChar w:fldCharType="end"/>
                </w:r>
              </w:p>
            </w:txbxContent>
          </v:textbox>
        </v:shape>
      </w:pict>
    </w:r>
  </w:p>
  <w:p w14:paraId="539FABD5">
    <w:pPr>
      <w:pStyle w:val="59"/>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1075B">
    <w:pPr>
      <w:pStyle w:val="59"/>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0990EA">
                          <w:pPr>
                            <w:pStyle w:val="5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0990EA">
                    <w:pPr>
                      <w:pStyle w:val="59"/>
                    </w:pPr>
                    <w:r>
                      <w:fldChar w:fldCharType="begin"/>
                    </w:r>
                    <w:r>
                      <w:instrText xml:space="preserve"> PAGE  \* MERGEFORMAT </w:instrText>
                    </w:r>
                    <w:r>
                      <w:fldChar w:fldCharType="separate"/>
                    </w:r>
                    <w:r>
                      <w:t>1</w:t>
                    </w:r>
                    <w:r>
                      <w:fldChar w:fldCharType="end"/>
                    </w:r>
                  </w:p>
                </w:txbxContent>
              </v:textbox>
            </v:shape>
          </w:pict>
        </mc:Fallback>
      </mc:AlternateContent>
    </w:r>
    <w:r>
      <w:pict>
        <v:shape id="文本框 1031" o:spid="_x0000_s1026"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460A4DBD">
                <w:pPr>
                  <w:pStyle w:val="59"/>
                  <w:rPr>
                    <w:rFonts w:hint="eastAsia"/>
                  </w:rPr>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C055C">
    <w:pPr>
      <w:pStyle w:val="253"/>
    </w:pPr>
    <w:r>
      <w:t>GB/T 1.1—2020</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FB5E">
    <w:pPr>
      <w:pStyle w:val="6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4C1F2">
    <w:pPr>
      <w:pStyle w:val="254"/>
    </w:pPr>
    <w:r>
      <w:t>GB/T 1.1—2020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5A3FD">
    <w:pPr>
      <w:pStyle w:val="255"/>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051DD">
    <w:pPr>
      <w:pStyle w:val="253"/>
      <w:rPr>
        <w:rFonts w:ascii="Times New Roman" w:eastAsia="宋体"/>
        <w:b/>
      </w:rPr>
    </w:pPr>
    <w:r>
      <w:rPr>
        <w:rFonts w:ascii="Times New Roman" w:eastAsia="宋体"/>
        <w:b/>
      </w:rPr>
      <w:t>GB</w:t>
    </w:r>
    <w:r>
      <w:rPr>
        <w:rFonts w:hint="eastAsia" w:ascii="Times New Roman" w:eastAsia="宋体"/>
        <w:b/>
      </w:rPr>
      <w:t xml:space="preserve"> </w:t>
    </w:r>
    <w:r>
      <w:rPr>
        <w:rFonts w:ascii="Times New Roman" w:eastAsia="宋体"/>
        <w:b/>
      </w:rPr>
      <w:t xml:space="preserve"> </w:t>
    </w:r>
    <w:r>
      <w:rPr>
        <w:rFonts w:hint="eastAsia" w:hAnsi="黑体" w:cs="黑体"/>
        <w:bCs/>
      </w:rPr>
      <w:t>××××</w:t>
    </w:r>
    <w:r>
      <w:rPr>
        <w:rFonts w:hAnsi="黑体"/>
      </w:rPr>
      <w:t>—</w:t>
    </w:r>
    <w:r>
      <w:rPr>
        <w:rFonts w:hint="eastAsia" w:hAnsi="黑体" w:cs="黑体"/>
        <w:bCs/>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B3F37">
    <w:pPr>
      <w:pStyle w:val="254"/>
    </w:pPr>
    <w:r>
      <w:rPr>
        <w:rFonts w:ascii="Times New Roman"/>
        <w:b/>
      </w:rPr>
      <w:t>GB</w:t>
    </w:r>
    <w:r>
      <w:rPr>
        <w:b/>
      </w:rPr>
      <w:t xml:space="preserve"> </w:t>
    </w:r>
    <w:r>
      <w:rPr>
        <w:rFonts w:hint="eastAsia" w:hAnsi="黑体"/>
      </w:rPr>
      <w:t>××××</w:t>
    </w:r>
    <w:r>
      <w:rPr>
        <w:rFonts w:hAnsi="黑体"/>
      </w:rPr>
      <w:t>—</w:t>
    </w:r>
    <w:r>
      <w:rPr>
        <w:rFonts w:hint="eastAsia" w:hAnsi="黑体"/>
      </w:rP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3A515">
    <w:pPr>
      <w:pStyle w:val="254"/>
    </w:pPr>
    <w:r>
      <w:rPr>
        <w:rFonts w:ascii="Times New Roman"/>
        <w:b/>
      </w:rPr>
      <w:t>GB</w:t>
    </w:r>
    <w:r>
      <w:rPr>
        <w:b/>
      </w:rPr>
      <w:t xml:space="preserve"> </w:t>
    </w:r>
    <w:r>
      <w:rPr>
        <w:rFonts w:hint="eastAsia" w:hAnsi="黑体"/>
      </w:rPr>
      <w:t>××××</w:t>
    </w:r>
    <w:r>
      <w:rPr>
        <w:rFonts w:hAnsi="黑体"/>
      </w:rPr>
      <w:t>—</w:t>
    </w:r>
    <w:r>
      <w:rPr>
        <w:rFonts w:hint="eastAsia" w:hAnsi="黑体"/>
      </w:rPr>
      <w: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7DAFA">
    <w:pPr>
      <w:pStyle w:val="253"/>
    </w:pPr>
    <w:r>
      <w:rPr>
        <w:rFonts w:ascii="Times New Roman" w:eastAsia="宋体"/>
        <w:b/>
      </w:rPr>
      <w:t>GB</w:t>
    </w:r>
    <w:r>
      <w:rPr>
        <w:rFonts w:hint="eastAsia" w:ascii="Times New Roman" w:eastAsia="宋体"/>
        <w:b/>
      </w:rPr>
      <w:t xml:space="preserve"> </w:t>
    </w:r>
    <w:r>
      <w:rPr>
        <w:rFonts w:ascii="Times New Roman" w:eastAsia="宋体"/>
        <w:b/>
      </w:rPr>
      <w:t xml:space="preserve"> </w:t>
    </w:r>
    <w:r>
      <w:rPr>
        <w:rFonts w:hint="eastAsia" w:hAnsi="黑体" w:cs="黑体"/>
        <w:bCs/>
      </w:rPr>
      <w:t>××××</w:t>
    </w:r>
    <w:r>
      <w:rPr>
        <w:rFonts w:hAnsi="黑体"/>
      </w:rPr>
      <w:t>—</w:t>
    </w:r>
    <w:r>
      <w:rPr>
        <w:rFonts w:hint="eastAsia" w:hAnsi="黑体" w:cs="黑体"/>
        <w:bCs/>
      </w:rP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AEC11">
    <w:pPr>
      <w:pStyle w:val="61"/>
      <w:ind w:firstLine="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49B34">
    <w:pPr>
      <w:pStyle w:val="25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44FE5C"/>
    <w:multiLevelType w:val="multilevel"/>
    <w:tmpl w:val="8244FE5C"/>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84DF8CD2"/>
    <w:multiLevelType w:val="multilevel"/>
    <w:tmpl w:val="84DF8CD2"/>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8A16BF33"/>
    <w:multiLevelType w:val="multilevel"/>
    <w:tmpl w:val="8A16BF33"/>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8A68D0FA"/>
    <w:multiLevelType w:val="multilevel"/>
    <w:tmpl w:val="8A68D0FA"/>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8A8A9909"/>
    <w:multiLevelType w:val="multilevel"/>
    <w:tmpl w:val="8A8A9909"/>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8B391952"/>
    <w:multiLevelType w:val="multilevel"/>
    <w:tmpl w:val="8B391952"/>
    <w:lvl w:ilvl="0" w:tentative="0">
      <w:start w:val="1"/>
      <w:numFmt w:val="lowerLetter"/>
      <w:lvlText w:val="%1)"/>
      <w:lvlJc w:val="left"/>
      <w:pPr>
        <w:tabs>
          <w:tab w:val="left" w:pos="420"/>
        </w:tabs>
        <w:ind w:left="0" w:firstLine="0"/>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840"/>
        </w:tabs>
        <w:ind w:left="839" w:hanging="419"/>
      </w:pPr>
      <w:rPr>
        <w:rFonts w:hint="eastAsia"/>
      </w:rPr>
    </w:lvl>
    <w:lvl w:ilvl="2" w:tentative="0">
      <w:start w:val="1"/>
      <w:numFmt w:val="decimal"/>
      <w:lvlText w:val="(%3)"/>
      <w:lvlJc w:val="left"/>
      <w:pPr>
        <w:tabs>
          <w:tab w:val="left" w:pos="-420"/>
        </w:tabs>
        <w:ind w:left="1259" w:hanging="420"/>
      </w:pPr>
      <w:rPr>
        <w:rFonts w:hint="eastAsia" w:ascii="宋体" w:eastAsia="宋体"/>
        <w:b w:val="0"/>
        <w:i w:val="0"/>
        <w:sz w:val="21"/>
        <w:szCs w:val="21"/>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6">
    <w:nsid w:val="948BD4D1"/>
    <w:multiLevelType w:val="singleLevel"/>
    <w:tmpl w:val="948BD4D1"/>
    <w:lvl w:ilvl="0" w:tentative="0">
      <w:start w:val="2"/>
      <w:numFmt w:val="decimal"/>
      <w:lvlText w:val="%1."/>
      <w:lvlJc w:val="left"/>
      <w:pPr>
        <w:tabs>
          <w:tab w:val="left" w:pos="312"/>
        </w:tabs>
      </w:pPr>
    </w:lvl>
  </w:abstractNum>
  <w:abstractNum w:abstractNumId="7">
    <w:nsid w:val="9DDDD818"/>
    <w:multiLevelType w:val="multilevel"/>
    <w:tmpl w:val="9DDDD818"/>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
    <w:nsid w:val="9E30E555"/>
    <w:multiLevelType w:val="multilevel"/>
    <w:tmpl w:val="9E30E555"/>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
    <w:nsid w:val="A91F40B6"/>
    <w:multiLevelType w:val="multilevel"/>
    <w:tmpl w:val="A91F40B6"/>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0">
    <w:nsid w:val="B0D5C7D0"/>
    <w:multiLevelType w:val="singleLevel"/>
    <w:tmpl w:val="B0D5C7D0"/>
    <w:lvl w:ilvl="0" w:tentative="0">
      <w:start w:val="1"/>
      <w:numFmt w:val="decimal"/>
      <w:suff w:val="space"/>
      <w:lvlText w:val="[%1]"/>
      <w:lvlJc w:val="left"/>
    </w:lvl>
  </w:abstractNum>
  <w:abstractNum w:abstractNumId="11">
    <w:nsid w:val="B2C2FBBC"/>
    <w:multiLevelType w:val="multilevel"/>
    <w:tmpl w:val="B2C2FBBC"/>
    <w:lvl w:ilvl="0" w:tentative="0">
      <w:start w:val="1"/>
      <w:numFmt w:val="lowerLetter"/>
      <w:pStyle w:val="525"/>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94"/>
      <w:lvlText w:val="%2)"/>
      <w:lvlJc w:val="left"/>
      <w:pPr>
        <w:tabs>
          <w:tab w:val="left" w:pos="1260"/>
        </w:tabs>
        <w:ind w:left="1259" w:hanging="419"/>
      </w:pPr>
      <w:rPr>
        <w:rFonts w:hint="default" w:ascii="Times New Roman" w:hAnsi="Times New Roman" w:cs="Times New Roman"/>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2">
    <w:nsid w:val="B4D65881"/>
    <w:multiLevelType w:val="multilevel"/>
    <w:tmpl w:val="B4D65881"/>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B5179070"/>
    <w:multiLevelType w:val="multilevel"/>
    <w:tmpl w:val="B5179070"/>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B81FF4DE"/>
    <w:multiLevelType w:val="multilevel"/>
    <w:tmpl w:val="B81FF4DE"/>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B97DA727"/>
    <w:multiLevelType w:val="multilevel"/>
    <w:tmpl w:val="B97DA727"/>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6">
    <w:nsid w:val="BF171227"/>
    <w:multiLevelType w:val="multilevel"/>
    <w:tmpl w:val="BF171227"/>
    <w:lvl w:ilvl="0" w:tentative="0">
      <w:start w:val="1"/>
      <w:numFmt w:val="lowerLetter"/>
      <w:lvlText w:val="%1)"/>
      <w:lvlJc w:val="left"/>
      <w:pPr>
        <w:tabs>
          <w:tab w:val="left" w:pos="840"/>
        </w:tabs>
        <w:ind w:left="839" w:hanging="419"/>
      </w:pPr>
      <w:rPr>
        <w:rFonts w:hint="default" w:ascii="Times New Roman" w:hAnsi="Times New Roman" w:eastAsia="黑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7">
    <w:nsid w:val="BF8F3024"/>
    <w:multiLevelType w:val="multilevel"/>
    <w:tmpl w:val="BF8F3024"/>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8">
    <w:nsid w:val="C189279C"/>
    <w:multiLevelType w:val="multilevel"/>
    <w:tmpl w:val="C189279C"/>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9">
    <w:nsid w:val="C5E96FE0"/>
    <w:multiLevelType w:val="multilevel"/>
    <w:tmpl w:val="C5E96FE0"/>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0">
    <w:nsid w:val="C84CA4B5"/>
    <w:multiLevelType w:val="multilevel"/>
    <w:tmpl w:val="C84CA4B5"/>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1">
    <w:nsid w:val="CB277958"/>
    <w:multiLevelType w:val="multilevel"/>
    <w:tmpl w:val="CB277958"/>
    <w:lvl w:ilvl="0" w:tentative="0">
      <w:start w:val="1"/>
      <w:numFmt w:val="lowerLetter"/>
      <w:lvlText w:val="%1)"/>
      <w:lvlJc w:val="left"/>
      <w:pPr>
        <w:tabs>
          <w:tab w:val="left" w:pos="420"/>
        </w:tabs>
        <w:ind w:left="0" w:firstLine="0"/>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840"/>
        </w:tabs>
        <w:ind w:left="839" w:hanging="419"/>
      </w:pPr>
      <w:rPr>
        <w:rFonts w:hint="eastAsia"/>
      </w:rPr>
    </w:lvl>
    <w:lvl w:ilvl="2" w:tentative="0">
      <w:start w:val="1"/>
      <w:numFmt w:val="decimal"/>
      <w:lvlText w:val="(%3)"/>
      <w:lvlJc w:val="left"/>
      <w:pPr>
        <w:tabs>
          <w:tab w:val="left" w:pos="-420"/>
        </w:tabs>
        <w:ind w:left="1259" w:hanging="420"/>
      </w:pPr>
      <w:rPr>
        <w:rFonts w:hint="eastAsia" w:ascii="宋体" w:eastAsia="宋体"/>
        <w:b w:val="0"/>
        <w:i w:val="0"/>
        <w:sz w:val="21"/>
        <w:szCs w:val="21"/>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22">
    <w:nsid w:val="CB845040"/>
    <w:multiLevelType w:val="multilevel"/>
    <w:tmpl w:val="CB845040"/>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3">
    <w:nsid w:val="CCB2AFC2"/>
    <w:multiLevelType w:val="multilevel"/>
    <w:tmpl w:val="CCB2AFC2"/>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4">
    <w:nsid w:val="CE89B2FF"/>
    <w:multiLevelType w:val="singleLevel"/>
    <w:tmpl w:val="CE89B2FF"/>
    <w:lvl w:ilvl="0" w:tentative="0">
      <w:start w:val="1"/>
      <w:numFmt w:val="decimal"/>
      <w:lvlText w:val="%1."/>
      <w:lvlJc w:val="left"/>
      <w:pPr>
        <w:tabs>
          <w:tab w:val="left" w:pos="312"/>
        </w:tabs>
      </w:pPr>
    </w:lvl>
  </w:abstractNum>
  <w:abstractNum w:abstractNumId="25">
    <w:nsid w:val="D0BCFF52"/>
    <w:multiLevelType w:val="multilevel"/>
    <w:tmpl w:val="D0BCFF52"/>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6">
    <w:nsid w:val="D404242F"/>
    <w:multiLevelType w:val="multilevel"/>
    <w:tmpl w:val="D404242F"/>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7">
    <w:nsid w:val="DE988A14"/>
    <w:multiLevelType w:val="multilevel"/>
    <w:tmpl w:val="DE988A14"/>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8">
    <w:nsid w:val="DF343CA0"/>
    <w:multiLevelType w:val="multilevel"/>
    <w:tmpl w:val="DF343CA0"/>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9">
    <w:nsid w:val="DFE4836C"/>
    <w:multiLevelType w:val="singleLevel"/>
    <w:tmpl w:val="DFE4836C"/>
    <w:lvl w:ilvl="0" w:tentative="0">
      <w:start w:val="1"/>
      <w:numFmt w:val="decimal"/>
      <w:lvlText w:val="%1."/>
      <w:lvlJc w:val="left"/>
      <w:pPr>
        <w:tabs>
          <w:tab w:val="left" w:pos="312"/>
        </w:tabs>
      </w:pPr>
    </w:lvl>
  </w:abstractNum>
  <w:abstractNum w:abstractNumId="30">
    <w:nsid w:val="E58B3AF1"/>
    <w:multiLevelType w:val="multilevel"/>
    <w:tmpl w:val="E58B3AF1"/>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1">
    <w:nsid w:val="E82FEDCB"/>
    <w:multiLevelType w:val="multilevel"/>
    <w:tmpl w:val="E82FEDCB"/>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2">
    <w:nsid w:val="EBE964CD"/>
    <w:multiLevelType w:val="multilevel"/>
    <w:tmpl w:val="EBE964CD"/>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3">
    <w:nsid w:val="ED6CD1D8"/>
    <w:multiLevelType w:val="multilevel"/>
    <w:tmpl w:val="ED6CD1D8"/>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4">
    <w:nsid w:val="EE6938AE"/>
    <w:multiLevelType w:val="singleLevel"/>
    <w:tmpl w:val="EE6938AE"/>
    <w:lvl w:ilvl="0" w:tentative="0">
      <w:start w:val="1"/>
      <w:numFmt w:val="decimal"/>
      <w:lvlText w:val="%1."/>
      <w:lvlJc w:val="left"/>
      <w:pPr>
        <w:tabs>
          <w:tab w:val="left" w:pos="312"/>
        </w:tabs>
      </w:pPr>
    </w:lvl>
  </w:abstractNum>
  <w:abstractNum w:abstractNumId="35">
    <w:nsid w:val="F3990EFA"/>
    <w:multiLevelType w:val="multilevel"/>
    <w:tmpl w:val="F3990EFA"/>
    <w:lvl w:ilvl="0" w:tentative="0">
      <w:start w:val="1"/>
      <w:numFmt w:val="lowerLetter"/>
      <w:pStyle w:val="305"/>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6">
    <w:nsid w:val="F7DB0F70"/>
    <w:multiLevelType w:val="multilevel"/>
    <w:tmpl w:val="F7DB0F70"/>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7">
    <w:nsid w:val="F9748EC3"/>
    <w:multiLevelType w:val="multilevel"/>
    <w:tmpl w:val="F9748EC3"/>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8">
    <w:nsid w:val="FF6C037B"/>
    <w:multiLevelType w:val="multilevel"/>
    <w:tmpl w:val="FF6C037B"/>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9">
    <w:nsid w:val="FFFFFF7C"/>
    <w:multiLevelType w:val="singleLevel"/>
    <w:tmpl w:val="FFFFFF7C"/>
    <w:lvl w:ilvl="0" w:tentative="0">
      <w:start w:val="1"/>
      <w:numFmt w:val="decimal"/>
      <w:pStyle w:val="67"/>
      <w:lvlText w:val="%1."/>
      <w:lvlJc w:val="left"/>
      <w:pPr>
        <w:tabs>
          <w:tab w:val="left" w:pos="2040"/>
        </w:tabs>
        <w:ind w:left="2040" w:leftChars="800" w:hanging="360" w:hangingChars="200"/>
      </w:pPr>
    </w:lvl>
  </w:abstractNum>
  <w:abstractNum w:abstractNumId="40">
    <w:nsid w:val="FFFFFF7D"/>
    <w:multiLevelType w:val="singleLevel"/>
    <w:tmpl w:val="FFFFFF7D"/>
    <w:lvl w:ilvl="0" w:tentative="0">
      <w:start w:val="1"/>
      <w:numFmt w:val="decimal"/>
      <w:pStyle w:val="51"/>
      <w:lvlText w:val="%1."/>
      <w:lvlJc w:val="left"/>
      <w:pPr>
        <w:tabs>
          <w:tab w:val="left" w:pos="1620"/>
        </w:tabs>
        <w:ind w:left="1620" w:leftChars="600" w:hanging="360" w:hangingChars="200"/>
      </w:pPr>
    </w:lvl>
  </w:abstractNum>
  <w:abstractNum w:abstractNumId="41">
    <w:nsid w:val="FFFFFF7E"/>
    <w:multiLevelType w:val="singleLevel"/>
    <w:tmpl w:val="FFFFFF7E"/>
    <w:lvl w:ilvl="0" w:tentative="0">
      <w:start w:val="1"/>
      <w:numFmt w:val="decimal"/>
      <w:pStyle w:val="42"/>
      <w:lvlText w:val="%1."/>
      <w:lvlJc w:val="left"/>
      <w:pPr>
        <w:tabs>
          <w:tab w:val="left" w:pos="1200"/>
        </w:tabs>
        <w:ind w:left="1200" w:leftChars="400" w:hanging="360" w:hangingChars="200"/>
      </w:pPr>
    </w:lvl>
  </w:abstractNum>
  <w:abstractNum w:abstractNumId="42">
    <w:nsid w:val="FFFFFF7F"/>
    <w:multiLevelType w:val="singleLevel"/>
    <w:tmpl w:val="FFFFFF7F"/>
    <w:lvl w:ilvl="0" w:tentative="0">
      <w:start w:val="1"/>
      <w:numFmt w:val="decimal"/>
      <w:pStyle w:val="20"/>
      <w:lvlText w:val="%1."/>
      <w:lvlJc w:val="left"/>
      <w:pPr>
        <w:tabs>
          <w:tab w:val="left" w:pos="780"/>
        </w:tabs>
        <w:ind w:left="780" w:leftChars="200" w:hanging="360" w:hangingChars="200"/>
      </w:pPr>
    </w:lvl>
  </w:abstractNum>
  <w:abstractNum w:abstractNumId="43">
    <w:nsid w:val="FFFFFF80"/>
    <w:multiLevelType w:val="singleLevel"/>
    <w:tmpl w:val="FFFFFF80"/>
    <w:lvl w:ilvl="0" w:tentative="0">
      <w:start w:val="1"/>
      <w:numFmt w:val="bullet"/>
      <w:pStyle w:val="50"/>
      <w:lvlText w:val=""/>
      <w:lvlJc w:val="left"/>
      <w:pPr>
        <w:tabs>
          <w:tab w:val="left" w:pos="2040"/>
        </w:tabs>
        <w:ind w:left="2040" w:leftChars="800" w:hanging="360" w:hangingChars="200"/>
      </w:pPr>
      <w:rPr>
        <w:rFonts w:hint="default" w:ascii="Wingdings" w:hAnsi="Wingdings"/>
      </w:rPr>
    </w:lvl>
  </w:abstractNum>
  <w:abstractNum w:abstractNumId="44">
    <w:nsid w:val="FFFFFF81"/>
    <w:multiLevelType w:val="singleLevel"/>
    <w:tmpl w:val="FFFFFF81"/>
    <w:lvl w:ilvl="0" w:tentative="0">
      <w:start w:val="1"/>
      <w:numFmt w:val="bullet"/>
      <w:pStyle w:val="23"/>
      <w:lvlText w:val=""/>
      <w:lvlJc w:val="left"/>
      <w:pPr>
        <w:tabs>
          <w:tab w:val="left" w:pos="1620"/>
        </w:tabs>
        <w:ind w:left="1620" w:leftChars="600" w:hanging="360" w:hangingChars="200"/>
      </w:pPr>
      <w:rPr>
        <w:rFonts w:hint="default" w:ascii="Wingdings" w:hAnsi="Wingdings"/>
      </w:rPr>
    </w:lvl>
  </w:abstractNum>
  <w:abstractNum w:abstractNumId="45">
    <w:nsid w:val="FFFFFF82"/>
    <w:multiLevelType w:val="singleLevel"/>
    <w:tmpl w:val="FFFFFF82"/>
    <w:lvl w:ilvl="0" w:tentative="0">
      <w:start w:val="1"/>
      <w:numFmt w:val="bullet"/>
      <w:pStyle w:val="39"/>
      <w:lvlText w:val=""/>
      <w:lvlJc w:val="left"/>
      <w:pPr>
        <w:tabs>
          <w:tab w:val="left" w:pos="1200"/>
        </w:tabs>
        <w:ind w:left="1200" w:leftChars="400" w:hanging="360" w:hangingChars="200"/>
      </w:pPr>
      <w:rPr>
        <w:rFonts w:hint="default" w:ascii="Wingdings" w:hAnsi="Wingdings"/>
      </w:rPr>
    </w:lvl>
  </w:abstractNum>
  <w:abstractNum w:abstractNumId="46">
    <w:nsid w:val="FFFFFF83"/>
    <w:multiLevelType w:val="singleLevel"/>
    <w:tmpl w:val="FFFFFF83"/>
    <w:lvl w:ilvl="0" w:tentative="0">
      <w:start w:val="1"/>
      <w:numFmt w:val="bullet"/>
      <w:pStyle w:val="564"/>
      <w:lvlText w:val=""/>
      <w:lvlJc w:val="left"/>
      <w:pPr>
        <w:tabs>
          <w:tab w:val="left" w:pos="780"/>
        </w:tabs>
        <w:ind w:left="780" w:leftChars="200" w:hanging="360" w:hangingChars="200"/>
      </w:pPr>
      <w:rPr>
        <w:rFonts w:hint="default" w:ascii="Wingdings" w:hAnsi="Wingdings"/>
      </w:rPr>
    </w:lvl>
  </w:abstractNum>
  <w:abstractNum w:abstractNumId="47">
    <w:nsid w:val="FFFFFF88"/>
    <w:multiLevelType w:val="singleLevel"/>
    <w:tmpl w:val="FFFFFF88"/>
    <w:lvl w:ilvl="0" w:tentative="0">
      <w:start w:val="1"/>
      <w:numFmt w:val="decimal"/>
      <w:pStyle w:val="26"/>
      <w:lvlText w:val="%1."/>
      <w:lvlJc w:val="left"/>
      <w:pPr>
        <w:tabs>
          <w:tab w:val="left" w:pos="360"/>
        </w:tabs>
        <w:ind w:left="360" w:hanging="360" w:hangingChars="200"/>
      </w:pPr>
    </w:lvl>
  </w:abstractNum>
  <w:abstractNum w:abstractNumId="48">
    <w:nsid w:val="FFFFFF89"/>
    <w:multiLevelType w:val="singleLevel"/>
    <w:tmpl w:val="FFFFFF89"/>
    <w:lvl w:ilvl="0" w:tentative="0">
      <w:start w:val="1"/>
      <w:numFmt w:val="bullet"/>
      <w:pStyle w:val="30"/>
      <w:lvlText w:val=""/>
      <w:lvlJc w:val="left"/>
      <w:pPr>
        <w:tabs>
          <w:tab w:val="left" w:pos="360"/>
        </w:tabs>
        <w:ind w:left="360" w:hanging="360" w:hangingChars="200"/>
      </w:pPr>
      <w:rPr>
        <w:rFonts w:hint="default" w:ascii="Wingdings" w:hAnsi="Wingdings"/>
      </w:rPr>
    </w:lvl>
  </w:abstractNum>
  <w:abstractNum w:abstractNumId="49">
    <w:nsid w:val="00EBE7C3"/>
    <w:multiLevelType w:val="multilevel"/>
    <w:tmpl w:val="00EBE7C3"/>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0">
    <w:nsid w:val="05611533"/>
    <w:multiLevelType w:val="multilevel"/>
    <w:tmpl w:val="05611533"/>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1">
    <w:nsid w:val="05B8CB73"/>
    <w:multiLevelType w:val="multilevel"/>
    <w:tmpl w:val="05B8CB73"/>
    <w:lvl w:ilvl="0" w:tentative="0">
      <w:start w:val="1"/>
      <w:numFmt w:val="lowerLetter"/>
      <w:lvlText w:val="%1)"/>
      <w:lvlJc w:val="left"/>
      <w:pPr>
        <w:tabs>
          <w:tab w:val="left" w:pos="420"/>
        </w:tabs>
        <w:ind w:left="0" w:firstLine="0"/>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840"/>
        </w:tabs>
        <w:ind w:left="839" w:hanging="419"/>
      </w:pPr>
      <w:rPr>
        <w:rFonts w:hint="eastAsia"/>
      </w:rPr>
    </w:lvl>
    <w:lvl w:ilvl="2" w:tentative="0">
      <w:start w:val="1"/>
      <w:numFmt w:val="decimal"/>
      <w:lvlText w:val="(%3)"/>
      <w:lvlJc w:val="left"/>
      <w:pPr>
        <w:tabs>
          <w:tab w:val="left" w:pos="-420"/>
        </w:tabs>
        <w:ind w:left="1259" w:hanging="420"/>
      </w:pPr>
      <w:rPr>
        <w:rFonts w:hint="eastAsia" w:ascii="宋体" w:eastAsia="宋体"/>
        <w:b w:val="0"/>
        <w:i w:val="0"/>
        <w:sz w:val="21"/>
        <w:szCs w:val="21"/>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52">
    <w:nsid w:val="07ED3FEA"/>
    <w:multiLevelType w:val="multilevel"/>
    <w:tmpl w:val="07ED3FEA"/>
    <w:lvl w:ilvl="0" w:tentative="0">
      <w:start w:val="1"/>
      <w:numFmt w:val="none"/>
      <w:lvlText w:val="%1"/>
      <w:lvlJc w:val="left"/>
      <w:pPr>
        <w:ind w:left="425" w:hanging="425"/>
      </w:pPr>
      <w:rPr>
        <w:rFonts w:hint="eastAsia"/>
      </w:rPr>
    </w:lvl>
    <w:lvl w:ilvl="1" w:tentative="0">
      <w:start w:val="1"/>
      <w:numFmt w:val="decimal"/>
      <w:pStyle w:val="514"/>
      <w:suff w:val="nothing"/>
      <w:lvlText w:val="%10.%2 "/>
      <w:lvlJc w:val="left"/>
      <w:pPr>
        <w:ind w:left="0" w:firstLine="0"/>
      </w:pPr>
      <w:rPr>
        <w:rFonts w:hint="eastAsia" w:ascii="黑体" w:eastAsia="黑体" w:hAnsiTheme="minorHAnsi"/>
        <w:b w:val="0"/>
        <w:i w:val="0"/>
        <w:sz w:val="21"/>
      </w:rPr>
    </w:lvl>
    <w:lvl w:ilvl="2" w:tentative="0">
      <w:start w:val="1"/>
      <w:numFmt w:val="decimal"/>
      <w:pStyle w:val="506"/>
      <w:suff w:val="nothing"/>
      <w:lvlText w:val="%10.%2.%3 "/>
      <w:lvlJc w:val="left"/>
      <w:pPr>
        <w:ind w:left="0" w:firstLine="0"/>
      </w:pPr>
      <w:rPr>
        <w:rFonts w:hint="eastAsia" w:ascii="黑体" w:eastAsia="黑体" w:hAnsiTheme="minorHAnsi"/>
        <w:b w:val="0"/>
        <w:i w:val="0"/>
        <w:sz w:val="21"/>
      </w:rPr>
    </w:lvl>
    <w:lvl w:ilvl="3" w:tentative="0">
      <w:start w:val="1"/>
      <w:numFmt w:val="decimal"/>
      <w:pStyle w:val="508"/>
      <w:suff w:val="nothing"/>
      <w:lvlText w:val="%10.%2.%3.%4 "/>
      <w:lvlJc w:val="left"/>
      <w:pPr>
        <w:ind w:left="0" w:firstLine="0"/>
      </w:pPr>
      <w:rPr>
        <w:rFonts w:hint="eastAsia" w:ascii="黑体" w:eastAsia="黑体" w:hAnsiTheme="minorHAnsi"/>
        <w:b w:val="0"/>
        <w:i w:val="0"/>
        <w:sz w:val="21"/>
      </w:rPr>
    </w:lvl>
    <w:lvl w:ilvl="4" w:tentative="0">
      <w:start w:val="1"/>
      <w:numFmt w:val="decimal"/>
      <w:pStyle w:val="510"/>
      <w:suff w:val="nothing"/>
      <w:lvlText w:val="%10.%2.%3.%4.%5 "/>
      <w:lvlJc w:val="left"/>
      <w:pPr>
        <w:ind w:left="0" w:firstLine="0"/>
      </w:pPr>
      <w:rPr>
        <w:rFonts w:hint="eastAsia" w:ascii="黑体" w:eastAsia="黑体" w:hAnsiTheme="minorHAnsi"/>
        <w:b w:val="0"/>
        <w:i w:val="0"/>
        <w:sz w:val="21"/>
      </w:rPr>
    </w:lvl>
    <w:lvl w:ilvl="5" w:tentative="0">
      <w:start w:val="1"/>
      <w:numFmt w:val="decimal"/>
      <w:pStyle w:val="512"/>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3">
    <w:nsid w:val="091E5956"/>
    <w:multiLevelType w:val="multilevel"/>
    <w:tmpl w:val="091E5956"/>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4">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301"/>
      <w:suff w:val="nothing"/>
      <w:lvlText w:val="表%2　"/>
      <w:lvlJc w:val="left"/>
      <w:pPr>
        <w:ind w:left="0" w:firstLine="0"/>
      </w:pPr>
      <w:rPr>
        <w:rFonts w:hint="eastAsia" w:ascii="黑体" w:hAnsi="黑体" w:eastAsia="黑体" w:cs="Times New Roman"/>
        <w:b w:val="0"/>
        <w:bCs w:val="0"/>
        <w:i w:val="0"/>
        <w:iCs w:val="0"/>
        <w:caps w:val="0"/>
        <w:smallCaps w:val="0"/>
        <w:strike w:val="0"/>
        <w:dstrike w:val="0"/>
        <w:outline w:val="0"/>
        <w:shadow w:val="0"/>
        <w:emboss w:val="0"/>
        <w:imprint w:val="0"/>
        <w:snapToGrid w:val="0"/>
        <w:vanish w:val="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none"/>
      <w:pStyle w:val="316"/>
      <w:suff w:val="nothing"/>
      <w:lvlText w:val="%1表%2　"/>
      <w:lvlJc w:val="left"/>
      <w:pPr>
        <w:ind w:left="0" w:firstLine="0"/>
      </w:pPr>
      <w:rPr>
        <w:rFonts w:hint="eastAsia" w:ascii="黑体" w:hAnsi="黑体" w:eastAsia="黑体" w:cs="Times New Roman"/>
        <w:b w:val="0"/>
        <w:bCs w:val="0"/>
        <w:i w:val="0"/>
        <w:iCs w:val="0"/>
        <w:caps w:val="0"/>
        <w:smallCaps w:val="0"/>
        <w:strike w:val="0"/>
        <w:dstrike w:val="0"/>
        <w:outline w:val="0"/>
        <w:shadow w:val="0"/>
        <w:emboss w:val="0"/>
        <w:imprint w:val="0"/>
        <w:snapToGrid w:val="0"/>
        <w:vanish w:val="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55">
    <w:nsid w:val="096D587F"/>
    <w:multiLevelType w:val="multilevel"/>
    <w:tmpl w:val="096D587F"/>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6">
    <w:nsid w:val="097743C0"/>
    <w:multiLevelType w:val="multilevel"/>
    <w:tmpl w:val="097743C0"/>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7">
    <w:nsid w:val="0AE367E9"/>
    <w:multiLevelType w:val="multilevel"/>
    <w:tmpl w:val="0AE367E9"/>
    <w:lvl w:ilvl="0" w:tentative="0">
      <w:start w:val="1"/>
      <w:numFmt w:val="none"/>
      <w:pStyle w:val="292"/>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8">
    <w:nsid w:val="0D46713A"/>
    <w:multiLevelType w:val="multilevel"/>
    <w:tmpl w:val="0D46713A"/>
    <w:lvl w:ilvl="0" w:tentative="0">
      <w:start w:val="1"/>
      <w:numFmt w:val="bullet"/>
      <w:pStyle w:val="325"/>
      <w:lvlText w:val=""/>
      <w:lvlJc w:val="left"/>
      <w:pPr>
        <w:ind w:left="206" w:hanging="420"/>
      </w:pPr>
      <w:rPr>
        <w:rFonts w:hint="default" w:ascii="Wingdings" w:hAnsi="Wingdings"/>
      </w:rPr>
    </w:lvl>
    <w:lvl w:ilvl="1" w:tentative="0">
      <w:start w:val="1"/>
      <w:numFmt w:val="bullet"/>
      <w:lvlText w:val=""/>
      <w:lvlJc w:val="left"/>
      <w:pPr>
        <w:ind w:left="626" w:hanging="420"/>
      </w:pPr>
      <w:rPr>
        <w:rFonts w:hint="default" w:ascii="Wingdings" w:hAnsi="Wingdings"/>
      </w:rPr>
    </w:lvl>
    <w:lvl w:ilvl="2" w:tentative="0">
      <w:start w:val="1"/>
      <w:numFmt w:val="bullet"/>
      <w:lvlText w:val=""/>
      <w:lvlJc w:val="left"/>
      <w:pPr>
        <w:ind w:left="1046" w:hanging="420"/>
      </w:pPr>
      <w:rPr>
        <w:rFonts w:hint="default" w:ascii="Wingdings" w:hAnsi="Wingdings"/>
      </w:rPr>
    </w:lvl>
    <w:lvl w:ilvl="3" w:tentative="0">
      <w:start w:val="1"/>
      <w:numFmt w:val="bullet"/>
      <w:lvlText w:val=""/>
      <w:lvlJc w:val="left"/>
      <w:pPr>
        <w:ind w:left="1466" w:hanging="420"/>
      </w:pPr>
      <w:rPr>
        <w:rFonts w:hint="default" w:ascii="Wingdings" w:hAnsi="Wingdings"/>
      </w:rPr>
    </w:lvl>
    <w:lvl w:ilvl="4" w:tentative="0">
      <w:start w:val="1"/>
      <w:numFmt w:val="bullet"/>
      <w:lvlText w:val=""/>
      <w:lvlJc w:val="left"/>
      <w:pPr>
        <w:ind w:left="1886" w:hanging="420"/>
      </w:pPr>
      <w:rPr>
        <w:rFonts w:hint="default" w:ascii="Wingdings" w:hAnsi="Wingdings"/>
      </w:rPr>
    </w:lvl>
    <w:lvl w:ilvl="5" w:tentative="0">
      <w:start w:val="1"/>
      <w:numFmt w:val="bullet"/>
      <w:lvlText w:val=""/>
      <w:lvlJc w:val="left"/>
      <w:pPr>
        <w:ind w:left="2306" w:hanging="420"/>
      </w:pPr>
      <w:rPr>
        <w:rFonts w:hint="default" w:ascii="Wingdings" w:hAnsi="Wingdings"/>
      </w:rPr>
    </w:lvl>
    <w:lvl w:ilvl="6" w:tentative="0">
      <w:start w:val="1"/>
      <w:numFmt w:val="bullet"/>
      <w:lvlText w:val=""/>
      <w:lvlJc w:val="left"/>
      <w:pPr>
        <w:ind w:left="2726" w:hanging="420"/>
      </w:pPr>
      <w:rPr>
        <w:rFonts w:hint="default" w:ascii="Wingdings" w:hAnsi="Wingdings"/>
      </w:rPr>
    </w:lvl>
    <w:lvl w:ilvl="7" w:tentative="0">
      <w:start w:val="1"/>
      <w:numFmt w:val="bullet"/>
      <w:lvlText w:val=""/>
      <w:lvlJc w:val="left"/>
      <w:pPr>
        <w:ind w:left="3146" w:hanging="420"/>
      </w:pPr>
      <w:rPr>
        <w:rFonts w:hint="default" w:ascii="Wingdings" w:hAnsi="Wingdings"/>
      </w:rPr>
    </w:lvl>
    <w:lvl w:ilvl="8" w:tentative="0">
      <w:start w:val="1"/>
      <w:numFmt w:val="bullet"/>
      <w:lvlText w:val=""/>
      <w:lvlJc w:val="left"/>
      <w:pPr>
        <w:ind w:left="3566" w:hanging="420"/>
      </w:pPr>
      <w:rPr>
        <w:rFonts w:hint="default" w:ascii="Wingdings" w:hAnsi="Wingdings"/>
      </w:rPr>
    </w:lvl>
  </w:abstractNum>
  <w:abstractNum w:abstractNumId="59">
    <w:nsid w:val="19BFEC32"/>
    <w:multiLevelType w:val="multilevel"/>
    <w:tmpl w:val="19BFEC32"/>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0">
    <w:nsid w:val="1D6037A2"/>
    <w:multiLevelType w:val="multilevel"/>
    <w:tmpl w:val="1D6037A2"/>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1">
    <w:nsid w:val="1E0B34C5"/>
    <w:multiLevelType w:val="multilevel"/>
    <w:tmpl w:val="1E0B34C5"/>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2">
    <w:nsid w:val="1E5F553A"/>
    <w:multiLevelType w:val="multilevel"/>
    <w:tmpl w:val="1E5F553A"/>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3">
    <w:nsid w:val="1FC91163"/>
    <w:multiLevelType w:val="multilevel"/>
    <w:tmpl w:val="1FC91163"/>
    <w:lvl w:ilvl="0" w:tentative="0">
      <w:start w:val="1"/>
      <w:numFmt w:val="decimal"/>
      <w:pStyle w:val="25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0"/>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261"/>
      <w:suff w:val="nothing"/>
      <w:lvlText w:val="%1.%2.%3　"/>
      <w:lvlJc w:val="left"/>
      <w:pPr>
        <w:ind w:left="0" w:firstLine="0"/>
      </w:pPr>
      <w:rPr>
        <w:rFonts w:hint="default" w:ascii="黑体" w:hAnsi="Times New Roman" w:eastAsia="黑体"/>
        <w:b w:val="0"/>
        <w:i w:val="0"/>
        <w:color w:val="auto"/>
        <w:sz w:val="21"/>
      </w:rPr>
    </w:lvl>
    <w:lvl w:ilvl="3" w:tentative="0">
      <w:start w:val="1"/>
      <w:numFmt w:val="decimal"/>
      <w:pStyle w:val="290"/>
      <w:suff w:val="nothing"/>
      <w:lvlText w:val="%1.%2.%3.%4　"/>
      <w:lvlJc w:val="left"/>
      <w:pPr>
        <w:ind w:left="0" w:firstLine="0"/>
      </w:pPr>
      <w:rPr>
        <w:rFonts w:hint="eastAsia" w:ascii="黑体" w:hAnsi="Times New Roman" w:eastAsia="黑体"/>
        <w:b w:val="0"/>
        <w:i w:val="0"/>
        <w:sz w:val="21"/>
      </w:rPr>
    </w:lvl>
    <w:lvl w:ilvl="4" w:tentative="0">
      <w:start w:val="1"/>
      <w:numFmt w:val="decimal"/>
      <w:pStyle w:val="295"/>
      <w:suff w:val="nothing"/>
      <w:lvlText w:val="%1.%2.%3.%4.%5　"/>
      <w:lvlJc w:val="left"/>
      <w:pPr>
        <w:ind w:left="0" w:firstLine="0"/>
      </w:pPr>
      <w:rPr>
        <w:rFonts w:hint="eastAsia" w:ascii="黑体" w:hAnsi="Times New Roman" w:eastAsia="黑体"/>
        <w:b w:val="0"/>
        <w:i w:val="0"/>
        <w:sz w:val="21"/>
      </w:rPr>
    </w:lvl>
    <w:lvl w:ilvl="5" w:tentative="0">
      <w:start w:val="1"/>
      <w:numFmt w:val="decimal"/>
      <w:pStyle w:val="30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4">
    <w:nsid w:val="25FDB526"/>
    <w:multiLevelType w:val="singleLevel"/>
    <w:tmpl w:val="25FDB526"/>
    <w:lvl w:ilvl="0" w:tentative="0">
      <w:start w:val="1"/>
      <w:numFmt w:val="decimal"/>
      <w:lvlText w:val="%1."/>
      <w:lvlJc w:val="left"/>
      <w:pPr>
        <w:tabs>
          <w:tab w:val="left" w:pos="312"/>
        </w:tabs>
      </w:pPr>
    </w:lvl>
  </w:abstractNum>
  <w:abstractNum w:abstractNumId="65">
    <w:nsid w:val="291FD98B"/>
    <w:multiLevelType w:val="multilevel"/>
    <w:tmpl w:val="291FD98B"/>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6">
    <w:nsid w:val="2962E4E9"/>
    <w:multiLevelType w:val="multilevel"/>
    <w:tmpl w:val="2962E4E9"/>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7">
    <w:nsid w:val="297FDBF9"/>
    <w:multiLevelType w:val="multilevel"/>
    <w:tmpl w:val="297FDBF9"/>
    <w:lvl w:ilvl="0" w:tentative="0">
      <w:start w:val="1"/>
      <w:numFmt w:val="lowerLetter"/>
      <w:lvlText w:val="%1."/>
      <w:lvlJc w:val="left"/>
      <w:pPr>
        <w:ind w:left="425" w:hanging="425"/>
      </w:pPr>
      <w:rPr>
        <w:rFonts w:hint="default"/>
      </w:rPr>
    </w:lvl>
    <w:lvl w:ilvl="1" w:tentative="0">
      <w:start w:val="1"/>
      <w:numFmt w:val="lowerLetter"/>
      <w:lvlText w:val="%2)"/>
      <w:lvlJc w:val="left"/>
      <w:pPr>
        <w:tabs>
          <w:tab w:val="left" w:pos="840"/>
        </w:tabs>
        <w:ind w:left="840" w:hanging="420"/>
      </w:pPr>
      <w:rPr>
        <w:rFonts w:hint="default" w:eastAsia="Times New Roman"/>
      </w:rPr>
    </w:lvl>
    <w:lvl w:ilvl="2" w:tentative="0">
      <w:start w:val="1"/>
      <w:numFmt w:val="lowerRoman"/>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decimal"/>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abstractNum w:abstractNumId="68">
    <w:nsid w:val="2A8F7113"/>
    <w:multiLevelType w:val="multilevel"/>
    <w:tmpl w:val="2A8F7113"/>
    <w:lvl w:ilvl="0" w:tentative="0">
      <w:start w:val="1"/>
      <w:numFmt w:val="upperLetter"/>
      <w:pStyle w:val="348"/>
      <w:suff w:val="space"/>
      <w:lvlText w:val="%1"/>
      <w:lvlJc w:val="left"/>
      <w:pPr>
        <w:ind w:left="0" w:firstLine="0"/>
      </w:pPr>
      <w:rPr>
        <w:rFonts w:hint="eastAsia"/>
      </w:rPr>
    </w:lvl>
    <w:lvl w:ilvl="1" w:tentative="0">
      <w:start w:val="1"/>
      <w:numFmt w:val="decimal"/>
      <w:pStyle w:val="281"/>
      <w:suff w:val="nothing"/>
      <w:lvlText w:val="图%1.%2　"/>
      <w:lvlJc w:val="left"/>
      <w:pPr>
        <w:ind w:left="0" w:firstLine="0"/>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69">
    <w:nsid w:val="2C5BB37F"/>
    <w:multiLevelType w:val="singleLevel"/>
    <w:tmpl w:val="2C5BB37F"/>
    <w:lvl w:ilvl="0" w:tentative="0">
      <w:start w:val="1"/>
      <w:numFmt w:val="lowerLetter"/>
      <w:lvlText w:val="%1)"/>
      <w:lvlJc w:val="left"/>
      <w:pPr>
        <w:tabs>
          <w:tab w:val="left" w:pos="312"/>
        </w:tabs>
        <w:ind w:left="986" w:hanging="714"/>
      </w:pPr>
    </w:lvl>
  </w:abstractNum>
  <w:abstractNum w:abstractNumId="70">
    <w:nsid w:val="2FD12799"/>
    <w:multiLevelType w:val="multilevel"/>
    <w:tmpl w:val="2FD12799"/>
    <w:lvl w:ilvl="0" w:tentative="0">
      <w:start w:val="1"/>
      <w:numFmt w:val="decimal"/>
      <w:suff w:val="nothing"/>
      <w:lvlText w:val="%1"/>
      <w:lvlJc w:val="center"/>
      <w:pPr>
        <w:ind w:left="0" w:firstLine="0"/>
      </w:pPr>
      <w:rPr>
        <w:rFonts w:hint="default" w:ascii="Times New Roman" w:hAnsi="Times New Roman" w:cs="Times New Roman"/>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1">
    <w:nsid w:val="3095552C"/>
    <w:multiLevelType w:val="multilevel"/>
    <w:tmpl w:val="3095552C"/>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2">
    <w:nsid w:val="3ADBAAD5"/>
    <w:multiLevelType w:val="multilevel"/>
    <w:tmpl w:val="3ADBAAD5"/>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3">
    <w:nsid w:val="3DCEAB60"/>
    <w:multiLevelType w:val="multilevel"/>
    <w:tmpl w:val="3DCEAB60"/>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4">
    <w:nsid w:val="3DE4AE37"/>
    <w:multiLevelType w:val="multilevel"/>
    <w:tmpl w:val="3DE4AE37"/>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5">
    <w:nsid w:val="40ADD31D"/>
    <w:multiLevelType w:val="multilevel"/>
    <w:tmpl w:val="40ADD31D"/>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6">
    <w:nsid w:val="4257AA58"/>
    <w:multiLevelType w:val="singleLevel"/>
    <w:tmpl w:val="4257AA58"/>
    <w:lvl w:ilvl="0" w:tentative="0">
      <w:start w:val="1"/>
      <w:numFmt w:val="lowerLetter"/>
      <w:suff w:val="space"/>
      <w:lvlText w:val="%1)"/>
      <w:lvlJc w:val="left"/>
    </w:lvl>
  </w:abstractNum>
  <w:abstractNum w:abstractNumId="77">
    <w:nsid w:val="427A3156"/>
    <w:multiLevelType w:val="singleLevel"/>
    <w:tmpl w:val="427A3156"/>
    <w:lvl w:ilvl="0" w:tentative="0">
      <w:start w:val="1"/>
      <w:numFmt w:val="lowerLetter"/>
      <w:lvlText w:val="%1)"/>
      <w:lvlJc w:val="left"/>
      <w:pPr>
        <w:tabs>
          <w:tab w:val="left" w:pos="312"/>
        </w:tabs>
      </w:pPr>
      <w:rPr>
        <w:rFonts w:hint="default" w:ascii="Times New Roman" w:hAnsi="Times New Roman" w:cs="Times New Roman"/>
      </w:rPr>
    </w:lvl>
  </w:abstractNum>
  <w:abstractNum w:abstractNumId="78">
    <w:nsid w:val="42968A15"/>
    <w:multiLevelType w:val="singleLevel"/>
    <w:tmpl w:val="42968A15"/>
    <w:lvl w:ilvl="0" w:tentative="0">
      <w:start w:val="1"/>
      <w:numFmt w:val="decimal"/>
      <w:lvlText w:val="%1)"/>
      <w:lvlJc w:val="left"/>
      <w:pPr>
        <w:ind w:left="425" w:hanging="425"/>
      </w:pPr>
      <w:rPr>
        <w:rFonts w:hint="default"/>
        <w:sz w:val="21"/>
        <w:szCs w:val="21"/>
      </w:rPr>
    </w:lvl>
  </w:abstractNum>
  <w:abstractNum w:abstractNumId="79">
    <w:nsid w:val="464A9636"/>
    <w:multiLevelType w:val="singleLevel"/>
    <w:tmpl w:val="464A9636"/>
    <w:lvl w:ilvl="0" w:tentative="0">
      <w:start w:val="1"/>
      <w:numFmt w:val="decimal"/>
      <w:lvlText w:val="%1."/>
      <w:lvlJc w:val="left"/>
      <w:pPr>
        <w:tabs>
          <w:tab w:val="left" w:pos="312"/>
        </w:tabs>
      </w:pPr>
    </w:lvl>
  </w:abstractNum>
  <w:abstractNum w:abstractNumId="80">
    <w:nsid w:val="4B733A5F"/>
    <w:multiLevelType w:val="multilevel"/>
    <w:tmpl w:val="4B733A5F"/>
    <w:lvl w:ilvl="0" w:tentative="0">
      <w:start w:val="1"/>
      <w:numFmt w:val="decimal"/>
      <w:pStyle w:val="306"/>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81">
    <w:nsid w:val="53281CC5"/>
    <w:multiLevelType w:val="multilevel"/>
    <w:tmpl w:val="53281CC5"/>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2">
    <w:nsid w:val="55E02EF4"/>
    <w:multiLevelType w:val="multilevel"/>
    <w:tmpl w:val="55E02EF4"/>
    <w:lvl w:ilvl="0" w:tentative="0">
      <w:start w:val="1"/>
      <w:numFmt w:val="decimal"/>
      <w:pStyle w:val="302"/>
      <w:lvlText w:val="图%1"/>
      <w:lvlJc w:val="left"/>
      <w:pPr>
        <w:tabs>
          <w:tab w:val="left" w:pos="510"/>
        </w:tabs>
        <w:ind w:left="0" w:firstLine="0"/>
      </w:pPr>
      <w:rPr>
        <w:rFonts w:hint="eastAsia" w:ascii="黑体" w:eastAsia="黑体"/>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3">
    <w:nsid w:val="56787384"/>
    <w:multiLevelType w:val="multilevel"/>
    <w:tmpl w:val="56787384"/>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4">
    <w:nsid w:val="58C39D17"/>
    <w:multiLevelType w:val="multilevel"/>
    <w:tmpl w:val="58C39D17"/>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5">
    <w:nsid w:val="58CC5C88"/>
    <w:multiLevelType w:val="multilevel"/>
    <w:tmpl w:val="58CC5C88"/>
    <w:lvl w:ilvl="0" w:tentative="0">
      <w:start w:val="1"/>
      <w:numFmt w:val="decimal"/>
      <w:pStyle w:val="304"/>
      <w:suff w:val="nothing"/>
      <w:lvlText w:val="注%1："/>
      <w:lvlJc w:val="left"/>
      <w:pPr>
        <w:tabs>
          <w:tab w:val="left" w:pos="0"/>
        </w:tabs>
        <w:ind w:left="811" w:hanging="448"/>
      </w:pPr>
      <w:rPr>
        <w:rFonts w:hint="default" w:ascii="黑体" w:hAnsi="黑体" w:eastAsia="黑体" w:cs="Times New Roman"/>
        <w:b w:val="0"/>
        <w:bCs w:val="0"/>
        <w:i w:val="0"/>
        <w:iCs w:val="0"/>
        <w:caps w:val="0"/>
        <w:smallCaps w:val="0"/>
        <w:strike w:val="0"/>
        <w:dstrike w:val="0"/>
        <w:outline w:val="0"/>
        <w:shadow w:val="0"/>
        <w:emboss w:val="0"/>
        <w:imprint w:val="0"/>
        <w:vanish w:val="0"/>
        <w:spacing w:val="0"/>
        <w:position w:val="0"/>
        <w:sz w:val="18"/>
        <w:szCs w:val="18"/>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86">
    <w:nsid w:val="5B7E3733"/>
    <w:multiLevelType w:val="multilevel"/>
    <w:tmpl w:val="5B7E3733"/>
    <w:lvl w:ilvl="0" w:tentative="0">
      <w:start w:val="1"/>
      <w:numFmt w:val="decimal"/>
      <w:pStyle w:val="296"/>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87">
    <w:nsid w:val="5BC73ADB"/>
    <w:multiLevelType w:val="multilevel"/>
    <w:tmpl w:val="5BC73ADB"/>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8">
    <w:nsid w:val="5FE20D64"/>
    <w:multiLevelType w:val="multilevel"/>
    <w:tmpl w:val="5FE20D64"/>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9">
    <w:nsid w:val="60B55DC2"/>
    <w:multiLevelType w:val="multilevel"/>
    <w:tmpl w:val="60B55DC2"/>
    <w:lvl w:ilvl="0" w:tentative="0">
      <w:start w:val="1"/>
      <w:numFmt w:val="upperLetter"/>
      <w:pStyle w:val="347"/>
      <w:lvlText w:val="%1"/>
      <w:lvlJc w:val="left"/>
      <w:pPr>
        <w:tabs>
          <w:tab w:val="left" w:pos="0"/>
        </w:tabs>
        <w:ind w:left="0" w:firstLine="0"/>
      </w:pPr>
      <w:rPr>
        <w:rFonts w:hint="eastAsia"/>
      </w:rPr>
    </w:lvl>
    <w:lvl w:ilvl="1" w:tentative="0">
      <w:start w:val="1"/>
      <w:numFmt w:val="decimal"/>
      <w:pStyle w:val="275"/>
      <w:suff w:val="nothing"/>
      <w:lvlText w:val="表%1.%2　"/>
      <w:lvlJc w:val="left"/>
      <w:pPr>
        <w:ind w:left="0" w:firstLine="0"/>
      </w:pPr>
      <w:rPr>
        <w:rFonts w:hint="eastAsia" w:ascii="黑体" w:hAnsi="黑体" w:eastAsia="黑体"/>
        <w:b w:val="0"/>
        <w:i w:val="0"/>
        <w:caps w:val="0"/>
        <w:strike w:val="0"/>
        <w:dstrike w:val="0"/>
        <w:snapToGrid w:val="0"/>
        <w:vanish w:val="0"/>
        <w:kern w:val="0"/>
        <w:sz w:val="21"/>
        <w:vertAlign w:val="baseline"/>
      </w:rPr>
    </w:lvl>
    <w:lvl w:ilvl="2" w:tentative="0">
      <w:start w:val="1"/>
      <w:numFmt w:val="none"/>
      <w:pStyle w:val="317"/>
      <w:suff w:val="nothing"/>
      <w:lvlText w:val="%3表%1.%2　"/>
      <w:lvlJc w:val="left"/>
      <w:pPr>
        <w:ind w:left="0" w:firstLine="0"/>
      </w:pPr>
      <w:rPr>
        <w:rFonts w:hint="eastAsia" w:ascii="黑体" w:hAnsi="黑体" w:eastAsia="黑体"/>
        <w:b w:val="0"/>
        <w:i w:val="0"/>
        <w:caps w:val="0"/>
        <w:strike w:val="0"/>
        <w:dstrike w:val="0"/>
        <w:snapToGrid w:val="0"/>
        <w:vanish w:val="0"/>
        <w:kern w:val="0"/>
        <w:sz w:val="21"/>
        <w:vertAlign w:val="baseline"/>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90">
    <w:nsid w:val="629B9653"/>
    <w:multiLevelType w:val="multilevel"/>
    <w:tmpl w:val="629B9653"/>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1">
    <w:nsid w:val="657D3FBC"/>
    <w:multiLevelType w:val="multilevel"/>
    <w:tmpl w:val="657D3FBC"/>
    <w:lvl w:ilvl="0" w:tentative="0">
      <w:start w:val="1"/>
      <w:numFmt w:val="upperLetter"/>
      <w:pStyle w:val="274"/>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276"/>
      <w:suff w:val="nothing"/>
      <w:lvlText w:val="%1.%2　"/>
      <w:lvlJc w:val="left"/>
      <w:pPr>
        <w:ind w:left="0" w:firstLine="0"/>
      </w:pPr>
      <w:rPr>
        <w:rFonts w:ascii="黑体" w:hAnsi="黑体" w:eastAsia="黑体" w:cs="Times New Roman"/>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pStyle w:val="277"/>
      <w:suff w:val="nothing"/>
      <w:lvlText w:val="%1.%2.%3　"/>
      <w:lvlJc w:val="left"/>
      <w:pPr>
        <w:ind w:left="0" w:firstLine="0"/>
      </w:pPr>
      <w:rPr>
        <w:rFonts w:hint="eastAsia" w:ascii="黑体" w:hAnsi="Times New Roman" w:eastAsia="黑体"/>
        <w:b w:val="0"/>
        <w:i w:val="0"/>
        <w:sz w:val="21"/>
      </w:rPr>
    </w:lvl>
    <w:lvl w:ilvl="3" w:tentative="0">
      <w:start w:val="1"/>
      <w:numFmt w:val="decimal"/>
      <w:pStyle w:val="278"/>
      <w:suff w:val="nothing"/>
      <w:lvlText w:val="%1.%2.%3.%4　"/>
      <w:lvlJc w:val="left"/>
      <w:pPr>
        <w:ind w:left="0" w:firstLine="0"/>
      </w:pPr>
      <w:rPr>
        <w:rFonts w:hint="eastAsia" w:ascii="黑体" w:hAnsi="Times New Roman" w:eastAsia="黑体"/>
        <w:b w:val="0"/>
        <w:i w:val="0"/>
        <w:sz w:val="21"/>
      </w:rPr>
    </w:lvl>
    <w:lvl w:ilvl="4" w:tentative="0">
      <w:start w:val="1"/>
      <w:numFmt w:val="decimal"/>
      <w:pStyle w:val="279"/>
      <w:suff w:val="nothing"/>
      <w:lvlText w:val="%1.%2.%3.%4.%5　"/>
      <w:lvlJc w:val="left"/>
      <w:pPr>
        <w:ind w:left="0" w:firstLine="0"/>
      </w:pPr>
      <w:rPr>
        <w:rFonts w:hint="eastAsia" w:ascii="黑体" w:hAnsi="Times New Roman" w:eastAsia="黑体"/>
        <w:b w:val="0"/>
        <w:i w:val="0"/>
        <w:sz w:val="21"/>
      </w:rPr>
    </w:lvl>
    <w:lvl w:ilvl="5" w:tentative="0">
      <w:start w:val="1"/>
      <w:numFmt w:val="decimal"/>
      <w:pStyle w:val="280"/>
      <w:suff w:val="nothing"/>
      <w:lvlText w:val="%1.%2.%3.%4.%5.%6　"/>
      <w:lvlJc w:val="left"/>
      <w:pPr>
        <w:ind w:left="0" w:firstLine="0"/>
      </w:pPr>
      <w:rPr>
        <w:rFonts w:hint="eastAsia" w:ascii="黑体" w:hAnsi="Times New Roman" w:eastAsia="黑体"/>
        <w:b w:val="0"/>
        <w:i w:val="0"/>
        <w:sz w:val="21"/>
      </w:rPr>
    </w:lvl>
    <w:lvl w:ilvl="6" w:tentative="0">
      <w:start w:val="1"/>
      <w:numFmt w:val="decimal"/>
      <w:pStyle w:val="28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527"/>
      <w:suff w:val="nothing"/>
      <w:lvlText w:val="%1%2　"/>
      <w:lvlJc w:val="left"/>
      <w:pPr>
        <w:ind w:left="0" w:firstLine="0"/>
      </w:pPr>
      <w:rPr>
        <w:rFonts w:hint="eastAsia" w:ascii="黑体" w:eastAsia="黑体"/>
        <w:b w:val="0"/>
        <w:i w:val="0"/>
        <w:sz w:val="21"/>
      </w:rPr>
    </w:lvl>
    <w:lvl w:ilvl="2" w:tentative="0">
      <w:start w:val="1"/>
      <w:numFmt w:val="decimal"/>
      <w:pStyle w:val="52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524"/>
      <w:suff w:val="nothing"/>
      <w:lvlText w:val="%1%2.%3.%4　"/>
      <w:lvlJc w:val="left"/>
      <w:pPr>
        <w:ind w:left="85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3">
    <w:nsid w:val="6DBF04F4"/>
    <w:multiLevelType w:val="multilevel"/>
    <w:tmpl w:val="6DBF04F4"/>
    <w:lvl w:ilvl="0" w:tentative="0">
      <w:start w:val="1"/>
      <w:numFmt w:val="none"/>
      <w:pStyle w:val="303"/>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94">
    <w:nsid w:val="72F3CA60"/>
    <w:multiLevelType w:val="multilevel"/>
    <w:tmpl w:val="72F3CA60"/>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5">
    <w:nsid w:val="75E6AF8D"/>
    <w:multiLevelType w:val="multilevel"/>
    <w:tmpl w:val="75E6AF8D"/>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6">
    <w:nsid w:val="763A6836"/>
    <w:multiLevelType w:val="multilevel"/>
    <w:tmpl w:val="763A6836"/>
    <w:lvl w:ilvl="0" w:tentative="0">
      <w:start w:val="1"/>
      <w:numFmt w:val="none"/>
      <w:suff w:val="nothing"/>
      <w:lvlText w:val=""/>
      <w:lvlJc w:val="left"/>
      <w:pPr>
        <w:ind w:left="0" w:firstLine="0"/>
      </w:pPr>
      <w:rPr>
        <w:rFonts w:hint="eastAsia" w:ascii="黑体" w:hAnsi="Times New Roman" w:eastAsia="黑体"/>
        <w:b/>
        <w:i w:val="0"/>
        <w:sz w:val="28"/>
      </w:rPr>
    </w:lvl>
    <w:lvl w:ilvl="1" w:tentative="0">
      <w:start w:val="1"/>
      <w:numFmt w:val="decimal"/>
      <w:pStyle w:val="307"/>
      <w:suff w:val="nothing"/>
      <w:lvlText w:val="%1%2 "/>
      <w:lvlJc w:val="left"/>
      <w:pPr>
        <w:ind w:left="0" w:firstLine="0"/>
      </w:pPr>
      <w:rPr>
        <w:rFonts w:hint="eastAsia" w:ascii="黑体" w:hAnsi="Times New Roman" w:eastAsia="黑体"/>
        <w:b/>
        <w:i w:val="0"/>
        <w:sz w:val="28"/>
      </w:rPr>
    </w:lvl>
    <w:lvl w:ilvl="2" w:tentative="0">
      <w:start w:val="1"/>
      <w:numFmt w:val="decimal"/>
      <w:pStyle w:val="308"/>
      <w:suff w:val="nothing"/>
      <w:lvlText w:val="%1%2.%3　"/>
      <w:lvlJc w:val="left"/>
      <w:pPr>
        <w:ind w:left="0" w:firstLine="0"/>
      </w:pPr>
      <w:rPr>
        <w:rFonts w:hint="eastAsia" w:ascii="黑体" w:hAnsi="Times New Roman" w:eastAsia="黑体"/>
        <w:b/>
        <w:i w:val="0"/>
        <w:sz w:val="21"/>
      </w:rPr>
    </w:lvl>
    <w:lvl w:ilvl="3" w:tentative="0">
      <w:start w:val="1"/>
      <w:numFmt w:val="decimal"/>
      <w:pStyle w:val="309"/>
      <w:suff w:val="nothing"/>
      <w:lvlText w:val="%1%2.%3.%4　"/>
      <w:lvlJc w:val="left"/>
      <w:pPr>
        <w:ind w:left="0" w:firstLine="0"/>
      </w:pPr>
      <w:rPr>
        <w:rFonts w:hint="eastAsia" w:ascii="黑体" w:hAnsi="Times New Roman" w:eastAsia="黑体"/>
        <w:b/>
        <w:i w:val="0"/>
        <w:sz w:val="21"/>
      </w:rPr>
    </w:lvl>
    <w:lvl w:ilvl="4" w:tentative="0">
      <w:start w:val="1"/>
      <w:numFmt w:val="decimal"/>
      <w:pStyle w:val="310"/>
      <w:suff w:val="nothing"/>
      <w:lvlText w:val="表%1%2.%3.%4-%5 "/>
      <w:lvlJc w:val="left"/>
      <w:pPr>
        <w:ind w:left="0" w:firstLine="0"/>
      </w:pPr>
      <w:rPr>
        <w:rFonts w:hint="eastAsia" w:ascii="黑体" w:hAnsi="Times New Roman" w:eastAsia="黑体"/>
        <w:b/>
        <w:i w:val="0"/>
        <w:sz w:val="21"/>
      </w:rPr>
    </w:lvl>
    <w:lvl w:ilvl="5" w:tentative="0">
      <w:start w:val="1"/>
      <w:numFmt w:val="decimal"/>
      <w:lvlRestart w:val="4"/>
      <w:pStyle w:val="311"/>
      <w:suff w:val="nothing"/>
      <w:lvlText w:val="%1图%2.%3.%4-%6 "/>
      <w:lvlJc w:val="left"/>
      <w:pPr>
        <w:ind w:left="0" w:firstLine="0"/>
      </w:pPr>
      <w:rPr>
        <w:rFonts w:hint="eastAsia" w:ascii="黑体" w:hAnsi="Times New Roman" w:eastAsia="黑体"/>
        <w:b/>
        <w:i w:val="0"/>
        <w:sz w:val="21"/>
      </w:rPr>
    </w:lvl>
    <w:lvl w:ilvl="6" w:tentative="0">
      <w:start w:val="1"/>
      <w:numFmt w:val="decimal"/>
      <w:lvlRestart w:val="4"/>
      <w:pStyle w:val="312"/>
      <w:suff w:val="nothing"/>
      <w:lvlText w:val="(%2.%3.%4-%7)"/>
      <w:lvlJc w:val="center"/>
      <w:pPr>
        <w:ind w:left="288" w:firstLine="288"/>
      </w:pPr>
      <w:rPr>
        <w:rFonts w:hint="eastAsia" w:ascii="黑体" w:hAnsi="Times New Roman" w:eastAsia="黑体"/>
        <w:b/>
        <w:i w:val="0"/>
        <w:sz w:val="21"/>
      </w:rPr>
    </w:lvl>
    <w:lvl w:ilvl="7" w:tentative="0">
      <w:start w:val="1"/>
      <w:numFmt w:val="decimal"/>
      <w:lvlRestart w:val="2"/>
      <w:pStyle w:val="314"/>
      <w:lvlText w:val="    %1%8"/>
      <w:lvlJc w:val="left"/>
      <w:pPr>
        <w:tabs>
          <w:tab w:val="left" w:pos="720"/>
        </w:tabs>
        <w:ind w:left="0" w:firstLine="0"/>
      </w:pPr>
      <w:rPr>
        <w:rFonts w:hint="eastAsia" w:ascii="黑体" w:eastAsia="黑体"/>
        <w:b/>
        <w:i w:val="0"/>
        <w:sz w:val="21"/>
      </w:rPr>
    </w:lvl>
    <w:lvl w:ilvl="8" w:tentative="0">
      <w:start w:val="1"/>
      <w:numFmt w:val="decimal"/>
      <w:lvlRestart w:val="2"/>
      <w:pStyle w:val="313"/>
      <w:lvlText w:val="%2.0.%9"/>
      <w:lvlJc w:val="left"/>
      <w:pPr>
        <w:tabs>
          <w:tab w:val="left" w:pos="720"/>
        </w:tabs>
        <w:ind w:left="0" w:firstLine="0"/>
      </w:pPr>
      <w:rPr>
        <w:rFonts w:hint="eastAsia" w:ascii="黑体" w:hAnsi="华文细黑" w:eastAsia="黑体"/>
        <w:b/>
        <w:i w:val="0"/>
        <w:sz w:val="21"/>
      </w:rPr>
    </w:lvl>
  </w:abstractNum>
  <w:abstractNum w:abstractNumId="97">
    <w:nsid w:val="76933334"/>
    <w:multiLevelType w:val="multilevel"/>
    <w:tmpl w:val="76933334"/>
    <w:lvl w:ilvl="0" w:tentative="0">
      <w:start w:val="1"/>
      <w:numFmt w:val="none"/>
      <w:pStyle w:val="285"/>
      <w:lvlText w:val="%1——"/>
      <w:lvlJc w:val="left"/>
      <w:pPr>
        <w:tabs>
          <w:tab w:val="left" w:pos="1140"/>
        </w:tabs>
        <w:ind w:left="840" w:hanging="420"/>
      </w:pPr>
      <w:rPr>
        <w:rFonts w:hint="eastAsia" w:ascii="黑体" w:hAnsi="黑体" w:eastAsia="黑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8">
    <w:nsid w:val="774C9D4B"/>
    <w:multiLevelType w:val="multilevel"/>
    <w:tmpl w:val="774C9D4B"/>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9">
    <w:nsid w:val="7EE74CB9"/>
    <w:multiLevelType w:val="multilevel"/>
    <w:tmpl w:val="7EE74CB9"/>
    <w:lvl w:ilvl="0" w:tentative="0">
      <w:start w:val="1"/>
      <w:numFmt w:val="lowerLetter"/>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num w:numId="1">
    <w:abstractNumId w:val="42"/>
  </w:num>
  <w:num w:numId="2">
    <w:abstractNumId w:val="44"/>
  </w:num>
  <w:num w:numId="3">
    <w:abstractNumId w:val="47"/>
  </w:num>
  <w:num w:numId="4">
    <w:abstractNumId w:val="48"/>
  </w:num>
  <w:num w:numId="5">
    <w:abstractNumId w:val="45"/>
  </w:num>
  <w:num w:numId="6">
    <w:abstractNumId w:val="41"/>
  </w:num>
  <w:num w:numId="7">
    <w:abstractNumId w:val="46"/>
  </w:num>
  <w:num w:numId="8">
    <w:abstractNumId w:val="43"/>
  </w:num>
  <w:num w:numId="9">
    <w:abstractNumId w:val="40"/>
  </w:num>
  <w:num w:numId="10">
    <w:abstractNumId w:val="39"/>
  </w:num>
  <w:num w:numId="11">
    <w:abstractNumId w:val="63"/>
  </w:num>
  <w:num w:numId="12">
    <w:abstractNumId w:val="91"/>
  </w:num>
  <w:num w:numId="13">
    <w:abstractNumId w:val="89"/>
  </w:num>
  <w:num w:numId="14">
    <w:abstractNumId w:val="68"/>
  </w:num>
  <w:num w:numId="15">
    <w:abstractNumId w:val="97"/>
  </w:num>
  <w:num w:numId="16">
    <w:abstractNumId w:val="57"/>
  </w:num>
  <w:num w:numId="17">
    <w:abstractNumId w:val="11"/>
  </w:num>
  <w:num w:numId="18">
    <w:abstractNumId w:val="86"/>
  </w:num>
  <w:num w:numId="19">
    <w:abstractNumId w:val="54"/>
  </w:num>
  <w:num w:numId="20">
    <w:abstractNumId w:val="82"/>
  </w:num>
  <w:num w:numId="21">
    <w:abstractNumId w:val="93"/>
  </w:num>
  <w:num w:numId="22">
    <w:abstractNumId w:val="85"/>
  </w:num>
  <w:num w:numId="23">
    <w:abstractNumId w:val="35"/>
  </w:num>
  <w:num w:numId="24">
    <w:abstractNumId w:val="80"/>
  </w:num>
  <w:num w:numId="25">
    <w:abstractNumId w:val="96"/>
  </w:num>
  <w:num w:numId="26">
    <w:abstractNumId w:val="58"/>
  </w:num>
  <w:num w:numId="27">
    <w:abstractNumId w:val="52"/>
  </w:num>
  <w:num w:numId="28">
    <w:abstractNumId w:val="92"/>
  </w:num>
  <w:num w:numId="2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3"/>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
  </w:num>
  <w:num w:numId="60">
    <w:abstractNumId w:val="27"/>
  </w:num>
  <w:num w:numId="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0"/>
  </w:num>
  <w:num w:numId="8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1"/>
  </w:num>
  <w:num w:numId="8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6"/>
  </w:num>
  <w:num w:numId="9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7"/>
  </w:num>
  <w:num w:numId="96">
    <w:abstractNumId w:val="69"/>
  </w:num>
  <w:num w:numId="9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7"/>
  </w:num>
  <w:num w:numId="1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8"/>
  </w:num>
  <w:num w:numId="116">
    <w:abstractNumId w:val="7"/>
  </w:num>
  <w:num w:numId="117">
    <w:abstractNumId w:val="98"/>
  </w:num>
  <w:num w:numId="1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76"/>
  </w:num>
  <w:num w:numId="12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94"/>
  </w:num>
  <w:num w:numId="12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0"/>
  </w:num>
  <w:num w:numId="132">
    <w:abstractNumId w:val="70"/>
  </w:num>
  <w:num w:numId="133">
    <w:abstractNumId w:val="5"/>
  </w:num>
  <w:num w:numId="134">
    <w:abstractNumId w:val="51"/>
  </w:num>
  <w:num w:numId="135">
    <w:abstractNumId w:val="21"/>
  </w:num>
  <w:num w:numId="136">
    <w:abstractNumId w:val="6"/>
  </w:num>
  <w:num w:numId="137">
    <w:abstractNumId w:val="34"/>
  </w:num>
  <w:num w:numId="138">
    <w:abstractNumId w:val="29"/>
  </w:num>
  <w:num w:numId="139">
    <w:abstractNumId w:val="64"/>
  </w:num>
  <w:num w:numId="140">
    <w:abstractNumId w:val="24"/>
  </w:num>
  <w:num w:numId="141">
    <w:abstractNumId w:val="79"/>
  </w:num>
  <w:num w:numId="142">
    <w:abstractNumId w:val="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attachedTemplate r:id="rId1"/>
  <w:documentProtection w:enforcement="0"/>
  <w:defaultTabStop w:val="210"/>
  <w:drawingGridHorizontalSpacing w:val="21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YyZWQ5ZGVhNThkNDZlZWM0M2E5ODM5MTg5NzQ0ZWEifQ=="/>
  </w:docVars>
  <w:rsids>
    <w:rsidRoot w:val="6758338F"/>
    <w:rsid w:val="00006548"/>
    <w:rsid w:val="00015998"/>
    <w:rsid w:val="00016DC5"/>
    <w:rsid w:val="00027BD3"/>
    <w:rsid w:val="0003621C"/>
    <w:rsid w:val="00036B39"/>
    <w:rsid w:val="00040BBF"/>
    <w:rsid w:val="00041393"/>
    <w:rsid w:val="00053FB5"/>
    <w:rsid w:val="00075DD9"/>
    <w:rsid w:val="00096449"/>
    <w:rsid w:val="0009648F"/>
    <w:rsid w:val="000A568D"/>
    <w:rsid w:val="000A6E5F"/>
    <w:rsid w:val="000C21DC"/>
    <w:rsid w:val="000C2EFF"/>
    <w:rsid w:val="000D3C87"/>
    <w:rsid w:val="000E1A47"/>
    <w:rsid w:val="000E2B29"/>
    <w:rsid w:val="000E7B1D"/>
    <w:rsid w:val="000F461D"/>
    <w:rsid w:val="00112CFF"/>
    <w:rsid w:val="00123BF9"/>
    <w:rsid w:val="00127602"/>
    <w:rsid w:val="00144633"/>
    <w:rsid w:val="001517CF"/>
    <w:rsid w:val="00164C6D"/>
    <w:rsid w:val="00170B1F"/>
    <w:rsid w:val="00172236"/>
    <w:rsid w:val="0017294E"/>
    <w:rsid w:val="001748CC"/>
    <w:rsid w:val="0017737E"/>
    <w:rsid w:val="001830DE"/>
    <w:rsid w:val="001A5A8D"/>
    <w:rsid w:val="001A5BF9"/>
    <w:rsid w:val="001C2054"/>
    <w:rsid w:val="001D5AA4"/>
    <w:rsid w:val="001D71BA"/>
    <w:rsid w:val="001F0E09"/>
    <w:rsid w:val="001F1F15"/>
    <w:rsid w:val="001F67A1"/>
    <w:rsid w:val="001F7BD7"/>
    <w:rsid w:val="00227E52"/>
    <w:rsid w:val="00235CB0"/>
    <w:rsid w:val="00247E6D"/>
    <w:rsid w:val="00267674"/>
    <w:rsid w:val="00282FBE"/>
    <w:rsid w:val="002917C0"/>
    <w:rsid w:val="002A0E4B"/>
    <w:rsid w:val="002A3BE2"/>
    <w:rsid w:val="002A6B18"/>
    <w:rsid w:val="002B060C"/>
    <w:rsid w:val="002B782D"/>
    <w:rsid w:val="002C6C4A"/>
    <w:rsid w:val="002C7DC9"/>
    <w:rsid w:val="002D3DC2"/>
    <w:rsid w:val="00303CA5"/>
    <w:rsid w:val="00324802"/>
    <w:rsid w:val="00366B99"/>
    <w:rsid w:val="003946EF"/>
    <w:rsid w:val="00397925"/>
    <w:rsid w:val="003A4F7B"/>
    <w:rsid w:val="003B65E2"/>
    <w:rsid w:val="003C5C82"/>
    <w:rsid w:val="003E42D0"/>
    <w:rsid w:val="003E49F2"/>
    <w:rsid w:val="003E7CE2"/>
    <w:rsid w:val="003F2DA8"/>
    <w:rsid w:val="003F764E"/>
    <w:rsid w:val="00406CC1"/>
    <w:rsid w:val="0041207A"/>
    <w:rsid w:val="00421BD9"/>
    <w:rsid w:val="0043219B"/>
    <w:rsid w:val="00436ECC"/>
    <w:rsid w:val="0044120F"/>
    <w:rsid w:val="004414E6"/>
    <w:rsid w:val="004619AC"/>
    <w:rsid w:val="00461C2C"/>
    <w:rsid w:val="00463A10"/>
    <w:rsid w:val="00467339"/>
    <w:rsid w:val="00471322"/>
    <w:rsid w:val="004826C9"/>
    <w:rsid w:val="004844D6"/>
    <w:rsid w:val="0048668C"/>
    <w:rsid w:val="00490088"/>
    <w:rsid w:val="004A22EE"/>
    <w:rsid w:val="004A3243"/>
    <w:rsid w:val="004C5186"/>
    <w:rsid w:val="004D65E7"/>
    <w:rsid w:val="004E4330"/>
    <w:rsid w:val="004F6636"/>
    <w:rsid w:val="0050545B"/>
    <w:rsid w:val="005134E3"/>
    <w:rsid w:val="00515AC9"/>
    <w:rsid w:val="005175BF"/>
    <w:rsid w:val="00520DEA"/>
    <w:rsid w:val="00521E61"/>
    <w:rsid w:val="00525D84"/>
    <w:rsid w:val="005272AE"/>
    <w:rsid w:val="005322CC"/>
    <w:rsid w:val="0053303D"/>
    <w:rsid w:val="00534368"/>
    <w:rsid w:val="00534928"/>
    <w:rsid w:val="00573966"/>
    <w:rsid w:val="00576AD8"/>
    <w:rsid w:val="00592E19"/>
    <w:rsid w:val="00596BBE"/>
    <w:rsid w:val="005A35D5"/>
    <w:rsid w:val="005A406C"/>
    <w:rsid w:val="005B6518"/>
    <w:rsid w:val="005F3ACC"/>
    <w:rsid w:val="00601445"/>
    <w:rsid w:val="0061695B"/>
    <w:rsid w:val="006230F2"/>
    <w:rsid w:val="0065094C"/>
    <w:rsid w:val="0066029D"/>
    <w:rsid w:val="00662D3B"/>
    <w:rsid w:val="00681844"/>
    <w:rsid w:val="00683507"/>
    <w:rsid w:val="006910D9"/>
    <w:rsid w:val="006974E7"/>
    <w:rsid w:val="006A01D7"/>
    <w:rsid w:val="006B643E"/>
    <w:rsid w:val="006D6D2B"/>
    <w:rsid w:val="006F1FF9"/>
    <w:rsid w:val="007064A5"/>
    <w:rsid w:val="00743CC7"/>
    <w:rsid w:val="0074732A"/>
    <w:rsid w:val="0075194C"/>
    <w:rsid w:val="00767B2F"/>
    <w:rsid w:val="00773A5E"/>
    <w:rsid w:val="00776408"/>
    <w:rsid w:val="0078233D"/>
    <w:rsid w:val="007D2FAA"/>
    <w:rsid w:val="007E0206"/>
    <w:rsid w:val="007E3F4F"/>
    <w:rsid w:val="007F228A"/>
    <w:rsid w:val="007F33F9"/>
    <w:rsid w:val="007F3BD7"/>
    <w:rsid w:val="007F69B9"/>
    <w:rsid w:val="00811C33"/>
    <w:rsid w:val="00823CF4"/>
    <w:rsid w:val="00837E7C"/>
    <w:rsid w:val="008455D4"/>
    <w:rsid w:val="008470AB"/>
    <w:rsid w:val="00852FD6"/>
    <w:rsid w:val="0085746E"/>
    <w:rsid w:val="0086159D"/>
    <w:rsid w:val="00863D8F"/>
    <w:rsid w:val="0086798F"/>
    <w:rsid w:val="008708FD"/>
    <w:rsid w:val="00870B7C"/>
    <w:rsid w:val="008752E7"/>
    <w:rsid w:val="008867BA"/>
    <w:rsid w:val="008C5347"/>
    <w:rsid w:val="008D2560"/>
    <w:rsid w:val="008D383F"/>
    <w:rsid w:val="008D68E7"/>
    <w:rsid w:val="008D7EE4"/>
    <w:rsid w:val="008E1AE0"/>
    <w:rsid w:val="008E351F"/>
    <w:rsid w:val="00901DA3"/>
    <w:rsid w:val="00902E3E"/>
    <w:rsid w:val="009506DE"/>
    <w:rsid w:val="009535DF"/>
    <w:rsid w:val="0095659D"/>
    <w:rsid w:val="009676B1"/>
    <w:rsid w:val="009721AF"/>
    <w:rsid w:val="0097455E"/>
    <w:rsid w:val="00987F63"/>
    <w:rsid w:val="009A446A"/>
    <w:rsid w:val="009C0704"/>
    <w:rsid w:val="009D19E4"/>
    <w:rsid w:val="009E1195"/>
    <w:rsid w:val="009F7CDF"/>
    <w:rsid w:val="00A17E3E"/>
    <w:rsid w:val="00A31EC3"/>
    <w:rsid w:val="00A329C9"/>
    <w:rsid w:val="00A342E2"/>
    <w:rsid w:val="00A40CF5"/>
    <w:rsid w:val="00A470A7"/>
    <w:rsid w:val="00A473CC"/>
    <w:rsid w:val="00A832D8"/>
    <w:rsid w:val="00A87239"/>
    <w:rsid w:val="00A94542"/>
    <w:rsid w:val="00AA2452"/>
    <w:rsid w:val="00AA4BDA"/>
    <w:rsid w:val="00AA5CBE"/>
    <w:rsid w:val="00AB0F55"/>
    <w:rsid w:val="00AC06BB"/>
    <w:rsid w:val="00AC3ACC"/>
    <w:rsid w:val="00AC7D7E"/>
    <w:rsid w:val="00AD4220"/>
    <w:rsid w:val="00AE2987"/>
    <w:rsid w:val="00AF2DD6"/>
    <w:rsid w:val="00AF7A69"/>
    <w:rsid w:val="00B01D8B"/>
    <w:rsid w:val="00B0338D"/>
    <w:rsid w:val="00B04152"/>
    <w:rsid w:val="00B13E76"/>
    <w:rsid w:val="00B23075"/>
    <w:rsid w:val="00B454CA"/>
    <w:rsid w:val="00B50B7E"/>
    <w:rsid w:val="00B55871"/>
    <w:rsid w:val="00B565EB"/>
    <w:rsid w:val="00B614B1"/>
    <w:rsid w:val="00B628B6"/>
    <w:rsid w:val="00B71E1F"/>
    <w:rsid w:val="00B74D02"/>
    <w:rsid w:val="00B81EA9"/>
    <w:rsid w:val="00BB04C4"/>
    <w:rsid w:val="00BC6C4C"/>
    <w:rsid w:val="00BD2D14"/>
    <w:rsid w:val="00BD74A8"/>
    <w:rsid w:val="00BE027D"/>
    <w:rsid w:val="00BF3DB8"/>
    <w:rsid w:val="00BF533F"/>
    <w:rsid w:val="00BF6C68"/>
    <w:rsid w:val="00C22264"/>
    <w:rsid w:val="00C231D9"/>
    <w:rsid w:val="00C26FF1"/>
    <w:rsid w:val="00C30C3E"/>
    <w:rsid w:val="00C361CB"/>
    <w:rsid w:val="00C52580"/>
    <w:rsid w:val="00C7294C"/>
    <w:rsid w:val="00C7721B"/>
    <w:rsid w:val="00C80B64"/>
    <w:rsid w:val="00C825D9"/>
    <w:rsid w:val="00C972AD"/>
    <w:rsid w:val="00CA1496"/>
    <w:rsid w:val="00CA612B"/>
    <w:rsid w:val="00CC19EC"/>
    <w:rsid w:val="00CE0378"/>
    <w:rsid w:val="00CE61C7"/>
    <w:rsid w:val="00D02A60"/>
    <w:rsid w:val="00D05D25"/>
    <w:rsid w:val="00D10F52"/>
    <w:rsid w:val="00D204BF"/>
    <w:rsid w:val="00D26279"/>
    <w:rsid w:val="00D27D31"/>
    <w:rsid w:val="00D32102"/>
    <w:rsid w:val="00D51EDE"/>
    <w:rsid w:val="00D679FB"/>
    <w:rsid w:val="00D67EE4"/>
    <w:rsid w:val="00DB2B27"/>
    <w:rsid w:val="00DB4AFD"/>
    <w:rsid w:val="00DC300E"/>
    <w:rsid w:val="00DC3C39"/>
    <w:rsid w:val="00DC4344"/>
    <w:rsid w:val="00DC5920"/>
    <w:rsid w:val="00DD172E"/>
    <w:rsid w:val="00DD5AE1"/>
    <w:rsid w:val="00DE6C5C"/>
    <w:rsid w:val="00DE79D1"/>
    <w:rsid w:val="00DF6572"/>
    <w:rsid w:val="00E12E32"/>
    <w:rsid w:val="00E245C7"/>
    <w:rsid w:val="00E307EE"/>
    <w:rsid w:val="00E30917"/>
    <w:rsid w:val="00E33A22"/>
    <w:rsid w:val="00E34285"/>
    <w:rsid w:val="00E376DF"/>
    <w:rsid w:val="00E638E4"/>
    <w:rsid w:val="00E7280A"/>
    <w:rsid w:val="00E73319"/>
    <w:rsid w:val="00E83142"/>
    <w:rsid w:val="00E87A23"/>
    <w:rsid w:val="00E9209B"/>
    <w:rsid w:val="00E96E93"/>
    <w:rsid w:val="00EA0058"/>
    <w:rsid w:val="00ED7098"/>
    <w:rsid w:val="00EE3EF6"/>
    <w:rsid w:val="00EE4858"/>
    <w:rsid w:val="00F15888"/>
    <w:rsid w:val="00F174DE"/>
    <w:rsid w:val="00F252F0"/>
    <w:rsid w:val="00F25CA4"/>
    <w:rsid w:val="00F66499"/>
    <w:rsid w:val="00F732E9"/>
    <w:rsid w:val="00F73EF2"/>
    <w:rsid w:val="00F8041E"/>
    <w:rsid w:val="00F95062"/>
    <w:rsid w:val="00F96F34"/>
    <w:rsid w:val="013E446F"/>
    <w:rsid w:val="01522809"/>
    <w:rsid w:val="0155788E"/>
    <w:rsid w:val="01725A1C"/>
    <w:rsid w:val="01731C23"/>
    <w:rsid w:val="01780EF9"/>
    <w:rsid w:val="017C0734"/>
    <w:rsid w:val="01894C4E"/>
    <w:rsid w:val="01950A96"/>
    <w:rsid w:val="019B0502"/>
    <w:rsid w:val="019E1CDC"/>
    <w:rsid w:val="01A370F3"/>
    <w:rsid w:val="01A95CCD"/>
    <w:rsid w:val="01BE1085"/>
    <w:rsid w:val="01DC4FBD"/>
    <w:rsid w:val="01E02383"/>
    <w:rsid w:val="020F3DAF"/>
    <w:rsid w:val="02226DE7"/>
    <w:rsid w:val="02564898"/>
    <w:rsid w:val="02944B48"/>
    <w:rsid w:val="02957022"/>
    <w:rsid w:val="02D2541D"/>
    <w:rsid w:val="03037728"/>
    <w:rsid w:val="03176D9B"/>
    <w:rsid w:val="031F2A09"/>
    <w:rsid w:val="033B62FB"/>
    <w:rsid w:val="037A35D1"/>
    <w:rsid w:val="038C50E0"/>
    <w:rsid w:val="03975670"/>
    <w:rsid w:val="03A03ED9"/>
    <w:rsid w:val="03CD06C4"/>
    <w:rsid w:val="03D83659"/>
    <w:rsid w:val="03DD01D9"/>
    <w:rsid w:val="03FA0149"/>
    <w:rsid w:val="040579D2"/>
    <w:rsid w:val="04132513"/>
    <w:rsid w:val="046D43CA"/>
    <w:rsid w:val="04874232"/>
    <w:rsid w:val="04891483"/>
    <w:rsid w:val="04962E25"/>
    <w:rsid w:val="04974C22"/>
    <w:rsid w:val="04991817"/>
    <w:rsid w:val="04A02DA3"/>
    <w:rsid w:val="04BA08D2"/>
    <w:rsid w:val="04BB31A2"/>
    <w:rsid w:val="04C66136"/>
    <w:rsid w:val="04F773F0"/>
    <w:rsid w:val="0507547B"/>
    <w:rsid w:val="05185278"/>
    <w:rsid w:val="05356095"/>
    <w:rsid w:val="05391320"/>
    <w:rsid w:val="05724CAA"/>
    <w:rsid w:val="0574717F"/>
    <w:rsid w:val="05757520"/>
    <w:rsid w:val="058B6CDA"/>
    <w:rsid w:val="05A84E4A"/>
    <w:rsid w:val="05D20C9A"/>
    <w:rsid w:val="06044CE5"/>
    <w:rsid w:val="060B3AB8"/>
    <w:rsid w:val="06445632"/>
    <w:rsid w:val="064B10E8"/>
    <w:rsid w:val="06583D6F"/>
    <w:rsid w:val="06856B77"/>
    <w:rsid w:val="06A02173"/>
    <w:rsid w:val="06C11ECF"/>
    <w:rsid w:val="06D74FB7"/>
    <w:rsid w:val="06FB0A8B"/>
    <w:rsid w:val="0703310E"/>
    <w:rsid w:val="07170676"/>
    <w:rsid w:val="071A568C"/>
    <w:rsid w:val="074A2072"/>
    <w:rsid w:val="075F2E5B"/>
    <w:rsid w:val="07601EFB"/>
    <w:rsid w:val="077C2175"/>
    <w:rsid w:val="078058B0"/>
    <w:rsid w:val="079647D7"/>
    <w:rsid w:val="07D831D1"/>
    <w:rsid w:val="07DB53A5"/>
    <w:rsid w:val="07EA5598"/>
    <w:rsid w:val="07FE588D"/>
    <w:rsid w:val="08053498"/>
    <w:rsid w:val="081E1A47"/>
    <w:rsid w:val="08557366"/>
    <w:rsid w:val="08830733"/>
    <w:rsid w:val="088E7A2C"/>
    <w:rsid w:val="088F324C"/>
    <w:rsid w:val="08B56E0B"/>
    <w:rsid w:val="08D062B9"/>
    <w:rsid w:val="08D50935"/>
    <w:rsid w:val="08F224E9"/>
    <w:rsid w:val="09231497"/>
    <w:rsid w:val="0927169A"/>
    <w:rsid w:val="093279E3"/>
    <w:rsid w:val="094427D6"/>
    <w:rsid w:val="09644DDC"/>
    <w:rsid w:val="09664531"/>
    <w:rsid w:val="098C61E7"/>
    <w:rsid w:val="09A21211"/>
    <w:rsid w:val="09CC4AB3"/>
    <w:rsid w:val="09D22D06"/>
    <w:rsid w:val="09D64612"/>
    <w:rsid w:val="09DE540C"/>
    <w:rsid w:val="09EF74FF"/>
    <w:rsid w:val="0A243FB0"/>
    <w:rsid w:val="0A26573A"/>
    <w:rsid w:val="0A3274E6"/>
    <w:rsid w:val="0A714DAF"/>
    <w:rsid w:val="0A825DF6"/>
    <w:rsid w:val="0A885A81"/>
    <w:rsid w:val="0A8D1669"/>
    <w:rsid w:val="0A922A21"/>
    <w:rsid w:val="0AA35B83"/>
    <w:rsid w:val="0AB57123"/>
    <w:rsid w:val="0AD76E74"/>
    <w:rsid w:val="0ADA025B"/>
    <w:rsid w:val="0B046FC5"/>
    <w:rsid w:val="0B0E0C1E"/>
    <w:rsid w:val="0B2E7611"/>
    <w:rsid w:val="0B3D539E"/>
    <w:rsid w:val="0B3F1488"/>
    <w:rsid w:val="0B844E71"/>
    <w:rsid w:val="0BEC7B62"/>
    <w:rsid w:val="0BF138C4"/>
    <w:rsid w:val="0C311D87"/>
    <w:rsid w:val="0C5368AE"/>
    <w:rsid w:val="0C7E2533"/>
    <w:rsid w:val="0CB436F2"/>
    <w:rsid w:val="0CB4492C"/>
    <w:rsid w:val="0CB60FE5"/>
    <w:rsid w:val="0CBA2457"/>
    <w:rsid w:val="0CDF7A90"/>
    <w:rsid w:val="0CFF0957"/>
    <w:rsid w:val="0D2658A2"/>
    <w:rsid w:val="0D2E4C03"/>
    <w:rsid w:val="0D3C7979"/>
    <w:rsid w:val="0D5706D2"/>
    <w:rsid w:val="0D5F5604"/>
    <w:rsid w:val="0DB31D06"/>
    <w:rsid w:val="0DB33472"/>
    <w:rsid w:val="0DBC31CF"/>
    <w:rsid w:val="0DDD59C2"/>
    <w:rsid w:val="0DE45DA4"/>
    <w:rsid w:val="0DF43D2F"/>
    <w:rsid w:val="0DF7148B"/>
    <w:rsid w:val="0DF80327"/>
    <w:rsid w:val="0E0E0D5B"/>
    <w:rsid w:val="0E124A5A"/>
    <w:rsid w:val="0E1761DD"/>
    <w:rsid w:val="0E1C7FA0"/>
    <w:rsid w:val="0E1F38BB"/>
    <w:rsid w:val="0E430C3C"/>
    <w:rsid w:val="0E4D36E3"/>
    <w:rsid w:val="0E596DE1"/>
    <w:rsid w:val="0E947D89"/>
    <w:rsid w:val="0EB12E2A"/>
    <w:rsid w:val="0ED87486"/>
    <w:rsid w:val="0ED87DF0"/>
    <w:rsid w:val="0EF17425"/>
    <w:rsid w:val="0EF66D33"/>
    <w:rsid w:val="0F021C54"/>
    <w:rsid w:val="0F1935D8"/>
    <w:rsid w:val="0F3A50CC"/>
    <w:rsid w:val="0F3C1C39"/>
    <w:rsid w:val="0F4C5F6E"/>
    <w:rsid w:val="0F5248C1"/>
    <w:rsid w:val="0F5524E1"/>
    <w:rsid w:val="0F62434C"/>
    <w:rsid w:val="0F6273CA"/>
    <w:rsid w:val="0F874A16"/>
    <w:rsid w:val="0F8B6720"/>
    <w:rsid w:val="0F8D0AE1"/>
    <w:rsid w:val="0FA26895"/>
    <w:rsid w:val="0FA95703"/>
    <w:rsid w:val="0FB8618A"/>
    <w:rsid w:val="0FC634FA"/>
    <w:rsid w:val="0FE42611"/>
    <w:rsid w:val="100B5BA2"/>
    <w:rsid w:val="1027549B"/>
    <w:rsid w:val="10372668"/>
    <w:rsid w:val="104307F7"/>
    <w:rsid w:val="105030B7"/>
    <w:rsid w:val="108057EC"/>
    <w:rsid w:val="109B71AD"/>
    <w:rsid w:val="10AA19B6"/>
    <w:rsid w:val="10CC3256"/>
    <w:rsid w:val="10D5261C"/>
    <w:rsid w:val="10F70AE6"/>
    <w:rsid w:val="110754FD"/>
    <w:rsid w:val="111A4673"/>
    <w:rsid w:val="112872C4"/>
    <w:rsid w:val="11317FDE"/>
    <w:rsid w:val="11603BBD"/>
    <w:rsid w:val="1168359B"/>
    <w:rsid w:val="1171768D"/>
    <w:rsid w:val="11730CE2"/>
    <w:rsid w:val="11867ED9"/>
    <w:rsid w:val="11EA5AEF"/>
    <w:rsid w:val="11F84E40"/>
    <w:rsid w:val="12386C7D"/>
    <w:rsid w:val="124D61BB"/>
    <w:rsid w:val="126A7E60"/>
    <w:rsid w:val="12904ECE"/>
    <w:rsid w:val="12BB3C49"/>
    <w:rsid w:val="12D84B3E"/>
    <w:rsid w:val="12D90C7E"/>
    <w:rsid w:val="12DC1631"/>
    <w:rsid w:val="130A7FCB"/>
    <w:rsid w:val="134D0656"/>
    <w:rsid w:val="136061FA"/>
    <w:rsid w:val="13785266"/>
    <w:rsid w:val="139021F1"/>
    <w:rsid w:val="13AA3B0E"/>
    <w:rsid w:val="13C670DC"/>
    <w:rsid w:val="13CD117A"/>
    <w:rsid w:val="13F4452B"/>
    <w:rsid w:val="141C0A56"/>
    <w:rsid w:val="14265B9D"/>
    <w:rsid w:val="14391709"/>
    <w:rsid w:val="1444658A"/>
    <w:rsid w:val="1458129A"/>
    <w:rsid w:val="146433B0"/>
    <w:rsid w:val="14786549"/>
    <w:rsid w:val="148951B3"/>
    <w:rsid w:val="14A8410E"/>
    <w:rsid w:val="14BC6B21"/>
    <w:rsid w:val="14E67A56"/>
    <w:rsid w:val="150D0478"/>
    <w:rsid w:val="152A6CEA"/>
    <w:rsid w:val="154F3AA4"/>
    <w:rsid w:val="157378A5"/>
    <w:rsid w:val="15B75FD7"/>
    <w:rsid w:val="15D72CD0"/>
    <w:rsid w:val="15FC70B7"/>
    <w:rsid w:val="15FF1117"/>
    <w:rsid w:val="16086AAD"/>
    <w:rsid w:val="160C2AB9"/>
    <w:rsid w:val="160D2D3C"/>
    <w:rsid w:val="1626206D"/>
    <w:rsid w:val="164C273F"/>
    <w:rsid w:val="164C2F5D"/>
    <w:rsid w:val="165F335C"/>
    <w:rsid w:val="168A60B6"/>
    <w:rsid w:val="16AC5892"/>
    <w:rsid w:val="16C27A9F"/>
    <w:rsid w:val="16CF61E0"/>
    <w:rsid w:val="171272EC"/>
    <w:rsid w:val="172D69DA"/>
    <w:rsid w:val="1732001A"/>
    <w:rsid w:val="174F033C"/>
    <w:rsid w:val="1751795E"/>
    <w:rsid w:val="176D5B83"/>
    <w:rsid w:val="17786D4B"/>
    <w:rsid w:val="177F3FD8"/>
    <w:rsid w:val="17892E7C"/>
    <w:rsid w:val="17934A43"/>
    <w:rsid w:val="17A17CC3"/>
    <w:rsid w:val="17B25A93"/>
    <w:rsid w:val="17D81DE1"/>
    <w:rsid w:val="18041D1D"/>
    <w:rsid w:val="181854A9"/>
    <w:rsid w:val="18331779"/>
    <w:rsid w:val="183C6A88"/>
    <w:rsid w:val="18427D3C"/>
    <w:rsid w:val="18483E85"/>
    <w:rsid w:val="187B17D4"/>
    <w:rsid w:val="18A34D7F"/>
    <w:rsid w:val="18B40583"/>
    <w:rsid w:val="18B53EC5"/>
    <w:rsid w:val="18C171AB"/>
    <w:rsid w:val="18C469B5"/>
    <w:rsid w:val="18C53463"/>
    <w:rsid w:val="18D44E6D"/>
    <w:rsid w:val="18EF015D"/>
    <w:rsid w:val="190E1A4B"/>
    <w:rsid w:val="19341F4D"/>
    <w:rsid w:val="1938149A"/>
    <w:rsid w:val="193B1102"/>
    <w:rsid w:val="193F7913"/>
    <w:rsid w:val="1941771E"/>
    <w:rsid w:val="19432F4F"/>
    <w:rsid w:val="19436CC0"/>
    <w:rsid w:val="194D42C7"/>
    <w:rsid w:val="195212B5"/>
    <w:rsid w:val="197B06AD"/>
    <w:rsid w:val="19897FF4"/>
    <w:rsid w:val="199E48D7"/>
    <w:rsid w:val="19AE79AF"/>
    <w:rsid w:val="19B734D1"/>
    <w:rsid w:val="19C229CB"/>
    <w:rsid w:val="19DF4A10"/>
    <w:rsid w:val="19F208DE"/>
    <w:rsid w:val="1A022D55"/>
    <w:rsid w:val="1A0745E0"/>
    <w:rsid w:val="1A0B630C"/>
    <w:rsid w:val="1A3B195B"/>
    <w:rsid w:val="1A513D9A"/>
    <w:rsid w:val="1A562496"/>
    <w:rsid w:val="1A5905CD"/>
    <w:rsid w:val="1A5E4A5D"/>
    <w:rsid w:val="1A5F6B94"/>
    <w:rsid w:val="1AC27A2C"/>
    <w:rsid w:val="1ACE6D21"/>
    <w:rsid w:val="1AD67CFD"/>
    <w:rsid w:val="1ADB1E91"/>
    <w:rsid w:val="1AE532AF"/>
    <w:rsid w:val="1AE723CD"/>
    <w:rsid w:val="1B18656A"/>
    <w:rsid w:val="1B2E4976"/>
    <w:rsid w:val="1B370771"/>
    <w:rsid w:val="1B657081"/>
    <w:rsid w:val="1B864A5C"/>
    <w:rsid w:val="1BAA302F"/>
    <w:rsid w:val="1BB65B86"/>
    <w:rsid w:val="1BBC4C4B"/>
    <w:rsid w:val="1BF715B0"/>
    <w:rsid w:val="1C105F71"/>
    <w:rsid w:val="1C2A6B58"/>
    <w:rsid w:val="1C3E28B4"/>
    <w:rsid w:val="1C4439DA"/>
    <w:rsid w:val="1C5B62FB"/>
    <w:rsid w:val="1C5E3753"/>
    <w:rsid w:val="1C9908C1"/>
    <w:rsid w:val="1C9F5BEC"/>
    <w:rsid w:val="1CAA6F03"/>
    <w:rsid w:val="1CAD1D3E"/>
    <w:rsid w:val="1CB97B2A"/>
    <w:rsid w:val="1D216228"/>
    <w:rsid w:val="1D2821E4"/>
    <w:rsid w:val="1D43088F"/>
    <w:rsid w:val="1D675659"/>
    <w:rsid w:val="1D73355D"/>
    <w:rsid w:val="1DDD0DD6"/>
    <w:rsid w:val="1DE60700"/>
    <w:rsid w:val="1DED3227"/>
    <w:rsid w:val="1DF744B0"/>
    <w:rsid w:val="1E061641"/>
    <w:rsid w:val="1E183420"/>
    <w:rsid w:val="1E2C36B3"/>
    <w:rsid w:val="1E3C2833"/>
    <w:rsid w:val="1E3E380F"/>
    <w:rsid w:val="1E41058F"/>
    <w:rsid w:val="1E5349A5"/>
    <w:rsid w:val="1E6D284C"/>
    <w:rsid w:val="1E761CFC"/>
    <w:rsid w:val="1E774F65"/>
    <w:rsid w:val="1E816A44"/>
    <w:rsid w:val="1E980D22"/>
    <w:rsid w:val="1EA52725"/>
    <w:rsid w:val="1EB028FC"/>
    <w:rsid w:val="1EC91910"/>
    <w:rsid w:val="1EF32FE5"/>
    <w:rsid w:val="1F0E7DE5"/>
    <w:rsid w:val="1F2F4C43"/>
    <w:rsid w:val="1F302910"/>
    <w:rsid w:val="1F410B14"/>
    <w:rsid w:val="1F412E7E"/>
    <w:rsid w:val="1F587326"/>
    <w:rsid w:val="1F92003C"/>
    <w:rsid w:val="1F926EBF"/>
    <w:rsid w:val="1FA433AF"/>
    <w:rsid w:val="1FA50A2A"/>
    <w:rsid w:val="1FAE594B"/>
    <w:rsid w:val="1FB16CC5"/>
    <w:rsid w:val="1FB85334"/>
    <w:rsid w:val="20027813"/>
    <w:rsid w:val="200F17DF"/>
    <w:rsid w:val="201E2BAD"/>
    <w:rsid w:val="20406C7D"/>
    <w:rsid w:val="20BE3C11"/>
    <w:rsid w:val="20E351A7"/>
    <w:rsid w:val="20FF02E6"/>
    <w:rsid w:val="212D2FC3"/>
    <w:rsid w:val="213132A5"/>
    <w:rsid w:val="21415852"/>
    <w:rsid w:val="21807CEC"/>
    <w:rsid w:val="2195222F"/>
    <w:rsid w:val="21B6720C"/>
    <w:rsid w:val="21CB5781"/>
    <w:rsid w:val="21D17DB0"/>
    <w:rsid w:val="21DE1584"/>
    <w:rsid w:val="21DF6B66"/>
    <w:rsid w:val="21E60A00"/>
    <w:rsid w:val="21E665CD"/>
    <w:rsid w:val="21ED6B47"/>
    <w:rsid w:val="21EE22ED"/>
    <w:rsid w:val="22017249"/>
    <w:rsid w:val="224507C8"/>
    <w:rsid w:val="225C3882"/>
    <w:rsid w:val="226A1E07"/>
    <w:rsid w:val="227934F0"/>
    <w:rsid w:val="227F4F48"/>
    <w:rsid w:val="22803009"/>
    <w:rsid w:val="22A805E7"/>
    <w:rsid w:val="22B25597"/>
    <w:rsid w:val="22B502DD"/>
    <w:rsid w:val="22C53695"/>
    <w:rsid w:val="22D14889"/>
    <w:rsid w:val="22EC1D3E"/>
    <w:rsid w:val="22F073D9"/>
    <w:rsid w:val="22F92D0F"/>
    <w:rsid w:val="22FF5432"/>
    <w:rsid w:val="231614B0"/>
    <w:rsid w:val="23355368"/>
    <w:rsid w:val="233B2D21"/>
    <w:rsid w:val="23553624"/>
    <w:rsid w:val="236227B3"/>
    <w:rsid w:val="23952E71"/>
    <w:rsid w:val="24162CFC"/>
    <w:rsid w:val="24216F3E"/>
    <w:rsid w:val="24304ABD"/>
    <w:rsid w:val="24443282"/>
    <w:rsid w:val="24520CD7"/>
    <w:rsid w:val="245D198E"/>
    <w:rsid w:val="2465241F"/>
    <w:rsid w:val="247578DE"/>
    <w:rsid w:val="24AE183E"/>
    <w:rsid w:val="24B32501"/>
    <w:rsid w:val="24B47738"/>
    <w:rsid w:val="24CF0AEC"/>
    <w:rsid w:val="24DB58B1"/>
    <w:rsid w:val="253E1840"/>
    <w:rsid w:val="259D3436"/>
    <w:rsid w:val="25C21091"/>
    <w:rsid w:val="25FD563F"/>
    <w:rsid w:val="26005338"/>
    <w:rsid w:val="26154279"/>
    <w:rsid w:val="263259D6"/>
    <w:rsid w:val="268C70C7"/>
    <w:rsid w:val="26941FF3"/>
    <w:rsid w:val="269C7532"/>
    <w:rsid w:val="26A358AB"/>
    <w:rsid w:val="26A73260"/>
    <w:rsid w:val="26B56AD0"/>
    <w:rsid w:val="26D76129"/>
    <w:rsid w:val="26F03CB8"/>
    <w:rsid w:val="26F356F3"/>
    <w:rsid w:val="270B66F3"/>
    <w:rsid w:val="2730514E"/>
    <w:rsid w:val="27465EDA"/>
    <w:rsid w:val="277C64CA"/>
    <w:rsid w:val="2786373D"/>
    <w:rsid w:val="27AD722E"/>
    <w:rsid w:val="27AE16A9"/>
    <w:rsid w:val="27CC2C2D"/>
    <w:rsid w:val="27E07AE5"/>
    <w:rsid w:val="27E95C02"/>
    <w:rsid w:val="27F22D4D"/>
    <w:rsid w:val="28137A3F"/>
    <w:rsid w:val="28224F19"/>
    <w:rsid w:val="284E0616"/>
    <w:rsid w:val="28744B7F"/>
    <w:rsid w:val="289007D4"/>
    <w:rsid w:val="28A52E36"/>
    <w:rsid w:val="28A72C9B"/>
    <w:rsid w:val="28AC1B99"/>
    <w:rsid w:val="28DF529E"/>
    <w:rsid w:val="28E05A89"/>
    <w:rsid w:val="28FF27ED"/>
    <w:rsid w:val="291A7E3F"/>
    <w:rsid w:val="29565D3F"/>
    <w:rsid w:val="29600B3C"/>
    <w:rsid w:val="29665177"/>
    <w:rsid w:val="296966EE"/>
    <w:rsid w:val="29783F4E"/>
    <w:rsid w:val="29A34E12"/>
    <w:rsid w:val="29BC2861"/>
    <w:rsid w:val="29BE561A"/>
    <w:rsid w:val="29CF44B8"/>
    <w:rsid w:val="29E41E9E"/>
    <w:rsid w:val="29EA20DB"/>
    <w:rsid w:val="29ED15EA"/>
    <w:rsid w:val="2A2D4445"/>
    <w:rsid w:val="2A3D1306"/>
    <w:rsid w:val="2A4D32E6"/>
    <w:rsid w:val="2A9B6F89"/>
    <w:rsid w:val="2A9F2B99"/>
    <w:rsid w:val="2A9F5694"/>
    <w:rsid w:val="2AA37315"/>
    <w:rsid w:val="2AA624D1"/>
    <w:rsid w:val="2AAE750B"/>
    <w:rsid w:val="2ABC2F4D"/>
    <w:rsid w:val="2ACA72D6"/>
    <w:rsid w:val="2ADD25B4"/>
    <w:rsid w:val="2ADE27AC"/>
    <w:rsid w:val="2AE258E2"/>
    <w:rsid w:val="2B0547FB"/>
    <w:rsid w:val="2B173978"/>
    <w:rsid w:val="2B56110C"/>
    <w:rsid w:val="2B7C4E65"/>
    <w:rsid w:val="2B8350AD"/>
    <w:rsid w:val="2BD95D11"/>
    <w:rsid w:val="2BDD4176"/>
    <w:rsid w:val="2C1D2A82"/>
    <w:rsid w:val="2C2D55C1"/>
    <w:rsid w:val="2C2F14D4"/>
    <w:rsid w:val="2C39224A"/>
    <w:rsid w:val="2C92459A"/>
    <w:rsid w:val="2C992BAE"/>
    <w:rsid w:val="2CA433CB"/>
    <w:rsid w:val="2CB87DB5"/>
    <w:rsid w:val="2CD235E1"/>
    <w:rsid w:val="2CFA0557"/>
    <w:rsid w:val="2CFC751A"/>
    <w:rsid w:val="2D096BA1"/>
    <w:rsid w:val="2D1A1F8B"/>
    <w:rsid w:val="2D2E4578"/>
    <w:rsid w:val="2D492C4D"/>
    <w:rsid w:val="2D591C80"/>
    <w:rsid w:val="2D592778"/>
    <w:rsid w:val="2D813F86"/>
    <w:rsid w:val="2D8455E2"/>
    <w:rsid w:val="2DA42B86"/>
    <w:rsid w:val="2DB03068"/>
    <w:rsid w:val="2DBF71D3"/>
    <w:rsid w:val="2DC9792A"/>
    <w:rsid w:val="2DD26085"/>
    <w:rsid w:val="2DF048C3"/>
    <w:rsid w:val="2E0304B9"/>
    <w:rsid w:val="2E3F70D7"/>
    <w:rsid w:val="2E673094"/>
    <w:rsid w:val="2E6E018D"/>
    <w:rsid w:val="2E6E43CD"/>
    <w:rsid w:val="2E8F7410"/>
    <w:rsid w:val="2EA17CBC"/>
    <w:rsid w:val="2EA4593D"/>
    <w:rsid w:val="2EDE4FF0"/>
    <w:rsid w:val="2EED50EE"/>
    <w:rsid w:val="2F116787"/>
    <w:rsid w:val="2F217175"/>
    <w:rsid w:val="2F6B04E8"/>
    <w:rsid w:val="2F881415"/>
    <w:rsid w:val="2F8E4736"/>
    <w:rsid w:val="2F935762"/>
    <w:rsid w:val="2FB43F52"/>
    <w:rsid w:val="2FB444E1"/>
    <w:rsid w:val="300C2463"/>
    <w:rsid w:val="300C41E0"/>
    <w:rsid w:val="300F5CEA"/>
    <w:rsid w:val="301B1793"/>
    <w:rsid w:val="30281E0E"/>
    <w:rsid w:val="30344DA2"/>
    <w:rsid w:val="303455D3"/>
    <w:rsid w:val="304716F8"/>
    <w:rsid w:val="30560E5A"/>
    <w:rsid w:val="30622036"/>
    <w:rsid w:val="306373BB"/>
    <w:rsid w:val="306B5CE6"/>
    <w:rsid w:val="306D1AEC"/>
    <w:rsid w:val="30C035FA"/>
    <w:rsid w:val="30C05E3A"/>
    <w:rsid w:val="30EB090A"/>
    <w:rsid w:val="30F44AC0"/>
    <w:rsid w:val="310B6A3D"/>
    <w:rsid w:val="311A29AD"/>
    <w:rsid w:val="31440D43"/>
    <w:rsid w:val="31521212"/>
    <w:rsid w:val="31650116"/>
    <w:rsid w:val="317B7C04"/>
    <w:rsid w:val="31852721"/>
    <w:rsid w:val="31A36909"/>
    <w:rsid w:val="31AE3DCC"/>
    <w:rsid w:val="31DB13D9"/>
    <w:rsid w:val="31DD1779"/>
    <w:rsid w:val="31E067C6"/>
    <w:rsid w:val="31FE51FC"/>
    <w:rsid w:val="32001381"/>
    <w:rsid w:val="3225346E"/>
    <w:rsid w:val="323B1B9E"/>
    <w:rsid w:val="325E687C"/>
    <w:rsid w:val="326B090C"/>
    <w:rsid w:val="32713CD8"/>
    <w:rsid w:val="327146EF"/>
    <w:rsid w:val="32743F08"/>
    <w:rsid w:val="327D0BE3"/>
    <w:rsid w:val="329B51A6"/>
    <w:rsid w:val="32B026B6"/>
    <w:rsid w:val="32B94DA4"/>
    <w:rsid w:val="32C6368B"/>
    <w:rsid w:val="32E039C3"/>
    <w:rsid w:val="32EC014D"/>
    <w:rsid w:val="32F13048"/>
    <w:rsid w:val="32FD6ABE"/>
    <w:rsid w:val="331A01B8"/>
    <w:rsid w:val="334F0C17"/>
    <w:rsid w:val="33563A76"/>
    <w:rsid w:val="336B13B3"/>
    <w:rsid w:val="338641C9"/>
    <w:rsid w:val="338F2CFC"/>
    <w:rsid w:val="339452CC"/>
    <w:rsid w:val="339F6113"/>
    <w:rsid w:val="33AF4B9A"/>
    <w:rsid w:val="33FB2C5F"/>
    <w:rsid w:val="343C15EE"/>
    <w:rsid w:val="344623BE"/>
    <w:rsid w:val="345A26F2"/>
    <w:rsid w:val="34640521"/>
    <w:rsid w:val="346D6E38"/>
    <w:rsid w:val="34A2024C"/>
    <w:rsid w:val="34AE24B3"/>
    <w:rsid w:val="34AF1FC2"/>
    <w:rsid w:val="34D323EA"/>
    <w:rsid w:val="34E41468"/>
    <w:rsid w:val="3502119F"/>
    <w:rsid w:val="35113CF2"/>
    <w:rsid w:val="35247DCB"/>
    <w:rsid w:val="354174AE"/>
    <w:rsid w:val="354A26F6"/>
    <w:rsid w:val="356612CC"/>
    <w:rsid w:val="356815AA"/>
    <w:rsid w:val="35A1628C"/>
    <w:rsid w:val="35E201D7"/>
    <w:rsid w:val="35F63798"/>
    <w:rsid w:val="35FC7A72"/>
    <w:rsid w:val="35FD6559"/>
    <w:rsid w:val="360540F4"/>
    <w:rsid w:val="36373B3D"/>
    <w:rsid w:val="369B3939"/>
    <w:rsid w:val="36AC2704"/>
    <w:rsid w:val="36B84147"/>
    <w:rsid w:val="36D417D4"/>
    <w:rsid w:val="36D76995"/>
    <w:rsid w:val="36F74460"/>
    <w:rsid w:val="3714541D"/>
    <w:rsid w:val="37227478"/>
    <w:rsid w:val="37316BD8"/>
    <w:rsid w:val="373227D3"/>
    <w:rsid w:val="373B1E45"/>
    <w:rsid w:val="374D47A3"/>
    <w:rsid w:val="375A1773"/>
    <w:rsid w:val="375D116C"/>
    <w:rsid w:val="37C67315"/>
    <w:rsid w:val="37E6635B"/>
    <w:rsid w:val="37F7D571"/>
    <w:rsid w:val="38133366"/>
    <w:rsid w:val="38234CA6"/>
    <w:rsid w:val="3824060A"/>
    <w:rsid w:val="38683BCA"/>
    <w:rsid w:val="386E3E21"/>
    <w:rsid w:val="387A06B4"/>
    <w:rsid w:val="388145BC"/>
    <w:rsid w:val="389E0566"/>
    <w:rsid w:val="38C44F5E"/>
    <w:rsid w:val="38E55A8C"/>
    <w:rsid w:val="390D4859"/>
    <w:rsid w:val="39290794"/>
    <w:rsid w:val="392D520A"/>
    <w:rsid w:val="39451933"/>
    <w:rsid w:val="39463B04"/>
    <w:rsid w:val="395E44C1"/>
    <w:rsid w:val="39826682"/>
    <w:rsid w:val="398A6952"/>
    <w:rsid w:val="39F81E81"/>
    <w:rsid w:val="3A0564C1"/>
    <w:rsid w:val="3A097937"/>
    <w:rsid w:val="3A204FAE"/>
    <w:rsid w:val="3A405C86"/>
    <w:rsid w:val="3A7F65DF"/>
    <w:rsid w:val="3ABC52C8"/>
    <w:rsid w:val="3B1806BF"/>
    <w:rsid w:val="3B384441"/>
    <w:rsid w:val="3B4C792E"/>
    <w:rsid w:val="3B56782A"/>
    <w:rsid w:val="3B8A056A"/>
    <w:rsid w:val="3B931668"/>
    <w:rsid w:val="3BAF08C1"/>
    <w:rsid w:val="3BB02A0C"/>
    <w:rsid w:val="3BDB5501"/>
    <w:rsid w:val="3BE556D1"/>
    <w:rsid w:val="3BF76A91"/>
    <w:rsid w:val="3C151820"/>
    <w:rsid w:val="3C737E79"/>
    <w:rsid w:val="3C8F6A80"/>
    <w:rsid w:val="3CB12D52"/>
    <w:rsid w:val="3CB158DA"/>
    <w:rsid w:val="3CBB4FBC"/>
    <w:rsid w:val="3CBD7380"/>
    <w:rsid w:val="3CC17786"/>
    <w:rsid w:val="3CDF5C43"/>
    <w:rsid w:val="3D001E18"/>
    <w:rsid w:val="3D002F2D"/>
    <w:rsid w:val="3D1C6374"/>
    <w:rsid w:val="3D3E2DB3"/>
    <w:rsid w:val="3D7973CA"/>
    <w:rsid w:val="3D891C30"/>
    <w:rsid w:val="3D9C4215"/>
    <w:rsid w:val="3DAF3990"/>
    <w:rsid w:val="3DB114C5"/>
    <w:rsid w:val="3DCC5E19"/>
    <w:rsid w:val="3DD0194D"/>
    <w:rsid w:val="3E257342"/>
    <w:rsid w:val="3E3655F0"/>
    <w:rsid w:val="3E5B19FA"/>
    <w:rsid w:val="3E633276"/>
    <w:rsid w:val="3E6A14A3"/>
    <w:rsid w:val="3E890ADF"/>
    <w:rsid w:val="3E960A20"/>
    <w:rsid w:val="3EDB0ACF"/>
    <w:rsid w:val="3F13324D"/>
    <w:rsid w:val="3F3B50EF"/>
    <w:rsid w:val="3F4222EF"/>
    <w:rsid w:val="3F5C58B0"/>
    <w:rsid w:val="3F7F135B"/>
    <w:rsid w:val="3F805664"/>
    <w:rsid w:val="3F8253F5"/>
    <w:rsid w:val="3F960BAE"/>
    <w:rsid w:val="3FA076B8"/>
    <w:rsid w:val="3FBC4C57"/>
    <w:rsid w:val="3FCD7A2F"/>
    <w:rsid w:val="3FD73D22"/>
    <w:rsid w:val="3FFA1D93"/>
    <w:rsid w:val="402150F9"/>
    <w:rsid w:val="403D1357"/>
    <w:rsid w:val="40433303"/>
    <w:rsid w:val="409E2E62"/>
    <w:rsid w:val="40B03F00"/>
    <w:rsid w:val="40D1414D"/>
    <w:rsid w:val="40FB7928"/>
    <w:rsid w:val="410155C4"/>
    <w:rsid w:val="41026B35"/>
    <w:rsid w:val="410F53A3"/>
    <w:rsid w:val="412879B1"/>
    <w:rsid w:val="412F2AF0"/>
    <w:rsid w:val="413F4DCF"/>
    <w:rsid w:val="41481AE8"/>
    <w:rsid w:val="417C30C4"/>
    <w:rsid w:val="418557A4"/>
    <w:rsid w:val="418C1319"/>
    <w:rsid w:val="419324FC"/>
    <w:rsid w:val="41AB623A"/>
    <w:rsid w:val="41C002C6"/>
    <w:rsid w:val="41C73335"/>
    <w:rsid w:val="41D35EF7"/>
    <w:rsid w:val="41F14EDE"/>
    <w:rsid w:val="421142DF"/>
    <w:rsid w:val="424D2993"/>
    <w:rsid w:val="425803A2"/>
    <w:rsid w:val="42596474"/>
    <w:rsid w:val="42624854"/>
    <w:rsid w:val="427D0B61"/>
    <w:rsid w:val="42823F1D"/>
    <w:rsid w:val="428827E5"/>
    <w:rsid w:val="429E1A6D"/>
    <w:rsid w:val="42A612B3"/>
    <w:rsid w:val="42B20796"/>
    <w:rsid w:val="42C579EB"/>
    <w:rsid w:val="42C6505E"/>
    <w:rsid w:val="42D264CF"/>
    <w:rsid w:val="42E47FA3"/>
    <w:rsid w:val="42E77A79"/>
    <w:rsid w:val="42E85D24"/>
    <w:rsid w:val="42F030E9"/>
    <w:rsid w:val="42F54C68"/>
    <w:rsid w:val="4329260B"/>
    <w:rsid w:val="43344BA5"/>
    <w:rsid w:val="434B4020"/>
    <w:rsid w:val="43537C8F"/>
    <w:rsid w:val="43560964"/>
    <w:rsid w:val="435C6C43"/>
    <w:rsid w:val="437A2D2B"/>
    <w:rsid w:val="439E007F"/>
    <w:rsid w:val="43C1695B"/>
    <w:rsid w:val="43DE5273"/>
    <w:rsid w:val="43F1090A"/>
    <w:rsid w:val="43F55E37"/>
    <w:rsid w:val="440F3F46"/>
    <w:rsid w:val="444C6FC3"/>
    <w:rsid w:val="44534C8A"/>
    <w:rsid w:val="446A44F0"/>
    <w:rsid w:val="446C2D74"/>
    <w:rsid w:val="446F6056"/>
    <w:rsid w:val="447A08AC"/>
    <w:rsid w:val="447E6886"/>
    <w:rsid w:val="44A14B51"/>
    <w:rsid w:val="44AB71F5"/>
    <w:rsid w:val="44B26467"/>
    <w:rsid w:val="44B5244F"/>
    <w:rsid w:val="44C37254"/>
    <w:rsid w:val="44E8005D"/>
    <w:rsid w:val="44FF711D"/>
    <w:rsid w:val="450C741B"/>
    <w:rsid w:val="451C7D3D"/>
    <w:rsid w:val="453F5D5D"/>
    <w:rsid w:val="45563E18"/>
    <w:rsid w:val="456B0D62"/>
    <w:rsid w:val="45743C2A"/>
    <w:rsid w:val="45823276"/>
    <w:rsid w:val="459070BC"/>
    <w:rsid w:val="45C77130"/>
    <w:rsid w:val="45D009F7"/>
    <w:rsid w:val="45DF172F"/>
    <w:rsid w:val="45ED7F98"/>
    <w:rsid w:val="46177B6F"/>
    <w:rsid w:val="46500769"/>
    <w:rsid w:val="465245CE"/>
    <w:rsid w:val="46614287"/>
    <w:rsid w:val="46662E31"/>
    <w:rsid w:val="4674487E"/>
    <w:rsid w:val="46F01B70"/>
    <w:rsid w:val="47111A8D"/>
    <w:rsid w:val="47174CAF"/>
    <w:rsid w:val="471D6B3C"/>
    <w:rsid w:val="472552CA"/>
    <w:rsid w:val="473B5EB5"/>
    <w:rsid w:val="474E4DA2"/>
    <w:rsid w:val="475E343E"/>
    <w:rsid w:val="4770347F"/>
    <w:rsid w:val="47785BC3"/>
    <w:rsid w:val="47803E9D"/>
    <w:rsid w:val="4787748C"/>
    <w:rsid w:val="47A007AD"/>
    <w:rsid w:val="47D56367"/>
    <w:rsid w:val="48077E3B"/>
    <w:rsid w:val="48505CB1"/>
    <w:rsid w:val="48644BB4"/>
    <w:rsid w:val="488E4FA1"/>
    <w:rsid w:val="48907743"/>
    <w:rsid w:val="4899520F"/>
    <w:rsid w:val="489E1623"/>
    <w:rsid w:val="489E48D8"/>
    <w:rsid w:val="48C20F7C"/>
    <w:rsid w:val="48D40BBB"/>
    <w:rsid w:val="48D44268"/>
    <w:rsid w:val="48EA0490"/>
    <w:rsid w:val="48F905B0"/>
    <w:rsid w:val="49072AF6"/>
    <w:rsid w:val="49097AC4"/>
    <w:rsid w:val="491177A4"/>
    <w:rsid w:val="493215D1"/>
    <w:rsid w:val="493B5B9C"/>
    <w:rsid w:val="4945145E"/>
    <w:rsid w:val="49616587"/>
    <w:rsid w:val="49621595"/>
    <w:rsid w:val="496C1724"/>
    <w:rsid w:val="49723BE1"/>
    <w:rsid w:val="497A1A64"/>
    <w:rsid w:val="497B438F"/>
    <w:rsid w:val="49A85843"/>
    <w:rsid w:val="49B926DB"/>
    <w:rsid w:val="49DA4302"/>
    <w:rsid w:val="49DC2C42"/>
    <w:rsid w:val="49E607DB"/>
    <w:rsid w:val="4A0467BF"/>
    <w:rsid w:val="4A0D408C"/>
    <w:rsid w:val="4A133DA0"/>
    <w:rsid w:val="4A207DCB"/>
    <w:rsid w:val="4A3B3DA3"/>
    <w:rsid w:val="4A691CA5"/>
    <w:rsid w:val="4A7613AE"/>
    <w:rsid w:val="4A787320"/>
    <w:rsid w:val="4A80689D"/>
    <w:rsid w:val="4A9F125F"/>
    <w:rsid w:val="4ABA28A7"/>
    <w:rsid w:val="4ABF46E4"/>
    <w:rsid w:val="4ACD2D30"/>
    <w:rsid w:val="4AD164EB"/>
    <w:rsid w:val="4AF857F2"/>
    <w:rsid w:val="4B203C3C"/>
    <w:rsid w:val="4B243848"/>
    <w:rsid w:val="4B4E5319"/>
    <w:rsid w:val="4B652367"/>
    <w:rsid w:val="4B870CF6"/>
    <w:rsid w:val="4B8C38AF"/>
    <w:rsid w:val="4B9A063C"/>
    <w:rsid w:val="4BB76656"/>
    <w:rsid w:val="4BE83568"/>
    <w:rsid w:val="4BEA6229"/>
    <w:rsid w:val="4BED70D4"/>
    <w:rsid w:val="4BEF428B"/>
    <w:rsid w:val="4C1D4AE7"/>
    <w:rsid w:val="4C4703D0"/>
    <w:rsid w:val="4C4A40F0"/>
    <w:rsid w:val="4C652B60"/>
    <w:rsid w:val="4C7D5539"/>
    <w:rsid w:val="4CA422DD"/>
    <w:rsid w:val="4CBC4830"/>
    <w:rsid w:val="4CCA6149"/>
    <w:rsid w:val="4CDE4B2B"/>
    <w:rsid w:val="4CE15997"/>
    <w:rsid w:val="4CE26411"/>
    <w:rsid w:val="4CE702F8"/>
    <w:rsid w:val="4CEF2847"/>
    <w:rsid w:val="4D0278FB"/>
    <w:rsid w:val="4D0609C8"/>
    <w:rsid w:val="4D394AFA"/>
    <w:rsid w:val="4D4B2530"/>
    <w:rsid w:val="4D4F3B65"/>
    <w:rsid w:val="4D53466B"/>
    <w:rsid w:val="4D6436AB"/>
    <w:rsid w:val="4D754257"/>
    <w:rsid w:val="4D771E2F"/>
    <w:rsid w:val="4D7A1003"/>
    <w:rsid w:val="4DA111EA"/>
    <w:rsid w:val="4DA87A98"/>
    <w:rsid w:val="4DAA6CFC"/>
    <w:rsid w:val="4DB60F8B"/>
    <w:rsid w:val="4DCD65C7"/>
    <w:rsid w:val="4DD74506"/>
    <w:rsid w:val="4DFC6C93"/>
    <w:rsid w:val="4E06199D"/>
    <w:rsid w:val="4E2E5F05"/>
    <w:rsid w:val="4E4A17FE"/>
    <w:rsid w:val="4E4A3A49"/>
    <w:rsid w:val="4E790795"/>
    <w:rsid w:val="4EA12406"/>
    <w:rsid w:val="4EA60A6C"/>
    <w:rsid w:val="4F134E42"/>
    <w:rsid w:val="4F495F61"/>
    <w:rsid w:val="4F5A7EAF"/>
    <w:rsid w:val="4F6B59C1"/>
    <w:rsid w:val="4F745E94"/>
    <w:rsid w:val="4F7C2F76"/>
    <w:rsid w:val="4FA97F89"/>
    <w:rsid w:val="4FB768BC"/>
    <w:rsid w:val="4FD3240F"/>
    <w:rsid w:val="4FD8502E"/>
    <w:rsid w:val="4FDB3F44"/>
    <w:rsid w:val="4FE11744"/>
    <w:rsid w:val="4FF268C9"/>
    <w:rsid w:val="50002F5D"/>
    <w:rsid w:val="50040ACC"/>
    <w:rsid w:val="50243EE4"/>
    <w:rsid w:val="5035447A"/>
    <w:rsid w:val="504D574C"/>
    <w:rsid w:val="505C7995"/>
    <w:rsid w:val="50AE5F6C"/>
    <w:rsid w:val="50B92654"/>
    <w:rsid w:val="50C17D30"/>
    <w:rsid w:val="50C968ED"/>
    <w:rsid w:val="50CC6933"/>
    <w:rsid w:val="50DF48D0"/>
    <w:rsid w:val="50E336C1"/>
    <w:rsid w:val="50F60412"/>
    <w:rsid w:val="50FD3B06"/>
    <w:rsid w:val="510231EE"/>
    <w:rsid w:val="510870A5"/>
    <w:rsid w:val="512A58AF"/>
    <w:rsid w:val="5131385A"/>
    <w:rsid w:val="513D74D3"/>
    <w:rsid w:val="515204D9"/>
    <w:rsid w:val="5180403B"/>
    <w:rsid w:val="519E7AB9"/>
    <w:rsid w:val="51BB460D"/>
    <w:rsid w:val="51F87BF2"/>
    <w:rsid w:val="520560C7"/>
    <w:rsid w:val="520922DF"/>
    <w:rsid w:val="520C5E29"/>
    <w:rsid w:val="521A79C7"/>
    <w:rsid w:val="521D4799"/>
    <w:rsid w:val="52241311"/>
    <w:rsid w:val="52265EA2"/>
    <w:rsid w:val="522B2005"/>
    <w:rsid w:val="522E4B76"/>
    <w:rsid w:val="523B1D66"/>
    <w:rsid w:val="525C4A73"/>
    <w:rsid w:val="526B5AC6"/>
    <w:rsid w:val="52720F27"/>
    <w:rsid w:val="52852177"/>
    <w:rsid w:val="528B4E85"/>
    <w:rsid w:val="529C1A7A"/>
    <w:rsid w:val="52D64D77"/>
    <w:rsid w:val="52E15AA0"/>
    <w:rsid w:val="530D60FE"/>
    <w:rsid w:val="53305DD7"/>
    <w:rsid w:val="5359794D"/>
    <w:rsid w:val="53867DA9"/>
    <w:rsid w:val="53886660"/>
    <w:rsid w:val="53984C0E"/>
    <w:rsid w:val="5398581F"/>
    <w:rsid w:val="53A773E3"/>
    <w:rsid w:val="53C14802"/>
    <w:rsid w:val="54015A2E"/>
    <w:rsid w:val="541E5485"/>
    <w:rsid w:val="54240D4E"/>
    <w:rsid w:val="542D58C4"/>
    <w:rsid w:val="54332F77"/>
    <w:rsid w:val="54684D4C"/>
    <w:rsid w:val="547E16F4"/>
    <w:rsid w:val="54920645"/>
    <w:rsid w:val="54C46867"/>
    <w:rsid w:val="54EC38D0"/>
    <w:rsid w:val="55040DFA"/>
    <w:rsid w:val="5515342A"/>
    <w:rsid w:val="551E5B6E"/>
    <w:rsid w:val="553D3763"/>
    <w:rsid w:val="553E189E"/>
    <w:rsid w:val="55652076"/>
    <w:rsid w:val="55725B9A"/>
    <w:rsid w:val="558F1AEB"/>
    <w:rsid w:val="55A7136A"/>
    <w:rsid w:val="55C11387"/>
    <w:rsid w:val="55C86265"/>
    <w:rsid w:val="55FD4C77"/>
    <w:rsid w:val="560A2A09"/>
    <w:rsid w:val="561E51D5"/>
    <w:rsid w:val="562F0074"/>
    <w:rsid w:val="563B4F82"/>
    <w:rsid w:val="56523368"/>
    <w:rsid w:val="567468E6"/>
    <w:rsid w:val="56764CD1"/>
    <w:rsid w:val="56954007"/>
    <w:rsid w:val="56A6020D"/>
    <w:rsid w:val="56B63492"/>
    <w:rsid w:val="56F426B7"/>
    <w:rsid w:val="56F5234A"/>
    <w:rsid w:val="56F66F1E"/>
    <w:rsid w:val="56FE1C76"/>
    <w:rsid w:val="574A02E3"/>
    <w:rsid w:val="5754748A"/>
    <w:rsid w:val="576E416E"/>
    <w:rsid w:val="57730A07"/>
    <w:rsid w:val="57733075"/>
    <w:rsid w:val="5774279D"/>
    <w:rsid w:val="57840BAD"/>
    <w:rsid w:val="57937030"/>
    <w:rsid w:val="579B7686"/>
    <w:rsid w:val="579F27C9"/>
    <w:rsid w:val="57AD6F30"/>
    <w:rsid w:val="57BA3E16"/>
    <w:rsid w:val="57C64072"/>
    <w:rsid w:val="57CE64A5"/>
    <w:rsid w:val="57E50D11"/>
    <w:rsid w:val="57EF1091"/>
    <w:rsid w:val="580E669C"/>
    <w:rsid w:val="58157A42"/>
    <w:rsid w:val="582407E1"/>
    <w:rsid w:val="582D6622"/>
    <w:rsid w:val="58336238"/>
    <w:rsid w:val="583628E4"/>
    <w:rsid w:val="58404F0E"/>
    <w:rsid w:val="584667E1"/>
    <w:rsid w:val="5858376B"/>
    <w:rsid w:val="58756D68"/>
    <w:rsid w:val="58947DC1"/>
    <w:rsid w:val="589A0896"/>
    <w:rsid w:val="589A111B"/>
    <w:rsid w:val="58A65EFF"/>
    <w:rsid w:val="58B60F3E"/>
    <w:rsid w:val="58C4462C"/>
    <w:rsid w:val="58FF6193"/>
    <w:rsid w:val="591A4615"/>
    <w:rsid w:val="593037D7"/>
    <w:rsid w:val="593B4206"/>
    <w:rsid w:val="594C136A"/>
    <w:rsid w:val="594E70AA"/>
    <w:rsid w:val="596A56C5"/>
    <w:rsid w:val="59792F63"/>
    <w:rsid w:val="598A13F7"/>
    <w:rsid w:val="59CF6768"/>
    <w:rsid w:val="5A0068EF"/>
    <w:rsid w:val="5A3A1A3E"/>
    <w:rsid w:val="5A4B0F21"/>
    <w:rsid w:val="5A860095"/>
    <w:rsid w:val="5AC17466"/>
    <w:rsid w:val="5ADB5A08"/>
    <w:rsid w:val="5AFA0D10"/>
    <w:rsid w:val="5B155AC7"/>
    <w:rsid w:val="5B2339B6"/>
    <w:rsid w:val="5B2E24DB"/>
    <w:rsid w:val="5B34012D"/>
    <w:rsid w:val="5B3C7B0B"/>
    <w:rsid w:val="5B57121F"/>
    <w:rsid w:val="5B666884"/>
    <w:rsid w:val="5B6741B7"/>
    <w:rsid w:val="5B7E543C"/>
    <w:rsid w:val="5BB455CE"/>
    <w:rsid w:val="5BE36171"/>
    <w:rsid w:val="5C1C0D68"/>
    <w:rsid w:val="5C216AB1"/>
    <w:rsid w:val="5C35568E"/>
    <w:rsid w:val="5C3C52D9"/>
    <w:rsid w:val="5C3E5082"/>
    <w:rsid w:val="5C542393"/>
    <w:rsid w:val="5C6D42AC"/>
    <w:rsid w:val="5C756B94"/>
    <w:rsid w:val="5C925A06"/>
    <w:rsid w:val="5CC0378C"/>
    <w:rsid w:val="5CC21641"/>
    <w:rsid w:val="5CD268D5"/>
    <w:rsid w:val="5CDB1CF1"/>
    <w:rsid w:val="5CEC60DD"/>
    <w:rsid w:val="5CFD34A0"/>
    <w:rsid w:val="5D0D645E"/>
    <w:rsid w:val="5D0F1FBD"/>
    <w:rsid w:val="5D432B9D"/>
    <w:rsid w:val="5D555E71"/>
    <w:rsid w:val="5D8250C1"/>
    <w:rsid w:val="5D8C35DC"/>
    <w:rsid w:val="5D8F530F"/>
    <w:rsid w:val="5D9D0A40"/>
    <w:rsid w:val="5DE65E75"/>
    <w:rsid w:val="5DED4785"/>
    <w:rsid w:val="5E0A5E3C"/>
    <w:rsid w:val="5E126E64"/>
    <w:rsid w:val="5E16521D"/>
    <w:rsid w:val="5E1F5076"/>
    <w:rsid w:val="5E425C24"/>
    <w:rsid w:val="5E5C14D6"/>
    <w:rsid w:val="5E5D3B1F"/>
    <w:rsid w:val="5E716BE3"/>
    <w:rsid w:val="5E7E0070"/>
    <w:rsid w:val="5E7F2D23"/>
    <w:rsid w:val="5E856373"/>
    <w:rsid w:val="5EA0641D"/>
    <w:rsid w:val="5ECA041C"/>
    <w:rsid w:val="5EDD6FC7"/>
    <w:rsid w:val="5F190E71"/>
    <w:rsid w:val="5F25121F"/>
    <w:rsid w:val="5F340502"/>
    <w:rsid w:val="5F345830"/>
    <w:rsid w:val="5F431E94"/>
    <w:rsid w:val="5F754B41"/>
    <w:rsid w:val="5F84396A"/>
    <w:rsid w:val="5F920B3C"/>
    <w:rsid w:val="5F9F508B"/>
    <w:rsid w:val="5FBA56E2"/>
    <w:rsid w:val="5FBC760F"/>
    <w:rsid w:val="5FEF24AC"/>
    <w:rsid w:val="60072626"/>
    <w:rsid w:val="600D3CBE"/>
    <w:rsid w:val="602F3C38"/>
    <w:rsid w:val="60312338"/>
    <w:rsid w:val="604629C2"/>
    <w:rsid w:val="606F3F40"/>
    <w:rsid w:val="60933A68"/>
    <w:rsid w:val="60B1780B"/>
    <w:rsid w:val="60B37B87"/>
    <w:rsid w:val="60B90967"/>
    <w:rsid w:val="60C070EC"/>
    <w:rsid w:val="60DC08EA"/>
    <w:rsid w:val="60E32B91"/>
    <w:rsid w:val="60F33A68"/>
    <w:rsid w:val="60F366D3"/>
    <w:rsid w:val="60FA3426"/>
    <w:rsid w:val="60FB1193"/>
    <w:rsid w:val="610B12CE"/>
    <w:rsid w:val="610C0686"/>
    <w:rsid w:val="6115783F"/>
    <w:rsid w:val="611C5222"/>
    <w:rsid w:val="612B495E"/>
    <w:rsid w:val="61442DE8"/>
    <w:rsid w:val="615A6A60"/>
    <w:rsid w:val="61720E73"/>
    <w:rsid w:val="6172518A"/>
    <w:rsid w:val="617556F4"/>
    <w:rsid w:val="617B112F"/>
    <w:rsid w:val="619D1FCA"/>
    <w:rsid w:val="61A747B9"/>
    <w:rsid w:val="61D340EB"/>
    <w:rsid w:val="61FE4523"/>
    <w:rsid w:val="620D0127"/>
    <w:rsid w:val="621150EB"/>
    <w:rsid w:val="62150495"/>
    <w:rsid w:val="621C14D3"/>
    <w:rsid w:val="624E53D8"/>
    <w:rsid w:val="62685D90"/>
    <w:rsid w:val="627C6A57"/>
    <w:rsid w:val="6282163B"/>
    <w:rsid w:val="62A560BA"/>
    <w:rsid w:val="62BB4A8A"/>
    <w:rsid w:val="62D961AF"/>
    <w:rsid w:val="62DC4E7F"/>
    <w:rsid w:val="62F53280"/>
    <w:rsid w:val="62FB2300"/>
    <w:rsid w:val="633171C4"/>
    <w:rsid w:val="634B7B8C"/>
    <w:rsid w:val="634E30C4"/>
    <w:rsid w:val="63794270"/>
    <w:rsid w:val="6379558A"/>
    <w:rsid w:val="63A82B64"/>
    <w:rsid w:val="63AA400F"/>
    <w:rsid w:val="63CD51F0"/>
    <w:rsid w:val="640F52B0"/>
    <w:rsid w:val="64352DFD"/>
    <w:rsid w:val="643F0D73"/>
    <w:rsid w:val="644B3B98"/>
    <w:rsid w:val="647F219E"/>
    <w:rsid w:val="64B16DC0"/>
    <w:rsid w:val="64B34FD9"/>
    <w:rsid w:val="650D3739"/>
    <w:rsid w:val="65486294"/>
    <w:rsid w:val="654A6B49"/>
    <w:rsid w:val="657F2F1D"/>
    <w:rsid w:val="659550EE"/>
    <w:rsid w:val="659B5FA0"/>
    <w:rsid w:val="65BE5F27"/>
    <w:rsid w:val="65C42009"/>
    <w:rsid w:val="65CC448B"/>
    <w:rsid w:val="660B02F6"/>
    <w:rsid w:val="660B4DDC"/>
    <w:rsid w:val="662357CC"/>
    <w:rsid w:val="662B539D"/>
    <w:rsid w:val="66303B82"/>
    <w:rsid w:val="66545146"/>
    <w:rsid w:val="6663761E"/>
    <w:rsid w:val="66857FC0"/>
    <w:rsid w:val="669175E1"/>
    <w:rsid w:val="66B10D86"/>
    <w:rsid w:val="66C63E6B"/>
    <w:rsid w:val="66D42EB4"/>
    <w:rsid w:val="66E1404C"/>
    <w:rsid w:val="67065F64"/>
    <w:rsid w:val="670E5B33"/>
    <w:rsid w:val="67121243"/>
    <w:rsid w:val="671C1AF2"/>
    <w:rsid w:val="672B1C98"/>
    <w:rsid w:val="674D0154"/>
    <w:rsid w:val="6758338F"/>
    <w:rsid w:val="675C2222"/>
    <w:rsid w:val="67736535"/>
    <w:rsid w:val="67967F62"/>
    <w:rsid w:val="67BE32A8"/>
    <w:rsid w:val="67BF0CFC"/>
    <w:rsid w:val="67C62527"/>
    <w:rsid w:val="67FD5E50"/>
    <w:rsid w:val="67FD6F7B"/>
    <w:rsid w:val="6800466E"/>
    <w:rsid w:val="68167B6C"/>
    <w:rsid w:val="68282AFD"/>
    <w:rsid w:val="682B444D"/>
    <w:rsid w:val="68310FB9"/>
    <w:rsid w:val="685C27C8"/>
    <w:rsid w:val="68602F24"/>
    <w:rsid w:val="687C5593"/>
    <w:rsid w:val="68840C5B"/>
    <w:rsid w:val="689B17F9"/>
    <w:rsid w:val="689D4409"/>
    <w:rsid w:val="68AC0A53"/>
    <w:rsid w:val="68CB4AE9"/>
    <w:rsid w:val="68EA5D9E"/>
    <w:rsid w:val="68EB4C1B"/>
    <w:rsid w:val="6905033C"/>
    <w:rsid w:val="69666A45"/>
    <w:rsid w:val="69750540"/>
    <w:rsid w:val="69776F4F"/>
    <w:rsid w:val="6979621A"/>
    <w:rsid w:val="69B630C3"/>
    <w:rsid w:val="69BC5A33"/>
    <w:rsid w:val="69E82D83"/>
    <w:rsid w:val="69FA4FBA"/>
    <w:rsid w:val="6A104C8E"/>
    <w:rsid w:val="6A1865E4"/>
    <w:rsid w:val="6A1C76EA"/>
    <w:rsid w:val="6A430D88"/>
    <w:rsid w:val="6A4C3825"/>
    <w:rsid w:val="6A6A1C84"/>
    <w:rsid w:val="6A8B7E5B"/>
    <w:rsid w:val="6A8F4287"/>
    <w:rsid w:val="6AA6423E"/>
    <w:rsid w:val="6AD20FA6"/>
    <w:rsid w:val="6AD246EE"/>
    <w:rsid w:val="6AD36A47"/>
    <w:rsid w:val="6AEB7E61"/>
    <w:rsid w:val="6AF14C36"/>
    <w:rsid w:val="6B0060CB"/>
    <w:rsid w:val="6B0C74AF"/>
    <w:rsid w:val="6B0E7C9C"/>
    <w:rsid w:val="6B6C44A9"/>
    <w:rsid w:val="6B7A68B1"/>
    <w:rsid w:val="6B96385D"/>
    <w:rsid w:val="6BE05416"/>
    <w:rsid w:val="6BF674EE"/>
    <w:rsid w:val="6C00225D"/>
    <w:rsid w:val="6C0734B1"/>
    <w:rsid w:val="6C126437"/>
    <w:rsid w:val="6C2F29D1"/>
    <w:rsid w:val="6C4A44A4"/>
    <w:rsid w:val="6C666467"/>
    <w:rsid w:val="6C7757EE"/>
    <w:rsid w:val="6C8F3349"/>
    <w:rsid w:val="6CB66B46"/>
    <w:rsid w:val="6CC74983"/>
    <w:rsid w:val="6CCF5F02"/>
    <w:rsid w:val="6CF348FC"/>
    <w:rsid w:val="6CF77D6F"/>
    <w:rsid w:val="6D394241"/>
    <w:rsid w:val="6D5E78E4"/>
    <w:rsid w:val="6D673A8B"/>
    <w:rsid w:val="6D79502A"/>
    <w:rsid w:val="6D991CDC"/>
    <w:rsid w:val="6DC673C7"/>
    <w:rsid w:val="6DCE2536"/>
    <w:rsid w:val="6DFF6821"/>
    <w:rsid w:val="6E027C29"/>
    <w:rsid w:val="6E11312C"/>
    <w:rsid w:val="6E2A1440"/>
    <w:rsid w:val="6E2A74F4"/>
    <w:rsid w:val="6E5F4023"/>
    <w:rsid w:val="6E892A4C"/>
    <w:rsid w:val="6E8F3321"/>
    <w:rsid w:val="6E981A87"/>
    <w:rsid w:val="6EAD3813"/>
    <w:rsid w:val="6EAF6475"/>
    <w:rsid w:val="6EB135F3"/>
    <w:rsid w:val="6EB5514D"/>
    <w:rsid w:val="6EDA19C8"/>
    <w:rsid w:val="6EF12FB0"/>
    <w:rsid w:val="6F185507"/>
    <w:rsid w:val="6F3B6E8A"/>
    <w:rsid w:val="6F415050"/>
    <w:rsid w:val="6F4337AA"/>
    <w:rsid w:val="6F462120"/>
    <w:rsid w:val="6F6124E5"/>
    <w:rsid w:val="6F62294C"/>
    <w:rsid w:val="6F773AB6"/>
    <w:rsid w:val="6F9D6C9E"/>
    <w:rsid w:val="6FDC02C7"/>
    <w:rsid w:val="6FE2091C"/>
    <w:rsid w:val="6FE239D0"/>
    <w:rsid w:val="6FE705E9"/>
    <w:rsid w:val="6FEF71CB"/>
    <w:rsid w:val="700233B3"/>
    <w:rsid w:val="703A3E70"/>
    <w:rsid w:val="708D21E6"/>
    <w:rsid w:val="70D42CC7"/>
    <w:rsid w:val="70E004F0"/>
    <w:rsid w:val="70E02DBE"/>
    <w:rsid w:val="70E31978"/>
    <w:rsid w:val="71134CC2"/>
    <w:rsid w:val="714F6012"/>
    <w:rsid w:val="719D6F5E"/>
    <w:rsid w:val="71A5590F"/>
    <w:rsid w:val="71AC0970"/>
    <w:rsid w:val="71C94EE6"/>
    <w:rsid w:val="71EB3D82"/>
    <w:rsid w:val="71FF1ED9"/>
    <w:rsid w:val="720750EC"/>
    <w:rsid w:val="720D20CB"/>
    <w:rsid w:val="723571EE"/>
    <w:rsid w:val="726D00C7"/>
    <w:rsid w:val="72726244"/>
    <w:rsid w:val="72734430"/>
    <w:rsid w:val="7274642D"/>
    <w:rsid w:val="72781D81"/>
    <w:rsid w:val="728553D1"/>
    <w:rsid w:val="72CE52BA"/>
    <w:rsid w:val="72D54A84"/>
    <w:rsid w:val="730262D3"/>
    <w:rsid w:val="73027196"/>
    <w:rsid w:val="73130968"/>
    <w:rsid w:val="73166D4F"/>
    <w:rsid w:val="73641A79"/>
    <w:rsid w:val="736616D6"/>
    <w:rsid w:val="736775EC"/>
    <w:rsid w:val="73765C48"/>
    <w:rsid w:val="737C1488"/>
    <w:rsid w:val="73836C45"/>
    <w:rsid w:val="738427E5"/>
    <w:rsid w:val="738A4134"/>
    <w:rsid w:val="738B040D"/>
    <w:rsid w:val="73A73D53"/>
    <w:rsid w:val="73FA0CF0"/>
    <w:rsid w:val="74054864"/>
    <w:rsid w:val="740F30AF"/>
    <w:rsid w:val="74296210"/>
    <w:rsid w:val="74B53AF5"/>
    <w:rsid w:val="74DAECBC"/>
    <w:rsid w:val="750F1866"/>
    <w:rsid w:val="750F30B3"/>
    <w:rsid w:val="751936E0"/>
    <w:rsid w:val="752E442D"/>
    <w:rsid w:val="755A3E67"/>
    <w:rsid w:val="755C6355"/>
    <w:rsid w:val="755E741F"/>
    <w:rsid w:val="75775186"/>
    <w:rsid w:val="7581126C"/>
    <w:rsid w:val="75884369"/>
    <w:rsid w:val="75BE6072"/>
    <w:rsid w:val="75C701DA"/>
    <w:rsid w:val="75CF4443"/>
    <w:rsid w:val="75E13654"/>
    <w:rsid w:val="76117CB8"/>
    <w:rsid w:val="761D2CD5"/>
    <w:rsid w:val="761F0019"/>
    <w:rsid w:val="76A20C43"/>
    <w:rsid w:val="76A82338"/>
    <w:rsid w:val="76CF5194"/>
    <w:rsid w:val="76DA690B"/>
    <w:rsid w:val="76DB4C85"/>
    <w:rsid w:val="76EC7413"/>
    <w:rsid w:val="77276F4C"/>
    <w:rsid w:val="77394E6F"/>
    <w:rsid w:val="774042F4"/>
    <w:rsid w:val="7752445D"/>
    <w:rsid w:val="77791CF8"/>
    <w:rsid w:val="77971897"/>
    <w:rsid w:val="77D61FD8"/>
    <w:rsid w:val="77E84519"/>
    <w:rsid w:val="77F00B20"/>
    <w:rsid w:val="78101C28"/>
    <w:rsid w:val="781425A1"/>
    <w:rsid w:val="781543F2"/>
    <w:rsid w:val="78290961"/>
    <w:rsid w:val="782A1479"/>
    <w:rsid w:val="783915DA"/>
    <w:rsid w:val="786E0213"/>
    <w:rsid w:val="787355E5"/>
    <w:rsid w:val="787946F0"/>
    <w:rsid w:val="7882546F"/>
    <w:rsid w:val="78C577F7"/>
    <w:rsid w:val="78C77F38"/>
    <w:rsid w:val="78EA3B70"/>
    <w:rsid w:val="7927293A"/>
    <w:rsid w:val="795225D2"/>
    <w:rsid w:val="79601DC2"/>
    <w:rsid w:val="79646E59"/>
    <w:rsid w:val="799D013D"/>
    <w:rsid w:val="79A1530E"/>
    <w:rsid w:val="79A715EF"/>
    <w:rsid w:val="79B37197"/>
    <w:rsid w:val="79B835CF"/>
    <w:rsid w:val="79CB4A87"/>
    <w:rsid w:val="79D66006"/>
    <w:rsid w:val="79DA621C"/>
    <w:rsid w:val="79EB5B59"/>
    <w:rsid w:val="7A1E7C53"/>
    <w:rsid w:val="7A6A528C"/>
    <w:rsid w:val="7A786C85"/>
    <w:rsid w:val="7A7B930D"/>
    <w:rsid w:val="7A807F8F"/>
    <w:rsid w:val="7A8D7ABD"/>
    <w:rsid w:val="7A9E51A5"/>
    <w:rsid w:val="7ABED9CD"/>
    <w:rsid w:val="7ACC592C"/>
    <w:rsid w:val="7AD4799A"/>
    <w:rsid w:val="7B191DB6"/>
    <w:rsid w:val="7B390C2A"/>
    <w:rsid w:val="7B3E5BFF"/>
    <w:rsid w:val="7B4331FD"/>
    <w:rsid w:val="7B5B2A77"/>
    <w:rsid w:val="7B6034C9"/>
    <w:rsid w:val="7B655ADF"/>
    <w:rsid w:val="7B750610"/>
    <w:rsid w:val="7B8A7E7A"/>
    <w:rsid w:val="7B8B6044"/>
    <w:rsid w:val="7B953DDF"/>
    <w:rsid w:val="7BA56C05"/>
    <w:rsid w:val="7BC12CFF"/>
    <w:rsid w:val="7BF7779C"/>
    <w:rsid w:val="7C1F16B1"/>
    <w:rsid w:val="7C4A057A"/>
    <w:rsid w:val="7C531587"/>
    <w:rsid w:val="7C986AE3"/>
    <w:rsid w:val="7C992388"/>
    <w:rsid w:val="7CCE101F"/>
    <w:rsid w:val="7CCF7D6D"/>
    <w:rsid w:val="7CDF626C"/>
    <w:rsid w:val="7D006062"/>
    <w:rsid w:val="7D3878EF"/>
    <w:rsid w:val="7D4A0E9A"/>
    <w:rsid w:val="7D5261D8"/>
    <w:rsid w:val="7D5326AB"/>
    <w:rsid w:val="7D6177FA"/>
    <w:rsid w:val="7D664DD6"/>
    <w:rsid w:val="7D722875"/>
    <w:rsid w:val="7D882B5F"/>
    <w:rsid w:val="7DA83736"/>
    <w:rsid w:val="7DCE5754"/>
    <w:rsid w:val="7DE002B8"/>
    <w:rsid w:val="7DF943C5"/>
    <w:rsid w:val="7E0856D3"/>
    <w:rsid w:val="7E4F1A2D"/>
    <w:rsid w:val="7EA151FE"/>
    <w:rsid w:val="7EB663A9"/>
    <w:rsid w:val="7EEDAAC5"/>
    <w:rsid w:val="7EF47CC3"/>
    <w:rsid w:val="7EFD790E"/>
    <w:rsid w:val="7F042FF7"/>
    <w:rsid w:val="7F0C3AEA"/>
    <w:rsid w:val="7F7B455F"/>
    <w:rsid w:val="7F7D45B6"/>
    <w:rsid w:val="7F7DA897"/>
    <w:rsid w:val="7F8A7F3D"/>
    <w:rsid w:val="7FA07A82"/>
    <w:rsid w:val="7FA92F90"/>
    <w:rsid w:val="7FBE348A"/>
    <w:rsid w:val="7FBF19CE"/>
    <w:rsid w:val="7FD74E94"/>
    <w:rsid w:val="7FF20C9A"/>
    <w:rsid w:val="7FF21C54"/>
    <w:rsid w:val="7FF30976"/>
    <w:rsid w:val="7FF76A8B"/>
    <w:rsid w:val="7FFD0F1C"/>
    <w:rsid w:val="7FFF06B0"/>
    <w:rsid w:val="99E9D32A"/>
    <w:rsid w:val="9F6B57A4"/>
    <w:rsid w:val="BDBB130A"/>
    <w:rsid w:val="BDFF2C47"/>
    <w:rsid w:val="C6FFF0CA"/>
    <w:rsid w:val="CFF53263"/>
    <w:rsid w:val="DFBF4B2E"/>
    <w:rsid w:val="EFE9D9DE"/>
    <w:rsid w:val="F6EBF8E7"/>
    <w:rsid w:val="F79B3AD6"/>
    <w:rsid w:val="FBD74D8F"/>
    <w:rsid w:val="FDA8A7B4"/>
    <w:rsid w:val="FFF5E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nhideWhenUsed="0" w:uiPriority="39" w:semiHidden="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iPriority="99"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qFormat="1" w:uiPriority="99" w:name="index heading"/>
    <w:lsdException w:qFormat="1" w:unhideWhenUsed="0" w:uiPriority="0" w:semiHidden="0" w:name="caption"/>
    <w:lsdException w:qFormat="1" w:unhideWhenUsed="0" w:uiPriority="0" w:name="table of figures"/>
    <w:lsdException w:qFormat="1" w:uiPriority="99" w:name="envelope address"/>
    <w:lsdException w:qFormat="1" w:uiPriority="99" w:name="envelope return"/>
    <w:lsdException w:qFormat="1" w:unhideWhenUsed="0" w:uiPriority="0" w:name="footnote reference"/>
    <w:lsdException w:qFormat="1" w:uiPriority="0" w:name="annotation reference"/>
    <w:lsdException w:qFormat="1" w:uiPriority="99" w:name="line number"/>
    <w:lsdException w:qFormat="1" w:unhideWhenUsed="0" w:uiPriority="0" w:semiHidden="0" w:name="page number"/>
    <w:lsdException w:qFormat="1"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0" w:semiHidden="0" w:name="Title"/>
    <w:lsdException w:qFormat="1" w:uiPriority="99" w:name="Closing"/>
    <w:lsdException w:qFormat="1" w:uiPriority="99" w:name="Signature"/>
    <w:lsdException w:qFormat="1" w:uiPriority="1" w:name="Default Paragraph Font"/>
    <w:lsdException w:qFormat="1" w:uiPriority="1" w:semiHidden="0"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iPriority="99" w:semiHidden="0"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semiHidden="0" w:name="Body Text Indent 2"/>
    <w:lsdException w:qFormat="1" w:uiPriority="99" w:name="Body Text Indent 3"/>
    <w:lsdException w:qFormat="1"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iPriority="99" w:name="Plain Text"/>
    <w:lsdException w:qFormat="1" w:uiPriority="99" w:name="E-mail Signature"/>
    <w:lsdException w:qFormat="1" w:uiPriority="99" w:semiHidden="0" w:name="Normal (Web)"/>
    <w:lsdException w:qFormat="1" w:unhideWhenUsed="0" w:uiPriority="0" w:name="HTML Acronym"/>
    <w:lsdException w:qFormat="1" w:unhideWhenUsed="0" w:uiPriority="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0" w:name="HTML Preformatted"/>
    <w:lsdException w:qFormat="1" w:unhideWhenUsed="0" w:uiPriority="99" w:semiHidden="0" w:name="HTML Sample"/>
    <w:lsdException w:qFormat="1" w:unhideWhenUsed="0" w:uiPriority="0" w:name="HTML Typewriter"/>
    <w:lsdException w:qFormat="1" w:unhideWhenUsed="0" w:uiPriority="0" w:name="HTML Variable"/>
    <w:lsdException w:qFormat="1" w:uiPriority="99" w:name="Normal Table"/>
    <w:lsdException w:qFormat="1" w:uiPriority="99" w:name="annotation subject"/>
    <w:lsdException w:qFormat="1" w:uiPriority="99" w:name="Table Simple 1"/>
    <w:lsdException w:qFormat="1" w:uiPriority="99" w:name="Table Simple 2"/>
    <w:lsdException w:qFormat="1"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qFormat="1" w:uiPriority="99" w:name="Table List 1"/>
    <w:lsdException w:qFormat="1" w:uiPriority="99" w:name="Table List 2"/>
    <w:lsdException w:qFormat="1" w:uiPriority="99" w:name="Table List 3"/>
    <w:lsdException w:qFormat="1" w:uiPriority="99" w:name="Table List 4"/>
    <w:lsdException w:qFormat="1" w:uiPriority="99" w:name="Table List 5"/>
    <w:lsdException w:qFormat="1" w:uiPriority="99" w:name="Table List 6"/>
    <w:lsdException w:qFormat="1" w:uiPriority="99" w:name="Table List 7"/>
    <w:lsdException w:qFormat="1"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qFormat="1" w:uiPriority="99" w:name="Table Professional"/>
    <w:lsdException w:qFormat="1" w:uiPriority="99" w:name="Table Subtle 1"/>
    <w:lsdException w:qFormat="1" w:uiPriority="99" w:name="Table Subtle 2"/>
    <w:lsdException w:qFormat="1" w:uiPriority="99" w:name="Table Web 1"/>
    <w:lsdException w:qFormat="1" w:uiPriority="99" w:name="Table Web 2"/>
    <w:lsdException w:qFormat="1" w:uiPriority="99" w:name="Table Web 3"/>
    <w:lsdException w:qFormat="1" w:uiPriority="99" w:semiHidden="0" w:name="Balloon Text"/>
    <w:lsdException w:qFormat="1" w:unhideWhenUsed="0" w:uiPriority="0" w:semiHidden="0" w:name="Table Grid"/>
    <w:lsdException w:qFormat="1" w:uiPriority="99" w:name="Table Theme"/>
    <w:lsdException w:qFormat="1" w:unhideWhenUsed="0" w:uiPriority="99" w:name="Placeholder Text"/>
    <w:lsdException w:qFormat="1" w:unhideWhenUsed="0" w:uiPriority="1" w:semiHidden="0" w:name="No Spacing"/>
    <w:lsdException w:qFormat="1" w:uiPriority="60" w:name="Light Shading"/>
    <w:lsdException w:qFormat="1" w:uiPriority="61" w:name="Light List"/>
    <w:lsdException w:qFormat="1" w:uiPriority="62" w:name="Light Grid"/>
    <w:lsdException w:qFormat="1" w:uiPriority="63" w:name="Medium Shading 1"/>
    <w:lsdException w:qFormat="1" w:uiPriority="64" w:name="Medium Shading 2"/>
    <w:lsdException w:qFormat="1" w:uiPriority="65" w:name="Medium List 1"/>
    <w:lsdException w:qFormat="1" w:uiPriority="66" w:name="Medium List 2"/>
    <w:lsdException w:qFormat="1" w:uiPriority="67" w:name="Medium Grid 1"/>
    <w:lsdException w:qFormat="1" w:uiPriority="68" w:name="Medium Grid 2"/>
    <w:lsdException w:qFormat="1" w:uiPriority="69" w:name="Medium Grid 3"/>
    <w:lsdException w:qFormat="1" w:uiPriority="70" w:name="Dark List"/>
    <w:lsdException w:qFormat="1" w:uiPriority="71" w:name="Colorful Shading"/>
    <w:lsdException w:qFormat="1" w:uiPriority="72" w:name="Colorful List"/>
    <w:lsdException w:qFormat="1" w:uiPriority="73" w:name="Colorful Grid"/>
    <w:lsdException w:qFormat="1" w:uiPriority="60" w:name="Light Shading Accent 1"/>
    <w:lsdException w:qFormat="1" w:uiPriority="61" w:name="Light List Accent 1"/>
    <w:lsdException w:qFormat="1" w:uiPriority="62" w:name="Light Grid Accent 1"/>
    <w:lsdException w:qFormat="1" w:uiPriority="63" w:name="Medium Shading 1 Accent 1"/>
    <w:lsdException w:qFormat="1" w:uiPriority="64" w:name="Medium Shading 2 Accent 1"/>
    <w:lsdException w:qFormat="1" w:uiPriority="65"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iPriority="66" w:name="Medium List 2 Accent 1"/>
    <w:lsdException w:qFormat="1" w:uiPriority="67" w:name="Medium Grid 1 Accent 1"/>
    <w:lsdException w:qFormat="1" w:uiPriority="68" w:name="Medium Grid 2 Accent 1"/>
    <w:lsdException w:qFormat="1" w:uiPriority="69" w:name="Medium Grid 3 Accent 1"/>
    <w:lsdException w:qFormat="1" w:uiPriority="70" w:name="Dark List Accent 1"/>
    <w:lsdException w:qFormat="1" w:uiPriority="71" w:name="Colorful Shading Accent 1"/>
    <w:lsdException w:qFormat="1" w:uiPriority="72" w:name="Colorful List Accent 1"/>
    <w:lsdException w:qFormat="1" w:uiPriority="73" w:name="Colorful Grid Accent 1"/>
    <w:lsdException w:qFormat="1" w:uiPriority="60" w:name="Light Shading Accent 2"/>
    <w:lsdException w:qFormat="1" w:uiPriority="61" w:name="Light List Accent 2"/>
    <w:lsdException w:qFormat="1" w:uiPriority="62" w:name="Light Grid Accent 2"/>
    <w:lsdException w:qFormat="1" w:uiPriority="63" w:name="Medium Shading 1 Accent 2"/>
    <w:lsdException w:qFormat="1" w:uiPriority="64" w:name="Medium Shading 2 Accent 2"/>
    <w:lsdException w:qFormat="1" w:uiPriority="65" w:name="Medium List 1 Accent 2"/>
    <w:lsdException w:qFormat="1" w:uiPriority="66" w:name="Medium List 2 Accent 2"/>
    <w:lsdException w:qFormat="1" w:uiPriority="67" w:name="Medium Grid 1 Accent 2"/>
    <w:lsdException w:qFormat="1" w:uiPriority="68" w:name="Medium Grid 2 Accent 2"/>
    <w:lsdException w:qFormat="1" w:uiPriority="69" w:name="Medium Grid 3 Accent 2"/>
    <w:lsdException w:qFormat="1" w:uiPriority="70" w:name="Dark List Accent 2"/>
    <w:lsdException w:qFormat="1" w:uiPriority="71" w:name="Colorful Shading Accent 2"/>
    <w:lsdException w:qFormat="1" w:uiPriority="72" w:name="Colorful List Accent 2"/>
    <w:lsdException w:qFormat="1" w:uiPriority="73" w:name="Colorful Grid Accent 2"/>
    <w:lsdException w:qFormat="1" w:uiPriority="60" w:name="Light Shading Accent 3"/>
    <w:lsdException w:qFormat="1" w:uiPriority="61" w:name="Light List Accent 3"/>
    <w:lsdException w:qFormat="1" w:uiPriority="62" w:name="Light Grid Accent 3"/>
    <w:lsdException w:qFormat="1" w:uiPriority="63" w:name="Medium Shading 1 Accent 3"/>
    <w:lsdException w:qFormat="1" w:uiPriority="64" w:name="Medium Shading 2 Accent 3"/>
    <w:lsdException w:qFormat="1" w:uiPriority="65" w:name="Medium List 1 Accent 3"/>
    <w:lsdException w:qFormat="1" w:uiPriority="66" w:name="Medium List 2 Accent 3"/>
    <w:lsdException w:qFormat="1" w:uiPriority="67" w:name="Medium Grid 1 Accent 3"/>
    <w:lsdException w:qFormat="1" w:uiPriority="68" w:name="Medium Grid 2 Accent 3"/>
    <w:lsdException w:qFormat="1" w:uiPriority="69" w:name="Medium Grid 3 Accent 3"/>
    <w:lsdException w:qFormat="1" w:uiPriority="70" w:name="Dark List Accent 3"/>
    <w:lsdException w:qFormat="1" w:uiPriority="71" w:name="Colorful Shading Accent 3"/>
    <w:lsdException w:qFormat="1" w:uiPriority="72" w:name="Colorful List Accent 3"/>
    <w:lsdException w:qFormat="1" w:uiPriority="73" w:name="Colorful Grid Accent 3"/>
    <w:lsdException w:qFormat="1" w:uiPriority="60" w:name="Light Shading Accent 4"/>
    <w:lsdException w:qFormat="1" w:uiPriority="61" w:name="Light List Accent 4"/>
    <w:lsdException w:qFormat="1" w:uiPriority="62" w:name="Light Grid Accent 4"/>
    <w:lsdException w:qFormat="1" w:uiPriority="63" w:name="Medium Shading 1 Accent 4"/>
    <w:lsdException w:qFormat="1" w:uiPriority="64" w:name="Medium Shading 2 Accent 4"/>
    <w:lsdException w:qFormat="1" w:uiPriority="65" w:name="Medium List 1 Accent 4"/>
    <w:lsdException w:qFormat="1" w:uiPriority="66" w:name="Medium List 2 Accent 4"/>
    <w:lsdException w:qFormat="1" w:uiPriority="67" w:name="Medium Grid 1 Accent 4"/>
    <w:lsdException w:qFormat="1" w:uiPriority="68" w:name="Medium Grid 2 Accent 4"/>
    <w:lsdException w:qFormat="1" w:uiPriority="69" w:name="Medium Grid 3 Accent 4"/>
    <w:lsdException w:qFormat="1" w:uiPriority="70" w:name="Dark List Accent 4"/>
    <w:lsdException w:qFormat="1" w:uiPriority="71" w:name="Colorful Shading Accent 4"/>
    <w:lsdException w:qFormat="1" w:uiPriority="72" w:name="Colorful List Accent 4"/>
    <w:lsdException w:qFormat="1" w:uiPriority="73" w:name="Colorful Grid Accent 4"/>
    <w:lsdException w:qFormat="1" w:uiPriority="60" w:name="Light Shading Accent 5"/>
    <w:lsdException w:qFormat="1" w:uiPriority="61" w:name="Light List Accent 5"/>
    <w:lsdException w:qFormat="1" w:uiPriority="62" w:name="Light Grid Accent 5"/>
    <w:lsdException w:qFormat="1" w:uiPriority="63" w:name="Medium Shading 1 Accent 5"/>
    <w:lsdException w:qFormat="1" w:uiPriority="64" w:name="Medium Shading 2 Accent 5"/>
    <w:lsdException w:qFormat="1" w:uiPriority="65" w:name="Medium List 1 Accent 5"/>
    <w:lsdException w:qFormat="1" w:uiPriority="66" w:name="Medium List 2 Accent 5"/>
    <w:lsdException w:qFormat="1" w:uiPriority="67" w:name="Medium Grid 1 Accent 5"/>
    <w:lsdException w:qFormat="1" w:uiPriority="68" w:name="Medium Grid 2 Accent 5"/>
    <w:lsdException w:qFormat="1" w:uiPriority="69" w:name="Medium Grid 3 Accent 5"/>
    <w:lsdException w:qFormat="1" w:uiPriority="70" w:name="Dark List Accent 5"/>
    <w:lsdException w:qFormat="1" w:uiPriority="71" w:name="Colorful Shading Accent 5"/>
    <w:lsdException w:qFormat="1" w:uiPriority="72" w:name="Colorful List Accent 5"/>
    <w:lsdException w:qFormat="1" w:uiPriority="73" w:name="Colorful Grid Accent 5"/>
    <w:lsdException w:qFormat="1" w:uiPriority="60" w:name="Light Shading Accent 6"/>
    <w:lsdException w:qFormat="1" w:uiPriority="61" w:name="Light List Accent 6"/>
    <w:lsdException w:qFormat="1" w:uiPriority="62" w:name="Light Grid Accent 6"/>
    <w:lsdException w:qFormat="1" w:uiPriority="63" w:name="Medium Shading 1 Accent 6"/>
    <w:lsdException w:qFormat="1" w:uiPriority="64" w:name="Medium Shading 2 Accent 6"/>
    <w:lsdException w:qFormat="1" w:uiPriority="65" w:name="Medium List 1 Accent 6"/>
    <w:lsdException w:qFormat="1" w:uiPriority="66" w:name="Medium List 2 Accent 6"/>
    <w:lsdException w:qFormat="1" w:uiPriority="67" w:name="Medium Grid 1 Accent 6"/>
    <w:lsdException w:qFormat="1" w:uiPriority="68" w:name="Medium Grid 2 Accent 6"/>
    <w:lsdException w:qFormat="1" w:uiPriority="69" w:name="Medium Grid 3 Accent 6"/>
    <w:lsdException w:qFormat="1" w:uiPriority="70" w:name="Dark List Accent 6"/>
    <w:lsdException w:qFormat="1" w:uiPriority="71" w:name="Colorful Shading Accent 6"/>
    <w:lsdException w:qFormat="1" w:uiPriority="72" w:name="Colorful List Accent 6"/>
    <w:lsdException w:qFormat="1" w:uiPriority="73"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37"/>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538"/>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528"/>
    <w:qFormat/>
    <w:uiPriority w:val="0"/>
    <w:pPr>
      <w:keepNext/>
      <w:keepLines/>
      <w:spacing w:before="260" w:after="260" w:line="416" w:lineRule="auto"/>
      <w:outlineLvl w:val="2"/>
    </w:pPr>
    <w:rPr>
      <w:b/>
      <w:bCs/>
      <w:sz w:val="32"/>
      <w:szCs w:val="32"/>
    </w:rPr>
  </w:style>
  <w:style w:type="paragraph" w:styleId="6">
    <w:name w:val="heading 4"/>
    <w:basedOn w:val="1"/>
    <w:next w:val="1"/>
    <w:link w:val="53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paragraph" w:styleId="8">
    <w:name w:val="heading 6"/>
    <w:basedOn w:val="1"/>
    <w:next w:val="1"/>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1"/>
    <w:qFormat/>
    <w:uiPriority w:val="0"/>
    <w:pPr>
      <w:keepNext/>
      <w:keepLines/>
      <w:spacing w:before="240" w:after="64" w:line="320" w:lineRule="auto"/>
      <w:outlineLvl w:val="6"/>
    </w:pPr>
    <w:rPr>
      <w:b/>
      <w:bCs/>
      <w:sz w:val="24"/>
    </w:rPr>
  </w:style>
  <w:style w:type="paragraph" w:styleId="10">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231">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357"/>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semiHidden/>
    <w:unhideWhenUsed/>
    <w:qFormat/>
    <w:uiPriority w:val="99"/>
    <w:pPr>
      <w:ind w:left="100" w:leftChars="400" w:hanging="200" w:hangingChars="200"/>
      <w:contextualSpacing/>
    </w:pPr>
  </w:style>
  <w:style w:type="paragraph" w:styleId="13">
    <w:name w:val="toc 7"/>
    <w:basedOn w:val="14"/>
    <w:next w:val="1"/>
    <w:semiHidden/>
    <w:qFormat/>
    <w:uiPriority w:val="0"/>
    <w:pPr>
      <w:ind w:left="500" w:leftChars="500"/>
    </w:pPr>
  </w:style>
  <w:style w:type="paragraph" w:styleId="14">
    <w:name w:val="toc 6"/>
    <w:basedOn w:val="15"/>
    <w:next w:val="1"/>
    <w:semiHidden/>
    <w:qFormat/>
    <w:uiPriority w:val="0"/>
    <w:pPr>
      <w:ind w:left="400" w:leftChars="400"/>
    </w:pPr>
  </w:style>
  <w:style w:type="paragraph" w:styleId="15">
    <w:name w:val="toc 5"/>
    <w:basedOn w:val="16"/>
    <w:next w:val="1"/>
    <w:semiHidden/>
    <w:qFormat/>
    <w:uiPriority w:val="0"/>
    <w:pPr>
      <w:ind w:left="300" w:leftChars="300"/>
    </w:pPr>
  </w:style>
  <w:style w:type="paragraph" w:styleId="16">
    <w:name w:val="toc 4"/>
    <w:basedOn w:val="17"/>
    <w:next w:val="1"/>
    <w:semiHidden/>
    <w:qFormat/>
    <w:uiPriority w:val="0"/>
    <w:pPr>
      <w:ind w:left="200" w:leftChars="200"/>
    </w:pPr>
  </w:style>
  <w:style w:type="paragraph" w:styleId="17">
    <w:name w:val="toc 3"/>
    <w:basedOn w:val="18"/>
    <w:next w:val="1"/>
    <w:semiHidden/>
    <w:qFormat/>
    <w:uiPriority w:val="0"/>
    <w:pPr>
      <w:ind w:left="100" w:leftChars="100"/>
    </w:pPr>
  </w:style>
  <w:style w:type="paragraph" w:styleId="18">
    <w:name w:val="toc 2"/>
    <w:basedOn w:val="19"/>
    <w:next w:val="1"/>
    <w:qFormat/>
    <w:uiPriority w:val="39"/>
  </w:style>
  <w:style w:type="paragraph" w:styleId="19">
    <w:name w:val="toc 1"/>
    <w:basedOn w:val="1"/>
    <w:next w:val="1"/>
    <w:qFormat/>
    <w:uiPriority w:val="39"/>
    <w:pPr>
      <w:spacing w:before="25" w:beforeLines="25" w:after="25" w:afterLines="25"/>
    </w:pPr>
    <w:rPr>
      <w:rFonts w:ascii="宋体"/>
    </w:rPr>
  </w:style>
  <w:style w:type="paragraph" w:styleId="20">
    <w:name w:val="List Number 2"/>
    <w:basedOn w:val="1"/>
    <w:semiHidden/>
    <w:unhideWhenUsed/>
    <w:qFormat/>
    <w:uiPriority w:val="99"/>
    <w:pPr>
      <w:numPr>
        <w:ilvl w:val="0"/>
        <w:numId w:val="1"/>
      </w:numPr>
      <w:contextualSpacing/>
    </w:pPr>
  </w:style>
  <w:style w:type="paragraph" w:styleId="21">
    <w:name w:val="table of authorities"/>
    <w:basedOn w:val="1"/>
    <w:next w:val="1"/>
    <w:semiHidden/>
    <w:unhideWhenUsed/>
    <w:qFormat/>
    <w:uiPriority w:val="99"/>
    <w:pPr>
      <w:ind w:left="420" w:leftChars="200"/>
    </w:pPr>
  </w:style>
  <w:style w:type="paragraph" w:styleId="22">
    <w:name w:val="Note Heading"/>
    <w:basedOn w:val="1"/>
    <w:next w:val="1"/>
    <w:link w:val="489"/>
    <w:semiHidden/>
    <w:unhideWhenUsed/>
    <w:qFormat/>
    <w:uiPriority w:val="99"/>
    <w:pPr>
      <w:jc w:val="center"/>
    </w:pPr>
  </w:style>
  <w:style w:type="paragraph" w:styleId="23">
    <w:name w:val="List Bullet 4"/>
    <w:basedOn w:val="1"/>
    <w:semiHidden/>
    <w:unhideWhenUsed/>
    <w:qFormat/>
    <w:uiPriority w:val="99"/>
    <w:pPr>
      <w:numPr>
        <w:ilvl w:val="0"/>
        <w:numId w:val="2"/>
      </w:numPr>
      <w:contextualSpacing/>
    </w:pPr>
  </w:style>
  <w:style w:type="paragraph" w:styleId="24">
    <w:name w:val="index 8"/>
    <w:basedOn w:val="1"/>
    <w:next w:val="1"/>
    <w:semiHidden/>
    <w:unhideWhenUsed/>
    <w:qFormat/>
    <w:uiPriority w:val="99"/>
    <w:pPr>
      <w:ind w:left="1400" w:leftChars="1400"/>
    </w:pPr>
  </w:style>
  <w:style w:type="paragraph" w:styleId="25">
    <w:name w:val="E-mail Signature"/>
    <w:basedOn w:val="1"/>
    <w:link w:val="355"/>
    <w:semiHidden/>
    <w:unhideWhenUsed/>
    <w:qFormat/>
    <w:uiPriority w:val="99"/>
  </w:style>
  <w:style w:type="paragraph" w:styleId="26">
    <w:name w:val="List Number"/>
    <w:basedOn w:val="1"/>
    <w:semiHidden/>
    <w:unhideWhenUsed/>
    <w:qFormat/>
    <w:uiPriority w:val="99"/>
    <w:pPr>
      <w:numPr>
        <w:ilvl w:val="0"/>
        <w:numId w:val="3"/>
      </w:numPr>
      <w:contextualSpacing/>
    </w:pPr>
  </w:style>
  <w:style w:type="paragraph" w:styleId="27">
    <w:name w:val="Normal Indent"/>
    <w:basedOn w:val="1"/>
    <w:semiHidden/>
    <w:unhideWhenUsed/>
    <w:qFormat/>
    <w:uiPriority w:val="99"/>
    <w:pPr>
      <w:ind w:firstLine="420" w:firstLineChars="200"/>
    </w:pPr>
  </w:style>
  <w:style w:type="paragraph" w:styleId="28">
    <w:name w:val="caption"/>
    <w:basedOn w:val="1"/>
    <w:next w:val="1"/>
    <w:qFormat/>
    <w:uiPriority w:val="0"/>
    <w:rPr>
      <w:rFonts w:ascii="宋体" w:hAnsi="Arial" w:cs="Arial"/>
      <w:szCs w:val="20"/>
    </w:rPr>
  </w:style>
  <w:style w:type="paragraph" w:styleId="29">
    <w:name w:val="index 5"/>
    <w:basedOn w:val="1"/>
    <w:next w:val="1"/>
    <w:semiHidden/>
    <w:unhideWhenUsed/>
    <w:qFormat/>
    <w:uiPriority w:val="99"/>
    <w:pPr>
      <w:ind w:left="800" w:leftChars="800"/>
    </w:pPr>
  </w:style>
  <w:style w:type="paragraph" w:styleId="30">
    <w:name w:val="List Bullet"/>
    <w:basedOn w:val="1"/>
    <w:semiHidden/>
    <w:unhideWhenUsed/>
    <w:qFormat/>
    <w:uiPriority w:val="99"/>
    <w:pPr>
      <w:numPr>
        <w:ilvl w:val="0"/>
        <w:numId w:val="4"/>
      </w:numPr>
      <w:contextualSpacing/>
    </w:pPr>
  </w:style>
  <w:style w:type="paragraph" w:styleId="31">
    <w:name w:val="envelope address"/>
    <w:basedOn w:val="1"/>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rPr>
  </w:style>
  <w:style w:type="paragraph" w:styleId="32">
    <w:name w:val="Document Map"/>
    <w:basedOn w:val="1"/>
    <w:link w:val="471"/>
    <w:unhideWhenUsed/>
    <w:qFormat/>
    <w:uiPriority w:val="99"/>
    <w:rPr>
      <w:rFonts w:ascii="Microsoft YaHei UI" w:eastAsia="Microsoft YaHei UI"/>
      <w:sz w:val="18"/>
      <w:szCs w:val="18"/>
    </w:rPr>
  </w:style>
  <w:style w:type="paragraph" w:styleId="33">
    <w:name w:val="toa heading"/>
    <w:basedOn w:val="1"/>
    <w:next w:val="1"/>
    <w:semiHidden/>
    <w:unhideWhenUsed/>
    <w:qFormat/>
    <w:uiPriority w:val="99"/>
    <w:pPr>
      <w:spacing w:before="120"/>
    </w:pPr>
    <w:rPr>
      <w:rFonts w:asciiTheme="majorHAnsi" w:hAnsiTheme="majorHAnsi" w:cstheme="majorBidi"/>
      <w:sz w:val="24"/>
    </w:rPr>
  </w:style>
  <w:style w:type="paragraph" w:styleId="34">
    <w:name w:val="annotation text"/>
    <w:basedOn w:val="1"/>
    <w:link w:val="365"/>
    <w:semiHidden/>
    <w:unhideWhenUsed/>
    <w:qFormat/>
    <w:uiPriority w:val="99"/>
    <w:pPr>
      <w:jc w:val="left"/>
    </w:pPr>
  </w:style>
  <w:style w:type="paragraph" w:styleId="35">
    <w:name w:val="index 6"/>
    <w:basedOn w:val="1"/>
    <w:next w:val="1"/>
    <w:semiHidden/>
    <w:unhideWhenUsed/>
    <w:qFormat/>
    <w:uiPriority w:val="99"/>
    <w:pPr>
      <w:ind w:left="1000" w:leftChars="1000"/>
    </w:pPr>
  </w:style>
  <w:style w:type="paragraph" w:styleId="36">
    <w:name w:val="Salutation"/>
    <w:basedOn w:val="1"/>
    <w:next w:val="1"/>
    <w:link w:val="353"/>
    <w:semiHidden/>
    <w:unhideWhenUsed/>
    <w:qFormat/>
    <w:uiPriority w:val="99"/>
  </w:style>
  <w:style w:type="paragraph" w:styleId="37">
    <w:name w:val="Body Text 3"/>
    <w:basedOn w:val="1"/>
    <w:link w:val="486"/>
    <w:semiHidden/>
    <w:unhideWhenUsed/>
    <w:qFormat/>
    <w:uiPriority w:val="99"/>
    <w:pPr>
      <w:spacing w:after="120"/>
    </w:pPr>
    <w:rPr>
      <w:sz w:val="16"/>
      <w:szCs w:val="16"/>
    </w:rPr>
  </w:style>
  <w:style w:type="paragraph" w:styleId="38">
    <w:name w:val="Closing"/>
    <w:basedOn w:val="1"/>
    <w:link w:val="358"/>
    <w:semiHidden/>
    <w:unhideWhenUsed/>
    <w:qFormat/>
    <w:uiPriority w:val="99"/>
    <w:pPr>
      <w:ind w:left="100" w:leftChars="2100"/>
    </w:pPr>
  </w:style>
  <w:style w:type="paragraph" w:styleId="39">
    <w:name w:val="List Bullet 3"/>
    <w:basedOn w:val="1"/>
    <w:semiHidden/>
    <w:unhideWhenUsed/>
    <w:qFormat/>
    <w:uiPriority w:val="99"/>
    <w:pPr>
      <w:numPr>
        <w:ilvl w:val="0"/>
        <w:numId w:val="5"/>
      </w:numPr>
      <w:contextualSpacing/>
    </w:pPr>
  </w:style>
  <w:style w:type="paragraph" w:styleId="40">
    <w:name w:val="Body Text"/>
    <w:basedOn w:val="1"/>
    <w:link w:val="332"/>
    <w:unhideWhenUsed/>
    <w:qFormat/>
    <w:uiPriority w:val="1"/>
    <w:pPr>
      <w:spacing w:after="120"/>
    </w:pPr>
  </w:style>
  <w:style w:type="paragraph" w:styleId="41">
    <w:name w:val="Body Text Indent"/>
    <w:basedOn w:val="1"/>
    <w:link w:val="483"/>
    <w:semiHidden/>
    <w:unhideWhenUsed/>
    <w:qFormat/>
    <w:uiPriority w:val="99"/>
    <w:pPr>
      <w:spacing w:after="120"/>
      <w:ind w:left="420" w:leftChars="200"/>
    </w:pPr>
  </w:style>
  <w:style w:type="paragraph" w:styleId="42">
    <w:name w:val="List Number 3"/>
    <w:basedOn w:val="1"/>
    <w:semiHidden/>
    <w:unhideWhenUsed/>
    <w:qFormat/>
    <w:uiPriority w:val="99"/>
    <w:pPr>
      <w:numPr>
        <w:ilvl w:val="0"/>
        <w:numId w:val="6"/>
      </w:numPr>
      <w:contextualSpacing/>
    </w:pPr>
  </w:style>
  <w:style w:type="paragraph" w:styleId="43">
    <w:name w:val="List 2"/>
    <w:basedOn w:val="1"/>
    <w:semiHidden/>
    <w:unhideWhenUsed/>
    <w:qFormat/>
    <w:uiPriority w:val="99"/>
    <w:pPr>
      <w:ind w:left="100" w:leftChars="200" w:hanging="200" w:hangingChars="200"/>
      <w:contextualSpacing/>
    </w:pPr>
  </w:style>
  <w:style w:type="paragraph" w:styleId="44">
    <w:name w:val="List Continue"/>
    <w:basedOn w:val="1"/>
    <w:semiHidden/>
    <w:unhideWhenUsed/>
    <w:qFormat/>
    <w:uiPriority w:val="99"/>
    <w:pPr>
      <w:spacing w:after="120"/>
      <w:ind w:left="420" w:leftChars="200"/>
      <w:contextualSpacing/>
    </w:pPr>
  </w:style>
  <w:style w:type="paragraph" w:styleId="45">
    <w:name w:val="Block Text"/>
    <w:basedOn w:val="1"/>
    <w:semiHidden/>
    <w:unhideWhenUsed/>
    <w:qFormat/>
    <w:uiPriority w:val="99"/>
    <w:pPr>
      <w:spacing w:after="120"/>
      <w:ind w:left="1440" w:leftChars="700" w:right="1440" w:rightChars="700"/>
    </w:pPr>
  </w:style>
  <w:style w:type="paragraph" w:styleId="46">
    <w:name w:val="List Bullet 2"/>
    <w:basedOn w:val="1"/>
    <w:semiHidden/>
    <w:unhideWhenUsed/>
    <w:qFormat/>
    <w:uiPriority w:val="99"/>
    <w:pPr>
      <w:numPr>
        <w:ilvl w:val="0"/>
        <w:numId w:val="7"/>
      </w:numPr>
      <w:contextualSpacing/>
    </w:pPr>
  </w:style>
  <w:style w:type="paragraph" w:styleId="47">
    <w:name w:val="HTML Address"/>
    <w:basedOn w:val="1"/>
    <w:semiHidden/>
    <w:qFormat/>
    <w:uiPriority w:val="0"/>
    <w:rPr>
      <w:i/>
      <w:iCs/>
    </w:rPr>
  </w:style>
  <w:style w:type="paragraph" w:styleId="48">
    <w:name w:val="index 4"/>
    <w:basedOn w:val="1"/>
    <w:next w:val="1"/>
    <w:semiHidden/>
    <w:unhideWhenUsed/>
    <w:qFormat/>
    <w:uiPriority w:val="99"/>
    <w:pPr>
      <w:ind w:left="600" w:leftChars="600"/>
    </w:pPr>
  </w:style>
  <w:style w:type="paragraph" w:styleId="49">
    <w:name w:val="Plain Text"/>
    <w:basedOn w:val="1"/>
    <w:link w:val="354"/>
    <w:semiHidden/>
    <w:unhideWhenUsed/>
    <w:qFormat/>
    <w:uiPriority w:val="99"/>
    <w:rPr>
      <w:rFonts w:ascii="宋体" w:hAnsi="Courier New" w:cs="Courier New"/>
      <w:szCs w:val="21"/>
    </w:rPr>
  </w:style>
  <w:style w:type="paragraph" w:styleId="50">
    <w:name w:val="List Bullet 5"/>
    <w:basedOn w:val="1"/>
    <w:semiHidden/>
    <w:unhideWhenUsed/>
    <w:qFormat/>
    <w:uiPriority w:val="99"/>
    <w:pPr>
      <w:numPr>
        <w:ilvl w:val="0"/>
        <w:numId w:val="8"/>
      </w:numPr>
      <w:contextualSpacing/>
    </w:pPr>
  </w:style>
  <w:style w:type="paragraph" w:styleId="51">
    <w:name w:val="List Number 4"/>
    <w:basedOn w:val="1"/>
    <w:semiHidden/>
    <w:unhideWhenUsed/>
    <w:qFormat/>
    <w:uiPriority w:val="99"/>
    <w:pPr>
      <w:numPr>
        <w:ilvl w:val="0"/>
        <w:numId w:val="9"/>
      </w:numPr>
      <w:contextualSpacing/>
    </w:pPr>
  </w:style>
  <w:style w:type="paragraph" w:styleId="52">
    <w:name w:val="toc 8"/>
    <w:basedOn w:val="13"/>
    <w:next w:val="1"/>
    <w:semiHidden/>
    <w:qFormat/>
    <w:uiPriority w:val="0"/>
  </w:style>
  <w:style w:type="paragraph" w:styleId="53">
    <w:name w:val="index 3"/>
    <w:basedOn w:val="1"/>
    <w:next w:val="1"/>
    <w:semiHidden/>
    <w:unhideWhenUsed/>
    <w:qFormat/>
    <w:uiPriority w:val="99"/>
    <w:pPr>
      <w:ind w:left="400" w:leftChars="400"/>
    </w:pPr>
  </w:style>
  <w:style w:type="paragraph" w:styleId="54">
    <w:name w:val="Date"/>
    <w:basedOn w:val="1"/>
    <w:next w:val="1"/>
    <w:link w:val="417"/>
    <w:unhideWhenUsed/>
    <w:qFormat/>
    <w:uiPriority w:val="99"/>
    <w:pPr>
      <w:ind w:left="100" w:leftChars="2500"/>
    </w:pPr>
  </w:style>
  <w:style w:type="paragraph" w:styleId="55">
    <w:name w:val="Body Text Indent 2"/>
    <w:basedOn w:val="1"/>
    <w:link w:val="487"/>
    <w:unhideWhenUsed/>
    <w:qFormat/>
    <w:uiPriority w:val="99"/>
    <w:pPr>
      <w:spacing w:after="120" w:line="480" w:lineRule="auto"/>
      <w:ind w:left="420" w:leftChars="200"/>
    </w:pPr>
  </w:style>
  <w:style w:type="paragraph" w:styleId="56">
    <w:name w:val="endnote text"/>
    <w:basedOn w:val="1"/>
    <w:link w:val="470"/>
    <w:semiHidden/>
    <w:unhideWhenUsed/>
    <w:qFormat/>
    <w:uiPriority w:val="99"/>
    <w:pPr>
      <w:snapToGrid w:val="0"/>
      <w:jc w:val="left"/>
    </w:pPr>
  </w:style>
  <w:style w:type="paragraph" w:styleId="57">
    <w:name w:val="List Continue 5"/>
    <w:basedOn w:val="1"/>
    <w:semiHidden/>
    <w:unhideWhenUsed/>
    <w:qFormat/>
    <w:uiPriority w:val="99"/>
    <w:pPr>
      <w:spacing w:after="120"/>
      <w:ind w:left="2100" w:leftChars="1000"/>
      <w:contextualSpacing/>
    </w:pPr>
  </w:style>
  <w:style w:type="paragraph" w:styleId="58">
    <w:name w:val="Balloon Text"/>
    <w:basedOn w:val="1"/>
    <w:link w:val="364"/>
    <w:unhideWhenUsed/>
    <w:qFormat/>
    <w:uiPriority w:val="99"/>
    <w:rPr>
      <w:sz w:val="18"/>
      <w:szCs w:val="18"/>
    </w:rPr>
  </w:style>
  <w:style w:type="paragraph" w:styleId="59">
    <w:name w:val="footer"/>
    <w:basedOn w:val="1"/>
    <w:link w:val="540"/>
    <w:qFormat/>
    <w:uiPriority w:val="99"/>
    <w:pPr>
      <w:tabs>
        <w:tab w:val="center" w:pos="4153"/>
        <w:tab w:val="right" w:pos="8306"/>
      </w:tabs>
      <w:snapToGrid w:val="0"/>
      <w:ind w:right="210" w:rightChars="100"/>
      <w:jc w:val="right"/>
    </w:pPr>
    <w:rPr>
      <w:sz w:val="18"/>
      <w:szCs w:val="18"/>
    </w:rPr>
  </w:style>
  <w:style w:type="paragraph" w:styleId="60">
    <w:name w:val="envelope return"/>
    <w:basedOn w:val="1"/>
    <w:semiHidden/>
    <w:unhideWhenUsed/>
    <w:qFormat/>
    <w:uiPriority w:val="99"/>
    <w:pPr>
      <w:snapToGrid w:val="0"/>
    </w:pPr>
    <w:rPr>
      <w:rFonts w:asciiTheme="majorHAnsi" w:hAnsiTheme="majorHAnsi" w:eastAsiaTheme="majorEastAsia" w:cstheme="majorBidi"/>
    </w:rPr>
  </w:style>
  <w:style w:type="paragraph" w:styleId="61">
    <w:name w:val="header"/>
    <w:basedOn w:val="1"/>
    <w:link w:val="541"/>
    <w:semiHidden/>
    <w:qFormat/>
    <w:uiPriority w:val="99"/>
    <w:pPr>
      <w:pBdr>
        <w:bottom w:val="single" w:color="auto" w:sz="6" w:space="1"/>
      </w:pBdr>
      <w:tabs>
        <w:tab w:val="center" w:pos="4153"/>
        <w:tab w:val="right" w:pos="8306"/>
      </w:tabs>
      <w:snapToGrid w:val="0"/>
      <w:jc w:val="center"/>
    </w:pPr>
    <w:rPr>
      <w:sz w:val="18"/>
      <w:szCs w:val="18"/>
    </w:rPr>
  </w:style>
  <w:style w:type="paragraph" w:styleId="62">
    <w:name w:val="Signature"/>
    <w:basedOn w:val="1"/>
    <w:link w:val="367"/>
    <w:semiHidden/>
    <w:unhideWhenUsed/>
    <w:qFormat/>
    <w:uiPriority w:val="99"/>
    <w:pPr>
      <w:ind w:left="100" w:leftChars="2100"/>
    </w:pPr>
  </w:style>
  <w:style w:type="paragraph" w:styleId="63">
    <w:name w:val="List Continue 4"/>
    <w:basedOn w:val="1"/>
    <w:semiHidden/>
    <w:unhideWhenUsed/>
    <w:qFormat/>
    <w:uiPriority w:val="99"/>
    <w:pPr>
      <w:spacing w:after="120"/>
      <w:ind w:left="1680" w:leftChars="800"/>
      <w:contextualSpacing/>
    </w:pPr>
  </w:style>
  <w:style w:type="paragraph" w:styleId="64">
    <w:name w:val="index heading"/>
    <w:basedOn w:val="1"/>
    <w:next w:val="65"/>
    <w:semiHidden/>
    <w:unhideWhenUsed/>
    <w:qFormat/>
    <w:uiPriority w:val="99"/>
    <w:pPr>
      <w:spacing w:before="100" w:beforeLines="100" w:after="100" w:afterLines="100"/>
      <w:jc w:val="center"/>
    </w:pPr>
    <w:rPr>
      <w:rFonts w:eastAsia="黑体" w:asciiTheme="majorHAnsi" w:hAnsiTheme="majorHAnsi" w:cstheme="majorBidi"/>
      <w:b/>
      <w:bCs/>
    </w:rPr>
  </w:style>
  <w:style w:type="paragraph" w:styleId="65">
    <w:name w:val="index 1"/>
    <w:basedOn w:val="1"/>
    <w:next w:val="1"/>
    <w:semiHidden/>
    <w:unhideWhenUsed/>
    <w:qFormat/>
    <w:uiPriority w:val="99"/>
    <w:rPr>
      <w:rFonts w:asciiTheme="minorEastAsia" w:hAnsiTheme="minorEastAsia"/>
    </w:rPr>
  </w:style>
  <w:style w:type="paragraph" w:styleId="66">
    <w:name w:val="Subtitle"/>
    <w:basedOn w:val="1"/>
    <w:next w:val="1"/>
    <w:link w:val="356"/>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67">
    <w:name w:val="List Number 5"/>
    <w:basedOn w:val="1"/>
    <w:semiHidden/>
    <w:unhideWhenUsed/>
    <w:qFormat/>
    <w:uiPriority w:val="99"/>
    <w:pPr>
      <w:numPr>
        <w:ilvl w:val="0"/>
        <w:numId w:val="10"/>
      </w:numPr>
      <w:contextualSpacing/>
    </w:pPr>
  </w:style>
  <w:style w:type="paragraph" w:styleId="68">
    <w:name w:val="List"/>
    <w:basedOn w:val="1"/>
    <w:semiHidden/>
    <w:unhideWhenUsed/>
    <w:qFormat/>
    <w:uiPriority w:val="99"/>
    <w:pPr>
      <w:ind w:left="200" w:hanging="200" w:hangingChars="200"/>
      <w:contextualSpacing/>
    </w:pPr>
  </w:style>
  <w:style w:type="paragraph" w:styleId="69">
    <w:name w:val="footnote text"/>
    <w:basedOn w:val="1"/>
    <w:semiHidden/>
    <w:qFormat/>
    <w:uiPriority w:val="0"/>
    <w:pPr>
      <w:snapToGrid w:val="0"/>
      <w:ind w:left="400" w:leftChars="200" w:hanging="200" w:hangingChars="200"/>
      <w:jc w:val="left"/>
    </w:pPr>
    <w:rPr>
      <w:sz w:val="18"/>
      <w:szCs w:val="18"/>
    </w:rPr>
  </w:style>
  <w:style w:type="paragraph" w:styleId="70">
    <w:name w:val="List 5"/>
    <w:basedOn w:val="1"/>
    <w:semiHidden/>
    <w:unhideWhenUsed/>
    <w:qFormat/>
    <w:uiPriority w:val="99"/>
    <w:pPr>
      <w:ind w:left="100" w:leftChars="800" w:hanging="200" w:hangingChars="200"/>
      <w:contextualSpacing/>
    </w:pPr>
  </w:style>
  <w:style w:type="paragraph" w:styleId="71">
    <w:name w:val="Body Text Indent 3"/>
    <w:basedOn w:val="1"/>
    <w:link w:val="488"/>
    <w:semiHidden/>
    <w:unhideWhenUsed/>
    <w:qFormat/>
    <w:uiPriority w:val="99"/>
    <w:pPr>
      <w:spacing w:after="120"/>
      <w:ind w:left="420" w:leftChars="200"/>
    </w:pPr>
    <w:rPr>
      <w:sz w:val="16"/>
      <w:szCs w:val="16"/>
    </w:rPr>
  </w:style>
  <w:style w:type="paragraph" w:styleId="72">
    <w:name w:val="index 7"/>
    <w:basedOn w:val="1"/>
    <w:next w:val="1"/>
    <w:semiHidden/>
    <w:unhideWhenUsed/>
    <w:qFormat/>
    <w:uiPriority w:val="99"/>
    <w:pPr>
      <w:ind w:left="1200" w:leftChars="1200"/>
    </w:pPr>
  </w:style>
  <w:style w:type="paragraph" w:styleId="73">
    <w:name w:val="index 9"/>
    <w:basedOn w:val="1"/>
    <w:next w:val="1"/>
    <w:semiHidden/>
    <w:unhideWhenUsed/>
    <w:qFormat/>
    <w:uiPriority w:val="99"/>
    <w:pPr>
      <w:ind w:left="1600" w:leftChars="1600"/>
    </w:pPr>
  </w:style>
  <w:style w:type="paragraph" w:styleId="74">
    <w:name w:val="table of figures"/>
    <w:basedOn w:val="1"/>
    <w:next w:val="1"/>
    <w:semiHidden/>
    <w:qFormat/>
    <w:uiPriority w:val="0"/>
  </w:style>
  <w:style w:type="paragraph" w:styleId="75">
    <w:name w:val="toc 9"/>
    <w:basedOn w:val="52"/>
    <w:next w:val="1"/>
    <w:semiHidden/>
    <w:qFormat/>
    <w:uiPriority w:val="0"/>
  </w:style>
  <w:style w:type="paragraph" w:styleId="76">
    <w:name w:val="Body Text 2"/>
    <w:basedOn w:val="1"/>
    <w:link w:val="485"/>
    <w:semiHidden/>
    <w:unhideWhenUsed/>
    <w:qFormat/>
    <w:uiPriority w:val="99"/>
    <w:pPr>
      <w:spacing w:after="120" w:line="480" w:lineRule="auto"/>
    </w:pPr>
  </w:style>
  <w:style w:type="paragraph" w:styleId="77">
    <w:name w:val="List 4"/>
    <w:basedOn w:val="1"/>
    <w:semiHidden/>
    <w:unhideWhenUsed/>
    <w:qFormat/>
    <w:uiPriority w:val="99"/>
    <w:pPr>
      <w:ind w:left="100" w:leftChars="600" w:hanging="200" w:hangingChars="200"/>
      <w:contextualSpacing/>
    </w:pPr>
  </w:style>
  <w:style w:type="paragraph" w:styleId="78">
    <w:name w:val="List Continue 2"/>
    <w:basedOn w:val="1"/>
    <w:semiHidden/>
    <w:unhideWhenUsed/>
    <w:qFormat/>
    <w:uiPriority w:val="99"/>
    <w:pPr>
      <w:spacing w:after="120"/>
      <w:ind w:left="840" w:leftChars="400"/>
      <w:contextualSpacing/>
    </w:pPr>
  </w:style>
  <w:style w:type="paragraph" w:styleId="79">
    <w:name w:val="Message Header"/>
    <w:basedOn w:val="1"/>
    <w:link w:val="478"/>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rPr>
  </w:style>
  <w:style w:type="paragraph" w:styleId="80">
    <w:name w:val="HTML Preformatted"/>
    <w:basedOn w:val="1"/>
    <w:semiHidden/>
    <w:qFormat/>
    <w:uiPriority w:val="0"/>
    <w:rPr>
      <w:rFonts w:ascii="Courier New" w:hAnsi="Courier New" w:cs="Courier New"/>
      <w:sz w:val="20"/>
      <w:szCs w:val="20"/>
    </w:rPr>
  </w:style>
  <w:style w:type="paragraph" w:styleId="81">
    <w:name w:val="Normal (Web)"/>
    <w:basedOn w:val="1"/>
    <w:unhideWhenUsed/>
    <w:qFormat/>
    <w:uiPriority w:val="99"/>
    <w:rPr>
      <w:sz w:val="24"/>
    </w:rPr>
  </w:style>
  <w:style w:type="paragraph" w:styleId="82">
    <w:name w:val="List Continue 3"/>
    <w:basedOn w:val="1"/>
    <w:semiHidden/>
    <w:unhideWhenUsed/>
    <w:qFormat/>
    <w:uiPriority w:val="99"/>
    <w:pPr>
      <w:spacing w:after="120"/>
      <w:ind w:left="1260" w:leftChars="600"/>
      <w:contextualSpacing/>
    </w:pPr>
  </w:style>
  <w:style w:type="paragraph" w:styleId="83">
    <w:name w:val="index 2"/>
    <w:basedOn w:val="1"/>
    <w:next w:val="1"/>
    <w:semiHidden/>
    <w:unhideWhenUsed/>
    <w:qFormat/>
    <w:uiPriority w:val="99"/>
    <w:pPr>
      <w:ind w:left="200" w:leftChars="200"/>
    </w:pPr>
  </w:style>
  <w:style w:type="paragraph" w:styleId="84">
    <w:name w:val="Title"/>
    <w:basedOn w:val="1"/>
    <w:qFormat/>
    <w:uiPriority w:val="0"/>
    <w:pPr>
      <w:spacing w:before="240" w:after="60"/>
      <w:jc w:val="center"/>
      <w:outlineLvl w:val="0"/>
    </w:pPr>
    <w:rPr>
      <w:rFonts w:ascii="Arial" w:hAnsi="Arial" w:cs="Arial"/>
      <w:b/>
      <w:bCs/>
      <w:sz w:val="32"/>
      <w:szCs w:val="32"/>
    </w:rPr>
  </w:style>
  <w:style w:type="paragraph" w:styleId="85">
    <w:name w:val="annotation subject"/>
    <w:basedOn w:val="34"/>
    <w:next w:val="34"/>
    <w:link w:val="366"/>
    <w:semiHidden/>
    <w:unhideWhenUsed/>
    <w:qFormat/>
    <w:uiPriority w:val="99"/>
    <w:rPr>
      <w:b/>
      <w:bCs/>
    </w:rPr>
  </w:style>
  <w:style w:type="paragraph" w:styleId="86">
    <w:name w:val="Body Text First Indent"/>
    <w:basedOn w:val="40"/>
    <w:link w:val="482"/>
    <w:semiHidden/>
    <w:unhideWhenUsed/>
    <w:qFormat/>
    <w:uiPriority w:val="99"/>
    <w:pPr>
      <w:ind w:firstLine="420" w:firstLineChars="100"/>
    </w:pPr>
  </w:style>
  <w:style w:type="paragraph" w:styleId="87">
    <w:name w:val="Body Text First Indent 2"/>
    <w:basedOn w:val="41"/>
    <w:link w:val="484"/>
    <w:semiHidden/>
    <w:unhideWhenUsed/>
    <w:qFormat/>
    <w:uiPriority w:val="99"/>
    <w:pPr>
      <w:ind w:firstLine="420" w:firstLineChars="200"/>
    </w:pPr>
  </w:style>
  <w:style w:type="table" w:styleId="89">
    <w:name w:val="Table Grid"/>
    <w:basedOn w:val="8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semiHidden/>
    <w:unhideWhenUsed/>
    <w:qFormat/>
    <w:uiPriority w:val="99"/>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semiHidden/>
    <w:unhideWhenUsed/>
    <w:qFormat/>
    <w:uiPriority w:val="99"/>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semiHidden/>
    <w:unhideWhenUsed/>
    <w:qFormat/>
    <w:uiPriority w:val="99"/>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semiHidden/>
    <w:unhideWhenUsed/>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5">
    <w:name w:val="Table Classic 1"/>
    <w:basedOn w:val="88"/>
    <w:semiHidden/>
    <w:unhideWhenUsed/>
    <w:qFormat/>
    <w:uiPriority w:val="99"/>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semiHidden/>
    <w:unhideWhenUsed/>
    <w:qFormat/>
    <w:uiPriority w:val="99"/>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semiHidden/>
    <w:unhideWhenUsed/>
    <w:qFormat/>
    <w:uiPriority w:val="99"/>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semiHidden/>
    <w:unhideWhenUsed/>
    <w:qFormat/>
    <w:uiPriority w:val="99"/>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semiHidden/>
    <w:unhideWhenUsed/>
    <w:qFormat/>
    <w:uiPriority w:val="99"/>
    <w:pPr>
      <w:widowControl w:val="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semiHidden/>
    <w:unhideWhenUsed/>
    <w:qFormat/>
    <w:uiPriority w:val="99"/>
    <w:pPr>
      <w:widowControl w:val="0"/>
      <w:jc w:val="both"/>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semiHidden/>
    <w:unhideWhenUsed/>
    <w:qFormat/>
    <w:uiPriority w:val="99"/>
    <w:pPr>
      <w:widowControl w:val="0"/>
      <w:jc w:val="both"/>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semiHidden/>
    <w:unhideWhenUsed/>
    <w:qFormat/>
    <w:uiPriority w:val="99"/>
    <w:pPr>
      <w:widowControl w:val="0"/>
      <w:jc w:val="both"/>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semiHidden/>
    <w:unhideWhenUsed/>
    <w:qFormat/>
    <w:uiPriority w:val="99"/>
    <w:pPr>
      <w:widowControl w:val="0"/>
      <w:jc w:val="both"/>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semiHidden/>
    <w:unhideWhenUsed/>
    <w:qFormat/>
    <w:uiPriority w:val="99"/>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semiHidden/>
    <w:unhideWhenUsed/>
    <w:qFormat/>
    <w:uiPriority w:val="99"/>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semiHidden/>
    <w:unhideWhenUsed/>
    <w:qFormat/>
    <w:uiPriority w:val="99"/>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semiHidden/>
    <w:unhideWhenUsed/>
    <w:qFormat/>
    <w:uiPriority w:val="99"/>
    <w:pPr>
      <w:widowControl w:val="0"/>
      <w:jc w:val="both"/>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semiHidden/>
    <w:unhideWhenUsed/>
    <w:qFormat/>
    <w:uiPriority w:val="99"/>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semiHidden/>
    <w:unhideWhenUsed/>
    <w:qFormat/>
    <w:uiPriority w:val="99"/>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semiHidden/>
    <w:unhideWhenUsed/>
    <w:qFormat/>
    <w:uiPriority w:val="99"/>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semiHidden/>
    <w:unhideWhenUsed/>
    <w:qFormat/>
    <w:uiPriority w:val="99"/>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semiHidden/>
    <w:unhideWhenUsed/>
    <w:qFormat/>
    <w:uiPriority w:val="99"/>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semiHidden/>
    <w:unhideWhenUsed/>
    <w:qFormat/>
    <w:uiPriority w:val="99"/>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semiHidden/>
    <w:unhideWhenUsed/>
    <w:qFormat/>
    <w:uiPriority w:val="99"/>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semiHidden/>
    <w:unhideWhenUsed/>
    <w:qFormat/>
    <w:uiPriority w:val="99"/>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semiHidden/>
    <w:unhideWhenUsed/>
    <w:qFormat/>
    <w:uiPriority w:val="99"/>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semiHidden/>
    <w:unhideWhenUsed/>
    <w:qFormat/>
    <w:uiPriority w:val="99"/>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semiHidden/>
    <w:unhideWhenUsed/>
    <w:qFormat/>
    <w:uiPriority w:val="99"/>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semiHidden/>
    <w:unhideWhenUsed/>
    <w:qFormat/>
    <w:uiPriority w:val="99"/>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semiHidden/>
    <w:unhideWhenUsed/>
    <w:qFormat/>
    <w:uiPriority w:val="99"/>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semiHidden/>
    <w:unhideWhenUsed/>
    <w:qFormat/>
    <w:uiPriority w:val="99"/>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3">
    <w:name w:val="Light Shading"/>
    <w:basedOn w:val="88"/>
    <w:semiHidden/>
    <w:unhideWhenUsed/>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134">
    <w:name w:val="Light Shading Accent 1"/>
    <w:basedOn w:val="88"/>
    <w:semiHidden/>
    <w:unhideWhenUsed/>
    <w:qFormat/>
    <w:uiPriority w:val="60"/>
    <w:rPr>
      <w:color w:val="2E75B6" w:themeColor="accent1" w:themeShade="BF"/>
    </w:rPr>
    <w:tblPr>
      <w:tblBorders>
        <w:top w:val="single" w:color="5B9BD5" w:themeColor="accent1" w:sz="8" w:space="0"/>
        <w:bottom w:val="single" w:color="5B9BD5" w:themeColor="accent1" w:sz="8" w:space="0"/>
      </w:tblBorders>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35">
    <w:name w:val="Light Shading Accent 2"/>
    <w:basedOn w:val="88"/>
    <w:semiHidden/>
    <w:unhideWhenUsed/>
    <w:qFormat/>
    <w:uiPriority w:val="60"/>
    <w:rPr>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6">
    <w:name w:val="Light Shading Accent 3"/>
    <w:basedOn w:val="88"/>
    <w:semiHidden/>
    <w:unhideWhenUsed/>
    <w:qFormat/>
    <w:uiPriority w:val="60"/>
    <w:rPr>
      <w:color w:val="7C7C7C" w:themeColor="accent3" w:themeShade="BF"/>
    </w:rPr>
    <w:tblPr>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7">
    <w:name w:val="Light Shading Accent 4"/>
    <w:basedOn w:val="88"/>
    <w:semiHidden/>
    <w:unhideWhenUsed/>
    <w:qFormat/>
    <w:uiPriority w:val="60"/>
    <w:rPr>
      <w:color w:val="BF9000" w:themeColor="accent4" w:themeShade="BF"/>
    </w:rPr>
    <w:tblPr>
      <w:tblBorders>
        <w:top w:val="single" w:color="FFC000" w:themeColor="accent4" w:sz="8" w:space="0"/>
        <w:bottom w:val="single" w:color="FFC000" w:themeColor="accent4" w:sz="8" w:space="0"/>
      </w:tblBorders>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8">
    <w:name w:val="Light Shading Accent 5"/>
    <w:basedOn w:val="88"/>
    <w:semiHidden/>
    <w:unhideWhenUsed/>
    <w:qFormat/>
    <w:uiPriority w:val="60"/>
    <w:rPr>
      <w:color w:val="2F5597" w:themeColor="accent5" w:themeShade="BF"/>
    </w:rPr>
    <w:tblPr>
      <w:tblBorders>
        <w:top w:val="single" w:color="4472C4" w:themeColor="accent5" w:sz="8" w:space="0"/>
        <w:bottom w:val="single" w:color="4472C4" w:themeColor="accent5" w:sz="8" w:space="0"/>
      </w:tblBorders>
    </w:tblPr>
    <w:tblStylePr w:type="fir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la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left w:val="nil"/>
          <w:right w:val="nil"/>
          <w:insideH w:val="nil"/>
          <w:insideV w:val="nil"/>
        </w:tcBorders>
        <w:shd w:val="clear" w:color="auto" w:fill="D0DCF0" w:themeFill="accent5" w:themeFillTint="3F"/>
      </w:tcPr>
    </w:tblStylePr>
  </w:style>
  <w:style w:type="table" w:styleId="139">
    <w:name w:val="Light Shading Accent 6"/>
    <w:basedOn w:val="88"/>
    <w:semiHidden/>
    <w:unhideWhenUsed/>
    <w:qFormat/>
    <w:uiPriority w:val="60"/>
    <w:rPr>
      <w:color w:val="548235" w:themeColor="accent6" w:themeShade="BF"/>
    </w:rPr>
    <w:tblPr>
      <w:tblBorders>
        <w:top w:val="single" w:color="70AD47" w:themeColor="accent6" w:sz="8" w:space="0"/>
        <w:bottom w:val="single" w:color="70AD47" w:themeColor="accent6" w:sz="8" w:space="0"/>
      </w:tblBorders>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40">
    <w:name w:val="Light List"/>
    <w:basedOn w:val="88"/>
    <w:semiHidden/>
    <w:unhideWhenUsed/>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141">
    <w:name w:val="Light List Accent 1"/>
    <w:basedOn w:val="88"/>
    <w:semiHidden/>
    <w:unhideWhenUsed/>
    <w:qFormat/>
    <w:uiPriority w:val="61"/>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table" w:styleId="142">
    <w:name w:val="Light List Accent 2"/>
    <w:basedOn w:val="88"/>
    <w:semiHidden/>
    <w:unhideWhenUsed/>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43">
    <w:name w:val="Light List Accent 3"/>
    <w:basedOn w:val="88"/>
    <w:semiHidden/>
    <w:unhideWhenUsed/>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44">
    <w:name w:val="Light List Accent 4"/>
    <w:basedOn w:val="88"/>
    <w:semiHidden/>
    <w:unhideWhenUsed/>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45">
    <w:name w:val="Light List Accent 5"/>
    <w:basedOn w:val="88"/>
    <w:semiHidden/>
    <w:unhideWhenUsed/>
    <w:qFormat/>
    <w:uiPriority w:val="61"/>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 w:type="table" w:styleId="146">
    <w:name w:val="Light List Accent 6"/>
    <w:basedOn w:val="88"/>
    <w:semiHidden/>
    <w:unhideWhenUsed/>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7">
    <w:name w:val="Light Grid"/>
    <w:basedOn w:val="88"/>
    <w:semiHidden/>
    <w:unhideWhenUsed/>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148">
    <w:name w:val="Light Grid Accent 1"/>
    <w:basedOn w:val="88"/>
    <w:semiHidden/>
    <w:unhideWhenUsed/>
    <w:qFormat/>
    <w:uiPriority w:val="62"/>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18" w:space="0"/>
          <w:right w:val="single" w:color="5B9BD5"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shd w:val="clear" w:color="auto" w:fill="D6E6F4" w:themeFill="accent1" w:themeFillTint="3F"/>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shd w:val="clear" w:color="auto" w:fill="D6E6F4" w:themeFill="accent1" w:themeFillTint="3F"/>
      </w:tcPr>
    </w:tblStylePr>
    <w:tblStylePr w:type="band2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tcPr>
    </w:tblStylePr>
  </w:style>
  <w:style w:type="table" w:styleId="149">
    <w:name w:val="Light Grid Accent 2"/>
    <w:basedOn w:val="88"/>
    <w:semiHidden/>
    <w:unhideWhenUsed/>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50">
    <w:name w:val="Light Grid Accent 3"/>
    <w:basedOn w:val="88"/>
    <w:semiHidden/>
    <w:unhideWhenUsed/>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51">
    <w:name w:val="Light Grid Accent 4"/>
    <w:basedOn w:val="88"/>
    <w:semiHidden/>
    <w:unhideWhenUsed/>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52">
    <w:name w:val="Light Grid Accent 5"/>
    <w:basedOn w:val="88"/>
    <w:semiHidden/>
    <w:unhideWhenUsed/>
    <w:qFormat/>
    <w:uiPriority w:val="62"/>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18" w:space="0"/>
          <w:right w:val="single" w:color="4472C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shd w:val="clear" w:color="auto" w:fill="D0DCF0" w:themeFill="accent5" w:themeFillTint="3F"/>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shd w:val="clear" w:color="auto" w:fill="D0DCF0" w:themeFill="accent5" w:themeFillTint="3F"/>
      </w:tcPr>
    </w:tblStylePr>
    <w:tblStylePr w:type="band2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tcPr>
    </w:tblStylePr>
  </w:style>
  <w:style w:type="table" w:styleId="153">
    <w:name w:val="Light Grid Accent 6"/>
    <w:basedOn w:val="88"/>
    <w:semiHidden/>
    <w:unhideWhenUsed/>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54">
    <w:name w:val="Medium Shading 1"/>
    <w:basedOn w:val="88"/>
    <w:semiHidden/>
    <w:unhideWhenUsed/>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155">
    <w:name w:val="Medium Shading 1 Accent 1"/>
    <w:basedOn w:val="88"/>
    <w:semiHidden/>
    <w:unhideWhenUsed/>
    <w:qFormat/>
    <w:uiPriority w:val="63"/>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shd w:val="clear" w:color="auto" w:fill="5B9BD5" w:themeFill="accent1"/>
      </w:tcPr>
    </w:tblStylePr>
    <w:tblStylePr w:type="lastRow">
      <w:pPr>
        <w:spacing w:before="0" w:after="0" w:line="240" w:lineRule="auto"/>
      </w:pPr>
      <w:rPr>
        <w:b/>
        <w:bCs/>
      </w:rPr>
      <w:tblPr/>
      <w:tcPr>
        <w:tcBorders>
          <w:top w:val="double" w:color="84B4DF" w:themeColor="accent1" w:themeTint="BF" w:sz="6"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56">
    <w:name w:val="Medium Shading 1 Accent 2"/>
    <w:basedOn w:val="88"/>
    <w:semiHidden/>
    <w:unhideWhenUsed/>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57">
    <w:name w:val="Medium Shading 1 Accent 3"/>
    <w:basedOn w:val="88"/>
    <w:semiHidden/>
    <w:unhideWhenUsed/>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58">
    <w:name w:val="Medium Shading 1 Accent 4"/>
    <w:basedOn w:val="88"/>
    <w:semiHidden/>
    <w:unhideWhenUsed/>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59">
    <w:name w:val="Medium Shading 1 Accent 5"/>
    <w:basedOn w:val="88"/>
    <w:semiHidden/>
    <w:unhideWhenUsed/>
    <w:qFormat/>
    <w:uiPriority w:val="63"/>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7295D2" w:themeColor="accent5" w:themeTint="BF" w:sz="6"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0DCF0" w:themeFill="accent5" w:themeFillTint="3F"/>
      </w:tcPr>
    </w:tblStylePr>
    <w:tblStylePr w:type="band1Horz">
      <w:tblPr/>
      <w:tcPr>
        <w:tcBorders>
          <w:insideH w:val="nil"/>
          <w:insideV w:val="nil"/>
        </w:tcBorders>
        <w:shd w:val="clear" w:color="auto" w:fill="D0DCF0" w:themeFill="accent5" w:themeFillTint="3F"/>
      </w:tcPr>
    </w:tblStylePr>
    <w:tblStylePr w:type="band2Horz">
      <w:tblPr/>
      <w:tcPr>
        <w:tcBorders>
          <w:insideH w:val="nil"/>
          <w:insideV w:val="nil"/>
        </w:tcBorders>
      </w:tcPr>
    </w:tblStylePr>
  </w:style>
  <w:style w:type="table" w:styleId="160">
    <w:name w:val="Medium Shading 1 Accent 6"/>
    <w:basedOn w:val="88"/>
    <w:semiHidden/>
    <w:unhideWhenUsed/>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61">
    <w:name w:val="Medium Shading 2"/>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2">
    <w:name w:val="Medium Shading 2 Accent 1"/>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3">
    <w:name w:val="Medium Shading 2 Accent 2"/>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4">
    <w:name w:val="Medium Shading 2 Accent 3"/>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5">
    <w:name w:val="Medium Shading 2 Accent 4"/>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6">
    <w:name w:val="Medium Shading 2 Accent 5"/>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472C4"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7">
    <w:name w:val="Medium Shading 2 Accent 6"/>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8">
    <w:name w:val="Medium List 1"/>
    <w:basedOn w:val="88"/>
    <w:semiHidden/>
    <w:unhideWhenUsed/>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69">
    <w:name w:val="Medium List 1 Accent 1"/>
    <w:basedOn w:val="88"/>
    <w:semiHidden/>
    <w:unhideWhenUsed/>
    <w:qFormat/>
    <w:uiPriority w:val="65"/>
    <w:rPr>
      <w:color w:val="000000" w:themeColor="text1"/>
      <w14:textFill>
        <w14:solidFill>
          <w14:schemeClr w14:val="tx1"/>
        </w14:solidFill>
      </w14:textFill>
    </w:rPr>
    <w:tblPr>
      <w:tblBorders>
        <w:top w:val="single" w:color="5B9BD5" w:themeColor="accent1" w:sz="8" w:space="0"/>
        <w:bottom w:val="single" w:color="5B9BD5" w:themeColor="accent1" w:sz="8" w:space="0"/>
      </w:tblBorders>
    </w:tblPr>
    <w:tblStylePr w:type="firstRow">
      <w:rPr>
        <w:rFonts w:asciiTheme="majorHAnsi" w:hAnsiTheme="majorHAnsi" w:eastAsiaTheme="majorEastAsia" w:cstheme="majorBidi"/>
      </w:rPr>
      <w:tblPr/>
      <w:tcPr>
        <w:tcBorders>
          <w:top w:val="nil"/>
          <w:bottom w:val="single" w:color="5B9BD5" w:themeColor="accent1" w:sz="8" w:space="0"/>
        </w:tcBorders>
      </w:tcPr>
    </w:tblStylePr>
    <w:tblStylePr w:type="lastRow">
      <w:rPr>
        <w:b/>
        <w:bCs/>
        <w:color w:val="44546A" w:themeColor="text2"/>
        <w14:textFill>
          <w14:solidFill>
            <w14:schemeClr w14:val="tx2"/>
          </w14:solidFill>
        </w14:textFill>
      </w:rPr>
      <w:tblPr/>
      <w:tcPr>
        <w:tcBorders>
          <w:top w:val="single" w:color="5B9BD5" w:themeColor="accent1" w:sz="8" w:space="0"/>
          <w:bottom w:val="single" w:color="5B9BD5" w:themeColor="accent1" w:sz="8" w:space="0"/>
        </w:tcBorders>
      </w:tcPr>
    </w:tblStylePr>
    <w:tblStylePr w:type="firstCol">
      <w:rPr>
        <w:b/>
        <w:bCs/>
      </w:rPr>
    </w:tblStylePr>
    <w:tblStylePr w:type="lastCol">
      <w:rPr>
        <w:b/>
        <w:bCs/>
      </w:rPr>
      <w:tblPr/>
      <w:tcPr>
        <w:tcBorders>
          <w:top w:val="single" w:color="5B9BD5" w:themeColor="accent1" w:sz="8" w:space="0"/>
          <w:bottom w:val="single" w:color="5B9BD5" w:themeColor="accent1" w:sz="8" w:space="0"/>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70">
    <w:name w:val="Medium List 1 Accent 2"/>
    <w:basedOn w:val="88"/>
    <w:semiHidden/>
    <w:unhideWhenUsed/>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71">
    <w:name w:val="Medium List 1 Accent 3"/>
    <w:basedOn w:val="88"/>
    <w:semiHidden/>
    <w:unhideWhenUsed/>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72">
    <w:name w:val="Medium List 1 Accent 4"/>
    <w:basedOn w:val="88"/>
    <w:semiHidden/>
    <w:unhideWhenUsed/>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73">
    <w:name w:val="Medium List 1 Accent 5"/>
    <w:basedOn w:val="88"/>
    <w:semiHidden/>
    <w:unhideWhenUsed/>
    <w:qFormat/>
    <w:uiPriority w:val="65"/>
    <w:rPr>
      <w:color w:val="000000" w:themeColor="text1"/>
      <w14:textFill>
        <w14:solidFill>
          <w14:schemeClr w14:val="tx1"/>
        </w14:solidFill>
      </w14:textFill>
    </w:rPr>
    <w:tblPr>
      <w:tblBorders>
        <w:top w:val="single" w:color="4472C4" w:themeColor="accent5" w:sz="8" w:space="0"/>
        <w:bottom w:val="single" w:color="4472C4" w:themeColor="accent5" w:sz="8" w:space="0"/>
      </w:tblBorders>
    </w:tblPr>
    <w:tblStylePr w:type="firstRow">
      <w:rPr>
        <w:rFonts w:asciiTheme="majorHAnsi" w:hAnsiTheme="majorHAnsi" w:eastAsiaTheme="majorEastAsia" w:cstheme="majorBidi"/>
      </w:rPr>
      <w:tblPr/>
      <w:tcPr>
        <w:tcBorders>
          <w:top w:val="nil"/>
          <w:bottom w:val="single" w:color="4472C4" w:themeColor="accent5" w:sz="8" w:space="0"/>
        </w:tcBorders>
      </w:tcPr>
    </w:tblStylePr>
    <w:tblStylePr w:type="lastRow">
      <w:rPr>
        <w:b/>
        <w:bCs/>
        <w:color w:val="44546A" w:themeColor="text2"/>
        <w14:textFill>
          <w14:solidFill>
            <w14:schemeClr w14:val="tx2"/>
          </w14:solidFill>
        </w14:textFill>
      </w:rPr>
      <w:tblPr/>
      <w:tcPr>
        <w:tcBorders>
          <w:top w:val="single" w:color="4472C4" w:themeColor="accent5" w:sz="8" w:space="0"/>
          <w:bottom w:val="single" w:color="4472C4" w:themeColor="accent5" w:sz="8" w:space="0"/>
        </w:tcBorders>
      </w:tcPr>
    </w:tblStylePr>
    <w:tblStylePr w:type="firstCol">
      <w:rPr>
        <w:b/>
        <w:bCs/>
      </w:rPr>
    </w:tblStylePr>
    <w:tblStylePr w:type="lastCol">
      <w:rPr>
        <w:b/>
        <w:bCs/>
      </w:rPr>
      <w:tblPr/>
      <w:tcPr>
        <w:tcBorders>
          <w:top w:val="single" w:color="4472C4" w:themeColor="accent5" w:sz="8" w:space="0"/>
          <w:bottom w:val="single" w:color="4472C4" w:themeColor="accent5" w:sz="8" w:space="0"/>
        </w:tcBorders>
      </w:tcPr>
    </w:tblStylePr>
    <w:tblStylePr w:type="band1Vert">
      <w:tblPr/>
      <w:tcPr>
        <w:shd w:val="clear" w:color="auto" w:fill="D0DCF0" w:themeFill="accent5" w:themeFillTint="3F"/>
      </w:tcPr>
    </w:tblStylePr>
    <w:tblStylePr w:type="band1Horz">
      <w:tblPr/>
      <w:tcPr>
        <w:shd w:val="clear" w:color="auto" w:fill="D0DCF0" w:themeFill="accent5" w:themeFillTint="3F"/>
      </w:tcPr>
    </w:tblStylePr>
  </w:style>
  <w:style w:type="table" w:styleId="174">
    <w:name w:val="Medium List 1 Accent 6"/>
    <w:basedOn w:val="88"/>
    <w:semiHidden/>
    <w:unhideWhenUsed/>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75">
    <w:name w:val="Medium List 2"/>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76">
    <w:name w:val="Medium List 2 Accent 1"/>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rPr>
        <w:sz w:val="24"/>
        <w:szCs w:val="24"/>
      </w:rPr>
      <w:tblPr/>
      <w:tcPr>
        <w:tcBorders>
          <w:top w:val="nil"/>
          <w:left w:val="nil"/>
          <w:bottom w:val="single" w:color="5B9BD5" w:themeColor="accent1" w:sz="24" w:space="0"/>
          <w:right w:val="nil"/>
          <w:insideH w:val="nil"/>
          <w:insideV w:val="nil"/>
        </w:tcBorders>
        <w:shd w:val="clear" w:color="auto" w:fill="FFFFFF" w:themeFill="background1"/>
      </w:tcPr>
    </w:tblStylePr>
    <w:tblStylePr w:type="lastRow">
      <w:tblPr/>
      <w:tcPr>
        <w:tcBorders>
          <w:top w:val="single" w:color="5B9BD5"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1" w:sz="8" w:space="0"/>
          <w:insideH w:val="nil"/>
          <w:insideV w:val="nil"/>
        </w:tcBorders>
        <w:shd w:val="clear" w:color="auto" w:fill="FFFFFF" w:themeFill="background1"/>
      </w:tcPr>
    </w:tblStylePr>
    <w:tblStylePr w:type="lastCol">
      <w:tblPr/>
      <w:tcPr>
        <w:tcBorders>
          <w:top w:val="nil"/>
          <w:left w:val="single" w:color="5B9BD5"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77">
    <w:name w:val="Medium List 2 Accent 2"/>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78">
    <w:name w:val="Medium List 2 Accent 3"/>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79">
    <w:name w:val="Medium List 2 Accent 4"/>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80">
    <w:name w:val="Medium List 2 Accent 5"/>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rPr>
        <w:sz w:val="24"/>
        <w:szCs w:val="24"/>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tblPr/>
      <w:tcPr>
        <w:tcBorders>
          <w:top w:val="single" w:color="4472C4"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5" w:sz="8" w:space="0"/>
          <w:insideH w:val="nil"/>
          <w:insideV w:val="nil"/>
        </w:tcBorders>
        <w:shd w:val="clear" w:color="auto" w:fill="FFFFFF" w:themeFill="background1"/>
      </w:tcPr>
    </w:tblStylePr>
    <w:tblStylePr w:type="lastCol">
      <w:tblPr/>
      <w:tcPr>
        <w:tcBorders>
          <w:top w:val="nil"/>
          <w:left w:val="single" w:color="4472C4"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top w:val="nil"/>
          <w:bottom w:val="nil"/>
          <w:insideH w:val="nil"/>
          <w:insideV w:val="nil"/>
        </w:tcBorders>
        <w:shd w:val="clear" w:color="auto" w:fill="D0DC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81">
    <w:name w:val="Medium List 2 Accent 6"/>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2">
    <w:name w:val="Medium Grid 1"/>
    <w:basedOn w:val="88"/>
    <w:semiHidden/>
    <w:unhideWhenUsed/>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83">
    <w:name w:val="Medium Grid 1 Accent 1"/>
    <w:basedOn w:val="88"/>
    <w:semiHidden/>
    <w:unhideWhenUsed/>
    <w:qFormat/>
    <w:uiPriority w:val="67"/>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insideV w:val="single" w:color="84B4DF" w:themeColor="accent1" w:themeTint="BF" w:sz="8" w:space="0"/>
      </w:tblBorders>
    </w:tblPr>
    <w:tcPr>
      <w:shd w:val="clear" w:color="auto" w:fill="D6E6F4" w:themeFill="accent1" w:themeFillTint="3F"/>
    </w:tcPr>
    <w:tblStylePr w:type="firstRow">
      <w:rPr>
        <w:b/>
        <w:bCs/>
      </w:rPr>
    </w:tblStylePr>
    <w:tblStylePr w:type="lastRow">
      <w:rPr>
        <w:b/>
        <w:bCs/>
      </w:rPr>
      <w:tblPr/>
      <w:tcPr>
        <w:tcBorders>
          <w:top w:val="single" w:color="84B4DF" w:themeColor="accent1" w:themeTint="BF" w:sz="18" w:space="0"/>
        </w:tcBorders>
      </w:tcPr>
    </w:tblStylePr>
    <w:tblStylePr w:type="firstCol">
      <w:rPr>
        <w:b/>
        <w:bCs/>
      </w:rPr>
    </w:tblStylePr>
    <w:tblStylePr w:type="lastCol">
      <w:rPr>
        <w:b/>
        <w:bCs/>
      </w:r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184">
    <w:name w:val="Medium Grid 1 Accent 2"/>
    <w:basedOn w:val="88"/>
    <w:semiHidden/>
    <w:unhideWhenUsed/>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85">
    <w:name w:val="Medium Grid 1 Accent 3"/>
    <w:basedOn w:val="88"/>
    <w:semiHidden/>
    <w:unhideWhenUsed/>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86">
    <w:name w:val="Medium Grid 1 Accent 4"/>
    <w:basedOn w:val="88"/>
    <w:semiHidden/>
    <w:unhideWhenUsed/>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87">
    <w:name w:val="Medium Grid 1 Accent 5"/>
    <w:basedOn w:val="88"/>
    <w:semiHidden/>
    <w:unhideWhenUsed/>
    <w:qFormat/>
    <w:uiPriority w:val="67"/>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insideV w:val="single" w:color="7295D2" w:themeColor="accent5" w:themeTint="BF" w:sz="8" w:space="0"/>
      </w:tblBorders>
    </w:tblPr>
    <w:tcPr>
      <w:shd w:val="clear" w:color="auto" w:fill="D0DCF0" w:themeFill="accent5" w:themeFillTint="3F"/>
    </w:tcPr>
    <w:tblStylePr w:type="firstRow">
      <w:rPr>
        <w:b/>
        <w:bCs/>
      </w:rPr>
    </w:tblStylePr>
    <w:tblStylePr w:type="lastRow">
      <w:rPr>
        <w:b/>
        <w:bCs/>
      </w:rPr>
      <w:tblPr/>
      <w:tcPr>
        <w:tcBorders>
          <w:top w:val="single" w:color="7295D2" w:themeColor="accent5" w:themeTint="BF" w:sz="18" w:space="0"/>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88">
    <w:name w:val="Medium Grid 1 Accent 6"/>
    <w:basedOn w:val="88"/>
    <w:semiHidden/>
    <w:unhideWhenUsed/>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89">
    <w:name w:val="Medium Grid 2"/>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90">
    <w:name w:val="Medium Grid 2 Accent 1"/>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cPr>
      <w:shd w:val="clear" w:color="auto" w:fill="D6E6F4" w:themeFill="accent1" w:themeFillTint="3F"/>
    </w:tcPr>
    <w:tblStylePr w:type="firstRow">
      <w:rPr>
        <w:b/>
        <w:bCs/>
        <w:color w:val="000000" w:themeColor="text1"/>
        <w14:textFill>
          <w14:solidFill>
            <w14:schemeClr w14:val="tx1"/>
          </w14:solidFill>
        </w14:textFill>
      </w:rPr>
      <w:tblPr/>
      <w:tcPr>
        <w:shd w:val="clear" w:color="auto" w:fill="EEF5FA"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DEA" w:themeFill="accent1" w:themeFillTint="7F"/>
      </w:tcPr>
    </w:tblStylePr>
    <w:tblStylePr w:type="band1Horz">
      <w:tblPr/>
      <w:tcPr>
        <w:tcBorders>
          <w:insideH w:val="single" w:sz="6" w:space="0"/>
          <w:insideV w:val="single" w:sz="6" w:space="0"/>
        </w:tcBorders>
        <w:shd w:val="clear" w:color="auto" w:fill="ADCDEA" w:themeFill="accent1" w:themeFillTint="7F"/>
      </w:tcPr>
    </w:tblStylePr>
    <w:tblStylePr w:type="nwCell">
      <w:tblPr/>
      <w:tcPr>
        <w:shd w:val="clear" w:color="auto" w:fill="FFFFFF" w:themeFill="background1"/>
      </w:tcPr>
    </w:tblStylePr>
  </w:style>
  <w:style w:type="table" w:styleId="191">
    <w:name w:val="Medium Grid 2 Accent 2"/>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92">
    <w:name w:val="Medium Grid 2 Accent 3"/>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93">
    <w:name w:val="Medium Grid 2 Accent 4"/>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94">
    <w:name w:val="Medium Grid 2 Accent 5"/>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cPr>
      <w:shd w:val="clear" w:color="auto" w:fill="D0DCF0" w:themeFill="accent5" w:themeFillTint="3F"/>
    </w:tcPr>
    <w:tblStylePr w:type="firstRow">
      <w:rPr>
        <w:b/>
        <w:bCs/>
        <w:color w:val="000000" w:themeColor="text1"/>
        <w14:textFill>
          <w14:solidFill>
            <w14:schemeClr w14:val="tx1"/>
          </w14:solidFill>
        </w14:textFill>
      </w:rPr>
      <w:tblPr/>
      <w:tcPr>
        <w:shd w:val="clear" w:color="auto" w:fill="ECF1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insideV w:val="single" w:sz="6" w:space="0"/>
        </w:tcBorders>
        <w:shd w:val="clear" w:color="auto" w:fill="A1B8E1" w:themeFill="accent5" w:themeFillTint="7F"/>
      </w:tcPr>
    </w:tblStylePr>
    <w:tblStylePr w:type="nwCell">
      <w:tblPr/>
      <w:tcPr>
        <w:shd w:val="clear" w:color="auto" w:fill="FFFFFF" w:themeFill="background1"/>
      </w:tcPr>
    </w:tblStylePr>
  </w:style>
  <w:style w:type="table" w:styleId="195">
    <w:name w:val="Medium Grid 2 Accent 6"/>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96">
    <w:name w:val="Medium Grid 3"/>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97">
    <w:name w:val="Medium Grid 3 Accent 1"/>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1" w:themeFillTint="7F"/>
      </w:tcPr>
    </w:tblStylePr>
  </w:style>
  <w:style w:type="table" w:styleId="198">
    <w:name w:val="Medium Grid 3 Accent 2"/>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99">
    <w:name w:val="Medium Grid 3 Accent 3"/>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200">
    <w:name w:val="Medium Grid 3 Accent 4"/>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201">
    <w:name w:val="Medium Grid 3 Accent 5"/>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DC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5" w:themeFillTint="7F"/>
      </w:tcPr>
    </w:tblStylePr>
  </w:style>
  <w:style w:type="table" w:styleId="202">
    <w:name w:val="Medium Grid 3 Accent 6"/>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203">
    <w:name w:val="Dark List"/>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204">
    <w:name w:val="Dark List Accent 1"/>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5B9BD5"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1" w:themeFillShade="BF"/>
      </w:tcPr>
    </w:tblStylePr>
    <w:tblStylePr w:type="band1Vert">
      <w:tblPr/>
      <w:tcPr>
        <w:tcBorders>
          <w:top w:val="nil"/>
          <w:left w:val="nil"/>
          <w:bottom w:val="nil"/>
          <w:right w:val="nil"/>
          <w:insideH w:val="nil"/>
          <w:insideV w:val="nil"/>
        </w:tcBorders>
        <w:shd w:val="clear" w:color="auto" w:fill="2E75B5" w:themeFill="accent1" w:themeFillShade="BF"/>
      </w:tcPr>
    </w:tblStylePr>
    <w:tblStylePr w:type="band1Horz">
      <w:tblPr/>
      <w:tcPr>
        <w:tcBorders>
          <w:top w:val="nil"/>
          <w:left w:val="nil"/>
          <w:bottom w:val="nil"/>
          <w:right w:val="nil"/>
          <w:insideH w:val="nil"/>
          <w:insideV w:val="nil"/>
        </w:tcBorders>
        <w:shd w:val="clear" w:color="auto" w:fill="2E75B5" w:themeFill="accent1" w:themeFillShade="BF"/>
      </w:tcPr>
    </w:tblStylePr>
  </w:style>
  <w:style w:type="table" w:styleId="205">
    <w:name w:val="Dark List Accent 2"/>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206">
    <w:name w:val="Dark List Accent 3"/>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207">
    <w:name w:val="Dark List Accent 4"/>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208">
    <w:name w:val="Dark List Accent 5"/>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4472C4"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209">
    <w:name w:val="Dark List Accent 6"/>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210">
    <w:name w:val="Colorful Shading"/>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1">
    <w:name w:val="Colorful Shading Accent 1"/>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5B9BD5" w:themeColor="accent1" w:sz="4" w:space="0"/>
        <w:bottom w:val="single" w:color="5B9BD5" w:themeColor="accent1" w:sz="4" w:space="0"/>
        <w:right w:val="single" w:color="5B9BD5" w:themeColor="accent1" w:sz="4" w:space="0"/>
        <w:insideH w:val="single" w:color="FFFFFF" w:themeColor="background1" w:sz="4" w:space="0"/>
        <w:insideV w:val="single" w:color="FFFFFF" w:themeColor="background1" w:sz="4" w:space="0"/>
      </w:tblBorders>
    </w:tblPr>
    <w:tcPr>
      <w:shd w:val="clear" w:color="auto" w:fill="EEF5FA"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DEA"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2">
    <w:name w:val="Colorful Shading Accent 2"/>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3">
    <w:name w:val="Colorful Shading Accent 3"/>
    <w:basedOn w:val="88"/>
    <w:semiHidden/>
    <w:unhideWhenUsed/>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214">
    <w:name w:val="Colorful Shading Accent 4"/>
    <w:basedOn w:val="88"/>
    <w:semiHidden/>
    <w:unhideWhenUsed/>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5">
    <w:name w:val="Colorful Shading Accent 5"/>
    <w:basedOn w:val="88"/>
    <w:semiHidden/>
    <w:unhideWhenUsed/>
    <w:qFormat/>
    <w:uiPriority w:val="71"/>
    <w:rPr>
      <w:color w:val="000000" w:themeColor="text1"/>
      <w14:textFill>
        <w14:solidFill>
          <w14:schemeClr w14:val="tx1"/>
        </w14:solidFill>
      </w14:textFill>
    </w:rPr>
    <w:tblPr>
      <w:tblBorders>
        <w:top w:val="single" w:color="70AD47" w:themeColor="accent6" w:sz="24" w:space="0"/>
        <w:left w:val="single" w:color="4472C4" w:themeColor="accent5" w:sz="4" w:space="0"/>
        <w:bottom w:val="single" w:color="4472C4" w:themeColor="accent5" w:sz="4" w:space="0"/>
        <w:right w:val="single" w:color="4472C4" w:themeColor="accent5" w:sz="4" w:space="0"/>
        <w:insideH w:val="single" w:color="FFFFFF" w:themeColor="background1" w:sz="4" w:space="0"/>
        <w:insideV w:val="single" w:color="FFFFFF" w:themeColor="background1" w:sz="4" w:space="0"/>
      </w:tblBorders>
    </w:tblPr>
    <w:tcPr>
      <w:shd w:val="clear" w:color="auto" w:fill="ECF1F9"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6">
    <w:name w:val="Colorful Shading Accent 6"/>
    <w:basedOn w:val="88"/>
    <w:semiHidden/>
    <w:unhideWhenUsed/>
    <w:qFormat/>
    <w:uiPriority w:val="71"/>
    <w:rPr>
      <w:color w:val="000000" w:themeColor="text1"/>
      <w14:textFill>
        <w14:solidFill>
          <w14:schemeClr w14:val="tx1"/>
        </w14:solidFill>
      </w14:textFill>
    </w:rPr>
    <w:tblPr>
      <w:tblBorders>
        <w:top w:val="single" w:color="4472C4"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Pr>
    <w:tcPr>
      <w:shd w:val="clear" w:color="auto" w:fill="F0F7EC" w:themeFill="accent6" w:themeFillTint="19"/>
    </w:tcPr>
    <w:tblStylePr w:type="firstRow">
      <w:rPr>
        <w:b/>
        <w:bCs/>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7">
    <w:name w:val="Colorful List"/>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218">
    <w:name w:val="Colorful List Accent 1"/>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EF5FA"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19">
    <w:name w:val="Colorful List Accent 2"/>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220">
    <w:name w:val="Colorful List Accent 3"/>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21">
    <w:name w:val="Colorful List Accent 4"/>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22">
    <w:name w:val="Colorful List Accent 5"/>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CF1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5" w:themeFillTint="3F"/>
      </w:tcPr>
    </w:tblStylePr>
    <w:tblStylePr w:type="band1Horz">
      <w:tblPr/>
      <w:tcPr>
        <w:shd w:val="clear" w:color="auto" w:fill="D9E2F3" w:themeFill="accent5" w:themeFillTint="33"/>
      </w:tcPr>
    </w:tblStylePr>
  </w:style>
  <w:style w:type="table" w:styleId="223">
    <w:name w:val="Colorful List Accent 6"/>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25AA0" w:themeFill="accent5" w:themeFillShade="CC"/>
      </w:tcPr>
    </w:tblStylePr>
    <w:tblStylePr w:type="lastRow">
      <w:rPr>
        <w:b/>
        <w:bCs/>
        <w:color w:val="335AA1"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24">
    <w:name w:val="Colorful Grid"/>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225">
    <w:name w:val="Colorful Grid Accent 1"/>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14:textFill>
          <w14:solidFill>
            <w14:schemeClr w14:val="tx1"/>
          </w14:solidFill>
        </w14:textFill>
      </w:rPr>
      <w:tblPr/>
      <w:tcPr>
        <w:shd w:val="clear" w:color="auto" w:fill="BDD6EE" w:themeFill="accent1" w:themeFillTint="66"/>
      </w:tcPr>
    </w:tblStylePr>
    <w:tblStylePr w:type="firstCol">
      <w:rPr>
        <w:color w:val="FFFFFF" w:themeColor="background1"/>
        <w14:textFill>
          <w14:solidFill>
            <w14:schemeClr w14:val="bg1"/>
          </w14:solidFill>
        </w14:textFill>
      </w:rPr>
      <w:tblPr/>
      <w:tcPr>
        <w:shd w:val="clear" w:color="auto" w:fill="2E75B5" w:themeFill="accent1" w:themeFillShade="BF"/>
      </w:tcPr>
    </w:tblStylePr>
    <w:tblStylePr w:type="lastCol">
      <w:rPr>
        <w:color w:val="FFFFFF" w:themeColor="background1"/>
        <w14:textFill>
          <w14:solidFill>
            <w14:schemeClr w14:val="bg1"/>
          </w14:solidFill>
        </w14:textFill>
      </w:rPr>
      <w:tblPr/>
      <w:tcPr>
        <w:shd w:val="clear" w:color="auto" w:fill="2E75B5" w:themeFill="accent1" w:themeFillShade="BF"/>
      </w:tc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226">
    <w:name w:val="Colorful Grid Accent 2"/>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27">
    <w:name w:val="Colorful Grid Accent 3"/>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28">
    <w:name w:val="Colorful Grid Accent 4"/>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29">
    <w:name w:val="Colorful Grid Accent 5"/>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14:textFill>
          <w14:solidFill>
            <w14:schemeClr w14:val="tx1"/>
          </w14:solidFill>
        </w14:textFill>
      </w:rPr>
      <w:tblPr/>
      <w:tcPr>
        <w:shd w:val="clear" w:color="auto" w:fill="B4C6E7" w:themeFill="accent5" w:themeFillTint="66"/>
      </w:tcPr>
    </w:tblStylePr>
    <w:tblStylePr w:type="firstCol">
      <w:rPr>
        <w:color w:val="FFFFFF" w:themeColor="background1"/>
        <w14:textFill>
          <w14:solidFill>
            <w14:schemeClr w14:val="bg1"/>
          </w14:solidFill>
        </w14:textFill>
      </w:rPr>
      <w:tblPr/>
      <w:tcPr>
        <w:shd w:val="clear" w:color="auto" w:fill="2F5496" w:themeFill="accent5" w:themeFillShade="BF"/>
      </w:tcPr>
    </w:tblStylePr>
    <w:tblStylePr w:type="lastCol">
      <w:rPr>
        <w:color w:val="FFFFFF" w:themeColor="background1"/>
        <w14:textFill>
          <w14:solidFill>
            <w14:schemeClr w14:val="bg1"/>
          </w14:solidFill>
        </w14:textFill>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230">
    <w:name w:val="Colorful Grid Accent 6"/>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32">
    <w:name w:val="Strong"/>
    <w:basedOn w:val="231"/>
    <w:qFormat/>
    <w:uiPriority w:val="0"/>
    <w:rPr>
      <w:b/>
      <w:bCs/>
    </w:rPr>
  </w:style>
  <w:style w:type="character" w:styleId="233">
    <w:name w:val="endnote reference"/>
    <w:basedOn w:val="231"/>
    <w:semiHidden/>
    <w:unhideWhenUsed/>
    <w:qFormat/>
    <w:uiPriority w:val="99"/>
    <w:rPr>
      <w:vertAlign w:val="superscript"/>
    </w:rPr>
  </w:style>
  <w:style w:type="character" w:styleId="234">
    <w:name w:val="page number"/>
    <w:basedOn w:val="231"/>
    <w:qFormat/>
    <w:uiPriority w:val="0"/>
    <w:rPr>
      <w:rFonts w:ascii="Times New Roman" w:hAnsi="Times New Roman" w:eastAsia="宋体"/>
      <w:sz w:val="18"/>
    </w:rPr>
  </w:style>
  <w:style w:type="character" w:styleId="235">
    <w:name w:val="FollowedHyperlink"/>
    <w:basedOn w:val="231"/>
    <w:unhideWhenUsed/>
    <w:qFormat/>
    <w:uiPriority w:val="99"/>
    <w:rPr>
      <w:color w:val="954F72" w:themeColor="followedHyperlink"/>
      <w:u w:val="single"/>
      <w14:textFill>
        <w14:solidFill>
          <w14:schemeClr w14:val="folHlink"/>
        </w14:solidFill>
      </w14:textFill>
    </w:rPr>
  </w:style>
  <w:style w:type="character" w:styleId="236">
    <w:name w:val="Emphasis"/>
    <w:basedOn w:val="231"/>
    <w:qFormat/>
    <w:uiPriority w:val="0"/>
    <w:rPr>
      <w:i/>
      <w:iCs/>
    </w:rPr>
  </w:style>
  <w:style w:type="character" w:styleId="237">
    <w:name w:val="line number"/>
    <w:basedOn w:val="231"/>
    <w:semiHidden/>
    <w:unhideWhenUsed/>
    <w:qFormat/>
    <w:uiPriority w:val="99"/>
  </w:style>
  <w:style w:type="character" w:styleId="238">
    <w:name w:val="HTML Definition"/>
    <w:basedOn w:val="231"/>
    <w:qFormat/>
    <w:uiPriority w:val="99"/>
    <w:rPr>
      <w:i/>
      <w:iCs/>
    </w:rPr>
  </w:style>
  <w:style w:type="character" w:styleId="239">
    <w:name w:val="HTML Typewriter"/>
    <w:basedOn w:val="231"/>
    <w:semiHidden/>
    <w:qFormat/>
    <w:uiPriority w:val="0"/>
    <w:rPr>
      <w:rFonts w:ascii="Courier New" w:hAnsi="Courier New"/>
      <w:sz w:val="20"/>
      <w:szCs w:val="20"/>
    </w:rPr>
  </w:style>
  <w:style w:type="character" w:styleId="240">
    <w:name w:val="HTML Acronym"/>
    <w:basedOn w:val="231"/>
    <w:semiHidden/>
    <w:qFormat/>
    <w:uiPriority w:val="0"/>
  </w:style>
  <w:style w:type="character" w:styleId="241">
    <w:name w:val="HTML Variable"/>
    <w:basedOn w:val="231"/>
    <w:semiHidden/>
    <w:qFormat/>
    <w:uiPriority w:val="0"/>
    <w:rPr>
      <w:i/>
      <w:iCs/>
    </w:rPr>
  </w:style>
  <w:style w:type="character" w:styleId="242">
    <w:name w:val="Hyperlink"/>
    <w:qFormat/>
    <w:uiPriority w:val="99"/>
    <w:rPr>
      <w:rFonts w:ascii="Times New Roman" w:hAnsi="Times New Roman" w:eastAsia="宋体"/>
      <w:color w:val="auto"/>
      <w:spacing w:val="0"/>
      <w:w w:val="100"/>
      <w:position w:val="0"/>
      <w:sz w:val="21"/>
      <w:u w:val="none"/>
      <w:vertAlign w:val="baseline"/>
    </w:rPr>
  </w:style>
  <w:style w:type="character" w:styleId="243">
    <w:name w:val="HTML Code"/>
    <w:basedOn w:val="231"/>
    <w:qFormat/>
    <w:uiPriority w:val="99"/>
    <w:rPr>
      <w:rFonts w:ascii="Courier New" w:hAnsi="Courier New"/>
      <w:sz w:val="20"/>
      <w:szCs w:val="20"/>
    </w:rPr>
  </w:style>
  <w:style w:type="character" w:styleId="244">
    <w:name w:val="annotation reference"/>
    <w:basedOn w:val="231"/>
    <w:semiHidden/>
    <w:unhideWhenUsed/>
    <w:qFormat/>
    <w:uiPriority w:val="0"/>
    <w:rPr>
      <w:sz w:val="21"/>
      <w:szCs w:val="21"/>
    </w:rPr>
  </w:style>
  <w:style w:type="character" w:styleId="245">
    <w:name w:val="HTML Cite"/>
    <w:basedOn w:val="231"/>
    <w:qFormat/>
    <w:uiPriority w:val="99"/>
    <w:rPr>
      <w:i/>
      <w:iCs/>
    </w:rPr>
  </w:style>
  <w:style w:type="character" w:styleId="246">
    <w:name w:val="footnote reference"/>
    <w:basedOn w:val="231"/>
    <w:semiHidden/>
    <w:qFormat/>
    <w:uiPriority w:val="0"/>
    <w:rPr>
      <w:vertAlign w:val="superscript"/>
    </w:rPr>
  </w:style>
  <w:style w:type="character" w:styleId="247">
    <w:name w:val="HTML Keyboard"/>
    <w:basedOn w:val="231"/>
    <w:qFormat/>
    <w:uiPriority w:val="99"/>
    <w:rPr>
      <w:rFonts w:ascii="Courier New" w:hAnsi="Courier New"/>
      <w:sz w:val="20"/>
      <w:szCs w:val="20"/>
    </w:rPr>
  </w:style>
  <w:style w:type="character" w:styleId="248">
    <w:name w:val="HTML Sample"/>
    <w:basedOn w:val="231"/>
    <w:qFormat/>
    <w:uiPriority w:val="99"/>
    <w:rPr>
      <w:rFonts w:ascii="Courier New" w:hAnsi="Courier New"/>
    </w:rPr>
  </w:style>
  <w:style w:type="paragraph" w:customStyle="1" w:styleId="249">
    <w:name w:val="标准标志HB"/>
    <w:next w:val="1"/>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250">
    <w:name w:val="标准称谓GB"/>
    <w:next w:val="1"/>
    <w:qFormat/>
    <w:uiPriority w:val="0"/>
    <w:pPr>
      <w:widowControl w:val="0"/>
      <w:kinsoku w:val="0"/>
      <w:overflowPunct w:val="0"/>
      <w:autoSpaceDE w:val="0"/>
      <w:autoSpaceDN w:val="0"/>
      <w:spacing w:line="0" w:lineRule="atLeast"/>
      <w:jc w:val="distribute"/>
    </w:pPr>
    <w:rPr>
      <w:rFonts w:hint="eastAsia" w:ascii="宋体" w:hAnsi="宋体" w:eastAsia="宋体" w:cs="宋体"/>
      <w:b/>
      <w:bCs/>
      <w:w w:val="135"/>
      <w:sz w:val="52"/>
      <w:lang w:val="en-US" w:eastAsia="zh-CN" w:bidi="ar-SA"/>
    </w:rPr>
  </w:style>
  <w:style w:type="paragraph" w:customStyle="1" w:styleId="251">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252">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253">
    <w:name w:val="标准书眉_奇数页"/>
    <w:next w:val="1"/>
    <w:qFormat/>
    <w:uiPriority w:val="0"/>
    <w:pPr>
      <w:tabs>
        <w:tab w:val="center" w:pos="4154"/>
        <w:tab w:val="right" w:pos="8306"/>
      </w:tabs>
      <w:spacing w:after="120"/>
      <w:jc w:val="right"/>
    </w:pPr>
    <w:rPr>
      <w:rFonts w:ascii="黑体" w:hAnsi="Times New Roman" w:eastAsia="黑体" w:cs="Times New Roman"/>
      <w:sz w:val="21"/>
      <w:lang w:val="en-US" w:eastAsia="zh-CN" w:bidi="ar-SA"/>
    </w:rPr>
  </w:style>
  <w:style w:type="paragraph" w:customStyle="1" w:styleId="254">
    <w:name w:val="标准书眉_偶数页"/>
    <w:basedOn w:val="253"/>
    <w:next w:val="1"/>
    <w:qFormat/>
    <w:uiPriority w:val="0"/>
    <w:pPr>
      <w:jc w:val="left"/>
    </w:pPr>
  </w:style>
  <w:style w:type="paragraph" w:customStyle="1" w:styleId="255">
    <w:name w:val="标准书眉一"/>
    <w:qFormat/>
    <w:uiPriority w:val="0"/>
    <w:pPr>
      <w:jc w:val="both"/>
    </w:pPr>
    <w:rPr>
      <w:rFonts w:ascii="Times New Roman" w:hAnsi="Times New Roman" w:eastAsia="宋体" w:cs="Times New Roman"/>
      <w:lang w:val="en-US" w:eastAsia="zh-CN" w:bidi="ar-SA"/>
    </w:rPr>
  </w:style>
  <w:style w:type="paragraph" w:customStyle="1" w:styleId="256">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57">
    <w:name w:val="参考文献、索引标题"/>
    <w:basedOn w:val="256"/>
    <w:next w:val="1"/>
    <w:qFormat/>
    <w:uiPriority w:val="0"/>
    <w:pPr>
      <w:spacing w:after="200"/>
    </w:pPr>
    <w:rPr>
      <w:sz w:val="21"/>
    </w:rPr>
  </w:style>
  <w:style w:type="paragraph" w:customStyle="1" w:styleId="258">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59">
    <w:name w:val="章标题"/>
    <w:next w:val="258"/>
    <w:qFormat/>
    <w:uiPriority w:val="0"/>
    <w:pPr>
      <w:numPr>
        <w:ilvl w:val="0"/>
        <w:numId w:val="1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60">
    <w:name w:val="一级条标题"/>
    <w:next w:val="1"/>
    <w:qFormat/>
    <w:uiPriority w:val="0"/>
    <w:pPr>
      <w:numPr>
        <w:ilvl w:val="1"/>
        <w:numId w:val="1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61">
    <w:name w:val="二级条标题"/>
    <w:basedOn w:val="260"/>
    <w:next w:val="258"/>
    <w:qFormat/>
    <w:uiPriority w:val="0"/>
    <w:pPr>
      <w:numPr>
        <w:ilvl w:val="2"/>
      </w:numPr>
      <w:spacing w:before="50" w:after="50"/>
      <w:outlineLvl w:val="7"/>
    </w:pPr>
  </w:style>
  <w:style w:type="character" w:customStyle="1" w:styleId="262">
    <w:name w:val="发布_1"/>
    <w:basedOn w:val="231"/>
    <w:qFormat/>
    <w:uiPriority w:val="0"/>
    <w:rPr>
      <w:rFonts w:ascii="黑体" w:eastAsia="黑体"/>
      <w:spacing w:val="22"/>
      <w:w w:val="100"/>
      <w:position w:val="3"/>
      <w:sz w:val="28"/>
    </w:rPr>
  </w:style>
  <w:style w:type="paragraph" w:customStyle="1" w:styleId="263">
    <w:name w:val="发布部门GB"/>
    <w:next w:val="258"/>
    <w:qFormat/>
    <w:uiPriority w:val="0"/>
    <w:pPr>
      <w:spacing w:line="360" w:lineRule="exact"/>
      <w:jc w:val="center"/>
    </w:pPr>
    <w:rPr>
      <w:rFonts w:hint="eastAsia" w:ascii="宋体" w:hAnsi="宋体" w:eastAsia="宋体" w:cs="宋体"/>
      <w:b/>
      <w:spacing w:val="30"/>
      <w:w w:val="95"/>
      <w:sz w:val="36"/>
      <w:lang w:val="en-US" w:eastAsia="zh-CN" w:bidi="ar-SA"/>
    </w:rPr>
  </w:style>
  <w:style w:type="paragraph" w:customStyle="1" w:styleId="264">
    <w:name w:val="发布日期"/>
    <w:qFormat/>
    <w:uiPriority w:val="0"/>
    <w:rPr>
      <w:rFonts w:ascii="黑体" w:hAnsi="黑体" w:eastAsia="黑体" w:cs="Times New Roman"/>
      <w:sz w:val="28"/>
      <w:lang w:val="en-US" w:eastAsia="zh-CN" w:bidi="ar-SA"/>
    </w:rPr>
  </w:style>
  <w:style w:type="paragraph" w:customStyle="1" w:styleId="265">
    <w:name w:val="封面标准号1"/>
    <w:qFormat/>
    <w:uiPriority w:val="0"/>
    <w:pPr>
      <w:widowControl w:val="0"/>
      <w:kinsoku w:val="0"/>
      <w:overflowPunct w:val="0"/>
      <w:autoSpaceDE w:val="0"/>
      <w:autoSpaceDN w:val="0"/>
      <w:spacing w:line="360" w:lineRule="exact"/>
      <w:jc w:val="right"/>
      <w:textAlignment w:val="center"/>
    </w:pPr>
    <w:rPr>
      <w:rFonts w:ascii="黑体" w:hAnsi="Times New Roman" w:eastAsia="黑体" w:cs="Times New Roman"/>
      <w:sz w:val="28"/>
      <w:lang w:val="en-US" w:eastAsia="zh-CN" w:bidi="ar-SA"/>
    </w:rPr>
  </w:style>
  <w:style w:type="paragraph" w:customStyle="1" w:styleId="266">
    <w:name w:val="封面标准号2"/>
    <w:basedOn w:val="265"/>
    <w:qFormat/>
    <w:uiPriority w:val="0"/>
    <w:pPr>
      <w:adjustRightInd w:val="0"/>
      <w:spacing w:before="357" w:line="280" w:lineRule="exact"/>
    </w:pPr>
  </w:style>
  <w:style w:type="paragraph" w:customStyle="1" w:styleId="267">
    <w:name w:val="封面标准代替信息"/>
    <w:basedOn w:val="266"/>
    <w:qFormat/>
    <w:uiPriority w:val="0"/>
    <w:pPr>
      <w:spacing w:before="0" w:line="360" w:lineRule="exact"/>
    </w:pPr>
    <w:rPr>
      <w:rFonts w:ascii="宋体" w:eastAsiaTheme="minorEastAsia"/>
      <w:sz w:val="21"/>
    </w:rPr>
  </w:style>
  <w:style w:type="paragraph" w:customStyle="1" w:styleId="268">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6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70">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271">
    <w:name w:val="封面标准英文名称"/>
    <w:qFormat/>
    <w:uiPriority w:val="0"/>
    <w:pPr>
      <w:widowControl w:val="0"/>
      <w:spacing w:before="330" w:line="400" w:lineRule="exact"/>
      <w:jc w:val="center"/>
    </w:pPr>
    <w:rPr>
      <w:rFonts w:ascii="黑体" w:hAnsi="Times New Roman" w:eastAsia="黑体" w:cs="Times New Roman"/>
      <w:sz w:val="28"/>
      <w:lang w:val="en-US" w:eastAsia="zh-CN" w:bidi="ar-SA"/>
    </w:rPr>
  </w:style>
  <w:style w:type="paragraph" w:customStyle="1" w:styleId="272">
    <w:name w:val="封面一致性程度标识"/>
    <w:qFormat/>
    <w:uiPriority w:val="0"/>
    <w:pPr>
      <w:spacing w:before="400" w:line="400" w:lineRule="exact"/>
      <w:jc w:val="center"/>
    </w:pPr>
    <w:rPr>
      <w:rFonts w:ascii="宋体" w:hAnsi="Times New Roman" w:eastAsia="宋体" w:cs="Times New Roman"/>
      <w:sz w:val="28"/>
      <w:lang w:val="en-US" w:eastAsia="zh-CN" w:bidi="ar-SA"/>
    </w:rPr>
  </w:style>
  <w:style w:type="paragraph" w:customStyle="1" w:styleId="273">
    <w:name w:val="封面正文"/>
    <w:qFormat/>
    <w:uiPriority w:val="0"/>
    <w:pPr>
      <w:jc w:val="both"/>
    </w:pPr>
    <w:rPr>
      <w:rFonts w:ascii="Times New Roman" w:hAnsi="Times New Roman" w:eastAsia="宋体" w:cs="Times New Roman"/>
      <w:lang w:val="en-US" w:eastAsia="zh-CN" w:bidi="ar-SA"/>
    </w:rPr>
  </w:style>
  <w:style w:type="paragraph" w:customStyle="1" w:styleId="274">
    <w:name w:val="附录标识"/>
    <w:basedOn w:val="256"/>
    <w:next w:val="1"/>
    <w:qFormat/>
    <w:uiPriority w:val="0"/>
    <w:pPr>
      <w:keepNext/>
      <w:numPr>
        <w:ilvl w:val="0"/>
        <w:numId w:val="12"/>
      </w:numPr>
      <w:tabs>
        <w:tab w:val="left" w:pos="6405"/>
      </w:tabs>
      <w:spacing w:after="280"/>
    </w:pPr>
  </w:style>
  <w:style w:type="paragraph" w:customStyle="1" w:styleId="275">
    <w:name w:val="附录表标题"/>
    <w:basedOn w:val="1"/>
    <w:next w:val="1"/>
    <w:qFormat/>
    <w:uiPriority w:val="0"/>
    <w:pPr>
      <w:numPr>
        <w:ilvl w:val="1"/>
        <w:numId w:val="13"/>
      </w:numPr>
      <w:spacing w:before="50" w:beforeLines="50" w:after="50" w:afterLines="50"/>
      <w:jc w:val="center"/>
    </w:pPr>
    <w:rPr>
      <w:rFonts w:ascii="黑体" w:eastAsia="黑体"/>
      <w:szCs w:val="21"/>
    </w:rPr>
  </w:style>
  <w:style w:type="paragraph" w:customStyle="1" w:styleId="276">
    <w:name w:val="附录章标题"/>
    <w:next w:val="258"/>
    <w:qFormat/>
    <w:uiPriority w:val="0"/>
    <w:pPr>
      <w:numPr>
        <w:ilvl w:val="1"/>
        <w:numId w:val="12"/>
      </w:numPr>
      <w:wordWrap w:val="0"/>
      <w:overflowPunct w:val="0"/>
      <w:autoSpaceDE w:val="0"/>
      <w:spacing w:before="50" w:beforeLines="50" w:after="50" w:afterLines="50"/>
      <w:jc w:val="both"/>
      <w:textAlignment w:val="baseline"/>
      <w:outlineLvl w:val="2"/>
    </w:pPr>
    <w:rPr>
      <w:rFonts w:ascii="黑体" w:hAnsi="Times New Roman" w:eastAsia="黑体" w:cs="Times New Roman"/>
      <w:kern w:val="21"/>
      <w:sz w:val="21"/>
      <w:lang w:val="en-US" w:eastAsia="zh-CN" w:bidi="ar-SA"/>
    </w:rPr>
  </w:style>
  <w:style w:type="paragraph" w:customStyle="1" w:styleId="277">
    <w:name w:val="附录一级条标题"/>
    <w:basedOn w:val="276"/>
    <w:next w:val="258"/>
    <w:qFormat/>
    <w:uiPriority w:val="0"/>
    <w:pPr>
      <w:numPr>
        <w:ilvl w:val="2"/>
      </w:numPr>
      <w:autoSpaceDN w:val="0"/>
      <w:outlineLvl w:val="7"/>
    </w:pPr>
  </w:style>
  <w:style w:type="paragraph" w:customStyle="1" w:styleId="278">
    <w:name w:val="附录二级条标题"/>
    <w:basedOn w:val="1"/>
    <w:next w:val="258"/>
    <w:qFormat/>
    <w:uiPriority w:val="0"/>
    <w:pPr>
      <w:widowControl/>
      <w:numPr>
        <w:ilvl w:val="3"/>
        <w:numId w:val="12"/>
      </w:numPr>
      <w:wordWrap w:val="0"/>
      <w:overflowPunct w:val="0"/>
      <w:autoSpaceDE w:val="0"/>
      <w:autoSpaceDN w:val="0"/>
      <w:spacing w:before="50" w:beforeLines="50" w:after="50" w:afterLines="50"/>
      <w:textAlignment w:val="baseline"/>
      <w:outlineLvl w:val="7"/>
    </w:pPr>
    <w:rPr>
      <w:rFonts w:ascii="黑体" w:eastAsia="黑体"/>
      <w:kern w:val="21"/>
      <w:szCs w:val="20"/>
    </w:rPr>
  </w:style>
  <w:style w:type="paragraph" w:customStyle="1" w:styleId="279">
    <w:name w:val="附录三级条标题"/>
    <w:basedOn w:val="278"/>
    <w:next w:val="258"/>
    <w:qFormat/>
    <w:uiPriority w:val="0"/>
    <w:pPr>
      <w:numPr>
        <w:ilvl w:val="4"/>
      </w:numPr>
    </w:pPr>
  </w:style>
  <w:style w:type="paragraph" w:customStyle="1" w:styleId="280">
    <w:name w:val="附录四级条标题"/>
    <w:basedOn w:val="279"/>
    <w:next w:val="258"/>
    <w:qFormat/>
    <w:uiPriority w:val="0"/>
    <w:pPr>
      <w:numPr>
        <w:ilvl w:val="5"/>
      </w:numPr>
    </w:pPr>
  </w:style>
  <w:style w:type="paragraph" w:customStyle="1" w:styleId="281">
    <w:name w:val="附录图标题"/>
    <w:basedOn w:val="1"/>
    <w:next w:val="258"/>
    <w:qFormat/>
    <w:uiPriority w:val="0"/>
    <w:pPr>
      <w:numPr>
        <w:ilvl w:val="1"/>
        <w:numId w:val="14"/>
      </w:numPr>
      <w:spacing w:before="50" w:beforeLines="50" w:after="50" w:afterLines="50"/>
      <w:jc w:val="center"/>
    </w:pPr>
    <w:rPr>
      <w:rFonts w:ascii="黑体" w:eastAsia="黑体"/>
      <w:szCs w:val="21"/>
    </w:rPr>
  </w:style>
  <w:style w:type="paragraph" w:customStyle="1" w:styleId="282">
    <w:name w:val="附录五级条标题"/>
    <w:basedOn w:val="280"/>
    <w:next w:val="258"/>
    <w:qFormat/>
    <w:uiPriority w:val="0"/>
    <w:pPr>
      <w:numPr>
        <w:ilvl w:val="6"/>
      </w:numPr>
      <w:outlineLvl w:val="6"/>
    </w:pPr>
  </w:style>
  <w:style w:type="character" w:customStyle="1" w:styleId="283">
    <w:name w:val="个人答复风格"/>
    <w:basedOn w:val="231"/>
    <w:qFormat/>
    <w:uiPriority w:val="0"/>
    <w:rPr>
      <w:rFonts w:ascii="Arial" w:hAnsi="Arial" w:eastAsia="宋体" w:cs="Arial"/>
      <w:color w:val="auto"/>
      <w:sz w:val="20"/>
    </w:rPr>
  </w:style>
  <w:style w:type="character" w:customStyle="1" w:styleId="284">
    <w:name w:val="个人撰写风格"/>
    <w:basedOn w:val="231"/>
    <w:qFormat/>
    <w:uiPriority w:val="0"/>
    <w:rPr>
      <w:rFonts w:ascii="Arial" w:hAnsi="Arial" w:eastAsia="宋体" w:cs="Arial"/>
      <w:color w:val="auto"/>
      <w:sz w:val="20"/>
    </w:rPr>
  </w:style>
  <w:style w:type="paragraph" w:customStyle="1" w:styleId="285">
    <w:name w:val="列项——"/>
    <w:qFormat/>
    <w:uiPriority w:val="0"/>
    <w:pPr>
      <w:widowControl w:val="0"/>
      <w:numPr>
        <w:ilvl w:val="0"/>
        <w:numId w:val="15"/>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286">
    <w:name w:val="目次、标准名称标题"/>
    <w:basedOn w:val="256"/>
    <w:next w:val="258"/>
    <w:qFormat/>
    <w:uiPriority w:val="0"/>
    <w:pPr>
      <w:spacing w:line="460" w:lineRule="exact"/>
      <w:outlineLvl w:val="9"/>
    </w:pPr>
  </w:style>
  <w:style w:type="paragraph" w:customStyle="1" w:styleId="28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288">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289">
    <w:name w:val="其他发布部门"/>
    <w:basedOn w:val="263"/>
    <w:qFormat/>
    <w:uiPriority w:val="0"/>
    <w:pPr>
      <w:framePr w:wrap="around" w:vAnchor="margin" w:hAnchor="text" w:y="1"/>
      <w:spacing w:line="0" w:lineRule="atLeast"/>
    </w:pPr>
    <w:rPr>
      <w:rFonts w:ascii="黑体" w:eastAsia="黑体"/>
      <w:b w:val="0"/>
    </w:rPr>
  </w:style>
  <w:style w:type="paragraph" w:customStyle="1" w:styleId="290">
    <w:name w:val="三级条标题"/>
    <w:basedOn w:val="261"/>
    <w:next w:val="258"/>
    <w:qFormat/>
    <w:uiPriority w:val="0"/>
    <w:pPr>
      <w:numPr>
        <w:ilvl w:val="3"/>
      </w:numPr>
    </w:pPr>
  </w:style>
  <w:style w:type="paragraph" w:customStyle="1" w:styleId="291">
    <w:name w:val="实施日期"/>
    <w:basedOn w:val="264"/>
    <w:qFormat/>
    <w:uiPriority w:val="0"/>
    <w:pPr>
      <w:jc w:val="right"/>
    </w:pPr>
  </w:style>
  <w:style w:type="paragraph" w:customStyle="1" w:styleId="292">
    <w:name w:val="示例"/>
    <w:next w:val="293"/>
    <w:qFormat/>
    <w:uiPriority w:val="0"/>
    <w:pPr>
      <w:widowControl w:val="0"/>
      <w:numPr>
        <w:ilvl w:val="0"/>
        <w:numId w:val="16"/>
      </w:numPr>
      <w:jc w:val="both"/>
    </w:pPr>
    <w:rPr>
      <w:rFonts w:ascii="宋体" w:hAnsi="Times New Roman" w:eastAsia="宋体" w:cs="Times New Roman"/>
      <w:sz w:val="18"/>
      <w:szCs w:val="18"/>
      <w:lang w:val="en-US" w:eastAsia="zh-CN" w:bidi="ar-SA"/>
    </w:rPr>
  </w:style>
  <w:style w:type="paragraph" w:customStyle="1" w:styleId="293">
    <w:name w:val="示例段"/>
    <w:basedOn w:val="258"/>
    <w:qFormat/>
    <w:uiPriority w:val="0"/>
    <w:pPr>
      <w:ind w:firstLine="420"/>
    </w:pPr>
    <w:rPr>
      <w:sz w:val="18"/>
    </w:rPr>
  </w:style>
  <w:style w:type="paragraph" w:customStyle="1" w:styleId="294">
    <w:name w:val="数字编号列项（二级）"/>
    <w:qFormat/>
    <w:uiPriority w:val="0"/>
    <w:pPr>
      <w:numPr>
        <w:ilvl w:val="1"/>
        <w:numId w:val="17"/>
      </w:numPr>
      <w:jc w:val="both"/>
    </w:pPr>
    <w:rPr>
      <w:rFonts w:ascii="宋体" w:hAnsi="Times New Roman" w:eastAsia="宋体" w:cs="Times New Roman"/>
      <w:sz w:val="21"/>
      <w:lang w:val="en-US" w:eastAsia="zh-CN" w:bidi="ar-SA"/>
    </w:rPr>
  </w:style>
  <w:style w:type="paragraph" w:customStyle="1" w:styleId="295">
    <w:name w:val="四级条标题"/>
    <w:basedOn w:val="290"/>
    <w:next w:val="258"/>
    <w:qFormat/>
    <w:uiPriority w:val="0"/>
    <w:pPr>
      <w:numPr>
        <w:ilvl w:val="4"/>
      </w:numPr>
    </w:pPr>
  </w:style>
  <w:style w:type="paragraph" w:customStyle="1" w:styleId="296">
    <w:name w:val="条文脚注"/>
    <w:basedOn w:val="69"/>
    <w:link w:val="331"/>
    <w:qFormat/>
    <w:uiPriority w:val="0"/>
    <w:pPr>
      <w:numPr>
        <w:ilvl w:val="0"/>
        <w:numId w:val="18"/>
      </w:numPr>
      <w:ind w:firstLine="0" w:firstLineChars="0"/>
      <w:jc w:val="both"/>
    </w:pPr>
    <w:rPr>
      <w:rFonts w:ascii="宋体"/>
    </w:rPr>
  </w:style>
  <w:style w:type="paragraph" w:customStyle="1" w:styleId="297">
    <w:name w:val="图表脚注"/>
    <w:next w:val="258"/>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29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299">
    <w:name w:val="无标题条"/>
    <w:next w:val="258"/>
    <w:qFormat/>
    <w:uiPriority w:val="0"/>
    <w:pPr>
      <w:jc w:val="both"/>
    </w:pPr>
    <w:rPr>
      <w:rFonts w:ascii="Times New Roman" w:hAnsi="Times New Roman" w:eastAsia="宋体" w:cs="Times New Roman"/>
      <w:sz w:val="21"/>
      <w:lang w:val="en-US" w:eastAsia="zh-CN" w:bidi="ar-SA"/>
    </w:rPr>
  </w:style>
  <w:style w:type="paragraph" w:customStyle="1" w:styleId="300">
    <w:name w:val="五级条标题"/>
    <w:basedOn w:val="295"/>
    <w:next w:val="258"/>
    <w:qFormat/>
    <w:uiPriority w:val="0"/>
    <w:pPr>
      <w:numPr>
        <w:ilvl w:val="5"/>
      </w:numPr>
    </w:pPr>
  </w:style>
  <w:style w:type="paragraph" w:customStyle="1" w:styleId="301">
    <w:name w:val="正文表标题"/>
    <w:next w:val="258"/>
    <w:qFormat/>
    <w:uiPriority w:val="0"/>
    <w:pPr>
      <w:numPr>
        <w:ilvl w:val="1"/>
        <w:numId w:val="19"/>
      </w:numPr>
      <w:spacing w:before="156" w:beforeLines="50" w:after="156" w:afterLines="50"/>
      <w:jc w:val="center"/>
    </w:pPr>
    <w:rPr>
      <w:rFonts w:ascii="黑体" w:hAnsi="Times New Roman" w:eastAsia="黑体" w:cs="Times New Roman"/>
      <w:sz w:val="21"/>
      <w:szCs w:val="21"/>
      <w:lang w:val="en-US" w:eastAsia="zh-CN" w:bidi="ar-SA"/>
    </w:rPr>
  </w:style>
  <w:style w:type="paragraph" w:customStyle="1" w:styleId="302">
    <w:name w:val="正文图标题"/>
    <w:basedOn w:val="301"/>
    <w:next w:val="258"/>
    <w:qFormat/>
    <w:uiPriority w:val="0"/>
    <w:pPr>
      <w:numPr>
        <w:ilvl w:val="0"/>
        <w:numId w:val="20"/>
      </w:numPr>
    </w:pPr>
  </w:style>
  <w:style w:type="paragraph" w:customStyle="1" w:styleId="303">
    <w:name w:val="注："/>
    <w:next w:val="1"/>
    <w:qFormat/>
    <w:uiPriority w:val="0"/>
    <w:pPr>
      <w:widowControl w:val="0"/>
      <w:numPr>
        <w:ilvl w:val="0"/>
        <w:numId w:val="21"/>
      </w:numPr>
      <w:autoSpaceDE w:val="0"/>
      <w:autoSpaceDN w:val="0"/>
      <w:jc w:val="both"/>
    </w:pPr>
    <w:rPr>
      <w:rFonts w:ascii="宋体" w:hAnsi="Times New Roman" w:eastAsia="宋体" w:cs="Times New Roman"/>
      <w:sz w:val="18"/>
      <w:szCs w:val="18"/>
      <w:lang w:val="en-US" w:eastAsia="zh-CN" w:bidi="ar-SA"/>
    </w:rPr>
  </w:style>
  <w:style w:type="paragraph" w:customStyle="1" w:styleId="304">
    <w:name w:val="注×："/>
    <w:qFormat/>
    <w:uiPriority w:val="0"/>
    <w:pPr>
      <w:widowControl w:val="0"/>
      <w:numPr>
        <w:ilvl w:val="0"/>
        <w:numId w:val="22"/>
      </w:numPr>
      <w:autoSpaceDE w:val="0"/>
      <w:autoSpaceDN w:val="0"/>
      <w:jc w:val="both"/>
    </w:pPr>
    <w:rPr>
      <w:rFonts w:cs="Times New Roman" w:asciiTheme="minorHAnsi" w:hAnsiTheme="minorHAnsi" w:eastAsiaTheme="minorEastAsia"/>
      <w:sz w:val="18"/>
      <w:szCs w:val="18"/>
      <w:lang w:val="en-US" w:eastAsia="zh-CN" w:bidi="ar-SA"/>
    </w:rPr>
  </w:style>
  <w:style w:type="paragraph" w:customStyle="1" w:styleId="305">
    <w:name w:val="字母编号列项（一级）"/>
    <w:qFormat/>
    <w:uiPriority w:val="0"/>
    <w:pPr>
      <w:numPr>
        <w:ilvl w:val="0"/>
        <w:numId w:val="23"/>
      </w:numPr>
      <w:jc w:val="both"/>
    </w:pPr>
    <w:rPr>
      <w:rFonts w:ascii="宋体" w:hAnsi="Times New Roman" w:eastAsia="宋体" w:cs="Times New Roman"/>
      <w:sz w:val="21"/>
      <w:lang w:val="en-US" w:eastAsia="zh-CN" w:bidi="ar-SA"/>
    </w:rPr>
  </w:style>
  <w:style w:type="paragraph" w:customStyle="1" w:styleId="306">
    <w:name w:val="示例×："/>
    <w:basedOn w:val="1"/>
    <w:next w:val="293"/>
    <w:qFormat/>
    <w:uiPriority w:val="0"/>
    <w:pPr>
      <w:widowControl/>
      <w:numPr>
        <w:ilvl w:val="0"/>
        <w:numId w:val="24"/>
      </w:numPr>
    </w:pPr>
    <w:rPr>
      <w:rFonts w:ascii="宋体"/>
      <w:kern w:val="0"/>
      <w:sz w:val="18"/>
      <w:szCs w:val="18"/>
    </w:rPr>
  </w:style>
  <w:style w:type="paragraph" w:customStyle="1" w:styleId="307">
    <w:name w:val="工程建设章标题"/>
    <w:next w:val="258"/>
    <w:qFormat/>
    <w:uiPriority w:val="0"/>
    <w:pPr>
      <w:numPr>
        <w:ilvl w:val="1"/>
        <w:numId w:val="25"/>
      </w:numPr>
      <w:spacing w:before="640" w:after="560" w:line="480" w:lineRule="exact"/>
      <w:jc w:val="center"/>
      <w:outlineLvl w:val="1"/>
    </w:pPr>
    <w:rPr>
      <w:rFonts w:ascii="黑体" w:hAnsi="Times New Roman" w:eastAsia="黑体" w:cs="Times New Roman"/>
      <w:b/>
      <w:sz w:val="28"/>
      <w:lang w:val="en-US" w:eastAsia="zh-CN" w:bidi="ar-SA"/>
    </w:rPr>
  </w:style>
  <w:style w:type="paragraph" w:customStyle="1" w:styleId="308">
    <w:name w:val="工程建设节标题"/>
    <w:basedOn w:val="307"/>
    <w:next w:val="258"/>
    <w:qFormat/>
    <w:uiPriority w:val="0"/>
    <w:pPr>
      <w:numPr>
        <w:ilvl w:val="2"/>
      </w:numPr>
      <w:spacing w:before="400" w:after="400" w:line="240" w:lineRule="auto"/>
      <w:outlineLvl w:val="2"/>
    </w:pPr>
    <w:rPr>
      <w:sz w:val="21"/>
    </w:rPr>
  </w:style>
  <w:style w:type="paragraph" w:customStyle="1" w:styleId="309">
    <w:name w:val="工程建设条标题"/>
    <w:basedOn w:val="308"/>
    <w:next w:val="258"/>
    <w:qFormat/>
    <w:uiPriority w:val="0"/>
    <w:pPr>
      <w:numPr>
        <w:ilvl w:val="3"/>
      </w:numPr>
      <w:spacing w:before="0" w:after="0"/>
      <w:jc w:val="left"/>
      <w:outlineLvl w:val="3"/>
    </w:pPr>
    <w:rPr>
      <w:b w:val="0"/>
    </w:rPr>
  </w:style>
  <w:style w:type="paragraph" w:customStyle="1" w:styleId="310">
    <w:name w:val="工程建设表标题"/>
    <w:basedOn w:val="309"/>
    <w:qFormat/>
    <w:uiPriority w:val="0"/>
    <w:pPr>
      <w:numPr>
        <w:ilvl w:val="4"/>
      </w:numPr>
      <w:jc w:val="center"/>
      <w:outlineLvl w:val="4"/>
    </w:pPr>
  </w:style>
  <w:style w:type="paragraph" w:customStyle="1" w:styleId="311">
    <w:name w:val="工程建设图标题"/>
    <w:basedOn w:val="309"/>
    <w:qFormat/>
    <w:uiPriority w:val="0"/>
    <w:pPr>
      <w:numPr>
        <w:ilvl w:val="5"/>
      </w:numPr>
      <w:jc w:val="center"/>
      <w:outlineLvl w:val="5"/>
    </w:pPr>
  </w:style>
  <w:style w:type="paragraph" w:customStyle="1" w:styleId="312">
    <w:name w:val="工程建设公式标题"/>
    <w:basedOn w:val="309"/>
    <w:qFormat/>
    <w:uiPriority w:val="0"/>
    <w:pPr>
      <w:numPr>
        <w:ilvl w:val="6"/>
      </w:numPr>
      <w:jc w:val="center"/>
      <w:outlineLvl w:val="6"/>
    </w:pPr>
  </w:style>
  <w:style w:type="paragraph" w:customStyle="1" w:styleId="313">
    <w:name w:val="工程建设无节条标题"/>
    <w:basedOn w:val="1"/>
    <w:next w:val="258"/>
    <w:qFormat/>
    <w:uiPriority w:val="0"/>
    <w:pPr>
      <w:numPr>
        <w:ilvl w:val="8"/>
        <w:numId w:val="25"/>
      </w:numPr>
      <w:tabs>
        <w:tab w:val="clear" w:pos="720"/>
      </w:tabs>
      <w:outlineLvl w:val="3"/>
    </w:pPr>
  </w:style>
  <w:style w:type="paragraph" w:customStyle="1" w:styleId="314">
    <w:name w:val="工程建设款标题"/>
    <w:basedOn w:val="309"/>
    <w:qFormat/>
    <w:uiPriority w:val="0"/>
    <w:pPr>
      <w:numPr>
        <w:ilvl w:val="7"/>
      </w:numPr>
      <w:outlineLvl w:val="9"/>
    </w:pPr>
  </w:style>
  <w:style w:type="paragraph" w:customStyle="1" w:styleId="315">
    <w:name w:val="名称"/>
    <w:basedOn w:val="256"/>
    <w:next w:val="258"/>
    <w:qFormat/>
    <w:uiPriority w:val="0"/>
    <w:pPr>
      <w:spacing w:line="460" w:lineRule="exact"/>
      <w:outlineLvl w:val="9"/>
    </w:pPr>
  </w:style>
  <w:style w:type="paragraph" w:customStyle="1" w:styleId="316">
    <w:name w:val="正文表标题续表"/>
    <w:basedOn w:val="301"/>
    <w:next w:val="258"/>
    <w:qFormat/>
    <w:uiPriority w:val="0"/>
    <w:pPr>
      <w:numPr>
        <w:ilvl w:val="2"/>
      </w:numPr>
    </w:pPr>
  </w:style>
  <w:style w:type="paragraph" w:customStyle="1" w:styleId="317">
    <w:name w:val="附录表标题续表"/>
    <w:basedOn w:val="275"/>
    <w:next w:val="258"/>
    <w:qFormat/>
    <w:uiPriority w:val="0"/>
    <w:pPr>
      <w:numPr>
        <w:ilvl w:val="2"/>
      </w:numPr>
    </w:pPr>
  </w:style>
  <w:style w:type="paragraph" w:customStyle="1" w:styleId="318">
    <w:name w:val="术语定义二级条标题"/>
    <w:basedOn w:val="261"/>
    <w:next w:val="258"/>
    <w:qFormat/>
    <w:uiPriority w:val="0"/>
    <w:pPr>
      <w:spacing w:before="0" w:beforeLines="0" w:after="0" w:afterLines="0"/>
      <w:outlineLvl w:val="9"/>
    </w:pPr>
  </w:style>
  <w:style w:type="paragraph" w:customStyle="1" w:styleId="319">
    <w:name w:val="术语定义三级条标题"/>
    <w:basedOn w:val="290"/>
    <w:next w:val="258"/>
    <w:qFormat/>
    <w:uiPriority w:val="0"/>
    <w:pPr>
      <w:spacing w:before="0" w:beforeLines="0" w:after="0" w:afterLines="0"/>
      <w:outlineLvl w:val="9"/>
    </w:pPr>
  </w:style>
  <w:style w:type="paragraph" w:customStyle="1" w:styleId="320">
    <w:name w:val="式中"/>
    <w:qFormat/>
    <w:uiPriority w:val="0"/>
    <w:pPr>
      <w:ind w:left="200" w:leftChars="200"/>
    </w:pPr>
    <w:rPr>
      <w:rFonts w:ascii="宋体" w:hAnsi="Times New Roman" w:eastAsia="宋体" w:cs="Times New Roman"/>
      <w:sz w:val="21"/>
      <w:lang w:val="en-US" w:eastAsia="zh-CN" w:bidi="ar-SA"/>
    </w:rPr>
  </w:style>
  <w:style w:type="paragraph" w:customStyle="1" w:styleId="321">
    <w:name w:val="术语定义四级条标题"/>
    <w:basedOn w:val="295"/>
    <w:next w:val="258"/>
    <w:qFormat/>
    <w:uiPriority w:val="0"/>
    <w:pPr>
      <w:spacing w:before="0" w:beforeLines="0" w:after="0" w:afterLines="0"/>
      <w:outlineLvl w:val="9"/>
    </w:pPr>
  </w:style>
  <w:style w:type="paragraph" w:customStyle="1" w:styleId="322">
    <w:name w:val="术语定义五级条标题"/>
    <w:basedOn w:val="300"/>
    <w:next w:val="258"/>
    <w:qFormat/>
    <w:uiPriority w:val="0"/>
    <w:pPr>
      <w:spacing w:before="0" w:beforeLines="0" w:after="0" w:afterLines="0"/>
      <w:outlineLvl w:val="9"/>
    </w:pPr>
  </w:style>
  <w:style w:type="paragraph" w:customStyle="1" w:styleId="323">
    <w:name w:val="术语定义一级条标题"/>
    <w:basedOn w:val="260"/>
    <w:next w:val="258"/>
    <w:qFormat/>
    <w:uiPriority w:val="0"/>
    <w:pPr>
      <w:spacing w:before="0" w:beforeLines="0" w:after="0" w:afterLines="0"/>
      <w:outlineLvl w:val="9"/>
    </w:pPr>
  </w:style>
  <w:style w:type="paragraph" w:customStyle="1" w:styleId="324">
    <w:name w:val="条文说明"/>
    <w:basedOn w:val="315"/>
    <w:qFormat/>
    <w:uiPriority w:val="0"/>
  </w:style>
  <w:style w:type="paragraph" w:customStyle="1" w:styleId="325">
    <w:name w:val="列项·"/>
    <w:qFormat/>
    <w:uiPriority w:val="0"/>
    <w:pPr>
      <w:numPr>
        <w:ilvl w:val="0"/>
        <w:numId w:val="26"/>
      </w:numPr>
      <w:tabs>
        <w:tab w:val="left" w:pos="840"/>
      </w:tabs>
      <w:ind w:left="200" w:leftChars="200" w:hanging="200" w:hangingChars="200"/>
      <w:jc w:val="both"/>
    </w:pPr>
    <w:rPr>
      <w:rFonts w:ascii="宋体" w:hAnsi="Times New Roman" w:eastAsia="宋体" w:cs="Times New Roman"/>
      <w:sz w:val="21"/>
      <w:lang w:val="en-US" w:eastAsia="zh-CN" w:bidi="ar-SA"/>
    </w:rPr>
  </w:style>
  <w:style w:type="paragraph" w:customStyle="1" w:styleId="326">
    <w:name w:val="二级无标题条"/>
    <w:basedOn w:val="261"/>
    <w:qFormat/>
    <w:uiPriority w:val="0"/>
    <w:pPr>
      <w:spacing w:before="0" w:beforeLines="0" w:after="0" w:afterLines="0"/>
      <w:outlineLvl w:val="9"/>
    </w:pPr>
    <w:rPr>
      <w:rFonts w:asciiTheme="majorEastAsia" w:eastAsiaTheme="majorEastAsia"/>
    </w:rPr>
  </w:style>
  <w:style w:type="paragraph" w:customStyle="1" w:styleId="327">
    <w:name w:val="三级无标题条"/>
    <w:basedOn w:val="290"/>
    <w:qFormat/>
    <w:uiPriority w:val="0"/>
    <w:pPr>
      <w:spacing w:before="0" w:beforeLines="0" w:after="0" w:afterLines="0"/>
      <w:outlineLvl w:val="9"/>
    </w:pPr>
    <w:rPr>
      <w:rFonts w:asciiTheme="majorEastAsia" w:eastAsiaTheme="majorEastAsia"/>
    </w:rPr>
  </w:style>
  <w:style w:type="paragraph" w:customStyle="1" w:styleId="328">
    <w:name w:val="四级无标题条"/>
    <w:basedOn w:val="295"/>
    <w:link w:val="534"/>
    <w:qFormat/>
    <w:uiPriority w:val="0"/>
    <w:pPr>
      <w:spacing w:before="0" w:beforeLines="0" w:after="0" w:afterLines="0"/>
      <w:outlineLvl w:val="9"/>
    </w:pPr>
    <w:rPr>
      <w:rFonts w:asciiTheme="majorEastAsia" w:eastAsiaTheme="majorEastAsia"/>
    </w:rPr>
  </w:style>
  <w:style w:type="paragraph" w:customStyle="1" w:styleId="329">
    <w:name w:val="五级无标题条"/>
    <w:basedOn w:val="300"/>
    <w:link w:val="533"/>
    <w:qFormat/>
    <w:uiPriority w:val="0"/>
    <w:pPr>
      <w:spacing w:before="0" w:beforeLines="0" w:after="0" w:afterLines="0"/>
      <w:outlineLvl w:val="9"/>
    </w:pPr>
    <w:rPr>
      <w:rFonts w:asciiTheme="majorEastAsia" w:eastAsiaTheme="majorEastAsia"/>
    </w:rPr>
  </w:style>
  <w:style w:type="paragraph" w:customStyle="1" w:styleId="330">
    <w:name w:val="一级无标题条"/>
    <w:basedOn w:val="260"/>
    <w:qFormat/>
    <w:uiPriority w:val="0"/>
    <w:pPr>
      <w:spacing w:before="0" w:beforeLines="0" w:after="0" w:afterLines="0"/>
      <w:outlineLvl w:val="9"/>
    </w:pPr>
    <w:rPr>
      <w:rFonts w:asciiTheme="majorEastAsia" w:eastAsiaTheme="majorEastAsia"/>
    </w:rPr>
  </w:style>
  <w:style w:type="character" w:customStyle="1" w:styleId="331">
    <w:name w:val="条文脚注 Char"/>
    <w:basedOn w:val="332"/>
    <w:link w:val="296"/>
    <w:qFormat/>
    <w:uiPriority w:val="0"/>
    <w:rPr>
      <w:rFonts w:ascii="宋体"/>
      <w:kern w:val="2"/>
      <w:sz w:val="18"/>
      <w:szCs w:val="18"/>
    </w:rPr>
  </w:style>
  <w:style w:type="character" w:customStyle="1" w:styleId="332">
    <w:name w:val="正文文本 字符"/>
    <w:basedOn w:val="231"/>
    <w:link w:val="40"/>
    <w:semiHidden/>
    <w:qFormat/>
    <w:uiPriority w:val="99"/>
    <w:rPr>
      <w:kern w:val="2"/>
      <w:sz w:val="21"/>
      <w:szCs w:val="24"/>
    </w:rPr>
  </w:style>
  <w:style w:type="paragraph" w:customStyle="1" w:styleId="333">
    <w:name w:val="ICS"/>
    <w:basedOn w:val="273"/>
    <w:qFormat/>
    <w:uiPriority w:val="0"/>
    <w:pPr>
      <w:jc w:val="left"/>
    </w:pPr>
    <w:rPr>
      <w:rFonts w:ascii="黑体" w:eastAsia="黑体"/>
      <w:sz w:val="21"/>
    </w:rPr>
  </w:style>
  <w:style w:type="paragraph" w:customStyle="1" w:styleId="334">
    <w:name w:val="标准称谓HB"/>
    <w:next w:val="1"/>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paragraph" w:customStyle="1" w:styleId="335">
    <w:name w:val="发布GB"/>
    <w:basedOn w:val="40"/>
    <w:qFormat/>
    <w:uiPriority w:val="0"/>
    <w:pPr>
      <w:spacing w:after="0" w:line="280" w:lineRule="exact"/>
      <w:ind w:left="284"/>
    </w:pPr>
    <w:rPr>
      <w:rFonts w:ascii="黑体" w:eastAsia="黑体"/>
      <w:kern w:val="3"/>
      <w:sz w:val="28"/>
    </w:rPr>
  </w:style>
  <w:style w:type="paragraph" w:customStyle="1" w:styleId="336">
    <w:name w:val="标准称谓DB"/>
    <w:next w:val="1"/>
    <w:link w:val="337"/>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character" w:customStyle="1" w:styleId="337">
    <w:name w:val="标准称谓DB Char"/>
    <w:basedOn w:val="231"/>
    <w:link w:val="336"/>
    <w:qFormat/>
    <w:uiPriority w:val="0"/>
    <w:rPr>
      <w:rFonts w:ascii="Britannic Bold" w:hAnsi="Britannic Bold" w:eastAsia="黑体"/>
      <w:bCs/>
      <w:w w:val="135"/>
      <w:sz w:val="44"/>
    </w:rPr>
  </w:style>
  <w:style w:type="paragraph" w:customStyle="1" w:styleId="338">
    <w:name w:val="标准称谓QB"/>
    <w:next w:val="1"/>
    <w:link w:val="339"/>
    <w:qFormat/>
    <w:uiPriority w:val="0"/>
    <w:pPr>
      <w:widowControl w:val="0"/>
      <w:kinsoku w:val="0"/>
      <w:overflowPunct w:val="0"/>
      <w:autoSpaceDE w:val="0"/>
      <w:autoSpaceDN w:val="0"/>
      <w:spacing w:line="0" w:lineRule="atLeast"/>
      <w:jc w:val="distribute"/>
    </w:pPr>
    <w:rPr>
      <w:rFonts w:ascii="Arial Black" w:hAnsi="Arial Black" w:eastAsia="黑体" w:cs="Times New Roman"/>
      <w:bCs/>
      <w:w w:val="135"/>
      <w:sz w:val="44"/>
      <w:lang w:val="en-US" w:eastAsia="zh-CN" w:bidi="ar-SA"/>
    </w:rPr>
  </w:style>
  <w:style w:type="character" w:customStyle="1" w:styleId="339">
    <w:name w:val="标准称谓QB Char"/>
    <w:basedOn w:val="231"/>
    <w:link w:val="338"/>
    <w:qFormat/>
    <w:uiPriority w:val="0"/>
    <w:rPr>
      <w:rFonts w:ascii="Arial Black" w:hAnsi="Arial Black" w:eastAsia="黑体"/>
      <w:bCs/>
      <w:w w:val="135"/>
      <w:sz w:val="44"/>
    </w:rPr>
  </w:style>
  <w:style w:type="paragraph" w:customStyle="1" w:styleId="340">
    <w:name w:val="发布部门HB"/>
    <w:next w:val="1"/>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1">
    <w:name w:val="发布部门DB"/>
    <w:next w:val="1"/>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2">
    <w:name w:val="发布部门QB"/>
    <w:next w:val="1"/>
    <w:qFormat/>
    <w:uiPriority w:val="0"/>
    <w:pPr>
      <w:snapToGrid w:val="0"/>
      <w:jc w:val="center"/>
    </w:pPr>
    <w:rPr>
      <w:rFonts w:ascii="宋体" w:hAnsi="Times New Roman" w:eastAsia="宋体" w:cs="Times New Roman"/>
      <w:b/>
      <w:sz w:val="36"/>
      <w:lang w:val="en-US" w:eastAsia="zh-CN" w:bidi="ar-SA"/>
    </w:rPr>
  </w:style>
  <w:style w:type="paragraph" w:customStyle="1" w:styleId="343">
    <w:name w:val="标准标志DB"/>
    <w:next w:val="1"/>
    <w:qFormat/>
    <w:uiPriority w:val="0"/>
    <w:pPr>
      <w:shd w:val="solid" w:color="FFFFFF" w:fill="FFFFFF"/>
      <w:spacing w:line="0" w:lineRule="atLeast"/>
      <w:jc w:val="right"/>
    </w:pPr>
    <w:rPr>
      <w:rFonts w:ascii="Britannic Bold" w:hAnsi="Britannic Bold" w:eastAsia="Times New Roman" w:cs="Times New Roman"/>
      <w:b/>
      <w:w w:val="110"/>
      <w:kern w:val="2"/>
      <w:sz w:val="96"/>
      <w:lang w:val="en-US" w:eastAsia="zh-CN" w:bidi="ar-SA"/>
    </w:rPr>
  </w:style>
  <w:style w:type="paragraph" w:customStyle="1" w:styleId="344">
    <w:name w:val="标准标志QB"/>
    <w:next w:val="1"/>
    <w:qFormat/>
    <w:uiPriority w:val="0"/>
    <w:pPr>
      <w:shd w:val="solid" w:color="FFFFFF" w:fill="FFFFFF"/>
      <w:spacing w:line="0" w:lineRule="atLeast"/>
      <w:jc w:val="right"/>
    </w:pPr>
    <w:rPr>
      <w:rFonts w:ascii="Arial Black" w:hAnsi="Britannic Bold" w:eastAsia="Times New Roman" w:cs="Times New Roman"/>
      <w:b/>
      <w:w w:val="110"/>
      <w:kern w:val="2"/>
      <w:sz w:val="113"/>
      <w:lang w:val="en-US" w:eastAsia="zh-CN" w:bidi="ar-SA"/>
    </w:rPr>
  </w:style>
  <w:style w:type="paragraph" w:customStyle="1" w:styleId="345">
    <w:name w:val="标准标志GB"/>
    <w:next w:val="1"/>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346">
    <w:name w:val="示例X"/>
    <w:basedOn w:val="258"/>
    <w:next w:val="293"/>
    <w:qFormat/>
    <w:uiPriority w:val="0"/>
    <w:rPr>
      <w:sz w:val="18"/>
    </w:rPr>
  </w:style>
  <w:style w:type="paragraph" w:customStyle="1" w:styleId="347">
    <w:name w:val="附录表标号"/>
    <w:basedOn w:val="1"/>
    <w:next w:val="258"/>
    <w:qFormat/>
    <w:uiPriority w:val="0"/>
    <w:pPr>
      <w:numPr>
        <w:ilvl w:val="0"/>
        <w:numId w:val="13"/>
      </w:numPr>
      <w:snapToGrid w:val="0"/>
      <w:spacing w:line="14" w:lineRule="exact"/>
      <w:jc w:val="center"/>
    </w:pPr>
    <w:rPr>
      <w:color w:val="FFFFFF"/>
    </w:rPr>
  </w:style>
  <w:style w:type="paragraph" w:customStyle="1" w:styleId="348">
    <w:name w:val="附录图标号"/>
    <w:basedOn w:val="1"/>
    <w:next w:val="258"/>
    <w:qFormat/>
    <w:uiPriority w:val="0"/>
    <w:pPr>
      <w:numPr>
        <w:ilvl w:val="0"/>
        <w:numId w:val="14"/>
      </w:numPr>
      <w:snapToGrid w:val="0"/>
      <w:spacing w:line="14" w:lineRule="exact"/>
      <w:jc w:val="center"/>
    </w:pPr>
    <w:rPr>
      <w:color w:val="FFFFFF"/>
    </w:rPr>
  </w:style>
  <w:style w:type="paragraph" w:customStyle="1" w:styleId="349">
    <w:name w:val="公式编号制表符"/>
    <w:basedOn w:val="1"/>
    <w:next w:val="1"/>
    <w:qFormat/>
    <w:uiPriority w:val="0"/>
    <w:pPr>
      <w:widowControl/>
      <w:tabs>
        <w:tab w:val="center" w:pos="4679"/>
        <w:tab w:val="right" w:leader="dot" w:pos="9299"/>
      </w:tabs>
      <w:autoSpaceDE w:val="0"/>
      <w:autoSpaceDN w:val="0"/>
      <w:textAlignment w:val="center"/>
    </w:pPr>
    <w:rPr>
      <w:rFonts w:ascii="宋体"/>
      <w:kern w:val="0"/>
      <w:szCs w:val="20"/>
    </w:rPr>
  </w:style>
  <w:style w:type="paragraph" w:customStyle="1" w:styleId="350">
    <w:name w:val="TOC 标题1"/>
    <w:basedOn w:val="3"/>
    <w:next w:val="1"/>
    <w:semiHidden/>
    <w:unhideWhenUsed/>
    <w:qFormat/>
    <w:uiPriority w:val="39"/>
    <w:pPr>
      <w:outlineLvl w:val="9"/>
    </w:pPr>
  </w:style>
  <w:style w:type="character" w:customStyle="1" w:styleId="351">
    <w:name w:val="不明显参考1"/>
    <w:basedOn w:val="231"/>
    <w:qFormat/>
    <w:uiPriority w:val="31"/>
    <w:rPr>
      <w:smallCaps/>
      <w:color w:val="595959" w:themeColor="text1" w:themeTint="A6"/>
      <w14:textFill>
        <w14:solidFill>
          <w14:schemeClr w14:val="tx1">
            <w14:lumMod w14:val="65000"/>
            <w14:lumOff w14:val="35000"/>
          </w14:schemeClr>
        </w14:solidFill>
      </w14:textFill>
    </w:rPr>
  </w:style>
  <w:style w:type="character" w:customStyle="1" w:styleId="352">
    <w:name w:val="不明显强调1"/>
    <w:basedOn w:val="231"/>
    <w:qFormat/>
    <w:uiPriority w:val="19"/>
    <w:rPr>
      <w:i/>
      <w:iCs/>
      <w:color w:val="404040" w:themeColor="text1" w:themeTint="BF"/>
      <w14:textFill>
        <w14:solidFill>
          <w14:schemeClr w14:val="tx1">
            <w14:lumMod w14:val="75000"/>
            <w14:lumOff w14:val="25000"/>
          </w14:schemeClr>
        </w14:solidFill>
      </w14:textFill>
    </w:rPr>
  </w:style>
  <w:style w:type="character" w:customStyle="1" w:styleId="353">
    <w:name w:val="称呼 字符"/>
    <w:basedOn w:val="231"/>
    <w:link w:val="36"/>
    <w:semiHidden/>
    <w:qFormat/>
    <w:uiPriority w:val="99"/>
    <w:rPr>
      <w:kern w:val="2"/>
      <w:sz w:val="21"/>
      <w:szCs w:val="24"/>
    </w:rPr>
  </w:style>
  <w:style w:type="character" w:customStyle="1" w:styleId="354">
    <w:name w:val="纯文本 字符"/>
    <w:basedOn w:val="231"/>
    <w:link w:val="49"/>
    <w:semiHidden/>
    <w:qFormat/>
    <w:uiPriority w:val="99"/>
    <w:rPr>
      <w:rFonts w:ascii="宋体" w:hAnsi="Courier New" w:cs="Courier New"/>
      <w:kern w:val="2"/>
      <w:sz w:val="21"/>
      <w:szCs w:val="21"/>
    </w:rPr>
  </w:style>
  <w:style w:type="character" w:customStyle="1" w:styleId="355">
    <w:name w:val="电子邮件签名 字符"/>
    <w:basedOn w:val="231"/>
    <w:link w:val="25"/>
    <w:semiHidden/>
    <w:qFormat/>
    <w:uiPriority w:val="99"/>
    <w:rPr>
      <w:kern w:val="2"/>
      <w:sz w:val="21"/>
      <w:szCs w:val="24"/>
    </w:rPr>
  </w:style>
  <w:style w:type="character" w:customStyle="1" w:styleId="356">
    <w:name w:val="副标题 字符"/>
    <w:basedOn w:val="231"/>
    <w:link w:val="66"/>
    <w:qFormat/>
    <w:uiPriority w:val="11"/>
    <w:rPr>
      <w:rFonts w:asciiTheme="majorHAnsi" w:hAnsiTheme="majorHAnsi" w:cstheme="majorBidi"/>
      <w:b/>
      <w:bCs/>
      <w:kern w:val="28"/>
      <w:sz w:val="32"/>
      <w:szCs w:val="32"/>
    </w:rPr>
  </w:style>
  <w:style w:type="character" w:customStyle="1" w:styleId="357">
    <w:name w:val="宏文本 字符"/>
    <w:basedOn w:val="231"/>
    <w:link w:val="2"/>
    <w:semiHidden/>
    <w:qFormat/>
    <w:uiPriority w:val="99"/>
    <w:rPr>
      <w:rFonts w:ascii="Courier New" w:hAnsi="Courier New" w:cs="Courier New"/>
      <w:kern w:val="2"/>
      <w:sz w:val="24"/>
      <w:szCs w:val="24"/>
    </w:rPr>
  </w:style>
  <w:style w:type="character" w:customStyle="1" w:styleId="358">
    <w:name w:val="结束语 字符"/>
    <w:basedOn w:val="231"/>
    <w:link w:val="38"/>
    <w:semiHidden/>
    <w:qFormat/>
    <w:uiPriority w:val="99"/>
    <w:rPr>
      <w:kern w:val="2"/>
      <w:sz w:val="21"/>
      <w:szCs w:val="24"/>
    </w:rPr>
  </w:style>
  <w:style w:type="paragraph" w:styleId="359">
    <w:name w:val="List Paragraph"/>
    <w:basedOn w:val="1"/>
    <w:qFormat/>
    <w:uiPriority w:val="34"/>
    <w:pPr>
      <w:ind w:firstLine="420" w:firstLineChars="200"/>
    </w:pPr>
  </w:style>
  <w:style w:type="character" w:customStyle="1" w:styleId="360">
    <w:name w:val="明显参考1"/>
    <w:basedOn w:val="231"/>
    <w:qFormat/>
    <w:uiPriority w:val="32"/>
    <w:rPr>
      <w:b/>
      <w:bCs/>
      <w:smallCaps/>
      <w:color w:val="5B9BD5" w:themeColor="accent1"/>
      <w:spacing w:val="5"/>
      <w14:textFill>
        <w14:solidFill>
          <w14:schemeClr w14:val="accent1"/>
        </w14:solidFill>
      </w14:textFill>
    </w:rPr>
  </w:style>
  <w:style w:type="character" w:customStyle="1" w:styleId="361">
    <w:name w:val="明显强调1"/>
    <w:basedOn w:val="231"/>
    <w:qFormat/>
    <w:uiPriority w:val="21"/>
    <w:rPr>
      <w:i/>
      <w:iCs/>
      <w:color w:val="5B9BD5" w:themeColor="accent1"/>
      <w14:textFill>
        <w14:solidFill>
          <w14:schemeClr w14:val="accent1"/>
        </w14:solidFill>
      </w14:textFill>
    </w:rPr>
  </w:style>
  <w:style w:type="paragraph" w:styleId="362">
    <w:name w:val="Intense Quote"/>
    <w:basedOn w:val="1"/>
    <w:next w:val="1"/>
    <w:link w:val="363"/>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363">
    <w:name w:val="明显引用 字符"/>
    <w:basedOn w:val="231"/>
    <w:link w:val="362"/>
    <w:qFormat/>
    <w:uiPriority w:val="30"/>
    <w:rPr>
      <w:i/>
      <w:iCs/>
      <w:color w:val="5B9BD5" w:themeColor="accent1"/>
      <w:kern w:val="2"/>
      <w:sz w:val="21"/>
      <w:szCs w:val="24"/>
      <w14:textFill>
        <w14:solidFill>
          <w14:schemeClr w14:val="accent1"/>
        </w14:solidFill>
      </w14:textFill>
    </w:rPr>
  </w:style>
  <w:style w:type="character" w:customStyle="1" w:styleId="364">
    <w:name w:val="批注框文本 字符"/>
    <w:basedOn w:val="231"/>
    <w:link w:val="58"/>
    <w:semiHidden/>
    <w:qFormat/>
    <w:uiPriority w:val="99"/>
    <w:rPr>
      <w:kern w:val="2"/>
      <w:sz w:val="18"/>
      <w:szCs w:val="18"/>
    </w:rPr>
  </w:style>
  <w:style w:type="character" w:customStyle="1" w:styleId="365">
    <w:name w:val="批注文字 字符"/>
    <w:basedOn w:val="231"/>
    <w:link w:val="34"/>
    <w:semiHidden/>
    <w:qFormat/>
    <w:uiPriority w:val="99"/>
    <w:rPr>
      <w:kern w:val="2"/>
      <w:sz w:val="21"/>
      <w:szCs w:val="24"/>
    </w:rPr>
  </w:style>
  <w:style w:type="character" w:customStyle="1" w:styleId="366">
    <w:name w:val="批注主题 字符"/>
    <w:basedOn w:val="365"/>
    <w:link w:val="85"/>
    <w:semiHidden/>
    <w:qFormat/>
    <w:uiPriority w:val="99"/>
    <w:rPr>
      <w:b/>
      <w:bCs/>
      <w:kern w:val="2"/>
      <w:sz w:val="21"/>
      <w:szCs w:val="24"/>
    </w:rPr>
  </w:style>
  <w:style w:type="character" w:customStyle="1" w:styleId="367">
    <w:name w:val="签名 字符"/>
    <w:basedOn w:val="231"/>
    <w:link w:val="62"/>
    <w:semiHidden/>
    <w:qFormat/>
    <w:uiPriority w:val="99"/>
    <w:rPr>
      <w:kern w:val="2"/>
      <w:sz w:val="21"/>
      <w:szCs w:val="24"/>
    </w:rPr>
  </w:style>
  <w:style w:type="table" w:customStyle="1" w:styleId="368">
    <w:name w:val="清单表 1 浅色1"/>
    <w:basedOn w:val="88"/>
    <w:qFormat/>
    <w:uiPriority w:val="46"/>
    <w:tblStylePr w:type="firstRow">
      <w:rPr>
        <w:b/>
        <w:bCs/>
      </w:rPr>
      <w:tcPr>
        <w:tcBorders>
          <w:bottom w:val="single" w:color="666666" w:themeColor="text1" w:themeTint="99" w:sz="4" w:space="0"/>
        </w:tcBorders>
      </w:tcPr>
    </w:tblStylePr>
    <w:tblStylePr w:type="lastRow">
      <w:rPr>
        <w:b/>
        <w:bCs/>
      </w:rPr>
      <w:tcPr>
        <w:tcBorders>
          <w:top w:val="sing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69">
    <w:name w:val="清单表 1 浅色 - 着色 11"/>
    <w:basedOn w:val="88"/>
    <w:qFormat/>
    <w:uiPriority w:val="46"/>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0">
    <w:name w:val="清单表 1 浅色 - 着色 21"/>
    <w:basedOn w:val="88"/>
    <w:qFormat/>
    <w:uiPriority w:val="46"/>
    <w:tblStylePr w:type="firstRow">
      <w:rPr>
        <w:b/>
        <w:bCs/>
      </w:rPr>
      <w:tcPr>
        <w:tcBorders>
          <w:bottom w:val="single" w:color="F4B083" w:themeColor="accent2" w:themeTint="99" w:sz="4" w:space="0"/>
        </w:tcBorders>
      </w:tcPr>
    </w:tblStylePr>
    <w:tblStylePr w:type="lastRow">
      <w:rPr>
        <w:b/>
        <w:bCs/>
      </w:rPr>
      <w:tcPr>
        <w:tcBorders>
          <w:top w:val="sing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1">
    <w:name w:val="清单表 1 浅色 - 着色 31"/>
    <w:basedOn w:val="88"/>
    <w:qFormat/>
    <w:uiPriority w:val="46"/>
    <w:tblStylePr w:type="firstRow">
      <w:rPr>
        <w:b/>
        <w:bCs/>
      </w:rPr>
      <w:tcPr>
        <w:tcBorders>
          <w:bottom w:val="single" w:color="C8C8C8" w:themeColor="accent3" w:themeTint="99" w:sz="4" w:space="0"/>
        </w:tcBorders>
      </w:tcPr>
    </w:tblStylePr>
    <w:tblStylePr w:type="lastRow">
      <w:rPr>
        <w:b/>
        <w:bCs/>
      </w:rPr>
      <w:tcPr>
        <w:tcBorders>
          <w:top w:val="sing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72">
    <w:name w:val="清单表 1 浅色 - 着色 41"/>
    <w:basedOn w:val="88"/>
    <w:qFormat/>
    <w:uiPriority w:val="46"/>
    <w:tblStylePr w:type="firstRow">
      <w:rPr>
        <w:b/>
        <w:bCs/>
      </w:rPr>
      <w:tcPr>
        <w:tcBorders>
          <w:bottom w:val="single" w:color="FFD965" w:themeColor="accent4" w:themeTint="99" w:sz="4" w:space="0"/>
        </w:tcBorders>
      </w:tcPr>
    </w:tblStylePr>
    <w:tblStylePr w:type="lastRow">
      <w:rPr>
        <w:b/>
        <w:bCs/>
      </w:rPr>
      <w:tcPr>
        <w:tcBorders>
          <w:top w:val="sing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73">
    <w:name w:val="清单表 1 浅色 - 着色 51"/>
    <w:basedOn w:val="88"/>
    <w:qFormat/>
    <w:uiPriority w:val="46"/>
    <w:tblStylePr w:type="firstRow">
      <w:rPr>
        <w:b/>
        <w:bCs/>
      </w:rPr>
      <w:tcPr>
        <w:tcBorders>
          <w:bottom w:val="single" w:color="8EAADB" w:themeColor="accent5" w:themeTint="99" w:sz="4" w:space="0"/>
        </w:tcBorders>
      </w:tcPr>
    </w:tblStylePr>
    <w:tblStylePr w:type="lastRow">
      <w:rPr>
        <w:b/>
        <w:bCs/>
      </w:rPr>
      <w:tcPr>
        <w:tcBorders>
          <w:top w:val="sing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74">
    <w:name w:val="清单表 1 浅色 - 着色 61"/>
    <w:basedOn w:val="88"/>
    <w:qFormat/>
    <w:uiPriority w:val="46"/>
    <w:tblStylePr w:type="firstRow">
      <w:rPr>
        <w:b/>
        <w:bCs/>
      </w:rPr>
      <w:tcPr>
        <w:tcBorders>
          <w:bottom w:val="single" w:color="A8D08D" w:themeColor="accent6" w:themeTint="99" w:sz="4" w:space="0"/>
        </w:tcBorders>
      </w:tcPr>
    </w:tblStylePr>
    <w:tblStylePr w:type="lastRow">
      <w:rPr>
        <w:b/>
        <w:bCs/>
      </w:rPr>
      <w:tcPr>
        <w:tcBorders>
          <w:top w:val="sing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75">
    <w:name w:val="清单表 21"/>
    <w:basedOn w:val="88"/>
    <w:qFormat/>
    <w:uiPriority w:val="47"/>
    <w:tblPr>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6">
    <w:name w:val="清单表 2 - 着色 11"/>
    <w:basedOn w:val="88"/>
    <w:qFormat/>
    <w:uiPriority w:val="47"/>
    <w:tblPr>
      <w:tblBorders>
        <w:top w:val="single" w:color="9CC2E5" w:themeColor="accent1" w:themeTint="99" w:sz="4" w:space="0"/>
        <w:bottom w:val="single" w:color="9CC2E5" w:themeColor="accent1" w:themeTint="99" w:sz="4" w:space="0"/>
        <w:insideH w:val="single" w:color="9CC2E5"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7">
    <w:name w:val="清单表 2 - 着色 21"/>
    <w:basedOn w:val="88"/>
    <w:qFormat/>
    <w:uiPriority w:val="47"/>
    <w:tblPr>
      <w:tblBorders>
        <w:top w:val="single" w:color="F4B083" w:themeColor="accent2" w:themeTint="99" w:sz="4" w:space="0"/>
        <w:bottom w:val="single" w:color="F4B083" w:themeColor="accent2" w:themeTint="99" w:sz="4" w:space="0"/>
        <w:insideH w:val="single" w:color="F4B083"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8">
    <w:name w:val="清单表 2 - 着色 31"/>
    <w:basedOn w:val="88"/>
    <w:qFormat/>
    <w:uiPriority w:val="47"/>
    <w:tblPr>
      <w:tblBorders>
        <w:top w:val="single" w:color="C8C8C8" w:themeColor="accent3" w:themeTint="99" w:sz="4" w:space="0"/>
        <w:bottom w:val="single" w:color="C8C8C8" w:themeColor="accent3" w:themeTint="99" w:sz="4" w:space="0"/>
        <w:insideH w:val="single" w:color="C8C8C8"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79">
    <w:name w:val="清单表 2 - 着色 41"/>
    <w:basedOn w:val="88"/>
    <w:qFormat/>
    <w:uiPriority w:val="47"/>
    <w:tblPr>
      <w:tblBorders>
        <w:top w:val="single" w:color="FFD965" w:themeColor="accent4" w:themeTint="99" w:sz="4" w:space="0"/>
        <w:bottom w:val="single" w:color="FFD965" w:themeColor="accent4" w:themeTint="99" w:sz="4" w:space="0"/>
        <w:insideH w:val="single" w:color="FFD965"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80">
    <w:name w:val="清单表 2 - 着色 51"/>
    <w:basedOn w:val="88"/>
    <w:qFormat/>
    <w:uiPriority w:val="47"/>
    <w:tblPr>
      <w:tblBorders>
        <w:top w:val="single" w:color="8EAADB" w:themeColor="accent5" w:themeTint="99" w:sz="4" w:space="0"/>
        <w:bottom w:val="single" w:color="8EAADB" w:themeColor="accent5" w:themeTint="99" w:sz="4" w:space="0"/>
        <w:insideH w:val="single" w:color="8EAADB"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81">
    <w:name w:val="清单表 2 - 着色 61"/>
    <w:basedOn w:val="88"/>
    <w:qFormat/>
    <w:uiPriority w:val="47"/>
    <w:tblPr>
      <w:tblBorders>
        <w:top w:val="single" w:color="A8D08D" w:themeColor="accent6" w:themeTint="99" w:sz="4" w:space="0"/>
        <w:bottom w:val="single" w:color="A8D08D" w:themeColor="accent6" w:themeTint="99" w:sz="4" w:space="0"/>
        <w:insideH w:val="single" w:color="A8D08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82">
    <w:name w:val="清单表 31"/>
    <w:basedOn w:val="88"/>
    <w:qFormat/>
    <w:uiPriority w:val="48"/>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14:textFill>
          <w14:solidFill>
            <w14:schemeClr w14:val="bg1"/>
          </w14:solidFill>
        </w14:textFill>
      </w:rPr>
      <w:tcPr>
        <w:shd w:val="clear" w:color="auto" w:fill="000000" w:themeFill="text1"/>
      </w:tcPr>
    </w:tblStylePr>
    <w:tblStylePr w:type="lastRow">
      <w:rPr>
        <w:b/>
        <w:bCs/>
      </w:rPr>
      <w:tcPr>
        <w:tcBorders>
          <w:top w:val="double" w:color="000000" w:themeColor="tex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383">
    <w:name w:val="清单表 3 - 着色 11"/>
    <w:basedOn w:val="88"/>
    <w:qFormat/>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FFFFF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table" w:customStyle="1" w:styleId="384">
    <w:name w:val="清单表 3 - 着色 21"/>
    <w:basedOn w:val="88"/>
    <w:qFormat/>
    <w:uiPriority w:val="48"/>
    <w:tblPr>
      <w:tblBorders>
        <w:top w:val="single" w:color="ED7D31" w:themeColor="accent2" w:sz="4" w:space="0"/>
        <w:left w:val="single" w:color="ED7D31" w:themeColor="accent2" w:sz="4" w:space="0"/>
        <w:bottom w:val="single" w:color="ED7D31" w:themeColor="accent2" w:sz="4" w:space="0"/>
        <w:right w:val="single" w:color="ED7D31" w:themeColor="accent2" w:sz="4" w:space="0"/>
      </w:tblBorders>
    </w:tblPr>
    <w:tblStylePr w:type="firstRow">
      <w:rPr>
        <w:b/>
        <w:bCs/>
        <w:color w:val="FFFFFF" w:themeColor="background1"/>
        <w14:textFill>
          <w14:solidFill>
            <w14:schemeClr w14:val="bg1"/>
          </w14:solidFill>
        </w14:textFill>
      </w:rPr>
      <w:tcPr>
        <w:shd w:val="clear" w:color="auto" w:fill="ED7D31" w:themeFill="accent2"/>
      </w:tcPr>
    </w:tblStylePr>
    <w:tblStylePr w:type="lastRow">
      <w:rPr>
        <w:b/>
        <w:bCs/>
      </w:rPr>
      <w:tcPr>
        <w:tcBorders>
          <w:top w:val="double" w:color="ED7D31" w:themeColor="accent2"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ED7D31" w:themeColor="accent2" w:sz="4" w:space="0"/>
          <w:right w:val="single" w:color="ED7D31" w:themeColor="accent2" w:sz="4" w:space="0"/>
        </w:tcBorders>
      </w:tcPr>
    </w:tblStylePr>
    <w:tblStylePr w:type="band1Horz">
      <w:tcPr>
        <w:tcBorders>
          <w:top w:val="single" w:color="ED7D31" w:themeColor="accent2" w:sz="4" w:space="0"/>
          <w:bottom w:val="single" w:color="ED7D31"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ED7D31" w:themeColor="accent2" w:sz="4" w:space="0"/>
          <w:left w:val="nil"/>
        </w:tcBorders>
      </w:tcPr>
    </w:tblStylePr>
    <w:tblStylePr w:type="swCell">
      <w:tcPr>
        <w:tcBorders>
          <w:top w:val="double" w:color="ED7D31" w:themeColor="accent2" w:sz="4" w:space="0"/>
          <w:right w:val="nil"/>
        </w:tcBorders>
      </w:tcPr>
    </w:tblStylePr>
  </w:style>
  <w:style w:type="table" w:customStyle="1" w:styleId="385">
    <w:name w:val="清单表 3 - 着色 31"/>
    <w:basedOn w:val="88"/>
    <w:qFormat/>
    <w:uiPriority w:val="48"/>
    <w:tblPr>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14:textFill>
          <w14:solidFill>
            <w14:schemeClr w14:val="bg1"/>
          </w14:solidFill>
        </w14:textFill>
      </w:rPr>
      <w:tcPr>
        <w:shd w:val="clear" w:color="auto" w:fill="A5A5A5" w:themeFill="accent3"/>
      </w:tcPr>
    </w:tblStylePr>
    <w:tblStylePr w:type="lastRow">
      <w:rPr>
        <w:b/>
        <w:bCs/>
      </w:rPr>
      <w:tcPr>
        <w:tcBorders>
          <w:top w:val="double" w:color="A5A5A5" w:themeColor="accent3"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A5A5A5" w:themeColor="accent3" w:sz="4" w:space="0"/>
          <w:right w:val="single" w:color="A5A5A5" w:themeColor="accent3" w:sz="4" w:space="0"/>
        </w:tcBorders>
      </w:tcPr>
    </w:tblStylePr>
    <w:tblStylePr w:type="band1Horz">
      <w:tcPr>
        <w:tcBorders>
          <w:top w:val="single" w:color="A5A5A5" w:themeColor="accent3" w:sz="4" w:space="0"/>
          <w:bottom w:val="single" w:color="A5A5A5"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A5A5A5" w:themeColor="accent3" w:sz="4" w:space="0"/>
          <w:left w:val="nil"/>
        </w:tcBorders>
      </w:tcPr>
    </w:tblStylePr>
    <w:tblStylePr w:type="swCell">
      <w:tcPr>
        <w:tcBorders>
          <w:top w:val="double" w:color="A5A5A5" w:themeColor="accent3" w:sz="4" w:space="0"/>
          <w:right w:val="nil"/>
        </w:tcBorders>
      </w:tcPr>
    </w:tblStylePr>
  </w:style>
  <w:style w:type="table" w:customStyle="1" w:styleId="386">
    <w:name w:val="清单表 3 - 着色 41"/>
    <w:basedOn w:val="88"/>
    <w:qFormat/>
    <w:uiPriority w:val="48"/>
    <w:tblPr>
      <w:tblBorders>
        <w:top w:val="single" w:color="FFC000" w:themeColor="accent4" w:sz="4" w:space="0"/>
        <w:left w:val="single" w:color="FFC000" w:themeColor="accent4" w:sz="4" w:space="0"/>
        <w:bottom w:val="single" w:color="FFC000" w:themeColor="accent4" w:sz="4" w:space="0"/>
        <w:right w:val="single" w:color="FFC000" w:themeColor="accent4" w:sz="4" w:space="0"/>
      </w:tblBorders>
    </w:tblPr>
    <w:tblStylePr w:type="firstRow">
      <w:rPr>
        <w:b/>
        <w:bCs/>
        <w:color w:val="FFFFFF" w:themeColor="background1"/>
        <w14:textFill>
          <w14:solidFill>
            <w14:schemeClr w14:val="bg1"/>
          </w14:solidFill>
        </w14:textFill>
      </w:rPr>
      <w:tcPr>
        <w:shd w:val="clear" w:color="auto" w:fill="FFC000" w:themeFill="accent4"/>
      </w:tcPr>
    </w:tblStylePr>
    <w:tblStylePr w:type="lastRow">
      <w:rPr>
        <w:b/>
        <w:bCs/>
      </w:rPr>
      <w:tcPr>
        <w:tcBorders>
          <w:top w:val="double" w:color="FFC000" w:themeColor="accent4"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FFC000" w:themeColor="accent4" w:sz="4" w:space="0"/>
          <w:right w:val="single" w:color="FFC000" w:themeColor="accent4" w:sz="4" w:space="0"/>
        </w:tcBorders>
      </w:tcPr>
    </w:tblStylePr>
    <w:tblStylePr w:type="band1Horz">
      <w:tcPr>
        <w:tcBorders>
          <w:top w:val="single" w:color="FFC000" w:themeColor="accent4" w:sz="4" w:space="0"/>
          <w:bottom w:val="single" w:color="FFC000"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FC000" w:themeColor="accent4" w:sz="4" w:space="0"/>
          <w:left w:val="nil"/>
        </w:tcBorders>
      </w:tcPr>
    </w:tblStylePr>
    <w:tblStylePr w:type="swCell">
      <w:tcPr>
        <w:tcBorders>
          <w:top w:val="double" w:color="FFC000" w:themeColor="accent4" w:sz="4" w:space="0"/>
          <w:right w:val="nil"/>
        </w:tcBorders>
      </w:tcPr>
    </w:tblStylePr>
  </w:style>
  <w:style w:type="table" w:customStyle="1" w:styleId="387">
    <w:name w:val="清单表 3 - 着色 51"/>
    <w:basedOn w:val="88"/>
    <w:qFormat/>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Pr>
    <w:tblStylePr w:type="firstRow">
      <w:rPr>
        <w:b/>
        <w:bCs/>
        <w:color w:val="FFFFFF" w:themeColor="background1"/>
        <w14:textFill>
          <w14:solidFill>
            <w14:schemeClr w14:val="bg1"/>
          </w14:solidFill>
        </w14:textFill>
      </w:rPr>
      <w:tcPr>
        <w:shd w:val="clear" w:color="auto" w:fill="4472C4" w:themeFill="accent5"/>
      </w:tcPr>
    </w:tblStylePr>
    <w:tblStylePr w:type="lastRow">
      <w:rPr>
        <w:b/>
        <w:bCs/>
      </w:rPr>
      <w:tcPr>
        <w:tcBorders>
          <w:top w:val="double" w:color="4472C4"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table" w:customStyle="1" w:styleId="388">
    <w:name w:val="清单表 3 - 着色 61"/>
    <w:basedOn w:val="88"/>
    <w:qFormat/>
    <w:uiPriority w:val="48"/>
    <w:tblPr>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FFFFFF" w:themeColor="background1"/>
        <w14:textFill>
          <w14:solidFill>
            <w14:schemeClr w14:val="bg1"/>
          </w14:solidFill>
        </w14:textFill>
      </w:rPr>
      <w:tcPr>
        <w:shd w:val="clear" w:color="auto" w:fill="70AD47" w:themeFill="accent6"/>
      </w:tcPr>
    </w:tblStylePr>
    <w:tblStylePr w:type="lastRow">
      <w:rPr>
        <w:b/>
        <w:bCs/>
      </w:rPr>
      <w:tcPr>
        <w:tcBorders>
          <w:top w:val="double" w:color="70AD47" w:themeColor="accent6"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70AD47" w:themeColor="accent6" w:sz="4" w:space="0"/>
          <w:right w:val="single" w:color="70AD47" w:themeColor="accent6" w:sz="4" w:space="0"/>
        </w:tcBorders>
      </w:tcPr>
    </w:tblStylePr>
    <w:tblStylePr w:type="band1Horz">
      <w:tcPr>
        <w:tcBorders>
          <w:top w:val="single" w:color="70AD47" w:themeColor="accent6" w:sz="4" w:space="0"/>
          <w:bottom w:val="single" w:color="70AD47"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70AD47" w:themeColor="accent6" w:sz="4" w:space="0"/>
          <w:left w:val="nil"/>
        </w:tcBorders>
      </w:tcPr>
    </w:tblStylePr>
    <w:tblStylePr w:type="swCell">
      <w:tcPr>
        <w:tcBorders>
          <w:top w:val="double" w:color="70AD47" w:themeColor="accent6" w:sz="4" w:space="0"/>
          <w:right w:val="nil"/>
        </w:tcBorders>
      </w:tcPr>
    </w:tblStylePr>
  </w:style>
  <w:style w:type="table" w:customStyle="1" w:styleId="389">
    <w:name w:val="清单表 4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90">
    <w:name w:val="清单表 4 - 着色 1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91">
    <w:name w:val="清单表 4 - 着色 21"/>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92">
    <w:name w:val="清单表 4 - 着色 31"/>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93">
    <w:name w:val="清单表 4 - 着色 41"/>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94">
    <w:name w:val="清单表 4 - 着色 51"/>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95">
    <w:name w:val="清单表 4 - 着色 61"/>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96">
    <w:name w:val="清单表 5 深色1"/>
    <w:basedOn w:val="88"/>
    <w:qFormat/>
    <w:uiPriority w:val="50"/>
    <w:rPr>
      <w:color w:val="FFFFFF" w:themeColor="background1"/>
      <w14:textFill>
        <w14:solidFill>
          <w14:schemeClr w14:val="bg1"/>
        </w14:solidFill>
      </w14:textFill>
    </w:rPr>
    <w:tblPr>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97">
    <w:name w:val="清单表 5 深色 - 着色 11"/>
    <w:basedOn w:val="88"/>
    <w:qFormat/>
    <w:uiPriority w:val="50"/>
    <w:rPr>
      <w:color w:val="FFFFFF" w:themeColor="background1"/>
      <w14:textFill>
        <w14:solidFill>
          <w14:schemeClr w14:val="bg1"/>
        </w14:solidFill>
      </w14:textFill>
    </w:rPr>
    <w:tblPr>
      <w:tblBorders>
        <w:top w:val="single" w:color="5B9BD5" w:themeColor="accent1" w:sz="24" w:space="0"/>
        <w:left w:val="single" w:color="5B9BD5" w:themeColor="accent1" w:sz="24" w:space="0"/>
        <w:bottom w:val="single" w:color="5B9BD5" w:themeColor="accent1" w:sz="24" w:space="0"/>
        <w:right w:val="single" w:color="5B9BD5" w:themeColor="accent1" w:sz="24" w:space="0"/>
      </w:tblBorders>
    </w:tblPr>
    <w:tcPr>
      <w:shd w:val="clear" w:color="auto" w:fill="5B9BD5" w:themeFill="accen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98">
    <w:name w:val="清单表 5 深色 - 着色 21"/>
    <w:basedOn w:val="88"/>
    <w:qFormat/>
    <w:uiPriority w:val="50"/>
    <w:rPr>
      <w:color w:val="FFFFFF" w:themeColor="background1"/>
      <w14:textFill>
        <w14:solidFill>
          <w14:schemeClr w14:val="bg1"/>
        </w14:solidFill>
      </w14:textFill>
    </w:rPr>
    <w:tblPr>
      <w:tblBorders>
        <w:top w:val="single" w:color="ED7D31" w:themeColor="accent2" w:sz="24" w:space="0"/>
        <w:left w:val="single" w:color="ED7D31" w:themeColor="accent2" w:sz="24" w:space="0"/>
        <w:bottom w:val="single" w:color="ED7D31" w:themeColor="accent2" w:sz="24" w:space="0"/>
        <w:right w:val="single" w:color="ED7D31" w:themeColor="accent2" w:sz="24" w:space="0"/>
      </w:tblBorders>
    </w:tblPr>
    <w:tcPr>
      <w:shd w:val="clear" w:color="auto" w:fill="ED7D31" w:themeFill="accent2"/>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99">
    <w:name w:val="清单表 5 深色 - 着色 31"/>
    <w:basedOn w:val="88"/>
    <w:qFormat/>
    <w:uiPriority w:val="50"/>
    <w:rPr>
      <w:color w:val="FFFFFF" w:themeColor="background1"/>
      <w14:textFill>
        <w14:solidFill>
          <w14:schemeClr w14:val="bg1"/>
        </w14:solidFill>
      </w14:textFill>
    </w:rPr>
    <w:tblPr>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0">
    <w:name w:val="清单表 5 深色 - 着色 41"/>
    <w:basedOn w:val="88"/>
    <w:qFormat/>
    <w:uiPriority w:val="50"/>
    <w:rPr>
      <w:color w:val="FFFFFF" w:themeColor="background1"/>
      <w14:textFill>
        <w14:solidFill>
          <w14:schemeClr w14:val="bg1"/>
        </w14:solidFill>
      </w14:textFill>
    </w:rPr>
    <w:tblPr>
      <w:tblBorders>
        <w:top w:val="single" w:color="FFC000" w:themeColor="accent4" w:sz="24" w:space="0"/>
        <w:left w:val="single" w:color="FFC000" w:themeColor="accent4" w:sz="24" w:space="0"/>
        <w:bottom w:val="single" w:color="FFC000" w:themeColor="accent4" w:sz="24" w:space="0"/>
        <w:right w:val="single" w:color="FFC000" w:themeColor="accent4" w:sz="24" w:space="0"/>
      </w:tblBorders>
    </w:tblPr>
    <w:tcPr>
      <w:shd w:val="clear" w:color="auto" w:fill="FFC000" w:themeFill="accent4"/>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1">
    <w:name w:val="清单表 5 深色 - 着色 51"/>
    <w:basedOn w:val="88"/>
    <w:qFormat/>
    <w:uiPriority w:val="50"/>
    <w:rPr>
      <w:color w:val="FFFFFF" w:themeColor="background1"/>
      <w14:textFill>
        <w14:solidFill>
          <w14:schemeClr w14:val="bg1"/>
        </w14:solidFill>
      </w14:textFill>
    </w:rPr>
    <w:tblPr>
      <w:tblBorders>
        <w:top w:val="single" w:color="4472C4" w:themeColor="accent5" w:sz="24" w:space="0"/>
        <w:left w:val="single" w:color="4472C4" w:themeColor="accent5" w:sz="24" w:space="0"/>
        <w:bottom w:val="single" w:color="4472C4" w:themeColor="accent5" w:sz="24" w:space="0"/>
        <w:right w:val="single" w:color="4472C4" w:themeColor="accent5" w:sz="24" w:space="0"/>
      </w:tblBorders>
    </w:tblPr>
    <w:tcPr>
      <w:shd w:val="clear" w:color="auto" w:fill="4472C4" w:themeFill="accent5"/>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2">
    <w:name w:val="清单表 5 深色 - 着色 61"/>
    <w:basedOn w:val="88"/>
    <w:qFormat/>
    <w:uiPriority w:val="50"/>
    <w:rPr>
      <w:color w:val="FFFFFF" w:themeColor="background1"/>
      <w14:textFill>
        <w14:solidFill>
          <w14:schemeClr w14:val="bg1"/>
        </w14:solidFill>
      </w14:textFill>
    </w:rPr>
    <w:tblPr>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Pr>
    <w:tcPr>
      <w:shd w:val="clear" w:color="auto" w:fill="70AD47" w:themeFill="accent6"/>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3">
    <w:name w:val="清单表 6 彩色1"/>
    <w:basedOn w:val="88"/>
    <w:qFormat/>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04">
    <w:name w:val="清单表 6 彩色 - 着色 11"/>
    <w:basedOn w:val="88"/>
    <w:qFormat/>
    <w:uiPriority w:val="51"/>
    <w:rPr>
      <w:color w:val="2E75B6" w:themeColor="accent1" w:themeShade="BF"/>
    </w:rPr>
    <w:tblPr>
      <w:tblBorders>
        <w:top w:val="single" w:color="5B9BD5" w:themeColor="accent1" w:sz="4" w:space="0"/>
        <w:bottom w:val="single" w:color="5B9BD5" w:themeColor="accent1" w:sz="4" w:space="0"/>
      </w:tblBorders>
    </w:tblPr>
    <w:tblStylePr w:type="firstRow">
      <w:rPr>
        <w:b/>
        <w:bCs/>
      </w:rPr>
      <w:tcPr>
        <w:tcBorders>
          <w:bottom w:val="single" w:color="5B9BD5" w:themeColor="accent1" w:sz="4" w:space="0"/>
        </w:tcBorders>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05">
    <w:name w:val="清单表 6 彩色 - 着色 21"/>
    <w:basedOn w:val="88"/>
    <w:qFormat/>
    <w:uiPriority w:val="51"/>
    <w:rPr>
      <w:color w:val="C55A11" w:themeColor="accent2" w:themeShade="BF"/>
    </w:rPr>
    <w:tblPr>
      <w:tblBorders>
        <w:top w:val="single" w:color="ED7D31" w:themeColor="accent2" w:sz="4" w:space="0"/>
        <w:bottom w:val="single" w:color="ED7D31" w:themeColor="accent2" w:sz="4" w:space="0"/>
      </w:tblBorders>
    </w:tblPr>
    <w:tblStylePr w:type="firstRow">
      <w:rPr>
        <w:b/>
        <w:bCs/>
      </w:rPr>
      <w:tcPr>
        <w:tcBorders>
          <w:bottom w:val="single" w:color="ED7D31" w:themeColor="accent2" w:sz="4" w:space="0"/>
        </w:tcBorders>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06">
    <w:name w:val="清单表 6 彩色 - 着色 31"/>
    <w:basedOn w:val="88"/>
    <w:qFormat/>
    <w:uiPriority w:val="51"/>
    <w:rPr>
      <w:color w:val="7C7C7C" w:themeColor="accent3" w:themeShade="BF"/>
    </w:rPr>
    <w:tblPr>
      <w:tblBorders>
        <w:top w:val="single" w:color="A5A5A5" w:themeColor="accent3" w:sz="4" w:space="0"/>
        <w:bottom w:val="single" w:color="A5A5A5" w:themeColor="accent3" w:sz="4" w:space="0"/>
      </w:tblBorders>
    </w:tblPr>
    <w:tblStylePr w:type="firstRow">
      <w:rPr>
        <w:b/>
        <w:bCs/>
      </w:rPr>
      <w:tcPr>
        <w:tcBorders>
          <w:bottom w:val="single" w:color="A5A5A5" w:themeColor="accent3" w:sz="4" w:space="0"/>
        </w:tcBorders>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07">
    <w:name w:val="清单表 6 彩色 - 着色 41"/>
    <w:basedOn w:val="88"/>
    <w:qFormat/>
    <w:uiPriority w:val="51"/>
    <w:rPr>
      <w:color w:val="BF9000" w:themeColor="accent4" w:themeShade="BF"/>
    </w:rPr>
    <w:tblPr>
      <w:tblBorders>
        <w:top w:val="single" w:color="FFC000" w:themeColor="accent4" w:sz="4" w:space="0"/>
        <w:bottom w:val="single" w:color="FFC000" w:themeColor="accent4" w:sz="4" w:space="0"/>
      </w:tblBorders>
    </w:tblPr>
    <w:tblStylePr w:type="firstRow">
      <w:rPr>
        <w:b/>
        <w:bCs/>
      </w:rPr>
      <w:tcPr>
        <w:tcBorders>
          <w:bottom w:val="single" w:color="FFC000" w:themeColor="accent4" w:sz="4" w:space="0"/>
        </w:tcBorders>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08">
    <w:name w:val="清单表 6 彩色 - 着色 51"/>
    <w:basedOn w:val="88"/>
    <w:qFormat/>
    <w:uiPriority w:val="51"/>
    <w:rPr>
      <w:color w:val="2F5597" w:themeColor="accent5" w:themeShade="BF"/>
    </w:rPr>
    <w:tblPr>
      <w:tblBorders>
        <w:top w:val="single" w:color="4472C4" w:themeColor="accent5" w:sz="4" w:space="0"/>
        <w:bottom w:val="single" w:color="4472C4" w:themeColor="accent5" w:sz="4" w:space="0"/>
      </w:tblBorders>
    </w:tblPr>
    <w:tblStylePr w:type="firstRow">
      <w:rPr>
        <w:b/>
        <w:bCs/>
      </w:rPr>
      <w:tcPr>
        <w:tcBorders>
          <w:bottom w:val="single" w:color="4472C4" w:themeColor="accent5" w:sz="4" w:space="0"/>
        </w:tcBorders>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09">
    <w:name w:val="清单表 6 彩色 - 着色 61"/>
    <w:basedOn w:val="88"/>
    <w:qFormat/>
    <w:uiPriority w:val="51"/>
    <w:rPr>
      <w:color w:val="548235" w:themeColor="accent6" w:themeShade="BF"/>
    </w:rPr>
    <w:tblPr>
      <w:tblBorders>
        <w:top w:val="single" w:color="70AD47" w:themeColor="accent6" w:sz="4" w:space="0"/>
        <w:bottom w:val="single" w:color="70AD47" w:themeColor="accent6" w:sz="4" w:space="0"/>
      </w:tblBorders>
    </w:tblPr>
    <w:tblStylePr w:type="firstRow">
      <w:rPr>
        <w:b/>
        <w:bCs/>
      </w:rPr>
      <w:tcPr>
        <w:tcBorders>
          <w:bottom w:val="single" w:color="70AD47" w:themeColor="accent6" w:sz="4" w:space="0"/>
        </w:tcBorders>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10">
    <w:name w:val="清单表 7 彩色1"/>
    <w:basedOn w:val="88"/>
    <w:qFormat/>
    <w:uiPriority w:val="52"/>
    <w:rPr>
      <w:color w:val="000000" w:themeColor="text1"/>
      <w14:textFill>
        <w14:solidFill>
          <w14:schemeClr w14:val="tx1"/>
        </w14:solidFill>
      </w14:textFill>
    </w:rPr>
    <w:tblStylePr w:type="firstRow">
      <w:rPr>
        <w:rFonts w:asciiTheme="majorHAnsi" w:hAnsiTheme="majorHAnsi" w:eastAsiaTheme="majorEastAsia" w:cstheme="majorBidi"/>
        <w:i/>
        <w:iCs/>
        <w:sz w:val="26"/>
      </w:r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1">
    <w:name w:val="清单表 7 彩色 - 着色 11"/>
    <w:basedOn w:val="88"/>
    <w:qFormat/>
    <w:uiPriority w:val="52"/>
    <w:rPr>
      <w:color w:val="2E75B6" w:themeColor="accent1" w:themeShade="BF"/>
    </w:rPr>
    <w:tblStylePr w:type="firstRow">
      <w:rPr>
        <w:rFonts w:asciiTheme="majorHAnsi" w:hAnsiTheme="majorHAnsi" w:eastAsiaTheme="majorEastAsia" w:cstheme="majorBidi"/>
        <w:i/>
        <w:iCs/>
        <w:sz w:val="26"/>
      </w:rPr>
      <w:tcPr>
        <w:tcBorders>
          <w:bottom w:val="single" w:color="5B9BD5" w:themeColor="accen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5B9BD5"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5B9BD5" w:themeColor="accen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5B9BD5" w:themeColor="accent1" w:sz="4" w:space="0"/>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2">
    <w:name w:val="清单表 7 彩色 - 着色 21"/>
    <w:basedOn w:val="88"/>
    <w:qFormat/>
    <w:uiPriority w:val="52"/>
    <w:rPr>
      <w:color w:val="C55A11" w:themeColor="accent2" w:themeShade="BF"/>
    </w:rPr>
    <w:tblStylePr w:type="firstRow">
      <w:rPr>
        <w:rFonts w:asciiTheme="majorHAnsi" w:hAnsiTheme="majorHAnsi" w:eastAsiaTheme="majorEastAsia" w:cstheme="majorBidi"/>
        <w:i/>
        <w:iCs/>
        <w:sz w:val="26"/>
      </w:rPr>
      <w:tcPr>
        <w:tcBorders>
          <w:bottom w:val="single" w:color="ED7D31" w:themeColor="accent2"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ED7D31"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ED7D31" w:themeColor="accent2"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ED7D31" w:themeColor="accent2" w:sz="4" w:space="0"/>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3">
    <w:name w:val="清单表 7 彩色 - 着色 31"/>
    <w:basedOn w:val="88"/>
    <w:qFormat/>
    <w:uiPriority w:val="52"/>
    <w:rPr>
      <w:color w:val="7C7C7C" w:themeColor="accent3" w:themeShade="BF"/>
    </w:rPr>
    <w:tblStylePr w:type="firstRow">
      <w:rPr>
        <w:rFonts w:asciiTheme="majorHAnsi" w:hAnsiTheme="majorHAnsi" w:eastAsiaTheme="majorEastAsia" w:cstheme="majorBidi"/>
        <w:i/>
        <w:iCs/>
        <w:sz w:val="26"/>
      </w:r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A5A5A5" w:themeColor="accent3" w:sz="4" w:space="0"/>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4">
    <w:name w:val="清单表 7 彩色 - 着色 41"/>
    <w:basedOn w:val="88"/>
    <w:qFormat/>
    <w:uiPriority w:val="52"/>
    <w:rPr>
      <w:color w:val="BF9000" w:themeColor="accent4" w:themeShade="BF"/>
    </w:rPr>
    <w:tblStylePr w:type="firstRow">
      <w:rPr>
        <w:rFonts w:asciiTheme="majorHAnsi" w:hAnsiTheme="majorHAnsi" w:eastAsiaTheme="majorEastAsia" w:cstheme="majorBidi"/>
        <w:i/>
        <w:iCs/>
        <w:sz w:val="26"/>
      </w:rPr>
      <w:tcPr>
        <w:tcBorders>
          <w:bottom w:val="single" w:color="FFC000" w:themeColor="accent4"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FFC000"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FFC000" w:themeColor="accent4"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FFC000" w:themeColor="accent4" w:sz="4" w:space="0"/>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5">
    <w:name w:val="清单表 7 彩色 - 着色 51"/>
    <w:basedOn w:val="88"/>
    <w:qFormat/>
    <w:uiPriority w:val="52"/>
    <w:rPr>
      <w:color w:val="2F5597" w:themeColor="accent5" w:themeShade="BF"/>
    </w:rPr>
    <w:tblStylePr w:type="firstRow">
      <w:rPr>
        <w:rFonts w:asciiTheme="majorHAnsi" w:hAnsiTheme="majorHAnsi" w:eastAsiaTheme="majorEastAsia" w:cstheme="majorBidi"/>
        <w:i/>
        <w:iCs/>
        <w:sz w:val="26"/>
      </w:rPr>
      <w:tcPr>
        <w:tcBorders>
          <w:bottom w:val="single" w:color="4472C4" w:themeColor="accent5"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4472C4"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4472C4" w:themeColor="accent5"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4472C4" w:themeColor="accent5" w:sz="4" w:space="0"/>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6">
    <w:name w:val="清单表 7 彩色 - 着色 61"/>
    <w:basedOn w:val="88"/>
    <w:qFormat/>
    <w:uiPriority w:val="52"/>
    <w:rPr>
      <w:color w:val="548235" w:themeColor="accent6" w:themeShade="BF"/>
    </w:rPr>
    <w:tblStylePr w:type="firstRow">
      <w:rPr>
        <w:rFonts w:asciiTheme="majorHAnsi" w:hAnsiTheme="majorHAnsi" w:eastAsiaTheme="majorEastAsia" w:cstheme="majorBidi"/>
        <w:i/>
        <w:iCs/>
        <w:sz w:val="26"/>
      </w:rPr>
      <w:tcPr>
        <w:tcBorders>
          <w:bottom w:val="single" w:color="70AD47" w:themeColor="accent6"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0AD4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0AD47" w:themeColor="accent6"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0AD47" w:themeColor="accent6" w:sz="4" w:space="0"/>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417">
    <w:name w:val="日期 字符"/>
    <w:basedOn w:val="231"/>
    <w:link w:val="54"/>
    <w:semiHidden/>
    <w:qFormat/>
    <w:uiPriority w:val="99"/>
    <w:rPr>
      <w:kern w:val="2"/>
      <w:sz w:val="21"/>
      <w:szCs w:val="24"/>
    </w:rPr>
  </w:style>
  <w:style w:type="character" w:customStyle="1" w:styleId="418">
    <w:name w:val="书籍标题1"/>
    <w:basedOn w:val="231"/>
    <w:qFormat/>
    <w:uiPriority w:val="33"/>
    <w:rPr>
      <w:b/>
      <w:bCs/>
      <w:i/>
      <w:iCs/>
      <w:spacing w:val="5"/>
    </w:rPr>
  </w:style>
  <w:style w:type="paragraph" w:customStyle="1" w:styleId="419">
    <w:name w:val="书目1"/>
    <w:basedOn w:val="1"/>
    <w:next w:val="1"/>
    <w:semiHidden/>
    <w:unhideWhenUsed/>
    <w:qFormat/>
    <w:uiPriority w:val="37"/>
  </w:style>
  <w:style w:type="table" w:customStyle="1" w:styleId="420">
    <w:name w:val="网格表 1 浅色1"/>
    <w:basedOn w:val="88"/>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421">
    <w:name w:val="网格表 1 浅色 - 着色 11"/>
    <w:basedOn w:val="88"/>
    <w:qFormat/>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table" w:customStyle="1" w:styleId="422">
    <w:name w:val="网格表 1 浅色 - 着色 21"/>
    <w:basedOn w:val="88"/>
    <w:qFormat/>
    <w:uiPriority w:val="46"/>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table" w:customStyle="1" w:styleId="423">
    <w:name w:val="网格表 1 浅色 - 着色 31"/>
    <w:basedOn w:val="88"/>
    <w:qFormat/>
    <w:uiPriority w:val="46"/>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table" w:customStyle="1" w:styleId="424">
    <w:name w:val="网格表 1 浅色 - 着色 41"/>
    <w:basedOn w:val="88"/>
    <w:qFormat/>
    <w:uiPriority w:val="46"/>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table" w:customStyle="1" w:styleId="425">
    <w:name w:val="网格表 1 浅色 - 着色 51"/>
    <w:basedOn w:val="88"/>
    <w:qFormat/>
    <w:uiPriority w:val="46"/>
    <w:tblPr>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2" w:space="0"/>
        </w:tcBorders>
      </w:tcPr>
    </w:tblStylePr>
    <w:tblStylePr w:type="firstCol">
      <w:rPr>
        <w:b/>
        <w:bCs/>
      </w:rPr>
    </w:tblStylePr>
    <w:tblStylePr w:type="lastCol">
      <w:rPr>
        <w:b/>
        <w:bCs/>
      </w:rPr>
    </w:tblStylePr>
  </w:style>
  <w:style w:type="table" w:customStyle="1" w:styleId="426">
    <w:name w:val="网格表 1 浅色 - 着色 61"/>
    <w:basedOn w:val="88"/>
    <w:qFormat/>
    <w:uiPriority w:val="46"/>
    <w:tblPr>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2" w:space="0"/>
        </w:tcBorders>
      </w:tcPr>
    </w:tblStylePr>
    <w:tblStylePr w:type="firstCol">
      <w:rPr>
        <w:b/>
        <w:bCs/>
      </w:rPr>
    </w:tblStylePr>
    <w:tblStylePr w:type="lastCol">
      <w:rPr>
        <w:b/>
        <w:bCs/>
      </w:rPr>
    </w:tblStylePr>
  </w:style>
  <w:style w:type="table" w:customStyle="1" w:styleId="427">
    <w:name w:val="网格表 21"/>
    <w:basedOn w:val="88"/>
    <w:qFormat/>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28">
    <w:name w:val="网格表 2 - 着色 11"/>
    <w:basedOn w:val="88"/>
    <w:qFormat/>
    <w:uiPriority w:val="47"/>
    <w:tblPr>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Pr>
    <w:tblStylePr w:type="firstRow">
      <w:rPr>
        <w:b/>
        <w:bCs/>
      </w:rPr>
      <w:tcPr>
        <w:tcBorders>
          <w:top w:val="nil"/>
          <w:bottom w:val="single" w:color="9CC2E5" w:themeColor="accent1" w:themeTint="99" w:sz="12" w:space="0"/>
          <w:insideH w:val="nil"/>
          <w:insideV w:val="nil"/>
        </w:tcBorders>
        <w:shd w:val="clear" w:color="auto" w:fill="FFFFFF" w:themeFill="background1"/>
      </w:tcPr>
    </w:tblStylePr>
    <w:tblStylePr w:type="lastRow">
      <w:rPr>
        <w:b/>
        <w:bCs/>
      </w:rPr>
      <w:tcPr>
        <w:tcBorders>
          <w:top w:val="double" w:color="9CC2E5"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29">
    <w:name w:val="网格表 2 - 着色 21"/>
    <w:basedOn w:val="88"/>
    <w:qFormat/>
    <w:uiPriority w:val="47"/>
    <w:tblPr>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Pr>
    <w:tblStylePr w:type="firstRow">
      <w:rPr>
        <w:b/>
        <w:bCs/>
      </w:rPr>
      <w:tcPr>
        <w:tcBorders>
          <w:top w:val="nil"/>
          <w:bottom w:val="single" w:color="F4B083" w:themeColor="accent2" w:themeTint="99" w:sz="12" w:space="0"/>
          <w:insideH w:val="nil"/>
          <w:insideV w:val="nil"/>
        </w:tcBorders>
        <w:shd w:val="clear" w:color="auto" w:fill="FFFFFF" w:themeFill="background1"/>
      </w:tcPr>
    </w:tblStylePr>
    <w:tblStylePr w:type="lastRow">
      <w:rPr>
        <w:b/>
        <w:bCs/>
      </w:rPr>
      <w:tcPr>
        <w:tcBorders>
          <w:top w:val="double" w:color="F4B0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30">
    <w:name w:val="网格表 2 - 着色 31"/>
    <w:basedOn w:val="88"/>
    <w:qFormat/>
    <w:uiPriority w:val="47"/>
    <w:tblPr>
      <w:tblBorders>
        <w:top w:val="single" w:color="C8C8C8" w:themeColor="accent3" w:themeTint="99" w:sz="2" w:space="0"/>
        <w:bottom w:val="single" w:color="C8C8C8" w:themeColor="accent3" w:themeTint="99" w:sz="2" w:space="0"/>
        <w:insideH w:val="single" w:color="C8C8C8" w:themeColor="accent3" w:themeTint="99" w:sz="2" w:space="0"/>
        <w:insideV w:val="single" w:color="C8C8C8" w:themeColor="accent3" w:themeTint="99" w:sz="2" w:space="0"/>
      </w:tblBorders>
    </w:tblPr>
    <w:tblStylePr w:type="firstRow">
      <w:rPr>
        <w:b/>
        <w:bCs/>
      </w:rPr>
      <w:tcPr>
        <w:tcBorders>
          <w:top w:val="nil"/>
          <w:bottom w:val="single" w:color="C8C8C8" w:themeColor="accent3" w:themeTint="99" w:sz="12" w:space="0"/>
          <w:insideH w:val="nil"/>
          <w:insideV w:val="nil"/>
        </w:tcBorders>
        <w:shd w:val="clear" w:color="auto" w:fill="FFFFFF" w:themeFill="background1"/>
      </w:tcPr>
    </w:tblStylePr>
    <w:tblStylePr w:type="lastRow">
      <w:rPr>
        <w:b/>
        <w:bCs/>
      </w:rPr>
      <w:tcPr>
        <w:tcBorders>
          <w:top w:val="double" w:color="C8C8C8"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31">
    <w:name w:val="网格表 2 - 着色 41"/>
    <w:basedOn w:val="88"/>
    <w:qFormat/>
    <w:uiPriority w:val="47"/>
    <w:tblPr>
      <w:tblBorders>
        <w:top w:val="single" w:color="FFD965" w:themeColor="accent4" w:themeTint="99" w:sz="2" w:space="0"/>
        <w:bottom w:val="single" w:color="FFD965" w:themeColor="accent4" w:themeTint="99" w:sz="2" w:space="0"/>
        <w:insideH w:val="single" w:color="FFD965" w:themeColor="accent4" w:themeTint="99" w:sz="2" w:space="0"/>
        <w:insideV w:val="single" w:color="FFD965" w:themeColor="accent4" w:themeTint="99" w:sz="2" w:space="0"/>
      </w:tblBorders>
    </w:tblPr>
    <w:tblStylePr w:type="firstRow">
      <w:rPr>
        <w:b/>
        <w:bCs/>
      </w:rPr>
      <w:tcPr>
        <w:tcBorders>
          <w:top w:val="nil"/>
          <w:bottom w:val="single" w:color="FFD965" w:themeColor="accent4" w:themeTint="99" w:sz="12" w:space="0"/>
          <w:insideH w:val="nil"/>
          <w:insideV w:val="nil"/>
        </w:tcBorders>
        <w:shd w:val="clear" w:color="auto" w:fill="FFFFFF" w:themeFill="background1"/>
      </w:tcPr>
    </w:tblStylePr>
    <w:tblStylePr w:type="lastRow">
      <w:rPr>
        <w:b/>
        <w:bCs/>
      </w:rPr>
      <w:tcPr>
        <w:tcBorders>
          <w:top w:val="double" w:color="FFD965"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32">
    <w:name w:val="网格表 2 - 着色 51"/>
    <w:basedOn w:val="88"/>
    <w:qFormat/>
    <w:uiPriority w:val="47"/>
    <w:tblPr>
      <w:tblBorders>
        <w:top w:val="single" w:color="8EAADB" w:themeColor="accent5" w:themeTint="99" w:sz="2" w:space="0"/>
        <w:bottom w:val="single" w:color="8EAADB" w:themeColor="accent5" w:themeTint="99" w:sz="2" w:space="0"/>
        <w:insideH w:val="single" w:color="8EAADB" w:themeColor="accent5" w:themeTint="99" w:sz="2" w:space="0"/>
        <w:insideV w:val="single" w:color="8EAADB" w:themeColor="accent5" w:themeTint="99" w:sz="2" w:space="0"/>
      </w:tblBorders>
    </w:tblPr>
    <w:tblStylePr w:type="firstRow">
      <w:rPr>
        <w:b/>
        <w:bCs/>
      </w:rPr>
      <w:tcPr>
        <w:tcBorders>
          <w:top w:val="nil"/>
          <w:bottom w:val="single" w:color="8EAADB" w:themeColor="accent5" w:themeTint="99" w:sz="12" w:space="0"/>
          <w:insideH w:val="nil"/>
          <w:insideV w:val="nil"/>
        </w:tcBorders>
        <w:shd w:val="clear" w:color="auto" w:fill="FFFFFF" w:themeFill="background1"/>
      </w:tcPr>
    </w:tblStylePr>
    <w:tblStylePr w:type="lastRow">
      <w:rPr>
        <w:b/>
        <w:bCs/>
      </w:rPr>
      <w:tcPr>
        <w:tcBorders>
          <w:top w:val="double" w:color="8EAADB"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33">
    <w:name w:val="网格表 2 - 着色 61"/>
    <w:basedOn w:val="88"/>
    <w:qFormat/>
    <w:uiPriority w:val="47"/>
    <w:tblPr>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Pr>
    <w:tblStylePr w:type="firstRow">
      <w:rPr>
        <w:b/>
        <w:bCs/>
      </w:rPr>
      <w:tcPr>
        <w:tcBorders>
          <w:top w:val="nil"/>
          <w:bottom w:val="single" w:color="A8D08D" w:themeColor="accent6" w:themeTint="99" w:sz="12" w:space="0"/>
          <w:insideH w:val="nil"/>
          <w:insideV w:val="nil"/>
        </w:tcBorders>
        <w:shd w:val="clear" w:color="auto" w:fill="FFFFFF" w:themeFill="background1"/>
      </w:tcPr>
    </w:tblStylePr>
    <w:tblStylePr w:type="lastRow">
      <w:rPr>
        <w:b/>
        <w:bCs/>
      </w:rPr>
      <w:tcPr>
        <w:tcBorders>
          <w:top w:val="double" w:color="A8D08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34">
    <w:name w:val="网格表 31"/>
    <w:basedOn w:val="88"/>
    <w:qFormat/>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35">
    <w:name w:val="网格表 3 - 着色 11"/>
    <w:basedOn w:val="88"/>
    <w:qFormat/>
    <w:uiPriority w:val="48"/>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36">
    <w:name w:val="网格表 3 - 着色 21"/>
    <w:basedOn w:val="88"/>
    <w:qFormat/>
    <w:uiPriority w:val="48"/>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37">
    <w:name w:val="网格表 3 - 着色 31"/>
    <w:basedOn w:val="88"/>
    <w:qFormat/>
    <w:uiPriority w:val="48"/>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38">
    <w:name w:val="网格表 3 - 着色 41"/>
    <w:basedOn w:val="88"/>
    <w:qFormat/>
    <w:uiPriority w:val="48"/>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39">
    <w:name w:val="网格表 3 - 着色 51"/>
    <w:basedOn w:val="88"/>
    <w:qFormat/>
    <w:uiPriority w:val="48"/>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40">
    <w:name w:val="网格表 3 - 着色 61"/>
    <w:basedOn w:val="88"/>
    <w:qFormat/>
    <w:uiPriority w:val="48"/>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41">
    <w:name w:val="网格表 4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42">
    <w:name w:val="网格表 4 - 着色 1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43">
    <w:name w:val="网格表 4 - 着色 21"/>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44">
    <w:name w:val="网格表 4 - 着色 31"/>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45">
    <w:name w:val="网格表 4 - 着色 41"/>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46">
    <w:name w:val="网格表 4 - 着色 51"/>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47">
    <w:name w:val="网格表 4 - 着色 61"/>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48">
    <w:name w:val="网格表 5 深色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449">
    <w:name w:val="网格表 5 深色 - 着色 1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cPr>
        <w:shd w:val="clear" w:color="auto" w:fill="BDD6EE" w:themeFill="accent1" w:themeFillTint="66"/>
      </w:tcPr>
    </w:tblStylePr>
    <w:tblStylePr w:type="band1Horz">
      <w:tcPr>
        <w:shd w:val="clear" w:color="auto" w:fill="BDD6EE" w:themeFill="accent1" w:themeFillTint="66"/>
      </w:tcPr>
    </w:tblStylePr>
  </w:style>
  <w:style w:type="table" w:customStyle="1" w:styleId="450">
    <w:name w:val="网格表 5 深色 - 着色 2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4D5" w:themeFill="accent2"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D31" w:themeFill="accent2"/>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D31" w:themeFill="accent2"/>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D31" w:themeFill="accent2"/>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451">
    <w:name w:val="网格表 5 深色 - 着色 3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CECEC" w:themeFill="accent3"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cPr>
        <w:shd w:val="clear" w:color="auto" w:fill="DADADA" w:themeFill="accent3" w:themeFillTint="66"/>
      </w:tcPr>
    </w:tblStylePr>
    <w:tblStylePr w:type="band1Horz">
      <w:tcPr>
        <w:shd w:val="clear" w:color="auto" w:fill="DADADA" w:themeFill="accent3" w:themeFillTint="66"/>
      </w:tcPr>
    </w:tblStylePr>
  </w:style>
  <w:style w:type="table" w:customStyle="1" w:styleId="452">
    <w:name w:val="网格表 5 深色 - 着色 4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EF2C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C000"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C000"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C000"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453">
    <w:name w:val="网格表 5 深色 - 着色 5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5"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5"/>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5"/>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5"/>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454">
    <w:name w:val="网格表 5 深色 - 着色 6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2EFD9" w:themeFill="accent6"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table" w:customStyle="1" w:styleId="455">
    <w:name w:val="网格表 6 彩色1"/>
    <w:basedOn w:val="88"/>
    <w:qFormat/>
    <w:uiPriority w:val="51"/>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56">
    <w:name w:val="网格表 6 彩色 - 着色 11"/>
    <w:basedOn w:val="88"/>
    <w:qFormat/>
    <w:uiPriority w:val="51"/>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57">
    <w:name w:val="网格表 6 彩色 - 着色 21"/>
    <w:basedOn w:val="88"/>
    <w:qFormat/>
    <w:uiPriority w:val="51"/>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58">
    <w:name w:val="网格表 6 彩色 - 着色 31"/>
    <w:basedOn w:val="88"/>
    <w:qFormat/>
    <w:uiPriority w:val="51"/>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59">
    <w:name w:val="网格表 6 彩色 - 着色 41"/>
    <w:basedOn w:val="88"/>
    <w:qFormat/>
    <w:uiPriority w:val="51"/>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60">
    <w:name w:val="网格表 6 彩色 - 着色 51"/>
    <w:basedOn w:val="88"/>
    <w:qFormat/>
    <w:uiPriority w:val="51"/>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61">
    <w:name w:val="网格表 6 彩色 - 着色 61"/>
    <w:basedOn w:val="88"/>
    <w:qFormat/>
    <w:uiPriority w:val="51"/>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62">
    <w:name w:val="网格表 7 彩色1"/>
    <w:basedOn w:val="88"/>
    <w:qFormat/>
    <w:uiPriority w:val="52"/>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63">
    <w:name w:val="网格表 7 彩色 - 着色 11"/>
    <w:basedOn w:val="88"/>
    <w:qFormat/>
    <w:uiPriority w:val="52"/>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64">
    <w:name w:val="网格表 7 彩色 - 着色 21"/>
    <w:basedOn w:val="88"/>
    <w:qFormat/>
    <w:uiPriority w:val="52"/>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65">
    <w:name w:val="网格表 7 彩色 - 着色 31"/>
    <w:basedOn w:val="88"/>
    <w:qFormat/>
    <w:uiPriority w:val="52"/>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66">
    <w:name w:val="网格表 7 彩色 - 着色 41"/>
    <w:basedOn w:val="88"/>
    <w:qFormat/>
    <w:uiPriority w:val="52"/>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67">
    <w:name w:val="网格表 7 彩色 - 着色 51"/>
    <w:basedOn w:val="88"/>
    <w:qFormat/>
    <w:uiPriority w:val="52"/>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68">
    <w:name w:val="网格表 7 彩色 - 着色 61"/>
    <w:basedOn w:val="88"/>
    <w:qFormat/>
    <w:uiPriority w:val="52"/>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69">
    <w:name w:val="网格型浅色1"/>
    <w:basedOn w:val="88"/>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470">
    <w:name w:val="尾注文本 字符"/>
    <w:basedOn w:val="231"/>
    <w:link w:val="56"/>
    <w:semiHidden/>
    <w:qFormat/>
    <w:uiPriority w:val="99"/>
    <w:rPr>
      <w:kern w:val="2"/>
      <w:sz w:val="21"/>
      <w:szCs w:val="24"/>
    </w:rPr>
  </w:style>
  <w:style w:type="character" w:customStyle="1" w:styleId="471">
    <w:name w:val="文档结构图 字符"/>
    <w:basedOn w:val="231"/>
    <w:link w:val="32"/>
    <w:semiHidden/>
    <w:qFormat/>
    <w:uiPriority w:val="99"/>
    <w:rPr>
      <w:rFonts w:ascii="Microsoft YaHei UI" w:eastAsia="Microsoft YaHei UI"/>
      <w:kern w:val="2"/>
      <w:sz w:val="18"/>
      <w:szCs w:val="18"/>
    </w:rPr>
  </w:style>
  <w:style w:type="table" w:customStyle="1" w:styleId="472">
    <w:name w:val="无格式表格 11"/>
    <w:basedOn w:val="88"/>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3">
    <w:name w:val="无格式表格 21"/>
    <w:basedOn w:val="88"/>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474">
    <w:name w:val="无格式表格 31"/>
    <w:basedOn w:val="88"/>
    <w:qFormat/>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475">
    <w:name w:val="无格式表格 41"/>
    <w:basedOn w:val="88"/>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6">
    <w:name w:val="无格式表格 51"/>
    <w:basedOn w:val="88"/>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styleId="47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478">
    <w:name w:val="信息标题 字符"/>
    <w:basedOn w:val="231"/>
    <w:link w:val="79"/>
    <w:semiHidden/>
    <w:qFormat/>
    <w:uiPriority w:val="99"/>
    <w:rPr>
      <w:rFonts w:asciiTheme="majorHAnsi" w:hAnsiTheme="majorHAnsi" w:eastAsiaTheme="majorEastAsia" w:cstheme="majorBidi"/>
      <w:kern w:val="2"/>
      <w:sz w:val="24"/>
      <w:szCs w:val="24"/>
      <w:shd w:val="pct20" w:color="auto" w:fill="auto"/>
    </w:rPr>
  </w:style>
  <w:style w:type="paragraph" w:styleId="479">
    <w:name w:val="Quote"/>
    <w:basedOn w:val="1"/>
    <w:next w:val="1"/>
    <w:link w:val="480"/>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480">
    <w:name w:val="引用 字符"/>
    <w:basedOn w:val="231"/>
    <w:link w:val="479"/>
    <w:qFormat/>
    <w:uiPriority w:val="29"/>
    <w:rPr>
      <w:i/>
      <w:iCs/>
      <w:color w:val="404040" w:themeColor="text1" w:themeTint="BF"/>
      <w:kern w:val="2"/>
      <w:sz w:val="21"/>
      <w:szCs w:val="24"/>
      <w14:textFill>
        <w14:solidFill>
          <w14:schemeClr w14:val="tx1">
            <w14:lumMod w14:val="75000"/>
            <w14:lumOff w14:val="25000"/>
          </w14:schemeClr>
        </w14:solidFill>
      </w14:textFill>
    </w:rPr>
  </w:style>
  <w:style w:type="character" w:styleId="481">
    <w:name w:val="Placeholder Text"/>
    <w:basedOn w:val="231"/>
    <w:semiHidden/>
    <w:qFormat/>
    <w:uiPriority w:val="99"/>
    <w:rPr>
      <w:color w:val="808080"/>
    </w:rPr>
  </w:style>
  <w:style w:type="character" w:customStyle="1" w:styleId="482">
    <w:name w:val="正文文本首行缩进 字符"/>
    <w:basedOn w:val="332"/>
    <w:link w:val="86"/>
    <w:semiHidden/>
    <w:qFormat/>
    <w:uiPriority w:val="99"/>
    <w:rPr>
      <w:kern w:val="2"/>
      <w:sz w:val="21"/>
      <w:szCs w:val="24"/>
    </w:rPr>
  </w:style>
  <w:style w:type="character" w:customStyle="1" w:styleId="483">
    <w:name w:val="正文文本缩进 字符"/>
    <w:basedOn w:val="231"/>
    <w:link w:val="41"/>
    <w:semiHidden/>
    <w:qFormat/>
    <w:uiPriority w:val="99"/>
    <w:rPr>
      <w:kern w:val="2"/>
      <w:sz w:val="21"/>
      <w:szCs w:val="24"/>
    </w:rPr>
  </w:style>
  <w:style w:type="character" w:customStyle="1" w:styleId="484">
    <w:name w:val="正文文本首行缩进 2 字符"/>
    <w:basedOn w:val="483"/>
    <w:link w:val="87"/>
    <w:semiHidden/>
    <w:qFormat/>
    <w:uiPriority w:val="99"/>
    <w:rPr>
      <w:kern w:val="2"/>
      <w:sz w:val="21"/>
      <w:szCs w:val="24"/>
    </w:rPr>
  </w:style>
  <w:style w:type="character" w:customStyle="1" w:styleId="485">
    <w:name w:val="正文文本 2 字符"/>
    <w:basedOn w:val="231"/>
    <w:link w:val="76"/>
    <w:semiHidden/>
    <w:qFormat/>
    <w:uiPriority w:val="99"/>
    <w:rPr>
      <w:kern w:val="2"/>
      <w:sz w:val="21"/>
      <w:szCs w:val="24"/>
    </w:rPr>
  </w:style>
  <w:style w:type="character" w:customStyle="1" w:styleId="486">
    <w:name w:val="正文文本 3 字符"/>
    <w:basedOn w:val="231"/>
    <w:link w:val="37"/>
    <w:semiHidden/>
    <w:qFormat/>
    <w:uiPriority w:val="99"/>
    <w:rPr>
      <w:kern w:val="2"/>
      <w:sz w:val="16"/>
      <w:szCs w:val="16"/>
    </w:rPr>
  </w:style>
  <w:style w:type="character" w:customStyle="1" w:styleId="487">
    <w:name w:val="正文文本缩进 2 字符"/>
    <w:basedOn w:val="231"/>
    <w:link w:val="55"/>
    <w:semiHidden/>
    <w:qFormat/>
    <w:uiPriority w:val="99"/>
    <w:rPr>
      <w:kern w:val="2"/>
      <w:sz w:val="21"/>
      <w:szCs w:val="24"/>
    </w:rPr>
  </w:style>
  <w:style w:type="character" w:customStyle="1" w:styleId="488">
    <w:name w:val="正文文本缩进 3 字符"/>
    <w:basedOn w:val="231"/>
    <w:link w:val="71"/>
    <w:semiHidden/>
    <w:qFormat/>
    <w:uiPriority w:val="99"/>
    <w:rPr>
      <w:kern w:val="2"/>
      <w:sz w:val="16"/>
      <w:szCs w:val="16"/>
    </w:rPr>
  </w:style>
  <w:style w:type="character" w:customStyle="1" w:styleId="489">
    <w:name w:val="注释标题 字符"/>
    <w:basedOn w:val="231"/>
    <w:link w:val="22"/>
    <w:semiHidden/>
    <w:qFormat/>
    <w:uiPriority w:val="99"/>
    <w:rPr>
      <w:kern w:val="2"/>
      <w:sz w:val="21"/>
      <w:szCs w:val="24"/>
    </w:rPr>
  </w:style>
  <w:style w:type="paragraph" w:customStyle="1" w:styleId="490">
    <w:name w:val="附录无标题章"/>
    <w:basedOn w:val="276"/>
    <w:next w:val="276"/>
    <w:qFormat/>
    <w:uiPriority w:val="0"/>
    <w:pPr>
      <w:spacing w:before="0" w:beforeLines="0" w:after="0" w:afterLines="0"/>
      <w:outlineLvl w:val="9"/>
    </w:pPr>
    <w:rPr>
      <w:rFonts w:ascii="宋体" w:eastAsiaTheme="majorEastAsia"/>
    </w:rPr>
  </w:style>
  <w:style w:type="paragraph" w:customStyle="1" w:styleId="491">
    <w:name w:val="附录一级无标题条"/>
    <w:basedOn w:val="277"/>
    <w:qFormat/>
    <w:uiPriority w:val="0"/>
    <w:pPr>
      <w:spacing w:before="0" w:beforeLines="0" w:after="0" w:afterLines="0"/>
      <w:outlineLvl w:val="9"/>
    </w:pPr>
    <w:rPr>
      <w:rFonts w:asciiTheme="majorEastAsia" w:eastAsiaTheme="majorEastAsia"/>
    </w:rPr>
  </w:style>
  <w:style w:type="paragraph" w:customStyle="1" w:styleId="492">
    <w:name w:val="附录二级无标题条"/>
    <w:basedOn w:val="278"/>
    <w:qFormat/>
    <w:uiPriority w:val="0"/>
    <w:pPr>
      <w:spacing w:before="0" w:beforeLines="0" w:after="0" w:afterLines="0"/>
      <w:outlineLvl w:val="9"/>
    </w:pPr>
    <w:rPr>
      <w:rFonts w:asciiTheme="majorEastAsia" w:eastAsiaTheme="majorEastAsia"/>
    </w:rPr>
  </w:style>
  <w:style w:type="paragraph" w:customStyle="1" w:styleId="493">
    <w:name w:val="附录三级无标题条"/>
    <w:basedOn w:val="279"/>
    <w:qFormat/>
    <w:uiPriority w:val="0"/>
    <w:pPr>
      <w:spacing w:before="0" w:beforeLines="0" w:after="0" w:afterLines="0"/>
      <w:outlineLvl w:val="9"/>
    </w:pPr>
    <w:rPr>
      <w:rFonts w:asciiTheme="majorEastAsia" w:eastAsiaTheme="majorEastAsia"/>
    </w:rPr>
  </w:style>
  <w:style w:type="paragraph" w:customStyle="1" w:styleId="494">
    <w:name w:val="附录四级无标题条"/>
    <w:basedOn w:val="280"/>
    <w:qFormat/>
    <w:uiPriority w:val="0"/>
    <w:pPr>
      <w:spacing w:before="0" w:beforeLines="0" w:after="0" w:afterLines="0"/>
      <w:outlineLvl w:val="9"/>
    </w:pPr>
    <w:rPr>
      <w:rFonts w:asciiTheme="majorEastAsia" w:eastAsiaTheme="majorEastAsia"/>
    </w:rPr>
  </w:style>
  <w:style w:type="paragraph" w:customStyle="1" w:styleId="495">
    <w:name w:val="发布DB"/>
    <w:basedOn w:val="335"/>
    <w:qFormat/>
    <w:uiPriority w:val="0"/>
    <w:pPr>
      <w:ind w:left="567"/>
    </w:pPr>
  </w:style>
  <w:style w:type="paragraph" w:customStyle="1" w:styleId="496">
    <w:name w:val="发布HB"/>
    <w:basedOn w:val="335"/>
    <w:qFormat/>
    <w:uiPriority w:val="0"/>
    <w:pPr>
      <w:ind w:left="567"/>
    </w:pPr>
  </w:style>
  <w:style w:type="paragraph" w:customStyle="1" w:styleId="497">
    <w:name w:val="发布QB"/>
    <w:basedOn w:val="335"/>
    <w:qFormat/>
    <w:uiPriority w:val="0"/>
    <w:pPr>
      <w:ind w:left="567"/>
    </w:pPr>
  </w:style>
  <w:style w:type="paragraph" w:customStyle="1" w:styleId="498">
    <w:name w:val="标准标志TB"/>
    <w:basedOn w:val="344"/>
    <w:qFormat/>
    <w:uiPriority w:val="0"/>
  </w:style>
  <w:style w:type="paragraph" w:customStyle="1" w:styleId="499">
    <w:name w:val="标准称谓TB"/>
    <w:basedOn w:val="338"/>
    <w:qFormat/>
    <w:uiPriority w:val="0"/>
    <w:pPr>
      <w:jc w:val="center"/>
    </w:pPr>
  </w:style>
  <w:style w:type="paragraph" w:customStyle="1" w:styleId="500">
    <w:name w:val="发布TB"/>
    <w:basedOn w:val="335"/>
    <w:qFormat/>
    <w:uiPriority w:val="0"/>
    <w:pPr>
      <w:ind w:left="567"/>
    </w:pPr>
  </w:style>
  <w:style w:type="paragraph" w:customStyle="1" w:styleId="501">
    <w:name w:val="发布部门TB"/>
    <w:basedOn w:val="342"/>
    <w:qFormat/>
    <w:uiPriority w:val="0"/>
  </w:style>
  <w:style w:type="paragraph" w:customStyle="1" w:styleId="502">
    <w:name w:val="标准标志CEC"/>
    <w:basedOn w:val="1"/>
    <w:qFormat/>
    <w:uiPriority w:val="0"/>
    <w:pPr>
      <w:jc w:val="right"/>
    </w:pPr>
    <w:rPr>
      <w:rFonts w:eastAsia="Times New Roman"/>
      <w:b/>
      <w:sz w:val="96"/>
    </w:rPr>
  </w:style>
  <w:style w:type="paragraph" w:customStyle="1" w:styleId="503">
    <w:name w:val="标准称谓CEC"/>
    <w:basedOn w:val="1"/>
    <w:qFormat/>
    <w:uiPriority w:val="0"/>
    <w:pPr>
      <w:jc w:val="center"/>
    </w:pPr>
    <w:rPr>
      <w:rFonts w:eastAsia="黑体"/>
      <w:b/>
      <w:w w:val="132"/>
      <w:kern w:val="0"/>
      <w:sz w:val="52"/>
    </w:rPr>
  </w:style>
  <w:style w:type="paragraph" w:customStyle="1" w:styleId="504">
    <w:name w:val="发布CEC"/>
    <w:basedOn w:val="335"/>
    <w:qFormat/>
    <w:uiPriority w:val="0"/>
  </w:style>
  <w:style w:type="paragraph" w:customStyle="1" w:styleId="505">
    <w:name w:val="发布部门CEC"/>
    <w:basedOn w:val="1"/>
    <w:qFormat/>
    <w:uiPriority w:val="0"/>
    <w:pPr>
      <w:snapToGrid w:val="0"/>
    </w:pPr>
    <w:rPr>
      <w:b/>
      <w:w w:val="135"/>
      <w:kern w:val="0"/>
      <w:sz w:val="36"/>
    </w:rPr>
  </w:style>
  <w:style w:type="paragraph" w:customStyle="1" w:styleId="506">
    <w:name w:val="引言二级条标题"/>
    <w:basedOn w:val="1"/>
    <w:next w:val="258"/>
    <w:qFormat/>
    <w:uiPriority w:val="0"/>
    <w:pPr>
      <w:widowControl/>
      <w:numPr>
        <w:ilvl w:val="2"/>
        <w:numId w:val="27"/>
      </w:numPr>
      <w:autoSpaceDE w:val="0"/>
      <w:autoSpaceDN w:val="0"/>
      <w:spacing w:before="50" w:beforeLines="50" w:after="50" w:afterLines="50"/>
    </w:pPr>
    <w:rPr>
      <w:rFonts w:ascii="黑体" w:eastAsia="黑体"/>
      <w:kern w:val="0"/>
      <w:szCs w:val="20"/>
    </w:rPr>
  </w:style>
  <w:style w:type="paragraph" w:customStyle="1" w:styleId="507">
    <w:name w:val="引言二级无标题条"/>
    <w:basedOn w:val="506"/>
    <w:next w:val="258"/>
    <w:qFormat/>
    <w:uiPriority w:val="0"/>
    <w:pPr>
      <w:spacing w:before="0" w:beforeLines="0" w:after="0" w:afterLines="0" w:line="276" w:lineRule="auto"/>
    </w:pPr>
    <w:rPr>
      <w:rFonts w:ascii="宋体" w:eastAsia="宋体"/>
    </w:rPr>
  </w:style>
  <w:style w:type="paragraph" w:customStyle="1" w:styleId="508">
    <w:name w:val="引言三级条标题"/>
    <w:basedOn w:val="1"/>
    <w:next w:val="258"/>
    <w:qFormat/>
    <w:uiPriority w:val="0"/>
    <w:pPr>
      <w:widowControl/>
      <w:numPr>
        <w:ilvl w:val="3"/>
        <w:numId w:val="27"/>
      </w:numPr>
      <w:autoSpaceDE w:val="0"/>
      <w:autoSpaceDN w:val="0"/>
      <w:spacing w:before="50" w:beforeLines="50" w:after="50" w:afterLines="50"/>
    </w:pPr>
    <w:rPr>
      <w:rFonts w:ascii="黑体" w:eastAsia="黑体"/>
      <w:kern w:val="0"/>
      <w:szCs w:val="20"/>
    </w:rPr>
  </w:style>
  <w:style w:type="paragraph" w:customStyle="1" w:styleId="509">
    <w:name w:val="引言三级无标题条"/>
    <w:basedOn w:val="508"/>
    <w:next w:val="258"/>
    <w:qFormat/>
    <w:uiPriority w:val="0"/>
    <w:pPr>
      <w:spacing w:before="0" w:beforeLines="0" w:after="0" w:afterLines="0" w:line="276" w:lineRule="auto"/>
    </w:pPr>
    <w:rPr>
      <w:rFonts w:ascii="宋体" w:eastAsia="宋体"/>
    </w:rPr>
  </w:style>
  <w:style w:type="paragraph" w:customStyle="1" w:styleId="510">
    <w:name w:val="引言四级条标题"/>
    <w:basedOn w:val="1"/>
    <w:next w:val="258"/>
    <w:qFormat/>
    <w:uiPriority w:val="0"/>
    <w:pPr>
      <w:widowControl/>
      <w:numPr>
        <w:ilvl w:val="4"/>
        <w:numId w:val="27"/>
      </w:numPr>
      <w:autoSpaceDE w:val="0"/>
      <w:autoSpaceDN w:val="0"/>
      <w:spacing w:before="50" w:beforeLines="50" w:after="50" w:afterLines="50"/>
    </w:pPr>
    <w:rPr>
      <w:rFonts w:ascii="黑体" w:eastAsia="黑体"/>
      <w:kern w:val="0"/>
      <w:szCs w:val="20"/>
    </w:rPr>
  </w:style>
  <w:style w:type="paragraph" w:customStyle="1" w:styleId="511">
    <w:name w:val="引言四级无标题条"/>
    <w:basedOn w:val="510"/>
    <w:next w:val="258"/>
    <w:qFormat/>
    <w:uiPriority w:val="0"/>
    <w:pPr>
      <w:spacing w:before="0" w:beforeLines="0" w:after="0" w:afterLines="0" w:line="276" w:lineRule="auto"/>
    </w:pPr>
    <w:rPr>
      <w:rFonts w:ascii="宋体" w:eastAsia="宋体"/>
    </w:rPr>
  </w:style>
  <w:style w:type="paragraph" w:customStyle="1" w:styleId="512">
    <w:name w:val="引言五级条标题"/>
    <w:basedOn w:val="1"/>
    <w:next w:val="258"/>
    <w:qFormat/>
    <w:uiPriority w:val="0"/>
    <w:pPr>
      <w:widowControl/>
      <w:numPr>
        <w:ilvl w:val="5"/>
        <w:numId w:val="27"/>
      </w:numPr>
      <w:autoSpaceDE w:val="0"/>
      <w:autoSpaceDN w:val="0"/>
      <w:spacing w:before="50" w:beforeLines="50" w:after="50" w:afterLines="50"/>
    </w:pPr>
    <w:rPr>
      <w:rFonts w:ascii="黑体" w:eastAsia="黑体"/>
      <w:kern w:val="0"/>
      <w:szCs w:val="20"/>
    </w:rPr>
  </w:style>
  <w:style w:type="paragraph" w:customStyle="1" w:styleId="513">
    <w:name w:val="引言五级无标题条"/>
    <w:basedOn w:val="512"/>
    <w:next w:val="258"/>
    <w:qFormat/>
    <w:uiPriority w:val="0"/>
    <w:pPr>
      <w:spacing w:before="0" w:beforeLines="0" w:after="0" w:afterLines="0" w:line="276" w:lineRule="auto"/>
    </w:pPr>
    <w:rPr>
      <w:rFonts w:ascii="宋体" w:eastAsia="宋体"/>
    </w:rPr>
  </w:style>
  <w:style w:type="paragraph" w:customStyle="1" w:styleId="514">
    <w:name w:val="引言一级条标题"/>
    <w:basedOn w:val="1"/>
    <w:next w:val="258"/>
    <w:qFormat/>
    <w:uiPriority w:val="0"/>
    <w:pPr>
      <w:widowControl/>
      <w:numPr>
        <w:ilvl w:val="1"/>
        <w:numId w:val="27"/>
      </w:numPr>
      <w:autoSpaceDE w:val="0"/>
      <w:autoSpaceDN w:val="0"/>
      <w:spacing w:before="50" w:beforeLines="50" w:after="50" w:afterLines="50"/>
    </w:pPr>
    <w:rPr>
      <w:rFonts w:ascii="黑体" w:eastAsia="黑体"/>
      <w:kern w:val="0"/>
      <w:szCs w:val="20"/>
    </w:rPr>
  </w:style>
  <w:style w:type="paragraph" w:customStyle="1" w:styleId="515">
    <w:name w:val="引言一级无标题条"/>
    <w:basedOn w:val="514"/>
    <w:next w:val="258"/>
    <w:qFormat/>
    <w:uiPriority w:val="0"/>
    <w:pPr>
      <w:spacing w:before="0" w:beforeLines="0" w:after="0" w:afterLines="0" w:line="276" w:lineRule="auto"/>
    </w:pPr>
    <w:rPr>
      <w:rFonts w:ascii="宋体" w:eastAsia="宋体"/>
    </w:rPr>
  </w:style>
  <w:style w:type="paragraph" w:customStyle="1" w:styleId="516">
    <w:name w:val="表格段"/>
    <w:basedOn w:val="258"/>
    <w:qFormat/>
    <w:uiPriority w:val="0"/>
    <w:pPr>
      <w:ind w:firstLine="420"/>
    </w:pPr>
    <w:rPr>
      <w:sz w:val="18"/>
    </w:rPr>
  </w:style>
  <w:style w:type="paragraph" w:customStyle="1" w:styleId="517">
    <w:name w:val="表格正文"/>
    <w:basedOn w:val="1"/>
    <w:qFormat/>
    <w:uiPriority w:val="0"/>
    <w:rPr>
      <w:sz w:val="18"/>
    </w:rPr>
  </w:style>
  <w:style w:type="character" w:customStyle="1" w:styleId="518">
    <w:name w:val="fontstyle01"/>
    <w:basedOn w:val="231"/>
    <w:qFormat/>
    <w:uiPriority w:val="0"/>
    <w:rPr>
      <w:rFonts w:ascii="TimesNewRomanPSMT" w:hAnsi="TimesNewRomanPSMT" w:eastAsia="TimesNewRomanPSMT" w:cs="TimesNewRomanPSMT"/>
      <w:color w:val="000000"/>
      <w:sz w:val="22"/>
      <w:szCs w:val="22"/>
    </w:rPr>
  </w:style>
  <w:style w:type="character" w:customStyle="1" w:styleId="519">
    <w:name w:val="fontstyle21"/>
    <w:basedOn w:val="231"/>
    <w:qFormat/>
    <w:uiPriority w:val="0"/>
    <w:rPr>
      <w:rFonts w:ascii="宋体" w:hAnsi="宋体" w:eastAsia="宋体" w:cs="宋体"/>
      <w:color w:val="000000"/>
      <w:sz w:val="22"/>
      <w:szCs w:val="22"/>
    </w:rPr>
  </w:style>
  <w:style w:type="character" w:customStyle="1" w:styleId="520">
    <w:name w:val="fontstyle11"/>
    <w:basedOn w:val="231"/>
    <w:qFormat/>
    <w:uiPriority w:val="0"/>
    <w:rPr>
      <w:rFonts w:ascii="TimesNewRomanPSMT" w:hAnsi="TimesNewRomanPSMT" w:eastAsia="TimesNewRomanPSMT" w:cs="TimesNewRomanPSMT"/>
      <w:color w:val="000000"/>
      <w:sz w:val="22"/>
      <w:szCs w:val="22"/>
    </w:rPr>
  </w:style>
  <w:style w:type="paragraph" w:customStyle="1" w:styleId="521">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23">
    <w:name w:val="标准文件_二级无标题"/>
    <w:basedOn w:val="524"/>
    <w:qFormat/>
    <w:uiPriority w:val="0"/>
    <w:pPr>
      <w:spacing w:before="0" w:beforeLines="0" w:after="0" w:afterLines="0"/>
      <w:outlineLvl w:val="9"/>
    </w:pPr>
    <w:rPr>
      <w:rFonts w:ascii="宋体" w:eastAsia="宋体"/>
    </w:rPr>
  </w:style>
  <w:style w:type="paragraph" w:customStyle="1" w:styleId="524">
    <w:name w:val="标准文件_二级条标题"/>
    <w:next w:val="521"/>
    <w:qFormat/>
    <w:uiPriority w:val="0"/>
    <w:pPr>
      <w:widowControl w:val="0"/>
      <w:numPr>
        <w:ilvl w:val="3"/>
        <w:numId w:val="28"/>
      </w:numPr>
      <w:spacing w:before="50" w:beforeLines="50" w:after="50" w:afterLines="50"/>
      <w:ind w:left="0"/>
      <w:jc w:val="both"/>
      <w:outlineLvl w:val="2"/>
    </w:pPr>
    <w:rPr>
      <w:rFonts w:ascii="黑体" w:hAnsi="Times New Roman" w:eastAsia="黑体" w:cs="Times New Roman"/>
      <w:sz w:val="21"/>
      <w:lang w:val="en-US" w:eastAsia="zh-CN" w:bidi="ar-SA"/>
    </w:rPr>
  </w:style>
  <w:style w:type="paragraph" w:customStyle="1" w:styleId="525">
    <w:name w:val="标准文件_字母编号列项（一级）"/>
    <w:qFormat/>
    <w:uiPriority w:val="0"/>
    <w:pPr>
      <w:numPr>
        <w:ilvl w:val="0"/>
        <w:numId w:val="17"/>
      </w:numPr>
      <w:jc w:val="both"/>
    </w:pPr>
    <w:rPr>
      <w:rFonts w:ascii="宋体" w:hAnsi="Times New Roman" w:eastAsia="宋体" w:cs="Times New Roman"/>
      <w:sz w:val="21"/>
      <w:lang w:val="en-US" w:eastAsia="zh-CN" w:bidi="ar-SA"/>
    </w:rPr>
  </w:style>
  <w:style w:type="paragraph" w:customStyle="1" w:styleId="526">
    <w:name w:val="标准文件_一级条标题"/>
    <w:basedOn w:val="527"/>
    <w:next w:val="521"/>
    <w:qFormat/>
    <w:uiPriority w:val="0"/>
    <w:pPr>
      <w:numPr>
        <w:ilvl w:val="2"/>
      </w:numPr>
      <w:spacing w:before="50" w:beforeLines="50" w:after="50" w:afterLines="50"/>
      <w:outlineLvl w:val="1"/>
    </w:pPr>
  </w:style>
  <w:style w:type="paragraph" w:customStyle="1" w:styleId="527">
    <w:name w:val="标准文件_章标题"/>
    <w:next w:val="521"/>
    <w:qFormat/>
    <w:uiPriority w:val="0"/>
    <w:pPr>
      <w:numPr>
        <w:ilvl w:val="1"/>
        <w:numId w:val="28"/>
      </w:numPr>
      <w:spacing w:before="100" w:beforeLines="100" w:after="100" w:afterLines="100"/>
      <w:jc w:val="both"/>
      <w:outlineLvl w:val="0"/>
    </w:pPr>
    <w:rPr>
      <w:rFonts w:ascii="黑体" w:hAnsi="Times New Roman" w:eastAsia="黑体" w:cs="Times New Roman"/>
      <w:sz w:val="21"/>
      <w:lang w:val="en-US" w:eastAsia="zh-CN" w:bidi="ar-SA"/>
    </w:rPr>
  </w:style>
  <w:style w:type="character" w:customStyle="1" w:styleId="528">
    <w:name w:val="标题 3 字符"/>
    <w:basedOn w:val="231"/>
    <w:link w:val="5"/>
    <w:qFormat/>
    <w:uiPriority w:val="0"/>
    <w:rPr>
      <w:b/>
      <w:bCs/>
      <w:sz w:val="32"/>
      <w:szCs w:val="32"/>
    </w:rPr>
  </w:style>
  <w:style w:type="paragraph" w:customStyle="1" w:styleId="529">
    <w:name w:val="样式 正文文本 + 段前: 6 磅 行距: 多倍行距 1.4 字行"/>
    <w:qFormat/>
    <w:uiPriority w:val="0"/>
    <w:pPr>
      <w:widowControl w:val="0"/>
      <w:tabs>
        <w:tab w:val="left" w:pos="1040"/>
      </w:tabs>
      <w:adjustRightInd w:val="0"/>
      <w:snapToGrid w:val="0"/>
      <w:spacing w:beforeLines="10" w:after="120" w:afterLines="10"/>
      <w:ind w:left="964"/>
      <w:jc w:val="both"/>
    </w:pPr>
    <w:rPr>
      <w:rFonts w:ascii="Univers" w:hAnsi="Univers" w:eastAsia="Arial" w:cs="宋体"/>
      <w:sz w:val="22"/>
      <w:lang w:val="en-US" w:eastAsia="zh-CN" w:bidi="ar-SA"/>
    </w:rPr>
  </w:style>
  <w:style w:type="paragraph" w:customStyle="1" w:styleId="530">
    <w:name w:val="标准文件_目录标题"/>
    <w:basedOn w:val="1"/>
    <w:qFormat/>
    <w:uiPriority w:val="0"/>
    <w:pPr>
      <w:spacing w:after="150" w:afterLines="150"/>
      <w:jc w:val="center"/>
    </w:pPr>
    <w:rPr>
      <w:rFonts w:ascii="黑体" w:eastAsia="黑体"/>
      <w:sz w:val="32"/>
    </w:rPr>
  </w:style>
  <w:style w:type="paragraph" w:customStyle="1" w:styleId="531">
    <w:name w:val="WPSOffice手动目录 1"/>
    <w:basedOn w:val="1"/>
    <w:qFormat/>
    <w:uiPriority w:val="0"/>
    <w:pPr>
      <w:widowControl/>
      <w:jc w:val="left"/>
    </w:pPr>
    <w:rPr>
      <w:kern w:val="0"/>
      <w:sz w:val="24"/>
    </w:rPr>
  </w:style>
  <w:style w:type="paragraph" w:customStyle="1" w:styleId="532">
    <w:name w:val="三级无"/>
    <w:basedOn w:val="290"/>
    <w:qFormat/>
    <w:uiPriority w:val="0"/>
    <w:pPr>
      <w:spacing w:before="0" w:beforeLines="0" w:after="0" w:afterLines="0"/>
    </w:pPr>
    <w:rPr>
      <w:rFonts w:ascii="宋体" w:eastAsia="宋体"/>
    </w:rPr>
  </w:style>
  <w:style w:type="character" w:customStyle="1" w:styleId="533">
    <w:name w:val="五级无标题条 Char"/>
    <w:link w:val="329"/>
    <w:qFormat/>
    <w:uiPriority w:val="0"/>
    <w:rPr>
      <w:rFonts w:asciiTheme="majorEastAsia" w:eastAsiaTheme="majorEastAsia"/>
    </w:rPr>
  </w:style>
  <w:style w:type="character" w:customStyle="1" w:styleId="534">
    <w:name w:val="四级无标题条 Char"/>
    <w:link w:val="328"/>
    <w:qFormat/>
    <w:uiPriority w:val="0"/>
    <w:rPr>
      <w:rFonts w:asciiTheme="majorEastAsia" w:eastAsiaTheme="majorEastAsia"/>
    </w:rPr>
  </w:style>
  <w:style w:type="paragraph" w:customStyle="1" w:styleId="535">
    <w:name w:val="发布部门"/>
    <w:next w:val="258"/>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536">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character" w:customStyle="1" w:styleId="537">
    <w:name w:val="标题 1 字符"/>
    <w:link w:val="3"/>
    <w:qFormat/>
    <w:uiPriority w:val="0"/>
    <w:rPr>
      <w:b/>
      <w:bCs/>
      <w:kern w:val="44"/>
      <w:sz w:val="44"/>
      <w:szCs w:val="44"/>
    </w:rPr>
  </w:style>
  <w:style w:type="character" w:customStyle="1" w:styleId="538">
    <w:name w:val="标题 2 字符"/>
    <w:link w:val="4"/>
    <w:qFormat/>
    <w:uiPriority w:val="0"/>
    <w:rPr>
      <w:rFonts w:ascii="Arial" w:hAnsi="Arial" w:eastAsia="黑体"/>
      <w:b/>
      <w:bCs/>
      <w:kern w:val="2"/>
      <w:sz w:val="32"/>
      <w:szCs w:val="32"/>
    </w:rPr>
  </w:style>
  <w:style w:type="character" w:customStyle="1" w:styleId="539">
    <w:name w:val="标题 4 字符"/>
    <w:link w:val="6"/>
    <w:qFormat/>
    <w:uiPriority w:val="0"/>
    <w:rPr>
      <w:rFonts w:ascii="Arial" w:hAnsi="Arial" w:eastAsia="黑体"/>
      <w:b/>
      <w:bCs/>
      <w:kern w:val="2"/>
      <w:sz w:val="28"/>
      <w:szCs w:val="28"/>
    </w:rPr>
  </w:style>
  <w:style w:type="character" w:customStyle="1" w:styleId="540">
    <w:name w:val="页脚 字符"/>
    <w:link w:val="59"/>
    <w:qFormat/>
    <w:locked/>
    <w:uiPriority w:val="99"/>
    <w:rPr>
      <w:kern w:val="2"/>
      <w:sz w:val="18"/>
      <w:szCs w:val="18"/>
    </w:rPr>
  </w:style>
  <w:style w:type="character" w:customStyle="1" w:styleId="541">
    <w:name w:val="页眉 字符"/>
    <w:link w:val="61"/>
    <w:semiHidden/>
    <w:qFormat/>
    <w:locked/>
    <w:uiPriority w:val="99"/>
    <w:rPr>
      <w:kern w:val="2"/>
      <w:sz w:val="18"/>
      <w:szCs w:val="18"/>
    </w:rPr>
  </w:style>
  <w:style w:type="character" w:customStyle="1" w:styleId="542">
    <w:name w:val="项文 Char"/>
    <w:link w:val="543"/>
    <w:qFormat/>
    <w:locked/>
    <w:uiPriority w:val="99"/>
    <w:rPr>
      <w:sz w:val="21"/>
      <w:szCs w:val="21"/>
    </w:rPr>
  </w:style>
  <w:style w:type="paragraph" w:customStyle="1" w:styleId="543">
    <w:name w:val="项文"/>
    <w:basedOn w:val="1"/>
    <w:link w:val="542"/>
    <w:qFormat/>
    <w:uiPriority w:val="99"/>
    <w:pPr>
      <w:spacing w:line="360" w:lineRule="auto"/>
      <w:ind w:firstLine="300" w:firstLineChars="300"/>
    </w:pPr>
    <w:rPr>
      <w:kern w:val="0"/>
      <w:szCs w:val="21"/>
    </w:rPr>
  </w:style>
  <w:style w:type="character" w:customStyle="1" w:styleId="544">
    <w:name w:val="条文{858D7CFB-ED40-4347-BF05-701D383B685F}"/>
    <w:link w:val="545"/>
    <w:qFormat/>
    <w:uiPriority w:val="0"/>
    <w:rPr>
      <w:kern w:val="2"/>
      <w:sz w:val="21"/>
      <w:szCs w:val="24"/>
    </w:rPr>
  </w:style>
  <w:style w:type="paragraph" w:customStyle="1" w:styleId="545">
    <w:name w:val="条文"/>
    <w:basedOn w:val="1"/>
    <w:link w:val="544"/>
    <w:qFormat/>
    <w:uiPriority w:val="0"/>
    <w:pPr>
      <w:spacing w:line="360" w:lineRule="auto"/>
    </w:pPr>
  </w:style>
  <w:style w:type="character" w:customStyle="1" w:styleId="546">
    <w:name w:val="款文 Char"/>
    <w:link w:val="547"/>
    <w:qFormat/>
    <w:locked/>
    <w:uiPriority w:val="99"/>
    <w:rPr>
      <w:sz w:val="18"/>
      <w:szCs w:val="18"/>
    </w:rPr>
  </w:style>
  <w:style w:type="paragraph" w:customStyle="1" w:styleId="547">
    <w:name w:val="款文"/>
    <w:basedOn w:val="1"/>
    <w:link w:val="546"/>
    <w:qFormat/>
    <w:uiPriority w:val="99"/>
    <w:pPr>
      <w:spacing w:line="360" w:lineRule="auto"/>
      <w:ind w:firstLine="420" w:firstLineChars="200"/>
    </w:pPr>
    <w:rPr>
      <w:kern w:val="0"/>
      <w:sz w:val="18"/>
      <w:szCs w:val="18"/>
    </w:rPr>
  </w:style>
  <w:style w:type="paragraph" w:customStyle="1" w:styleId="548">
    <w:name w:val="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49">
    <w:name w:val="0609 条款首行(带编号)"/>
    <w:basedOn w:val="1"/>
    <w:qFormat/>
    <w:uiPriority w:val="0"/>
  </w:style>
  <w:style w:type="paragraph" w:customStyle="1" w:styleId="550">
    <w:name w:val="Char Char Char Char"/>
    <w:basedOn w:val="1"/>
    <w:qFormat/>
    <w:uiPriority w:val="0"/>
    <w:pPr>
      <w:widowControl/>
      <w:spacing w:after="160" w:line="240" w:lineRule="exact"/>
      <w:jc w:val="left"/>
    </w:pPr>
    <w:rPr>
      <w:rFonts w:ascii="Verdana" w:hAnsi="Verdana" w:cs="Verdana"/>
      <w:kern w:val="0"/>
      <w:sz w:val="20"/>
      <w:szCs w:val="20"/>
      <w:lang w:eastAsia="en-US"/>
    </w:rPr>
  </w:style>
  <w:style w:type="paragraph" w:customStyle="1" w:styleId="551">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552">
    <w:name w:val="0609 正文-0"/>
    <w:basedOn w:val="1"/>
    <w:qFormat/>
    <w:uiPriority w:val="0"/>
    <w:pPr>
      <w:ind w:firstLine="420"/>
    </w:pPr>
  </w:style>
  <w:style w:type="paragraph" w:customStyle="1" w:styleId="553">
    <w:name w:val="TOC Heading"/>
    <w:basedOn w:val="3"/>
    <w:next w:val="1"/>
    <w:qFormat/>
    <w:uiPriority w:val="39"/>
    <w:pPr>
      <w:widowControl/>
      <w:spacing w:before="240" w:after="0" w:line="259" w:lineRule="auto"/>
      <w:jc w:val="left"/>
      <w:outlineLvl w:val="9"/>
    </w:pPr>
    <w:rPr>
      <w:rFonts w:ascii="等线 Light" w:hAnsi="等线 Light" w:eastAsia="等线 Light"/>
      <w:b w:val="0"/>
      <w:bCs w:val="0"/>
      <w:color w:val="2E74B5"/>
      <w:kern w:val="0"/>
      <w:sz w:val="32"/>
      <w:szCs w:val="32"/>
    </w:rPr>
  </w:style>
  <w:style w:type="paragraph" w:customStyle="1" w:styleId="554">
    <w:name w:val="二级无"/>
    <w:basedOn w:val="261"/>
    <w:qFormat/>
    <w:uiPriority w:val="0"/>
    <w:pPr>
      <w:numPr>
        <w:ilvl w:val="3"/>
        <w:numId w:val="3"/>
      </w:numPr>
      <w:tabs>
        <w:tab w:val="left" w:pos="360"/>
      </w:tabs>
      <w:spacing w:before="0" w:beforeLines="0" w:after="0" w:afterLines="0"/>
      <w:jc w:val="both"/>
      <w:outlineLvl w:val="3"/>
    </w:pPr>
    <w:rPr>
      <w:szCs w:val="22"/>
    </w:rPr>
  </w:style>
  <w:style w:type="paragraph" w:customStyle="1" w:styleId="555">
    <w:name w:val="标准文件_三级无标题"/>
    <w:basedOn w:val="1"/>
    <w:qFormat/>
    <w:uiPriority w:val="0"/>
    <w:pPr>
      <w:widowControl/>
    </w:pPr>
    <w:rPr>
      <w:rFonts w:ascii="宋体"/>
      <w:kern w:val="0"/>
      <w:szCs w:val="20"/>
    </w:rPr>
  </w:style>
  <w:style w:type="paragraph" w:customStyle="1" w:styleId="556">
    <w:name w:val="标准文件_四级无标题"/>
    <w:basedOn w:val="1"/>
    <w:qFormat/>
    <w:uiPriority w:val="0"/>
    <w:pPr>
      <w:tabs>
        <w:tab w:val="left" w:pos="2520"/>
      </w:tabs>
      <w:ind w:left="1986" w:hanging="420"/>
    </w:pPr>
    <w:rPr>
      <w:rFonts w:ascii="宋体" w:hAnsi="黑体"/>
      <w:kern w:val="0"/>
      <w:szCs w:val="52"/>
    </w:rPr>
  </w:style>
  <w:style w:type="paragraph" w:customStyle="1" w:styleId="557">
    <w:name w:val="25号令-正文."/>
    <w:basedOn w:val="1"/>
    <w:qFormat/>
    <w:uiPriority w:val="0"/>
    <w:pPr>
      <w:widowControl/>
      <w:ind w:firstLine="420" w:firstLineChars="200"/>
    </w:pPr>
    <w:rPr>
      <w:rFonts w:ascii="宋体" w:hAnsi="宋体"/>
      <w:kern w:val="0"/>
      <w:szCs w:val="21"/>
    </w:rPr>
  </w:style>
  <w:style w:type="paragraph" w:customStyle="1" w:styleId="558">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559">
    <w:name w:val="xspcurrentitem10"/>
    <w:qFormat/>
    <w:uiPriority w:val="0"/>
    <w:rPr>
      <w:color w:val="848484"/>
    </w:rPr>
  </w:style>
  <w:style w:type="character" w:customStyle="1" w:styleId="560">
    <w:name w:val="dijitarrowbuttoninner16"/>
    <w:qFormat/>
    <w:uiPriority w:val="0"/>
    <w:rPr>
      <w:vanish/>
    </w:rPr>
  </w:style>
  <w:style w:type="character" w:customStyle="1" w:styleId="561">
    <w:name w:val="button"/>
    <w:qFormat/>
    <w:uiPriority w:val="0"/>
  </w:style>
  <w:style w:type="character" w:customStyle="1" w:styleId="562">
    <w:name w:val="tmpztreemove_arrow"/>
    <w:qFormat/>
    <w:uiPriority w:val="0"/>
  </w:style>
  <w:style w:type="character" w:customStyle="1" w:styleId="563">
    <w:name w:val="xspcurrentitem6"/>
    <w:qFormat/>
    <w:uiPriority w:val="0"/>
    <w:rPr>
      <w:color w:val="848484"/>
    </w:rPr>
  </w:style>
  <w:style w:type="paragraph" w:customStyle="1" w:styleId="564">
    <w:name w:val="标准文件_一级项"/>
    <w:qFormat/>
    <w:uiPriority w:val="0"/>
    <w:pPr>
      <w:numPr>
        <w:ilvl w:val="0"/>
        <w:numId w:val="7"/>
      </w:numPr>
      <w:tabs>
        <w:tab w:val="left" w:pos="851"/>
      </w:tabs>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4" Type="http://schemas.openxmlformats.org/officeDocument/2006/relationships/glossaryDocument" Target="glossary/document.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6.png"/><Relationship Id="rId3" Type="http://schemas.openxmlformats.org/officeDocument/2006/relationships/header" Target="header1.xml"/><Relationship Id="rId29" Type="http://schemas.openxmlformats.org/officeDocument/2006/relationships/image" Target="media/image5.png"/><Relationship Id="rId28" Type="http://schemas.openxmlformats.org/officeDocument/2006/relationships/image" Target="media/image4.png"/><Relationship Id="rId27" Type="http://schemas.openxmlformats.org/officeDocument/2006/relationships/image" Target="media/image3.png"/><Relationship Id="rId26" Type="http://schemas.openxmlformats.org/officeDocument/2006/relationships/image" Target="media/image2.png"/><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header" Target="header9.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F:\opt\apps\zb.s20190614095159591\files\bin\C:\Users\haojm\AppData\Roaming\&#26631;&#20934;&#32534;&#20889;WPS\bzbx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9BE852335354B25A9A1502BD6B4F871"/>
        <w:style w:val=""/>
        <w:category>
          <w:name w:val="常规"/>
          <w:gallery w:val="placeholder"/>
        </w:category>
        <w:types>
          <w:type w:val="bbPlcHdr"/>
        </w:types>
        <w:behaviors>
          <w:behavior w:val="content"/>
        </w:behaviors>
        <w:description w:val=""/>
        <w:guid w:val="{217E8AD6-D0C5-4280-9F7C-798E10C55AAF}"/>
      </w:docPartPr>
      <w:docPartBody>
        <w:p w14:paraId="5D549DCF">
          <w:pPr>
            <w:pStyle w:val="5"/>
            <w:rPr>
              <w:rFonts w:hint="eastAsia"/>
            </w:rPr>
          </w:pPr>
          <w:r>
            <w:rPr>
              <w:rStyle w:val="4"/>
              <w:rFonts w:hint="eastAsia"/>
            </w:rPr>
            <w:t>选择一项。</w:t>
          </w:r>
        </w:p>
      </w:docPartBody>
    </w:docPart>
    <w:docPart>
      <w:docPartPr>
        <w:name w:val="F15AA0937B0E4072B2014D8F39C268A5"/>
        <w:style w:val=""/>
        <w:category>
          <w:name w:val="常规"/>
          <w:gallery w:val="placeholder"/>
        </w:category>
        <w:types>
          <w:type w:val="bbPlcHdr"/>
        </w:types>
        <w:behaviors>
          <w:behavior w:val="content"/>
        </w:behaviors>
        <w:description w:val=""/>
        <w:guid w:val="{A2B14580-3EBB-43F2-A275-C429E093176D}"/>
      </w:docPartPr>
      <w:docPartBody>
        <w:p w14:paraId="1FBF1605">
          <w:pPr>
            <w:pStyle w:val="6"/>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ADB"/>
    <w:rsid w:val="00041393"/>
    <w:rsid w:val="005841D1"/>
    <w:rsid w:val="00592E19"/>
    <w:rsid w:val="00886798"/>
    <w:rsid w:val="008D2ADB"/>
    <w:rsid w:val="009506DE"/>
    <w:rsid w:val="009F3D01"/>
    <w:rsid w:val="00AA5CBE"/>
    <w:rsid w:val="00B12C9B"/>
    <w:rsid w:val="00B55016"/>
    <w:rsid w:val="00BB6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cs="Times New Roman" w:asciiTheme="minorHAnsi" w:hAnsiTheme="minorHAnsi" w:eastAsiaTheme="minorEastAsia"/>
      <w:kern w:val="2"/>
      <w:sz w:val="3276"/>
      <w:szCs w:val="3276"/>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9BE852335354B25A9A1502BD6B4F87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15AA0937B0E4072B2014D8F39C268A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bzbx20.dotx</Template>
  <Pages>132</Pages>
  <Words>98819</Words>
  <Characters>107584</Characters>
  <Lines>863</Lines>
  <Paragraphs>243</Paragraphs>
  <TotalTime>2</TotalTime>
  <ScaleCrop>false</ScaleCrop>
  <LinksUpToDate>false</LinksUpToDate>
  <CharactersWithSpaces>108857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2023-09-01T22:15:00Z</dcterms:created>
  <dc:creator>haojm</dc:creator>
  <cp:lastModifiedBy>一开心月</cp:lastModifiedBy>
  <cp:lastPrinted>2024-08-14T21:46:00Z</cp:lastPrinted>
  <dcterms:modified xsi:type="dcterms:W3CDTF">2025-01-15T09:45:27Z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32571E5BBEE44446863AE6F021AE014B_13</vt:lpwstr>
  </property>
  <property fmtid="{D5CDD505-2E9C-101B-9397-08002B2CF9AE}" pid="4" name="条文说明标记" linkTarget="条文说明标记">
    <vt:lpwstr>无</vt:lpwstr>
  </property>
  <property fmtid="{D5CDD505-2E9C-101B-9397-08002B2CF9AE}" pid="5" name="文件标记" linkTarget="文件标记">
    <vt:lpwstr>蓝元软件</vt:lpwstr>
  </property>
  <property fmtid="{D5CDD505-2E9C-101B-9397-08002B2CF9AE}" pid="6" name="标准版本" linkTarget="标准版本">
    <vt:lpwstr>2020</vt:lpwstr>
  </property>
  <property fmtid="{D5CDD505-2E9C-101B-9397-08002B2CF9AE}" pid="7" name="ICS" linkTarget="ICS">
    <vt:lpwstr>ICS13.100</vt:lpwstr>
  </property>
  <property fmtid="{D5CDD505-2E9C-101B-9397-08002B2CF9AE}" pid="8" name="CCS" linkTarget="CCS">
    <vt:lpwstr>CCSE09</vt:lpwstr>
  </property>
  <property fmtid="{D5CDD505-2E9C-101B-9397-08002B2CF9AE}" pid="9" name="BAH" linkTarget="BAH">
    <vt:lpwstr>备案号：</vt:lpwstr>
  </property>
  <property fmtid="{D5CDD505-2E9C-101B-9397-08002B2CF9AE}" pid="10" name="BT" linkTarget="BT">
    <vt:lpwstr>中华人民共和国国家标准</vt:lpwstr>
  </property>
  <property fmtid="{D5CDD505-2E9C-101B-9397-08002B2CF9AE}" pid="11" name="BZBH" linkTarget="BZBH">
    <vt:lpwstr>GB</vt:lpwstr>
  </property>
  <property fmtid="{D5CDD505-2E9C-101B-9397-08002B2CF9AE}" pid="12" name="TDBH" linkTarget="TDBH">
    <vt:lpwstr/>
  </property>
  <property fmtid="{D5CDD505-2E9C-101B-9397-08002B2CF9AE}" pid="13" name="BZMC" linkTarget="BZMC">
    <vt:lpwstr>海洋石油固定平台安全规范</vt:lpwstr>
  </property>
  <property fmtid="{D5CDD505-2E9C-101B-9397-08002B2CF9AE}" pid="14" name="YWMC" linkTarget="YWMC">
    <vt:lpwstr>Safety specification for offshore fixed platforms</vt:lpwstr>
  </property>
  <property fmtid="{D5CDD505-2E9C-101B-9397-08002B2CF9AE}" pid="15" name="CBCD" linkTarget="CBCD">
    <vt:lpwstr>（与国际标准一致性程度的标识）</vt:lpwstr>
  </property>
  <property fmtid="{D5CDD505-2E9C-101B-9397-08002B2CF9AE}" pid="16" name="WGLB" linkTarget="WGLB">
    <vt:lpwstr>（不设文稿类别）</vt:lpwstr>
  </property>
  <property fmtid="{D5CDD505-2E9C-101B-9397-08002B2CF9AE}" pid="17" name="FBRQ" linkTarget="FBRQ">
    <vt:lpwstr>20XX-XX-XX</vt:lpwstr>
  </property>
  <property fmtid="{D5CDD505-2E9C-101B-9397-08002B2CF9AE}" pid="18" name="SSRQ" linkTarget="SSRQ">
    <vt:lpwstr>20XX-XX-XX</vt:lpwstr>
  </property>
  <property fmtid="{D5CDD505-2E9C-101B-9397-08002B2CF9AE}" pid="19" name="BZLX" linkTarget="BZLX">
    <vt:lpwstr>GB</vt:lpwstr>
  </property>
  <property fmtid="{D5CDD505-2E9C-101B-9397-08002B2CF9AE}" pid="20" name="标准类型" linkTarget="标准类型">
    <vt:lpwstr>GB</vt:lpwstr>
  </property>
  <property fmtid="{D5CDD505-2E9C-101B-9397-08002B2CF9AE}" pid="21" name="FBDW" linkTarget="FBDW">
    <vt:lpwstr>国家市场监督管理总局###ENTER###国家标准化管理委员会</vt:lpwstr>
  </property>
  <property fmtid="{D5CDD505-2E9C-101B-9397-08002B2CF9AE}" pid="22" name="IMAGE" linkTarget="IMAGE">
    <vt:lpwstr>GB.bmp</vt:lpwstr>
  </property>
  <property fmtid="{D5CDD505-2E9C-101B-9397-08002B2CF9AE}" pid="23" name="KSOTemplateDocerSaveRecord">
    <vt:lpwstr>eyJoZGlkIjoiMjQ4NDg2MmY5ZTMwMzJiYTFmODk5NDNiMWJkNzIyNzkiLCJ1c2VySWQiOiIxMDYyMjU4NjU1In0=</vt:lpwstr>
  </property>
</Properties>
</file>