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741CE6">
      <w:pPr>
        <w:pStyle w:val="127"/>
        <w:framePr w:wrap="around" w:vAnchor="page" w:hAnchor="page" w:x="1405" w:y="553"/>
        <w:rPr>
          <w:rFonts w:ascii="黑体"/>
        </w:rPr>
      </w:pPr>
      <w:r>
        <w:rPr>
          <w:rFonts w:ascii="黑体"/>
        </w:rPr>
        <w:t>ICS</w:t>
      </w:r>
      <w:r>
        <w:rPr>
          <w:rFonts w:hint="eastAsia" w:ascii="黑体"/>
        </w:rPr>
        <w:t xml:space="preserve"> 75.200</w:t>
      </w:r>
    </w:p>
    <w:p w14:paraId="6C858FAC">
      <w:pPr>
        <w:pStyle w:val="127"/>
        <w:framePr w:wrap="around" w:vAnchor="page" w:hAnchor="page" w:x="1405" w:y="553"/>
        <w:rPr>
          <w:rFonts w:ascii="黑体"/>
        </w:rPr>
      </w:pPr>
      <w:r>
        <w:rPr>
          <w:rFonts w:hint="eastAsia" w:ascii="黑体"/>
        </w:rPr>
        <w:t>E 16</w:t>
      </w:r>
    </w:p>
    <w:p w14:paraId="5AE5BDCE">
      <w:pPr>
        <w:pStyle w:val="127"/>
        <w:framePr w:wrap="around" w:vAnchor="page" w:hAnchor="page" w:x="1405" w:y="553"/>
        <w:rPr>
          <w:rFonts w:ascii="黑体"/>
        </w:rPr>
      </w:pPr>
      <w:r>
        <w:rPr>
          <w:rFonts w:hint="eastAsia" w:ascii="黑体"/>
        </w:rPr>
        <w:t>备案号</w:t>
      </w:r>
    </w:p>
    <w:p w14:paraId="3AAF7FA6">
      <w:pPr>
        <w:pStyle w:val="78"/>
        <w:framePr w:wrap="around"/>
        <w:rPr>
          <w:color w:val="000000" w:themeColor="text1"/>
          <w14:textFill>
            <w14:solidFill>
              <w14:schemeClr w14:val="tx1"/>
            </w14:solidFill>
          </w14:textFill>
        </w:rPr>
      </w:pPr>
      <w:r>
        <w:rPr>
          <w:color w:val="000000" w:themeColor="text1"/>
          <w14:textFill>
            <w14:solidFill>
              <w14:schemeClr w14:val="tx1"/>
            </w14:solidFill>
          </w14:textFill>
        </w:rPr>
        <w:t>AQ</w:t>
      </w:r>
    </w:p>
    <w:p w14:paraId="79C0C7C9">
      <w:pPr>
        <w:pStyle w:val="123"/>
        <w:rPr>
          <w:rFonts w:hint="eastAsia"/>
          <w:color w:val="000000" w:themeColor="text1"/>
          <w14:textFill>
            <w14:solidFill>
              <w14:schemeClr w14:val="tx1"/>
            </w14:solidFill>
          </w14:textFill>
        </w:rPr>
      </w:pPr>
    </w:p>
    <w:p w14:paraId="73BD6AF8">
      <w:pPr>
        <w:pStyle w:val="123"/>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中华人民共和国安全生产行业标准</w:t>
      </w:r>
    </w:p>
    <w:p w14:paraId="44BD9D29">
      <w:pPr>
        <w:pStyle w:val="87"/>
        <w:ind w:right="-1"/>
        <w:rPr>
          <w:rFonts w:eastAsia="黑体"/>
          <w:color w:val="000000" w:themeColor="text1"/>
          <w14:textFill>
            <w14:solidFill>
              <w14:schemeClr w14:val="tx1"/>
            </w14:solidFill>
          </w14:textFill>
        </w:rPr>
      </w:pPr>
      <w:r>
        <w:rPr>
          <w:rFonts w:eastAsia="黑体"/>
          <w:color w:val="000000" w:themeColor="text1"/>
          <w14:textFill>
            <w14:solidFill>
              <w14:schemeClr w14:val="tx1"/>
            </w14:solidFill>
          </w14:textFill>
        </w:rPr>
        <w:t>AQ 3057—20XX</w:t>
      </w:r>
    </w:p>
    <w:p w14:paraId="39430B7B">
      <w:pPr>
        <w:pStyle w:val="65"/>
        <w:ind w:firstLine="7455" w:firstLineChars="3550"/>
        <w:rPr>
          <w:color w:val="000000" w:themeColor="text1"/>
          <w14:textFill>
            <w14:solidFill>
              <w14:schemeClr w14:val="tx1"/>
            </w14:solidFill>
          </w14:textFill>
        </w:rPr>
      </w:pPr>
      <w:r>
        <w:rPr>
          <w:rFonts w:hint="eastAsia" w:ascii="黑体" w:hAnsi="黑体" w:eastAsia="黑体"/>
          <w:color w:val="000000" w:themeColor="text1"/>
          <w14:textFill>
            <w14:solidFill>
              <w14:schemeClr w14:val="tx1"/>
            </w14:solidFill>
          </w14:textFill>
        </w:rPr>
        <w:t>代替</w:t>
      </w:r>
      <w:r>
        <w:rPr>
          <w:rFonts w:ascii="Times New Roman"/>
          <w:color w:val="000000" w:themeColor="text1"/>
          <w14:textFill>
            <w14:solidFill>
              <w14:schemeClr w14:val="tx1"/>
            </w14:solidFill>
          </w14:textFill>
        </w:rPr>
        <w:t>AQ/T 3057-2019</w:t>
      </w:r>
    </w:p>
    <w:p w14:paraId="5C1C4280">
      <w:pPr>
        <w:framePr w:w="9638" w:h="3625" w:hRule="exact" w:wrap="around" w:vAnchor="page" w:hAnchor="page" w:x="1357" w:y="6133" w:anchorLock="1"/>
        <w:adjustRightInd w:val="0"/>
        <w:snapToGrid w:val="0"/>
        <w:spacing w:line="360" w:lineRule="auto"/>
        <w:contextualSpacing/>
        <w:jc w:val="center"/>
        <w:rPr>
          <w:rFonts w:hint="eastAsia" w:ascii="黑体" w:hAnsi="黑体" w:eastAsia="黑体"/>
          <w:b/>
          <w:bCs/>
          <w:color w:val="000000" w:themeColor="text1"/>
          <w:spacing w:val="-20"/>
          <w:sz w:val="52"/>
          <w:szCs w:val="52"/>
          <w14:textFill>
            <w14:solidFill>
              <w14:schemeClr w14:val="tx1"/>
            </w14:solidFill>
          </w14:textFill>
        </w:rPr>
      </w:pPr>
      <w:r>
        <w:rPr>
          <w:rFonts w:hint="eastAsia" w:ascii="黑体" w:hAnsi="黑体" w:eastAsia="黑体"/>
          <w:b/>
          <w:bCs/>
          <w:color w:val="000000" w:themeColor="text1"/>
          <w:spacing w:val="-20"/>
          <w:sz w:val="52"/>
          <w:szCs w:val="52"/>
          <w14:textFill>
            <w14:solidFill>
              <w14:schemeClr w14:val="tx1"/>
            </w14:solidFill>
          </w14:textFill>
        </w:rPr>
        <w:t>陆上</w:t>
      </w:r>
      <w:bookmarkStart w:id="0" w:name="_Hlk173833675"/>
      <w:r>
        <w:rPr>
          <w:rFonts w:hint="eastAsia" w:ascii="黑体" w:hAnsi="黑体" w:eastAsia="黑体"/>
          <w:b/>
          <w:bCs/>
          <w:color w:val="000000" w:themeColor="text1"/>
          <w:spacing w:val="-20"/>
          <w:sz w:val="52"/>
          <w:szCs w:val="52"/>
          <w14:textFill>
            <w14:solidFill>
              <w14:schemeClr w14:val="tx1"/>
            </w14:solidFill>
          </w14:textFill>
        </w:rPr>
        <w:t>油气长输管道建设项目</w:t>
      </w:r>
      <w:bookmarkEnd w:id="0"/>
      <w:r>
        <w:rPr>
          <w:rFonts w:hint="eastAsia" w:ascii="黑体" w:hAnsi="黑体" w:eastAsia="黑体"/>
          <w:b/>
          <w:bCs/>
          <w:color w:val="000000" w:themeColor="text1"/>
          <w:spacing w:val="-20"/>
          <w:sz w:val="52"/>
          <w:szCs w:val="52"/>
          <w14:textFill>
            <w14:solidFill>
              <w14:schemeClr w14:val="tx1"/>
            </w14:solidFill>
          </w14:textFill>
        </w:rPr>
        <w:t>安全预评价导则</w:t>
      </w:r>
    </w:p>
    <w:p w14:paraId="43301A04">
      <w:pPr>
        <w:pStyle w:val="106"/>
        <w:framePr w:w="9638" w:h="3625" w:hRule="exact" w:wrap="around" w:vAnchor="page" w:hAnchor="page" w:x="1357" w:y="6133" w:anchorLock="1"/>
        <w:rPr>
          <w:rFonts w:eastAsia="黑体"/>
        </w:rPr>
      </w:pPr>
      <w:r>
        <w:rPr>
          <w:rFonts w:eastAsia="黑体"/>
        </w:rPr>
        <w:t>Guide to pre-safety assessment of construction project for onshore oil and gas transmission pipeline</w:t>
      </w:r>
    </w:p>
    <w:p w14:paraId="2762EC6A">
      <w:pPr>
        <w:pStyle w:val="105"/>
        <w:framePr w:w="9638" w:h="3625" w:hRule="exact" w:wrap="around" w:vAnchor="page" w:hAnchor="page" w:x="1357" w:y="6133" w:anchorLock="1"/>
        <w:widowControl w:val="0"/>
        <w:spacing w:after="160" w:line="240" w:lineRule="auto"/>
        <w:textAlignment w:val="center"/>
        <w:rPr>
          <w:color w:val="000000" w:themeColor="text1"/>
          <w14:textFill>
            <w14:solidFill>
              <w14:schemeClr w14:val="tx1"/>
            </w14:solidFill>
          </w14:textFill>
        </w:rPr>
      </w:pPr>
      <w:r>
        <w:rPr>
          <w:rFonts w:hint="eastAsia"/>
          <w:sz w:val="28"/>
          <w:szCs w:val="28"/>
        </w:rPr>
        <w:t>（征求意见稿）</w:t>
      </w:r>
    </w:p>
    <w:p w14:paraId="191453A2">
      <w:pPr>
        <w:pStyle w:val="65"/>
        <w:ind w:firstLine="0" w:firstLineChars="0"/>
        <w:rPr>
          <w:color w:val="000000" w:themeColor="text1"/>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-7620</wp:posOffset>
                </wp:positionH>
                <wp:positionV relativeFrom="paragraph">
                  <wp:posOffset>52705</wp:posOffset>
                </wp:positionV>
                <wp:extent cx="6120130" cy="0"/>
                <wp:effectExtent l="0" t="0" r="33020" b="19050"/>
                <wp:wrapNone/>
                <wp:docPr id="3" name="直线 2"/>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chemeClr val="tx1"/>
                          </a:solidFill>
                          <a:round/>
                        </a:ln>
                      </wps:spPr>
                      <wps:bodyPr/>
                    </wps:wsp>
                  </a:graphicData>
                </a:graphic>
              </wp:anchor>
            </w:drawing>
          </mc:Choice>
          <mc:Fallback>
            <w:pict>
              <v:line id="直线 2" o:spid="_x0000_s1026" o:spt="20" style="position:absolute;left:0pt;margin-left:-0.6pt;margin-top:4.15pt;height:0pt;width:481.9pt;z-index:251662336;mso-width-relative:page;mso-height-relative:page;" filled="f" stroked="t" coordsize="21600,21600" o:gfxdata="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TDeV50wAAAAYBAAAPAAAAAAAAAAEAIAAAACIA&#10;AABkcnMvZG93bnJldi54bWxQSwECFAAUAAAACACHTuJAXhh1ktUBAAChAwAADgAAAAAAAAABACAA&#10;AAAiAQAAZHJzL2Uyb0RvYy54bWxQSwUGAAAAAAYABgBZAQAAaQUAAAAA&#10;">
                <v:fill on="f" focussize="0,0"/>
                <v:stroke color="#000000 [3213]" joinstyle="round"/>
                <v:imagedata o:title=""/>
                <o:lock v:ext="edit" aspectratio="f"/>
              </v:line>
            </w:pict>
          </mc:Fallback>
        </mc:AlternateContent>
      </w:r>
    </w:p>
    <w:p w14:paraId="3BD93F60">
      <w:pPr>
        <w:pStyle w:val="125"/>
        <w:framePr w:wrap="around"/>
        <w:rPr>
          <w:color w:val="000000" w:themeColor="text1"/>
          <w14:textFill>
            <w14:solidFill>
              <w14:schemeClr w14:val="tx1"/>
            </w14:solidFill>
          </w14:textFill>
        </w:rPr>
      </w:pPr>
    </w:p>
    <w:p w14:paraId="18611155">
      <w:pPr>
        <w:pStyle w:val="125"/>
        <w:framePr w:wrap="around"/>
        <w:rPr>
          <w:color w:val="000000" w:themeColor="text1"/>
          <w14:textFill>
            <w14:solidFill>
              <w14:schemeClr w14:val="tx1"/>
            </w14:solidFill>
          </w14:textFill>
        </w:rPr>
      </w:pPr>
    </w:p>
    <w:p w14:paraId="5EE299FB">
      <w:pPr>
        <w:framePr w:w="7938" w:h="1134" w:hRule="exact" w:hSpace="125" w:vSpace="181" w:wrap="around" w:vAnchor="page" w:hAnchor="page" w:x="2150" w:y="15310" w:anchorLock="1"/>
        <w:spacing w:line="0" w:lineRule="atLeast"/>
        <w:jc w:val="center"/>
        <w:textAlignment w:val="auto"/>
        <w:rPr>
          <w:rFonts w:ascii="黑体" w:eastAsia="黑体"/>
          <w:color w:val="auto"/>
          <w:spacing w:val="20"/>
          <w:w w:val="135"/>
          <w:sz w:val="28"/>
        </w:rPr>
      </w:pPr>
      <w:bookmarkStart w:id="1" w:name="fm"/>
      <w:r>
        <w:rPr>
          <w:rFonts w:ascii="黑体" w:eastAsia="黑体"/>
          <w:color w:val="auto"/>
          <w:spacing w:val="20"/>
          <w:sz w:val="28"/>
        </w:rPr>
        <mc:AlternateContent>
          <mc:Choice Requires="wps">
            <w:drawing>
              <wp:anchor distT="0" distB="0" distL="114300" distR="114300" simplePos="0" relativeHeight="251665408" behindDoc="1" locked="0" layoutInCell="1" allowOverlap="1">
                <wp:simplePos x="0" y="0"/>
                <wp:positionH relativeFrom="column">
                  <wp:posOffset>1810385</wp:posOffset>
                </wp:positionH>
                <wp:positionV relativeFrom="paragraph">
                  <wp:posOffset>-3942715</wp:posOffset>
                </wp:positionV>
                <wp:extent cx="1270000" cy="304800"/>
                <wp:effectExtent l="3175" t="0" r="3175" b="3175"/>
                <wp:wrapNone/>
                <wp:docPr id="12" name="矩形 12"/>
                <wp:cNvGraphicFramePr/>
                <a:graphic xmlns:a="http://schemas.openxmlformats.org/drawingml/2006/main">
                  <a:graphicData uri="http://schemas.microsoft.com/office/word/2010/wordprocessingShape">
                    <wps:wsp>
                      <wps:cNvSpPr>
                        <a:spLocks noChangeArrowheads="1"/>
                      </wps:cNvSpPr>
                      <wps:spPr bwMode="auto">
                        <a:xfrm>
                          <a:off x="0" y="0"/>
                          <a:ext cx="1270000" cy="3048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42.55pt;margin-top:-310.45pt;height:24pt;width:100pt;z-index:-251651072;mso-width-relative:page;mso-height-relative:page;" fillcolor="#FFFFFF" filled="t" stroked="f" coordsize="21600,21600" o:gfxdata="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bXu1tkAAAANAQAA&#10;DwAAAAAAAAABACAAAAAiAAAAZHJzL2Rvd25yZXYueG1sUEsBAhQAFAAAAAgAh07iQDey8M4YAgAA&#10;KAQAAA4AAAAAAAAAAQAgAAAAKAEAAGRycy9lMm9Eb2MueG1sUEsFBgAAAAAGAAYAWQEAALIFAAAA&#10;AA==&#10;">
                <v:fill on="t" focussize="0,0"/>
                <v:stroke on="f"/>
                <v:imagedata o:title=""/>
                <o:lock v:ext="edit" aspectratio="f"/>
              </v:rect>
            </w:pict>
          </mc:Fallback>
        </mc:AlternateContent>
      </w:r>
      <w:r>
        <w:rPr>
          <w:rFonts w:ascii="黑体" w:eastAsia="黑体"/>
          <w:color w:val="auto"/>
          <w:spacing w:val="20"/>
          <w:sz w:val="28"/>
        </w:rPr>
        <mc:AlternateContent>
          <mc:Choice Requires="wps">
            <w:drawing>
              <wp:anchor distT="0" distB="0" distL="114300" distR="114300" simplePos="0" relativeHeight="251664384" behindDoc="1" locked="0" layoutInCell="1" allowOverlap="1">
                <wp:simplePos x="0" y="0"/>
                <wp:positionH relativeFrom="column">
                  <wp:posOffset>4413885</wp:posOffset>
                </wp:positionH>
                <wp:positionV relativeFrom="paragraph">
                  <wp:posOffset>-7435215</wp:posOffset>
                </wp:positionV>
                <wp:extent cx="1143000" cy="228600"/>
                <wp:effectExtent l="0" t="0" r="3175" b="0"/>
                <wp:wrapNone/>
                <wp:docPr id="11" name="矩形 11"/>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347.55pt;margin-top:-585.45pt;height:18pt;width:90pt;z-index:-251652096;mso-width-relative:page;mso-height-relative:page;" fillcolor="#FFFFFF" filled="t" stroked="f" coordsize="21600,21600" o:gfxdata="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fyYoR2gAAAA8B&#10;AAAPAAAAAAAAAAEAIAAAACIAAABkcnMvZG93bnJldi54bWxQSwECFAAUAAAACACHTuJAn1qUFRkC&#10;AAAoBAAADgAAAAAAAAABACAAAAApAQAAZHJzL2Uyb0RvYy54bWxQSwUGAAAAAAYABgBZAQAAtAUA&#10;AAAA&#10;">
                <v:fill on="t" focussize="0,0"/>
                <v:stroke on="f"/>
                <v:imagedata o:title=""/>
                <o:lock v:ext="edit" aspectratio="f"/>
              </v:rect>
            </w:pict>
          </mc:Fallback>
        </mc:AlternateContent>
      </w:r>
      <w:bookmarkEnd w:id="1"/>
      <w:r>
        <w:rPr>
          <w:rFonts w:hint="eastAsia" w:ascii="黑体" w:hAnsi="黑体" w:eastAsia="黑体"/>
          <w:color w:val="auto"/>
          <w:spacing w:val="20"/>
          <w:w w:val="135"/>
          <w:sz w:val="28"/>
        </w:rPr>
        <w:t xml:space="preserve">中华人民共和国应急管理部  </w:t>
      </w:r>
      <w:r>
        <w:rPr>
          <w:rFonts w:hint="eastAsia" w:ascii="黑体" w:eastAsia="黑体"/>
          <w:color w:val="auto"/>
          <w:spacing w:val="85"/>
          <w:position w:val="3"/>
          <w:sz w:val="28"/>
          <w:szCs w:val="28"/>
        </w:rPr>
        <w:t>发布</w:t>
      </w:r>
    </w:p>
    <w:p w14:paraId="363A238D">
      <w:pPr>
        <w:framePr w:w="3997" w:h="471" w:hRule="exact" w:vSpace="181" w:wrap="around" w:vAnchor="page" w:hAnchor="page" w:x="1419" w:y="14097" w:anchorLock="1"/>
        <w:spacing w:line="240" w:lineRule="auto"/>
        <w:jc w:val="left"/>
        <w:textAlignment w:val="auto"/>
        <w:rPr>
          <w:rFonts w:eastAsia="黑体"/>
          <w:color w:val="auto"/>
          <w:sz w:val="28"/>
        </w:rPr>
      </w:pPr>
      <w:r>
        <w:rPr>
          <w:rFonts w:eastAsia="黑体"/>
          <w:color w:val="auto"/>
          <w:sz w:val="28"/>
        </w:rPr>
        <w:t>XXXX - XX - XX</w:t>
      </w:r>
      <w:r>
        <w:rPr>
          <w:rFonts w:hint="eastAsia" w:eastAsia="黑体"/>
          <w:color w:val="auto"/>
          <w:sz w:val="28"/>
        </w:rPr>
        <w:t>发布</w:t>
      </w:r>
      <w:r>
        <w:rPr>
          <w:rFonts w:eastAsia="黑体"/>
          <w:color w:val="auto"/>
          <w:sz w:val="28"/>
        </w:rPr>
        <mc:AlternateContent>
          <mc:Choice Requires="wps">
            <w:drawing>
              <wp:anchor distT="0" distB="0" distL="114300" distR="114300" simplePos="0" relativeHeight="251666432" behindDoc="0" locked="1" layoutInCell="1" allowOverlap="1">
                <wp:simplePos x="0" y="0"/>
                <wp:positionH relativeFrom="column">
                  <wp:posOffset>-635</wp:posOffset>
                </wp:positionH>
                <wp:positionV relativeFrom="page">
                  <wp:posOffset>9251950</wp:posOffset>
                </wp:positionV>
                <wp:extent cx="6120130" cy="0"/>
                <wp:effectExtent l="13970" t="12700" r="9525" b="6350"/>
                <wp:wrapNone/>
                <wp:docPr id="13" name="直接连接符 13"/>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0.05pt;margin-top:728.5pt;height:0pt;width:481.9pt;mso-position-vertical-relative:page;z-index:251666432;mso-width-relative:page;mso-height-relative:page;" filled="f" stroked="t" coordsize="21600,21600" o:gfxdata="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lh2s81gAAAAsB&#10;AAAPAAAAAAAAAAEAIAAAACIAAABkcnMvZG93bnJldi54bWxQSwECFAAUAAAACACHTuJA3IFdxuQB&#10;AACsAwAADgAAAAAAAAABACAAAAAlAQAAZHJzL2Uyb0RvYy54bWxQSwUGAAAAAAYABgBZAQAAewUA&#10;AAAA&#10;">
                <v:fill on="f" focussize="0,0"/>
                <v:stroke color="#000000" joinstyle="round"/>
                <v:imagedata o:title=""/>
                <o:lock v:ext="edit" aspectratio="f"/>
                <w10:anchorlock/>
              </v:line>
            </w:pict>
          </mc:Fallback>
        </mc:AlternateContent>
      </w:r>
    </w:p>
    <w:p w14:paraId="6F72AB3E">
      <w:pPr>
        <w:framePr w:w="3997" w:h="471" w:hRule="exact" w:vSpace="181" w:wrap="around" w:vAnchor="page" w:hAnchor="page" w:x="7089" w:y="14097" w:anchorLock="1"/>
        <w:spacing w:line="240" w:lineRule="auto"/>
        <w:jc w:val="right"/>
        <w:textAlignment w:val="auto"/>
        <w:rPr>
          <w:rFonts w:eastAsia="黑体"/>
          <w:color w:val="auto"/>
          <w:sz w:val="28"/>
        </w:rPr>
      </w:pPr>
      <w:r>
        <w:rPr>
          <w:rFonts w:eastAsia="黑体"/>
          <w:color w:val="auto"/>
          <w:sz w:val="28"/>
        </w:rPr>
        <w:t>XXXX - XX – XX</w:t>
      </w:r>
      <w:r>
        <w:rPr>
          <w:rFonts w:hint="eastAsia" w:eastAsia="黑体"/>
          <w:color w:val="auto"/>
          <w:sz w:val="28"/>
        </w:rPr>
        <w:t>实施</w:t>
      </w:r>
    </w:p>
    <w:p w14:paraId="52064803">
      <w:pPr>
        <w:pStyle w:val="122"/>
        <w:rPr>
          <w:color w:val="000000" w:themeColor="text1"/>
          <w14:textFill>
            <w14:solidFill>
              <w14:schemeClr w14:val="tx1"/>
            </w14:solidFill>
          </w14:textFill>
        </w:rPr>
        <w:sectPr>
          <w:footerReference r:id="rId9" w:type="first"/>
          <w:headerReference r:id="rId5" w:type="default"/>
          <w:footerReference r:id="rId7" w:type="default"/>
          <w:headerReference r:id="rId6" w:type="even"/>
          <w:footerReference r:id="rId8" w:type="even"/>
          <w:pgSz w:w="11907" w:h="16839"/>
          <w:pgMar w:top="567" w:right="1134" w:bottom="1134" w:left="1418" w:header="0" w:footer="0" w:gutter="0"/>
          <w:pgNumType w:fmt="upperRoman" w:start="1"/>
          <w:cols w:space="720" w:num="1"/>
          <w:titlePg/>
          <w:docGrid w:type="lines" w:linePitch="312" w:charSpace="0"/>
        </w:sectPr>
      </w:pPr>
      <w:bookmarkStart w:id="2" w:name="_Toc535332637"/>
      <w:bookmarkStart w:id="3" w:name="_Toc174117951"/>
      <w:bookmarkStart w:id="4" w:name="_Toc535332118"/>
      <w:bookmarkStart w:id="5" w:name="_Toc174118023"/>
      <w:bookmarkStart w:id="6" w:name="_Toc535331850"/>
      <w:bookmarkStart w:id="7" w:name="_Toc180478623"/>
      <w:r>
        <w:rPr>
          <w:color w:val="000000"/>
        </w:rPr>
        <mc:AlternateContent>
          <mc:Choice Requires="wps">
            <w:drawing>
              <wp:anchor distT="0" distB="0" distL="114300" distR="114300" simplePos="0" relativeHeight="251661312" behindDoc="0" locked="1" layoutInCell="1" allowOverlap="1">
                <wp:simplePos x="0" y="0"/>
                <wp:positionH relativeFrom="column">
                  <wp:posOffset>8255</wp:posOffset>
                </wp:positionH>
                <wp:positionV relativeFrom="page">
                  <wp:posOffset>9244330</wp:posOffset>
                </wp:positionV>
                <wp:extent cx="6120130" cy="0"/>
                <wp:effectExtent l="0" t="0" r="33020" b="19050"/>
                <wp:wrapNone/>
                <wp:docPr id="14" name="直接连接符 14"/>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0.65pt;margin-top:727.9pt;height:0pt;width:481.9pt;mso-position-vertical-relative:page;z-index:251661312;mso-width-relative:page;mso-height-relative:page;" filled="f" stroked="t" coordsize="21600,21600" o:gfxdata="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VRZzf1gAAAAsB&#10;AAAPAAAAAAAAAAEAIAAAACIAAABkcnMvZG93bnJldi54bWxQSwECFAAUAAAACACHTuJAAyx/meQB&#10;AACsAwAADgAAAAAAAAABACAAAAAlAQAAZHJzL2Uyb0RvYy54bWxQSwUGAAAAAAYABgBZAQAAewUA&#10;AAAA&#10;">
                <v:fill on="f" focussize="0,0"/>
                <v:stroke color="#000000" joinstyle="round"/>
                <v:imagedata o:title=""/>
                <o:lock v:ext="edit" aspectratio="f"/>
                <w10:anchorlock/>
              </v:line>
            </w:pict>
          </mc:Fallback>
        </mc:AlternateContent>
      </w:r>
      <w:bookmarkEnd w:id="2"/>
      <w:bookmarkEnd w:id="3"/>
      <w:bookmarkEnd w:id="4"/>
      <w:bookmarkEnd w:id="5"/>
      <w:bookmarkEnd w:id="6"/>
      <w:bookmarkEnd w:id="7"/>
    </w:p>
    <w:p w14:paraId="7B408775">
      <w:pPr>
        <w:pStyle w:val="122"/>
        <w:rPr>
          <w:color w:val="000000" w:themeColor="text1"/>
          <w14:textFill>
            <w14:solidFill>
              <w14:schemeClr w14:val="tx1"/>
            </w14:solidFill>
          </w14:textFill>
        </w:rPr>
      </w:pPr>
      <w:bookmarkStart w:id="8" w:name="_Toc535332638"/>
      <w:bookmarkStart w:id="9" w:name="_Toc500703047"/>
      <w:bookmarkStart w:id="10" w:name="_Toc500702986"/>
      <w:bookmarkStart w:id="11" w:name="_Toc516994835"/>
      <w:bookmarkStart w:id="12" w:name="_Toc514933327"/>
      <w:bookmarkStart w:id="13" w:name="_Toc535332119"/>
      <w:bookmarkStart w:id="14" w:name="_Toc174118024"/>
      <w:bookmarkStart w:id="15" w:name="_Toc174117952"/>
      <w:bookmarkStart w:id="16" w:name="_Toc535331851"/>
      <w:bookmarkStart w:id="17" w:name="_Toc180478624"/>
      <w:bookmarkStart w:id="18" w:name="_Toc500703632"/>
      <w:bookmarkStart w:id="19" w:name="_Toc551"/>
      <w:r>
        <w:rPr>
          <w:rFonts w:hint="eastAsia"/>
          <w:color w:val="000000" w:themeColor="text1"/>
          <w14:textFill>
            <w14:solidFill>
              <w14:schemeClr w14:val="tx1"/>
            </w14:solidFill>
          </w14:textFill>
        </w:rPr>
        <w:t>目</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次</w:t>
      </w:r>
      <w:bookmarkEnd w:id="8"/>
      <w:bookmarkEnd w:id="9"/>
      <w:bookmarkEnd w:id="10"/>
      <w:bookmarkEnd w:id="11"/>
      <w:bookmarkEnd w:id="12"/>
      <w:bookmarkEnd w:id="13"/>
      <w:bookmarkEnd w:id="14"/>
      <w:bookmarkEnd w:id="15"/>
      <w:bookmarkEnd w:id="16"/>
      <w:bookmarkEnd w:id="17"/>
      <w:bookmarkEnd w:id="18"/>
      <w:bookmarkEnd w:id="19"/>
    </w:p>
    <w:p w14:paraId="75999354">
      <w:pPr>
        <w:pStyle w:val="18"/>
        <w:tabs>
          <w:tab w:val="right" w:leader="dot" w:pos="9345"/>
        </w:tabs>
        <w:spacing w:before="0" w:after="0" w:line="240" w:lineRule="auto"/>
        <w:rPr>
          <w:rFonts w:ascii="Times New Roman" w:hAnsi="Times New Roman" w:eastAsiaTheme="minorEastAsia" w:cstheme="minorBidi"/>
          <w:b w:val="0"/>
          <w:bCs w:val="0"/>
          <w:caps w:val="0"/>
          <w:color w:val="auto"/>
          <w:kern w:val="2"/>
          <w:sz w:val="21"/>
          <w:szCs w:val="22"/>
        </w:rPr>
      </w:pPr>
      <w:r>
        <w:rPr>
          <w:rFonts w:ascii="Times New Roman" w:hAnsi="Times New Roman"/>
          <w:b w:val="0"/>
          <w:bCs w:val="0"/>
          <w:caps w:val="0"/>
          <w:color w:val="000000" w:themeColor="text1"/>
          <w:szCs w:val="21"/>
          <w:highlight w:val="yellow"/>
          <w14:textFill>
            <w14:solidFill>
              <w14:schemeClr w14:val="tx1"/>
            </w14:solidFill>
          </w14:textFill>
        </w:rPr>
        <w:fldChar w:fldCharType="begin"/>
      </w:r>
      <w:r>
        <w:rPr>
          <w:rFonts w:ascii="Times New Roman" w:hAnsi="Times New Roman"/>
          <w:b w:val="0"/>
          <w:bCs w:val="0"/>
          <w:caps w:val="0"/>
          <w:color w:val="000000" w:themeColor="text1"/>
          <w:szCs w:val="21"/>
          <w:highlight w:val="yellow"/>
          <w14:textFill>
            <w14:solidFill>
              <w14:schemeClr w14:val="tx1"/>
            </w14:solidFill>
          </w14:textFill>
        </w:rPr>
        <w:instrText xml:space="preserve"> TOC \o "1-1" \h \z \u </w:instrText>
      </w:r>
      <w:r>
        <w:rPr>
          <w:rFonts w:ascii="Times New Roman" w:hAnsi="Times New Roman"/>
          <w:b w:val="0"/>
          <w:bCs w:val="0"/>
          <w:caps w:val="0"/>
          <w:color w:val="000000" w:themeColor="text1"/>
          <w:szCs w:val="21"/>
          <w:highlight w:val="yellow"/>
          <w14:textFill>
            <w14:solidFill>
              <w14:schemeClr w14:val="tx1"/>
            </w14:solidFill>
          </w14:textFill>
        </w:rPr>
        <w:fldChar w:fldCharType="separate"/>
      </w:r>
      <w:r>
        <w:fldChar w:fldCharType="begin"/>
      </w:r>
      <w:r>
        <w:instrText xml:space="preserve"> HYPERLINK \l "_Toc180478626" </w:instrText>
      </w:r>
      <w:r>
        <w:fldChar w:fldCharType="separate"/>
      </w:r>
      <w:r>
        <w:rPr>
          <w:rStyle w:val="45"/>
          <w:b w:val="0"/>
          <w:bCs w:val="0"/>
        </w:rPr>
        <w:t>1 范围</w:t>
      </w:r>
      <w:r>
        <w:rPr>
          <w:rFonts w:ascii="Times New Roman" w:hAnsi="Times New Roman"/>
          <w:b w:val="0"/>
          <w:bCs w:val="0"/>
        </w:rPr>
        <w:tab/>
      </w:r>
      <w:r>
        <w:rPr>
          <w:rFonts w:ascii="Times New Roman" w:hAnsi="Times New Roman"/>
          <w:b w:val="0"/>
          <w:bCs w:val="0"/>
        </w:rPr>
        <w:fldChar w:fldCharType="begin"/>
      </w:r>
      <w:r>
        <w:rPr>
          <w:rFonts w:ascii="Times New Roman" w:hAnsi="Times New Roman"/>
          <w:b w:val="0"/>
          <w:bCs w:val="0"/>
        </w:rPr>
        <w:instrText xml:space="preserve"> PAGEREF _Toc180478626 \h </w:instrText>
      </w:r>
      <w:r>
        <w:rPr>
          <w:rFonts w:ascii="Times New Roman" w:hAnsi="Times New Roman"/>
          <w:b w:val="0"/>
          <w:bCs w:val="0"/>
        </w:rPr>
        <w:fldChar w:fldCharType="separate"/>
      </w:r>
      <w:r>
        <w:rPr>
          <w:rFonts w:ascii="Times New Roman" w:hAnsi="Times New Roman"/>
          <w:b w:val="0"/>
          <w:bCs w:val="0"/>
        </w:rPr>
        <w:t>1</w:t>
      </w:r>
      <w:r>
        <w:rPr>
          <w:rFonts w:ascii="Times New Roman" w:hAnsi="Times New Roman"/>
          <w:b w:val="0"/>
          <w:bCs w:val="0"/>
        </w:rPr>
        <w:fldChar w:fldCharType="end"/>
      </w:r>
      <w:r>
        <w:rPr>
          <w:rFonts w:ascii="Times New Roman" w:hAnsi="Times New Roman"/>
          <w:b w:val="0"/>
          <w:bCs w:val="0"/>
        </w:rPr>
        <w:fldChar w:fldCharType="end"/>
      </w:r>
    </w:p>
    <w:p w14:paraId="1FB5F939">
      <w:pPr>
        <w:pStyle w:val="18"/>
        <w:tabs>
          <w:tab w:val="right" w:leader="dot" w:pos="9345"/>
        </w:tabs>
        <w:spacing w:before="0" w:after="0" w:line="240" w:lineRule="auto"/>
        <w:rPr>
          <w:rFonts w:ascii="Times New Roman" w:hAnsi="Times New Roman" w:eastAsiaTheme="minorEastAsia" w:cstheme="minorBidi"/>
          <w:b w:val="0"/>
          <w:bCs w:val="0"/>
          <w:caps w:val="0"/>
          <w:color w:val="auto"/>
          <w:kern w:val="2"/>
          <w:sz w:val="21"/>
          <w:szCs w:val="22"/>
        </w:rPr>
      </w:pPr>
      <w:r>
        <w:fldChar w:fldCharType="begin"/>
      </w:r>
      <w:r>
        <w:instrText xml:space="preserve"> HYPERLINK \l "_Toc180478627" </w:instrText>
      </w:r>
      <w:r>
        <w:fldChar w:fldCharType="separate"/>
      </w:r>
      <w:r>
        <w:rPr>
          <w:rStyle w:val="45"/>
          <w:b w:val="0"/>
          <w:bCs w:val="0"/>
        </w:rPr>
        <w:t>2 规范性引用文件</w:t>
      </w:r>
      <w:r>
        <w:rPr>
          <w:rFonts w:ascii="Times New Roman" w:hAnsi="Times New Roman"/>
          <w:b w:val="0"/>
          <w:bCs w:val="0"/>
        </w:rPr>
        <w:tab/>
      </w:r>
      <w:r>
        <w:rPr>
          <w:rFonts w:ascii="Times New Roman" w:hAnsi="Times New Roman"/>
          <w:b w:val="0"/>
          <w:bCs w:val="0"/>
        </w:rPr>
        <w:fldChar w:fldCharType="begin"/>
      </w:r>
      <w:r>
        <w:rPr>
          <w:rFonts w:ascii="Times New Roman" w:hAnsi="Times New Roman"/>
          <w:b w:val="0"/>
          <w:bCs w:val="0"/>
        </w:rPr>
        <w:instrText xml:space="preserve"> PAGEREF _Toc180478627 \h </w:instrText>
      </w:r>
      <w:r>
        <w:rPr>
          <w:rFonts w:ascii="Times New Roman" w:hAnsi="Times New Roman"/>
          <w:b w:val="0"/>
          <w:bCs w:val="0"/>
        </w:rPr>
        <w:fldChar w:fldCharType="separate"/>
      </w:r>
      <w:r>
        <w:rPr>
          <w:rFonts w:ascii="Times New Roman" w:hAnsi="Times New Roman"/>
          <w:b w:val="0"/>
          <w:bCs w:val="0"/>
        </w:rPr>
        <w:t>1</w:t>
      </w:r>
      <w:r>
        <w:rPr>
          <w:rFonts w:ascii="Times New Roman" w:hAnsi="Times New Roman"/>
          <w:b w:val="0"/>
          <w:bCs w:val="0"/>
        </w:rPr>
        <w:fldChar w:fldCharType="end"/>
      </w:r>
      <w:r>
        <w:rPr>
          <w:rFonts w:ascii="Times New Roman" w:hAnsi="Times New Roman"/>
          <w:b w:val="0"/>
          <w:bCs w:val="0"/>
        </w:rPr>
        <w:fldChar w:fldCharType="end"/>
      </w:r>
    </w:p>
    <w:p w14:paraId="2326D55A">
      <w:pPr>
        <w:pStyle w:val="18"/>
        <w:tabs>
          <w:tab w:val="right" w:leader="dot" w:pos="9345"/>
        </w:tabs>
        <w:spacing w:before="0" w:after="0" w:line="240" w:lineRule="auto"/>
        <w:rPr>
          <w:rFonts w:ascii="Times New Roman" w:hAnsi="Times New Roman" w:eastAsiaTheme="minorEastAsia" w:cstheme="minorBidi"/>
          <w:b w:val="0"/>
          <w:bCs w:val="0"/>
          <w:caps w:val="0"/>
          <w:color w:val="auto"/>
          <w:kern w:val="2"/>
          <w:sz w:val="21"/>
          <w:szCs w:val="22"/>
        </w:rPr>
      </w:pPr>
      <w:r>
        <w:fldChar w:fldCharType="begin"/>
      </w:r>
      <w:r>
        <w:instrText xml:space="preserve"> HYPERLINK \l "_Toc180478628" </w:instrText>
      </w:r>
      <w:r>
        <w:fldChar w:fldCharType="separate"/>
      </w:r>
      <w:r>
        <w:rPr>
          <w:rStyle w:val="45"/>
          <w:b w:val="0"/>
          <w:bCs w:val="0"/>
        </w:rPr>
        <w:t>3 术语和定义</w:t>
      </w:r>
      <w:r>
        <w:rPr>
          <w:rFonts w:ascii="Times New Roman" w:hAnsi="Times New Roman"/>
          <w:b w:val="0"/>
          <w:bCs w:val="0"/>
        </w:rPr>
        <w:tab/>
      </w:r>
      <w:r>
        <w:rPr>
          <w:rFonts w:ascii="Times New Roman" w:hAnsi="Times New Roman"/>
          <w:b w:val="0"/>
          <w:bCs w:val="0"/>
        </w:rPr>
        <w:fldChar w:fldCharType="begin"/>
      </w:r>
      <w:r>
        <w:rPr>
          <w:rFonts w:ascii="Times New Roman" w:hAnsi="Times New Roman"/>
          <w:b w:val="0"/>
          <w:bCs w:val="0"/>
        </w:rPr>
        <w:instrText xml:space="preserve"> PAGEREF _Toc180478628 \h </w:instrText>
      </w:r>
      <w:r>
        <w:rPr>
          <w:rFonts w:ascii="Times New Roman" w:hAnsi="Times New Roman"/>
          <w:b w:val="0"/>
          <w:bCs w:val="0"/>
        </w:rPr>
        <w:fldChar w:fldCharType="separate"/>
      </w:r>
      <w:r>
        <w:rPr>
          <w:rFonts w:ascii="Times New Roman" w:hAnsi="Times New Roman"/>
          <w:b w:val="0"/>
          <w:bCs w:val="0"/>
        </w:rPr>
        <w:t>1</w:t>
      </w:r>
      <w:r>
        <w:rPr>
          <w:rFonts w:ascii="Times New Roman" w:hAnsi="Times New Roman"/>
          <w:b w:val="0"/>
          <w:bCs w:val="0"/>
        </w:rPr>
        <w:fldChar w:fldCharType="end"/>
      </w:r>
      <w:r>
        <w:rPr>
          <w:rFonts w:ascii="Times New Roman" w:hAnsi="Times New Roman"/>
          <w:b w:val="0"/>
          <w:bCs w:val="0"/>
        </w:rPr>
        <w:fldChar w:fldCharType="end"/>
      </w:r>
    </w:p>
    <w:p w14:paraId="23D3A8C7">
      <w:pPr>
        <w:pStyle w:val="18"/>
        <w:tabs>
          <w:tab w:val="right" w:leader="dot" w:pos="9345"/>
        </w:tabs>
        <w:spacing w:before="0" w:after="0" w:line="240" w:lineRule="auto"/>
        <w:rPr>
          <w:rFonts w:ascii="Times New Roman" w:hAnsi="Times New Roman" w:eastAsiaTheme="minorEastAsia" w:cstheme="minorBidi"/>
          <w:b w:val="0"/>
          <w:bCs w:val="0"/>
          <w:caps w:val="0"/>
          <w:color w:val="auto"/>
          <w:kern w:val="2"/>
          <w:sz w:val="21"/>
          <w:szCs w:val="22"/>
        </w:rPr>
      </w:pPr>
      <w:r>
        <w:fldChar w:fldCharType="begin"/>
      </w:r>
      <w:r>
        <w:instrText xml:space="preserve"> HYPERLINK \l "_Toc180478629" </w:instrText>
      </w:r>
      <w:r>
        <w:fldChar w:fldCharType="separate"/>
      </w:r>
      <w:r>
        <w:rPr>
          <w:rStyle w:val="45"/>
          <w:b w:val="0"/>
          <w:bCs w:val="0"/>
        </w:rPr>
        <w:t>4 评价依据和评价范围</w:t>
      </w:r>
      <w:r>
        <w:rPr>
          <w:rFonts w:ascii="Times New Roman" w:hAnsi="Times New Roman"/>
          <w:b w:val="0"/>
          <w:bCs w:val="0"/>
        </w:rPr>
        <w:tab/>
      </w:r>
      <w:r>
        <w:rPr>
          <w:rFonts w:ascii="Times New Roman" w:hAnsi="Times New Roman"/>
          <w:b w:val="0"/>
          <w:bCs w:val="0"/>
        </w:rPr>
        <w:fldChar w:fldCharType="begin"/>
      </w:r>
      <w:r>
        <w:rPr>
          <w:rFonts w:ascii="Times New Roman" w:hAnsi="Times New Roman"/>
          <w:b w:val="0"/>
          <w:bCs w:val="0"/>
        </w:rPr>
        <w:instrText xml:space="preserve"> PAGEREF _Toc180478629 \h </w:instrText>
      </w:r>
      <w:r>
        <w:rPr>
          <w:rFonts w:ascii="Times New Roman" w:hAnsi="Times New Roman"/>
          <w:b w:val="0"/>
          <w:bCs w:val="0"/>
        </w:rPr>
        <w:fldChar w:fldCharType="separate"/>
      </w:r>
      <w:r>
        <w:rPr>
          <w:rFonts w:ascii="Times New Roman" w:hAnsi="Times New Roman"/>
          <w:b w:val="0"/>
          <w:bCs w:val="0"/>
        </w:rPr>
        <w:t>2</w:t>
      </w:r>
      <w:r>
        <w:rPr>
          <w:rFonts w:ascii="Times New Roman" w:hAnsi="Times New Roman"/>
          <w:b w:val="0"/>
          <w:bCs w:val="0"/>
        </w:rPr>
        <w:fldChar w:fldCharType="end"/>
      </w:r>
      <w:r>
        <w:rPr>
          <w:rFonts w:ascii="Times New Roman" w:hAnsi="Times New Roman"/>
          <w:b w:val="0"/>
          <w:bCs w:val="0"/>
        </w:rPr>
        <w:fldChar w:fldCharType="end"/>
      </w:r>
    </w:p>
    <w:p w14:paraId="09FE8DEC">
      <w:pPr>
        <w:pStyle w:val="18"/>
        <w:tabs>
          <w:tab w:val="right" w:leader="dot" w:pos="9345"/>
        </w:tabs>
        <w:spacing w:before="0" w:after="0" w:line="240" w:lineRule="auto"/>
        <w:rPr>
          <w:rFonts w:ascii="Times New Roman" w:hAnsi="Times New Roman" w:eastAsiaTheme="minorEastAsia" w:cstheme="minorBidi"/>
          <w:b w:val="0"/>
          <w:bCs w:val="0"/>
          <w:caps w:val="0"/>
          <w:color w:val="auto"/>
          <w:kern w:val="2"/>
          <w:sz w:val="21"/>
          <w:szCs w:val="22"/>
        </w:rPr>
      </w:pPr>
      <w:r>
        <w:fldChar w:fldCharType="begin"/>
      </w:r>
      <w:r>
        <w:instrText xml:space="preserve"> HYPERLINK \l "_Toc180478630" </w:instrText>
      </w:r>
      <w:r>
        <w:fldChar w:fldCharType="separate"/>
      </w:r>
      <w:r>
        <w:rPr>
          <w:rStyle w:val="45"/>
          <w:b w:val="0"/>
          <w:bCs w:val="0"/>
        </w:rPr>
        <w:t>5 建设项目概况</w:t>
      </w:r>
      <w:r>
        <w:rPr>
          <w:rFonts w:ascii="Times New Roman" w:hAnsi="Times New Roman"/>
          <w:b w:val="0"/>
          <w:bCs w:val="0"/>
        </w:rPr>
        <w:tab/>
      </w:r>
      <w:r>
        <w:rPr>
          <w:rFonts w:ascii="Times New Roman" w:hAnsi="Times New Roman"/>
          <w:b w:val="0"/>
          <w:bCs w:val="0"/>
        </w:rPr>
        <w:fldChar w:fldCharType="begin"/>
      </w:r>
      <w:r>
        <w:rPr>
          <w:rFonts w:ascii="Times New Roman" w:hAnsi="Times New Roman"/>
          <w:b w:val="0"/>
          <w:bCs w:val="0"/>
        </w:rPr>
        <w:instrText xml:space="preserve"> PAGEREF _Toc180478630 \h </w:instrText>
      </w:r>
      <w:r>
        <w:rPr>
          <w:rFonts w:ascii="Times New Roman" w:hAnsi="Times New Roman"/>
          <w:b w:val="0"/>
          <w:bCs w:val="0"/>
        </w:rPr>
        <w:fldChar w:fldCharType="separate"/>
      </w:r>
      <w:r>
        <w:rPr>
          <w:rFonts w:ascii="Times New Roman" w:hAnsi="Times New Roman"/>
          <w:b w:val="0"/>
          <w:bCs w:val="0"/>
        </w:rPr>
        <w:t>2</w:t>
      </w:r>
      <w:r>
        <w:rPr>
          <w:rFonts w:ascii="Times New Roman" w:hAnsi="Times New Roman"/>
          <w:b w:val="0"/>
          <w:bCs w:val="0"/>
        </w:rPr>
        <w:fldChar w:fldCharType="end"/>
      </w:r>
      <w:r>
        <w:rPr>
          <w:rFonts w:ascii="Times New Roman" w:hAnsi="Times New Roman"/>
          <w:b w:val="0"/>
          <w:bCs w:val="0"/>
        </w:rPr>
        <w:fldChar w:fldCharType="end"/>
      </w:r>
    </w:p>
    <w:p w14:paraId="05974FFC">
      <w:pPr>
        <w:pStyle w:val="18"/>
        <w:tabs>
          <w:tab w:val="right" w:leader="dot" w:pos="9345"/>
        </w:tabs>
        <w:spacing w:before="0" w:after="0" w:line="240" w:lineRule="auto"/>
        <w:rPr>
          <w:rFonts w:ascii="Times New Roman" w:hAnsi="Times New Roman" w:eastAsiaTheme="minorEastAsia" w:cstheme="minorBidi"/>
          <w:b w:val="0"/>
          <w:bCs w:val="0"/>
          <w:caps w:val="0"/>
          <w:color w:val="auto"/>
          <w:kern w:val="2"/>
          <w:sz w:val="21"/>
          <w:szCs w:val="22"/>
        </w:rPr>
      </w:pPr>
      <w:r>
        <w:fldChar w:fldCharType="begin"/>
      </w:r>
      <w:r>
        <w:instrText xml:space="preserve"> HYPERLINK \l "_Toc180478631" </w:instrText>
      </w:r>
      <w:r>
        <w:fldChar w:fldCharType="separate"/>
      </w:r>
      <w:r>
        <w:rPr>
          <w:rStyle w:val="45"/>
          <w:b w:val="0"/>
          <w:bCs w:val="0"/>
        </w:rPr>
        <w:t>6 评价单元划分与评价方法选择</w:t>
      </w:r>
      <w:r>
        <w:rPr>
          <w:rFonts w:ascii="Times New Roman" w:hAnsi="Times New Roman"/>
          <w:b w:val="0"/>
          <w:bCs w:val="0"/>
        </w:rPr>
        <w:tab/>
      </w:r>
      <w:r>
        <w:rPr>
          <w:rFonts w:ascii="Times New Roman" w:hAnsi="Times New Roman"/>
          <w:b w:val="0"/>
          <w:bCs w:val="0"/>
        </w:rPr>
        <w:fldChar w:fldCharType="begin"/>
      </w:r>
      <w:r>
        <w:rPr>
          <w:rFonts w:ascii="Times New Roman" w:hAnsi="Times New Roman"/>
          <w:b w:val="0"/>
          <w:bCs w:val="0"/>
        </w:rPr>
        <w:instrText xml:space="preserve"> PAGEREF _Toc180478631 \h </w:instrText>
      </w:r>
      <w:r>
        <w:rPr>
          <w:rFonts w:ascii="Times New Roman" w:hAnsi="Times New Roman"/>
          <w:b w:val="0"/>
          <w:bCs w:val="0"/>
        </w:rPr>
        <w:fldChar w:fldCharType="separate"/>
      </w:r>
      <w:r>
        <w:rPr>
          <w:rFonts w:ascii="Times New Roman" w:hAnsi="Times New Roman"/>
          <w:b w:val="0"/>
          <w:bCs w:val="0"/>
        </w:rPr>
        <w:t>13</w:t>
      </w:r>
      <w:r>
        <w:rPr>
          <w:rFonts w:ascii="Times New Roman" w:hAnsi="Times New Roman"/>
          <w:b w:val="0"/>
          <w:bCs w:val="0"/>
        </w:rPr>
        <w:fldChar w:fldCharType="end"/>
      </w:r>
      <w:r>
        <w:rPr>
          <w:rFonts w:ascii="Times New Roman" w:hAnsi="Times New Roman"/>
          <w:b w:val="0"/>
          <w:bCs w:val="0"/>
        </w:rPr>
        <w:fldChar w:fldCharType="end"/>
      </w:r>
    </w:p>
    <w:p w14:paraId="18E42155">
      <w:pPr>
        <w:pStyle w:val="18"/>
        <w:tabs>
          <w:tab w:val="right" w:leader="dot" w:pos="9345"/>
        </w:tabs>
        <w:spacing w:before="0" w:after="0" w:line="240" w:lineRule="auto"/>
        <w:rPr>
          <w:rFonts w:ascii="Times New Roman" w:hAnsi="Times New Roman" w:eastAsiaTheme="minorEastAsia" w:cstheme="minorBidi"/>
          <w:b w:val="0"/>
          <w:bCs w:val="0"/>
          <w:caps w:val="0"/>
          <w:color w:val="auto"/>
          <w:kern w:val="2"/>
          <w:sz w:val="21"/>
          <w:szCs w:val="22"/>
        </w:rPr>
      </w:pPr>
      <w:r>
        <w:fldChar w:fldCharType="begin"/>
      </w:r>
      <w:r>
        <w:instrText xml:space="preserve"> HYPERLINK \l "_Toc180478632" </w:instrText>
      </w:r>
      <w:r>
        <w:fldChar w:fldCharType="separate"/>
      </w:r>
      <w:r>
        <w:rPr>
          <w:rStyle w:val="45"/>
          <w:b w:val="0"/>
          <w:bCs w:val="0"/>
        </w:rPr>
        <w:t>7 危险有害因素辨识</w:t>
      </w:r>
      <w:r>
        <w:rPr>
          <w:rFonts w:ascii="Times New Roman" w:hAnsi="Times New Roman"/>
          <w:b w:val="0"/>
          <w:bCs w:val="0"/>
        </w:rPr>
        <w:tab/>
      </w:r>
      <w:r>
        <w:rPr>
          <w:rFonts w:ascii="Times New Roman" w:hAnsi="Times New Roman"/>
          <w:b w:val="0"/>
          <w:bCs w:val="0"/>
        </w:rPr>
        <w:fldChar w:fldCharType="begin"/>
      </w:r>
      <w:r>
        <w:rPr>
          <w:rFonts w:ascii="Times New Roman" w:hAnsi="Times New Roman"/>
          <w:b w:val="0"/>
          <w:bCs w:val="0"/>
        </w:rPr>
        <w:instrText xml:space="preserve"> PAGEREF _Toc180478632 \h </w:instrText>
      </w:r>
      <w:r>
        <w:rPr>
          <w:rFonts w:ascii="Times New Roman" w:hAnsi="Times New Roman"/>
          <w:b w:val="0"/>
          <w:bCs w:val="0"/>
        </w:rPr>
        <w:fldChar w:fldCharType="separate"/>
      </w:r>
      <w:r>
        <w:rPr>
          <w:rFonts w:ascii="Times New Roman" w:hAnsi="Times New Roman"/>
          <w:b w:val="0"/>
          <w:bCs w:val="0"/>
        </w:rPr>
        <w:t>13</w:t>
      </w:r>
      <w:r>
        <w:rPr>
          <w:rFonts w:ascii="Times New Roman" w:hAnsi="Times New Roman"/>
          <w:b w:val="0"/>
          <w:bCs w:val="0"/>
        </w:rPr>
        <w:fldChar w:fldCharType="end"/>
      </w:r>
      <w:r>
        <w:rPr>
          <w:rFonts w:ascii="Times New Roman" w:hAnsi="Times New Roman"/>
          <w:b w:val="0"/>
          <w:bCs w:val="0"/>
        </w:rPr>
        <w:fldChar w:fldCharType="end"/>
      </w:r>
    </w:p>
    <w:p w14:paraId="02DF88DB">
      <w:pPr>
        <w:pStyle w:val="18"/>
        <w:tabs>
          <w:tab w:val="right" w:leader="dot" w:pos="9345"/>
        </w:tabs>
        <w:spacing w:before="0" w:after="0" w:line="240" w:lineRule="auto"/>
        <w:rPr>
          <w:rFonts w:ascii="Times New Roman" w:hAnsi="Times New Roman" w:eastAsiaTheme="minorEastAsia" w:cstheme="minorBidi"/>
          <w:b w:val="0"/>
          <w:bCs w:val="0"/>
          <w:caps w:val="0"/>
          <w:color w:val="auto"/>
          <w:kern w:val="2"/>
          <w:sz w:val="21"/>
          <w:szCs w:val="22"/>
        </w:rPr>
      </w:pPr>
      <w:r>
        <w:fldChar w:fldCharType="begin"/>
      </w:r>
      <w:r>
        <w:instrText xml:space="preserve"> HYPERLINK \l "_Toc180478633" </w:instrText>
      </w:r>
      <w:r>
        <w:fldChar w:fldCharType="separate"/>
      </w:r>
      <w:r>
        <w:rPr>
          <w:rStyle w:val="45"/>
          <w:b w:val="0"/>
          <w:bCs w:val="0"/>
        </w:rPr>
        <w:t>8 单元安全评价</w:t>
      </w:r>
      <w:r>
        <w:rPr>
          <w:rFonts w:ascii="Times New Roman" w:hAnsi="Times New Roman"/>
          <w:b w:val="0"/>
          <w:bCs w:val="0"/>
        </w:rPr>
        <w:tab/>
      </w:r>
      <w:r>
        <w:rPr>
          <w:rFonts w:ascii="Times New Roman" w:hAnsi="Times New Roman"/>
          <w:b w:val="0"/>
          <w:bCs w:val="0"/>
        </w:rPr>
        <w:fldChar w:fldCharType="begin"/>
      </w:r>
      <w:r>
        <w:rPr>
          <w:rFonts w:ascii="Times New Roman" w:hAnsi="Times New Roman"/>
          <w:b w:val="0"/>
          <w:bCs w:val="0"/>
        </w:rPr>
        <w:instrText xml:space="preserve"> PAGEREF _Toc180478633 \h </w:instrText>
      </w:r>
      <w:r>
        <w:rPr>
          <w:rFonts w:ascii="Times New Roman" w:hAnsi="Times New Roman"/>
          <w:b w:val="0"/>
          <w:bCs w:val="0"/>
        </w:rPr>
        <w:fldChar w:fldCharType="separate"/>
      </w:r>
      <w:r>
        <w:rPr>
          <w:rFonts w:ascii="Times New Roman" w:hAnsi="Times New Roman"/>
          <w:b w:val="0"/>
          <w:bCs w:val="0"/>
        </w:rPr>
        <w:t>14</w:t>
      </w:r>
      <w:r>
        <w:rPr>
          <w:rFonts w:ascii="Times New Roman" w:hAnsi="Times New Roman"/>
          <w:b w:val="0"/>
          <w:bCs w:val="0"/>
        </w:rPr>
        <w:fldChar w:fldCharType="end"/>
      </w:r>
      <w:r>
        <w:rPr>
          <w:rFonts w:ascii="Times New Roman" w:hAnsi="Times New Roman"/>
          <w:b w:val="0"/>
          <w:bCs w:val="0"/>
        </w:rPr>
        <w:fldChar w:fldCharType="end"/>
      </w:r>
    </w:p>
    <w:p w14:paraId="5491FE44">
      <w:pPr>
        <w:pStyle w:val="18"/>
        <w:tabs>
          <w:tab w:val="right" w:leader="dot" w:pos="9345"/>
        </w:tabs>
        <w:spacing w:before="0" w:after="0" w:line="240" w:lineRule="auto"/>
        <w:rPr>
          <w:rFonts w:ascii="Times New Roman" w:hAnsi="Times New Roman" w:eastAsiaTheme="minorEastAsia" w:cstheme="minorBidi"/>
          <w:b w:val="0"/>
          <w:bCs w:val="0"/>
          <w:caps w:val="0"/>
          <w:color w:val="auto"/>
          <w:kern w:val="2"/>
          <w:sz w:val="21"/>
          <w:szCs w:val="22"/>
        </w:rPr>
      </w:pPr>
      <w:r>
        <w:fldChar w:fldCharType="begin"/>
      </w:r>
      <w:r>
        <w:instrText xml:space="preserve"> HYPERLINK \l "_Toc180478634" </w:instrText>
      </w:r>
      <w:r>
        <w:fldChar w:fldCharType="separate"/>
      </w:r>
      <w:r>
        <w:rPr>
          <w:rStyle w:val="45"/>
          <w:b w:val="0"/>
          <w:bCs w:val="0"/>
        </w:rPr>
        <w:t>9 安全管理</w:t>
      </w:r>
      <w:r>
        <w:rPr>
          <w:rFonts w:ascii="Times New Roman" w:hAnsi="Times New Roman"/>
          <w:b w:val="0"/>
          <w:bCs w:val="0"/>
        </w:rPr>
        <w:tab/>
      </w:r>
      <w:r>
        <w:rPr>
          <w:rFonts w:ascii="Times New Roman" w:hAnsi="Times New Roman"/>
          <w:b w:val="0"/>
          <w:bCs w:val="0"/>
        </w:rPr>
        <w:fldChar w:fldCharType="begin"/>
      </w:r>
      <w:r>
        <w:rPr>
          <w:rFonts w:ascii="Times New Roman" w:hAnsi="Times New Roman"/>
          <w:b w:val="0"/>
          <w:bCs w:val="0"/>
        </w:rPr>
        <w:instrText xml:space="preserve"> PAGEREF _Toc180478634 \h </w:instrText>
      </w:r>
      <w:r>
        <w:rPr>
          <w:rFonts w:ascii="Times New Roman" w:hAnsi="Times New Roman"/>
          <w:b w:val="0"/>
          <w:bCs w:val="0"/>
        </w:rPr>
        <w:fldChar w:fldCharType="separate"/>
      </w:r>
      <w:r>
        <w:rPr>
          <w:rFonts w:ascii="Times New Roman" w:hAnsi="Times New Roman"/>
          <w:b w:val="0"/>
          <w:bCs w:val="0"/>
        </w:rPr>
        <w:t>17</w:t>
      </w:r>
      <w:r>
        <w:rPr>
          <w:rFonts w:ascii="Times New Roman" w:hAnsi="Times New Roman"/>
          <w:b w:val="0"/>
          <w:bCs w:val="0"/>
        </w:rPr>
        <w:fldChar w:fldCharType="end"/>
      </w:r>
      <w:r>
        <w:rPr>
          <w:rFonts w:ascii="Times New Roman" w:hAnsi="Times New Roman"/>
          <w:b w:val="0"/>
          <w:bCs w:val="0"/>
        </w:rPr>
        <w:fldChar w:fldCharType="end"/>
      </w:r>
    </w:p>
    <w:p w14:paraId="7FD46632">
      <w:pPr>
        <w:pStyle w:val="18"/>
        <w:tabs>
          <w:tab w:val="right" w:leader="dot" w:pos="9345"/>
        </w:tabs>
        <w:spacing w:before="0" w:after="0" w:line="240" w:lineRule="auto"/>
        <w:rPr>
          <w:rFonts w:ascii="Times New Roman" w:hAnsi="Times New Roman" w:eastAsiaTheme="minorEastAsia" w:cstheme="minorBidi"/>
          <w:b w:val="0"/>
          <w:bCs w:val="0"/>
          <w:caps w:val="0"/>
          <w:color w:val="auto"/>
          <w:kern w:val="2"/>
          <w:sz w:val="21"/>
          <w:szCs w:val="22"/>
        </w:rPr>
      </w:pPr>
      <w:r>
        <w:fldChar w:fldCharType="begin"/>
      </w:r>
      <w:r>
        <w:instrText xml:space="preserve"> HYPERLINK \l "_Toc180478635" </w:instrText>
      </w:r>
      <w:r>
        <w:fldChar w:fldCharType="separate"/>
      </w:r>
      <w:r>
        <w:rPr>
          <w:rStyle w:val="45"/>
          <w:b w:val="0"/>
          <w:bCs w:val="0"/>
        </w:rPr>
        <w:t>10 结论与建议</w:t>
      </w:r>
      <w:r>
        <w:rPr>
          <w:rFonts w:ascii="Times New Roman" w:hAnsi="Times New Roman"/>
          <w:b w:val="0"/>
          <w:bCs w:val="0"/>
        </w:rPr>
        <w:tab/>
      </w:r>
      <w:r>
        <w:rPr>
          <w:rFonts w:ascii="Times New Roman" w:hAnsi="Times New Roman"/>
          <w:b w:val="0"/>
          <w:bCs w:val="0"/>
        </w:rPr>
        <w:fldChar w:fldCharType="begin"/>
      </w:r>
      <w:r>
        <w:rPr>
          <w:rFonts w:ascii="Times New Roman" w:hAnsi="Times New Roman"/>
          <w:b w:val="0"/>
          <w:bCs w:val="0"/>
        </w:rPr>
        <w:instrText xml:space="preserve"> PAGEREF _Toc180478635 \h </w:instrText>
      </w:r>
      <w:r>
        <w:rPr>
          <w:rFonts w:ascii="Times New Roman" w:hAnsi="Times New Roman"/>
          <w:b w:val="0"/>
          <w:bCs w:val="0"/>
        </w:rPr>
        <w:fldChar w:fldCharType="separate"/>
      </w:r>
      <w:r>
        <w:rPr>
          <w:rFonts w:ascii="Times New Roman" w:hAnsi="Times New Roman"/>
          <w:b w:val="0"/>
          <w:bCs w:val="0"/>
        </w:rPr>
        <w:t>18</w:t>
      </w:r>
      <w:r>
        <w:rPr>
          <w:rFonts w:ascii="Times New Roman" w:hAnsi="Times New Roman"/>
          <w:b w:val="0"/>
          <w:bCs w:val="0"/>
        </w:rPr>
        <w:fldChar w:fldCharType="end"/>
      </w:r>
      <w:r>
        <w:rPr>
          <w:rFonts w:ascii="Times New Roman" w:hAnsi="Times New Roman"/>
          <w:b w:val="0"/>
          <w:bCs w:val="0"/>
        </w:rPr>
        <w:fldChar w:fldCharType="end"/>
      </w:r>
    </w:p>
    <w:p w14:paraId="126187CD">
      <w:pPr>
        <w:pStyle w:val="18"/>
        <w:tabs>
          <w:tab w:val="right" w:leader="dot" w:pos="9345"/>
        </w:tabs>
        <w:spacing w:before="0" w:after="0" w:line="240" w:lineRule="auto"/>
        <w:rPr>
          <w:rFonts w:ascii="Times New Roman" w:hAnsi="Times New Roman" w:eastAsiaTheme="minorEastAsia" w:cstheme="minorBidi"/>
          <w:b w:val="0"/>
          <w:bCs w:val="0"/>
          <w:caps w:val="0"/>
          <w:color w:val="auto"/>
          <w:kern w:val="2"/>
          <w:sz w:val="21"/>
          <w:szCs w:val="22"/>
        </w:rPr>
      </w:pPr>
      <w:r>
        <w:fldChar w:fldCharType="begin"/>
      </w:r>
      <w:r>
        <w:instrText xml:space="preserve"> HYPERLINK \l "_Toc180478636" </w:instrText>
      </w:r>
      <w:r>
        <w:fldChar w:fldCharType="separate"/>
      </w:r>
      <w:r>
        <w:rPr>
          <w:rStyle w:val="45"/>
          <w:b w:val="0"/>
          <w:bCs w:val="0"/>
        </w:rPr>
        <w:t>11 与建设单位交换意见</w:t>
      </w:r>
      <w:r>
        <w:rPr>
          <w:rFonts w:ascii="Times New Roman" w:hAnsi="Times New Roman"/>
          <w:b w:val="0"/>
          <w:bCs w:val="0"/>
        </w:rPr>
        <w:tab/>
      </w:r>
      <w:r>
        <w:rPr>
          <w:rFonts w:ascii="Times New Roman" w:hAnsi="Times New Roman"/>
          <w:b w:val="0"/>
          <w:bCs w:val="0"/>
        </w:rPr>
        <w:fldChar w:fldCharType="begin"/>
      </w:r>
      <w:r>
        <w:rPr>
          <w:rFonts w:ascii="Times New Roman" w:hAnsi="Times New Roman"/>
          <w:b w:val="0"/>
          <w:bCs w:val="0"/>
        </w:rPr>
        <w:instrText xml:space="preserve"> PAGEREF _Toc180478636 \h </w:instrText>
      </w:r>
      <w:r>
        <w:rPr>
          <w:rFonts w:ascii="Times New Roman" w:hAnsi="Times New Roman"/>
          <w:b w:val="0"/>
          <w:bCs w:val="0"/>
        </w:rPr>
        <w:fldChar w:fldCharType="separate"/>
      </w:r>
      <w:r>
        <w:rPr>
          <w:rFonts w:ascii="Times New Roman" w:hAnsi="Times New Roman"/>
          <w:b w:val="0"/>
          <w:bCs w:val="0"/>
        </w:rPr>
        <w:t>18</w:t>
      </w:r>
      <w:r>
        <w:rPr>
          <w:rFonts w:ascii="Times New Roman" w:hAnsi="Times New Roman"/>
          <w:b w:val="0"/>
          <w:bCs w:val="0"/>
        </w:rPr>
        <w:fldChar w:fldCharType="end"/>
      </w:r>
      <w:r>
        <w:rPr>
          <w:rFonts w:ascii="Times New Roman" w:hAnsi="Times New Roman"/>
          <w:b w:val="0"/>
          <w:bCs w:val="0"/>
        </w:rPr>
        <w:fldChar w:fldCharType="end"/>
      </w:r>
    </w:p>
    <w:p w14:paraId="42A36BDC">
      <w:pPr>
        <w:pStyle w:val="18"/>
        <w:tabs>
          <w:tab w:val="right" w:leader="dot" w:pos="9345"/>
        </w:tabs>
        <w:spacing w:before="0" w:after="0" w:line="240" w:lineRule="auto"/>
        <w:rPr>
          <w:rFonts w:ascii="Times New Roman" w:hAnsi="Times New Roman" w:eastAsiaTheme="minorEastAsia" w:cstheme="minorBidi"/>
          <w:b w:val="0"/>
          <w:bCs w:val="0"/>
          <w:caps w:val="0"/>
          <w:color w:val="auto"/>
          <w:kern w:val="2"/>
          <w:sz w:val="21"/>
          <w:szCs w:val="22"/>
        </w:rPr>
      </w:pPr>
      <w:r>
        <w:fldChar w:fldCharType="begin"/>
      </w:r>
      <w:r>
        <w:instrText xml:space="preserve"> HYPERLINK \l "_Toc180478637" </w:instrText>
      </w:r>
      <w:r>
        <w:fldChar w:fldCharType="separate"/>
      </w:r>
      <w:r>
        <w:rPr>
          <w:rStyle w:val="45"/>
          <w:b w:val="0"/>
          <w:bCs w:val="0"/>
        </w:rPr>
        <w:t>12 附件与附图</w:t>
      </w:r>
      <w:r>
        <w:rPr>
          <w:rFonts w:ascii="Times New Roman" w:hAnsi="Times New Roman"/>
          <w:b w:val="0"/>
          <w:bCs w:val="0"/>
        </w:rPr>
        <w:tab/>
      </w:r>
      <w:r>
        <w:rPr>
          <w:rFonts w:ascii="Times New Roman" w:hAnsi="Times New Roman"/>
          <w:b w:val="0"/>
          <w:bCs w:val="0"/>
        </w:rPr>
        <w:fldChar w:fldCharType="begin"/>
      </w:r>
      <w:r>
        <w:rPr>
          <w:rFonts w:ascii="Times New Roman" w:hAnsi="Times New Roman"/>
          <w:b w:val="0"/>
          <w:bCs w:val="0"/>
        </w:rPr>
        <w:instrText xml:space="preserve"> PAGEREF _Toc180478637 \h </w:instrText>
      </w:r>
      <w:r>
        <w:rPr>
          <w:rFonts w:ascii="Times New Roman" w:hAnsi="Times New Roman"/>
          <w:b w:val="0"/>
          <w:bCs w:val="0"/>
        </w:rPr>
        <w:fldChar w:fldCharType="separate"/>
      </w:r>
      <w:r>
        <w:rPr>
          <w:rFonts w:ascii="Times New Roman" w:hAnsi="Times New Roman"/>
          <w:b w:val="0"/>
          <w:bCs w:val="0"/>
        </w:rPr>
        <w:t>18</w:t>
      </w:r>
      <w:r>
        <w:rPr>
          <w:rFonts w:ascii="Times New Roman" w:hAnsi="Times New Roman"/>
          <w:b w:val="0"/>
          <w:bCs w:val="0"/>
        </w:rPr>
        <w:fldChar w:fldCharType="end"/>
      </w:r>
      <w:r>
        <w:rPr>
          <w:rFonts w:ascii="Times New Roman" w:hAnsi="Times New Roman"/>
          <w:b w:val="0"/>
          <w:bCs w:val="0"/>
        </w:rPr>
        <w:fldChar w:fldCharType="end"/>
      </w:r>
    </w:p>
    <w:p w14:paraId="126DAD18">
      <w:pPr>
        <w:pStyle w:val="18"/>
        <w:tabs>
          <w:tab w:val="right" w:leader="dot" w:pos="9345"/>
        </w:tabs>
        <w:spacing w:before="0" w:after="0" w:line="240" w:lineRule="auto"/>
        <w:rPr>
          <w:rFonts w:ascii="Times New Roman" w:hAnsi="Times New Roman" w:eastAsiaTheme="minorEastAsia" w:cstheme="minorBidi"/>
          <w:b w:val="0"/>
          <w:bCs w:val="0"/>
          <w:caps w:val="0"/>
          <w:color w:val="auto"/>
          <w:kern w:val="2"/>
          <w:sz w:val="21"/>
          <w:szCs w:val="22"/>
        </w:rPr>
      </w:pPr>
      <w:r>
        <w:fldChar w:fldCharType="begin"/>
      </w:r>
      <w:r>
        <w:instrText xml:space="preserve"> HYPERLINK \l "_Toc180478638" </w:instrText>
      </w:r>
      <w:r>
        <w:fldChar w:fldCharType="separate"/>
      </w:r>
      <w:r>
        <w:rPr>
          <w:rStyle w:val="45"/>
          <w:b w:val="0"/>
          <w:bCs w:val="0"/>
        </w:rPr>
        <w:t>13 报告编制要求</w:t>
      </w:r>
      <w:r>
        <w:rPr>
          <w:rFonts w:ascii="Times New Roman" w:hAnsi="Times New Roman"/>
          <w:b w:val="0"/>
          <w:bCs w:val="0"/>
        </w:rPr>
        <w:tab/>
      </w:r>
      <w:r>
        <w:rPr>
          <w:rFonts w:ascii="Times New Roman" w:hAnsi="Times New Roman"/>
          <w:b w:val="0"/>
          <w:bCs w:val="0"/>
        </w:rPr>
        <w:fldChar w:fldCharType="begin"/>
      </w:r>
      <w:r>
        <w:rPr>
          <w:rFonts w:ascii="Times New Roman" w:hAnsi="Times New Roman"/>
          <w:b w:val="0"/>
          <w:bCs w:val="0"/>
        </w:rPr>
        <w:instrText xml:space="preserve"> PAGEREF _Toc180478638 \h </w:instrText>
      </w:r>
      <w:r>
        <w:rPr>
          <w:rFonts w:ascii="Times New Roman" w:hAnsi="Times New Roman"/>
          <w:b w:val="0"/>
          <w:bCs w:val="0"/>
        </w:rPr>
        <w:fldChar w:fldCharType="separate"/>
      </w:r>
      <w:r>
        <w:rPr>
          <w:rFonts w:ascii="Times New Roman" w:hAnsi="Times New Roman"/>
          <w:b w:val="0"/>
          <w:bCs w:val="0"/>
        </w:rPr>
        <w:t>19</w:t>
      </w:r>
      <w:r>
        <w:rPr>
          <w:rFonts w:ascii="Times New Roman" w:hAnsi="Times New Roman"/>
          <w:b w:val="0"/>
          <w:bCs w:val="0"/>
        </w:rPr>
        <w:fldChar w:fldCharType="end"/>
      </w:r>
      <w:r>
        <w:rPr>
          <w:rFonts w:ascii="Times New Roman" w:hAnsi="Times New Roman"/>
          <w:b w:val="0"/>
          <w:bCs w:val="0"/>
        </w:rPr>
        <w:fldChar w:fldCharType="end"/>
      </w:r>
    </w:p>
    <w:p w14:paraId="149620DA">
      <w:pPr>
        <w:pStyle w:val="18"/>
        <w:tabs>
          <w:tab w:val="right" w:leader="dot" w:pos="9345"/>
        </w:tabs>
        <w:spacing w:before="0" w:after="0" w:line="240" w:lineRule="auto"/>
        <w:rPr>
          <w:rFonts w:hint="eastAsia" w:ascii="Times New Roman" w:hAnsi="Times New Roman" w:eastAsia="宋体" w:cstheme="minorBidi"/>
          <w:b w:val="0"/>
          <w:bCs w:val="0"/>
          <w:caps w:val="0"/>
          <w:color w:val="auto"/>
          <w:kern w:val="2"/>
          <w:sz w:val="21"/>
          <w:szCs w:val="22"/>
          <w:lang w:val="en-US" w:eastAsia="zh-CN"/>
        </w:rPr>
      </w:pPr>
      <w:r>
        <w:fldChar w:fldCharType="begin"/>
      </w:r>
      <w:r>
        <w:instrText xml:space="preserve"> HYPERLINK \l "_Toc180478639" </w:instrText>
      </w:r>
      <w:r>
        <w:fldChar w:fldCharType="separate"/>
      </w:r>
      <w:r>
        <w:rPr>
          <w:rStyle w:val="45"/>
          <w:b w:val="0"/>
          <w:bCs w:val="0"/>
        </w:rPr>
        <w:t>附　录　A （资料性） 主要安全设施</w:t>
      </w:r>
      <w:r>
        <w:rPr>
          <w:rFonts w:ascii="Times New Roman" w:hAnsi="Times New Roman"/>
          <w:b w:val="0"/>
          <w:bCs w:val="0"/>
        </w:rPr>
        <w:tab/>
      </w:r>
      <w:r>
        <w:rPr>
          <w:rFonts w:hint="eastAsia" w:ascii="Times New Roman" w:hAnsi="Times New Roman"/>
          <w:b w:val="0"/>
          <w:bCs w:val="0"/>
          <w:lang w:val="en-US" w:eastAsia="zh-CN"/>
        </w:rPr>
        <w:t>2</w:t>
      </w:r>
      <w:r>
        <w:rPr>
          <w:rFonts w:ascii="Times New Roman" w:hAnsi="Times New Roman"/>
          <w:b w:val="0"/>
          <w:bCs w:val="0"/>
        </w:rPr>
        <w:fldChar w:fldCharType="end"/>
      </w:r>
      <w:r>
        <w:rPr>
          <w:rFonts w:hint="eastAsia" w:ascii="Times New Roman" w:hAnsi="Times New Roman"/>
          <w:b w:val="0"/>
          <w:bCs w:val="0"/>
          <w:lang w:val="en-US" w:eastAsia="zh-CN"/>
        </w:rPr>
        <w:t>2</w:t>
      </w:r>
    </w:p>
    <w:p w14:paraId="5E770856">
      <w:pPr>
        <w:pStyle w:val="18"/>
        <w:tabs>
          <w:tab w:val="right" w:leader="dot" w:pos="9345"/>
        </w:tabs>
        <w:spacing w:before="0" w:after="0" w:line="240" w:lineRule="auto"/>
        <w:rPr>
          <w:rFonts w:hint="eastAsia" w:ascii="Times New Roman" w:hAnsi="Times New Roman" w:eastAsia="宋体" w:cstheme="minorBidi"/>
          <w:b w:val="0"/>
          <w:bCs w:val="0"/>
          <w:caps w:val="0"/>
          <w:color w:val="auto"/>
          <w:kern w:val="2"/>
          <w:sz w:val="21"/>
          <w:szCs w:val="22"/>
          <w:lang w:val="en-US" w:eastAsia="zh-CN"/>
        </w:rPr>
      </w:pPr>
      <w:r>
        <w:fldChar w:fldCharType="begin"/>
      </w:r>
      <w:r>
        <w:instrText xml:space="preserve"> HYPERLINK \l "_Toc180478640" </w:instrText>
      </w:r>
      <w:r>
        <w:fldChar w:fldCharType="separate"/>
      </w:r>
      <w:r>
        <w:rPr>
          <w:rStyle w:val="45"/>
          <w:b w:val="0"/>
          <w:bCs w:val="0"/>
        </w:rPr>
        <w:t>附　录　B （资料性） 定量风险评价法</w:t>
      </w:r>
      <w:r>
        <w:rPr>
          <w:rFonts w:ascii="Times New Roman" w:hAnsi="Times New Roman"/>
          <w:b w:val="0"/>
          <w:bCs w:val="0"/>
        </w:rPr>
        <w:tab/>
      </w:r>
      <w:r>
        <w:rPr>
          <w:rFonts w:hint="eastAsia" w:ascii="Times New Roman" w:hAnsi="Times New Roman"/>
          <w:b w:val="0"/>
          <w:bCs w:val="0"/>
          <w:lang w:val="en-US" w:eastAsia="zh-CN"/>
        </w:rPr>
        <w:t>2</w:t>
      </w:r>
      <w:r>
        <w:rPr>
          <w:rFonts w:ascii="Times New Roman" w:hAnsi="Times New Roman"/>
          <w:b w:val="0"/>
          <w:bCs w:val="0"/>
        </w:rPr>
        <w:fldChar w:fldCharType="end"/>
      </w:r>
      <w:r>
        <w:rPr>
          <w:rFonts w:hint="eastAsia" w:ascii="Times New Roman" w:hAnsi="Times New Roman"/>
          <w:b w:val="0"/>
          <w:bCs w:val="0"/>
          <w:lang w:val="en-US" w:eastAsia="zh-CN"/>
        </w:rPr>
        <w:t>3</w:t>
      </w:r>
    </w:p>
    <w:p w14:paraId="1787AD7A">
      <w:pPr>
        <w:pStyle w:val="18"/>
        <w:tabs>
          <w:tab w:val="right" w:leader="dot" w:pos="9345"/>
        </w:tabs>
        <w:spacing w:before="0" w:after="0" w:line="240" w:lineRule="auto"/>
        <w:rPr>
          <w:rFonts w:hint="eastAsia" w:ascii="Times New Roman" w:hAnsi="Times New Roman" w:eastAsia="宋体" w:cstheme="minorBidi"/>
          <w:b w:val="0"/>
          <w:bCs w:val="0"/>
          <w:caps w:val="0"/>
          <w:color w:val="auto"/>
          <w:kern w:val="2"/>
          <w:sz w:val="21"/>
          <w:szCs w:val="22"/>
          <w:lang w:val="en-US" w:eastAsia="zh-CN"/>
        </w:rPr>
      </w:pPr>
      <w:r>
        <w:fldChar w:fldCharType="begin"/>
      </w:r>
      <w:r>
        <w:instrText xml:space="preserve"> HYPERLINK \l "_Toc180478641" </w:instrText>
      </w:r>
      <w:r>
        <w:fldChar w:fldCharType="separate"/>
      </w:r>
      <w:r>
        <w:rPr>
          <w:rStyle w:val="45"/>
          <w:b w:val="0"/>
          <w:bCs w:val="0"/>
        </w:rPr>
        <w:t>附　录　C （规范性） 个人风险基准</w:t>
      </w:r>
      <w:r>
        <w:rPr>
          <w:rFonts w:ascii="Times New Roman" w:hAnsi="Times New Roman"/>
          <w:b w:val="0"/>
          <w:bCs w:val="0"/>
        </w:rPr>
        <w:tab/>
      </w:r>
      <w:r>
        <w:rPr>
          <w:rFonts w:hint="eastAsia" w:ascii="Times New Roman" w:hAnsi="Times New Roman"/>
          <w:b w:val="0"/>
          <w:bCs w:val="0"/>
          <w:lang w:val="en-US" w:eastAsia="zh-CN"/>
        </w:rPr>
        <w:t>4</w:t>
      </w:r>
      <w:r>
        <w:rPr>
          <w:rFonts w:ascii="Times New Roman" w:hAnsi="Times New Roman"/>
          <w:b w:val="0"/>
          <w:bCs w:val="0"/>
        </w:rPr>
        <w:fldChar w:fldCharType="end"/>
      </w:r>
      <w:r>
        <w:rPr>
          <w:rFonts w:hint="eastAsia" w:ascii="Times New Roman" w:hAnsi="Times New Roman"/>
          <w:b w:val="0"/>
          <w:bCs w:val="0"/>
          <w:lang w:val="en-US" w:eastAsia="zh-CN"/>
        </w:rPr>
        <w:t>4</w:t>
      </w:r>
    </w:p>
    <w:p w14:paraId="4B16D9D1">
      <w:pPr>
        <w:pStyle w:val="18"/>
        <w:tabs>
          <w:tab w:val="right" w:leader="dot" w:pos="9345"/>
        </w:tabs>
        <w:spacing w:before="0" w:after="0" w:line="240" w:lineRule="auto"/>
        <w:rPr>
          <w:rFonts w:hint="eastAsia" w:ascii="Times New Roman" w:hAnsi="Times New Roman" w:eastAsia="宋体" w:cstheme="minorBidi"/>
          <w:b w:val="0"/>
          <w:bCs w:val="0"/>
          <w:caps w:val="0"/>
          <w:color w:val="auto"/>
          <w:kern w:val="2"/>
          <w:sz w:val="21"/>
          <w:szCs w:val="22"/>
          <w:lang w:val="en-US" w:eastAsia="zh-CN"/>
        </w:rPr>
      </w:pPr>
      <w:r>
        <w:fldChar w:fldCharType="begin"/>
      </w:r>
      <w:r>
        <w:instrText xml:space="preserve"> HYPERLINK \l "_Toc180478642" </w:instrText>
      </w:r>
      <w:r>
        <w:fldChar w:fldCharType="separate"/>
      </w:r>
      <w:r>
        <w:rPr>
          <w:rStyle w:val="45"/>
          <w:b w:val="0"/>
          <w:bCs w:val="0"/>
        </w:rPr>
        <w:t>附　录　D （规范性） 安全预评价报告封面格式</w:t>
      </w:r>
      <w:r>
        <w:rPr>
          <w:rFonts w:ascii="Times New Roman" w:hAnsi="Times New Roman"/>
          <w:b w:val="0"/>
          <w:bCs w:val="0"/>
        </w:rPr>
        <w:tab/>
      </w:r>
      <w:r>
        <w:rPr>
          <w:rFonts w:hint="eastAsia" w:ascii="Times New Roman" w:hAnsi="Times New Roman"/>
          <w:b w:val="0"/>
          <w:bCs w:val="0"/>
          <w:lang w:val="en-US" w:eastAsia="zh-CN"/>
        </w:rPr>
        <w:t>4</w:t>
      </w:r>
      <w:r>
        <w:rPr>
          <w:rFonts w:ascii="Times New Roman" w:hAnsi="Times New Roman"/>
          <w:b w:val="0"/>
          <w:bCs w:val="0"/>
        </w:rPr>
        <w:fldChar w:fldCharType="end"/>
      </w:r>
      <w:r>
        <w:rPr>
          <w:rFonts w:hint="eastAsia" w:ascii="Times New Roman" w:hAnsi="Times New Roman"/>
          <w:b w:val="0"/>
          <w:bCs w:val="0"/>
          <w:lang w:val="en-US" w:eastAsia="zh-CN"/>
        </w:rPr>
        <w:t>7</w:t>
      </w:r>
    </w:p>
    <w:p w14:paraId="46AEFF1E">
      <w:pPr>
        <w:pStyle w:val="18"/>
        <w:tabs>
          <w:tab w:val="right" w:leader="dot" w:pos="9345"/>
        </w:tabs>
        <w:spacing w:before="0" w:after="0" w:line="240" w:lineRule="auto"/>
        <w:rPr>
          <w:rFonts w:hint="eastAsia" w:ascii="Times New Roman" w:hAnsi="Times New Roman" w:eastAsia="宋体" w:cstheme="minorBidi"/>
          <w:b w:val="0"/>
          <w:bCs w:val="0"/>
          <w:caps w:val="0"/>
          <w:color w:val="auto"/>
          <w:kern w:val="2"/>
          <w:sz w:val="21"/>
          <w:szCs w:val="22"/>
          <w:lang w:val="en-US" w:eastAsia="zh-CN"/>
        </w:rPr>
      </w:pPr>
      <w:r>
        <w:fldChar w:fldCharType="begin"/>
      </w:r>
      <w:r>
        <w:instrText xml:space="preserve"> HYPERLINK \l "_Toc180478643" </w:instrText>
      </w:r>
      <w:r>
        <w:fldChar w:fldCharType="separate"/>
      </w:r>
      <w:r>
        <w:rPr>
          <w:rStyle w:val="45"/>
          <w:b w:val="0"/>
          <w:bCs w:val="0"/>
        </w:rPr>
        <w:t>附　录　E （规范性） 安全预评价报告扉页格式</w:t>
      </w:r>
      <w:r>
        <w:rPr>
          <w:rFonts w:ascii="Times New Roman" w:hAnsi="Times New Roman"/>
          <w:b w:val="0"/>
          <w:bCs w:val="0"/>
        </w:rPr>
        <w:tab/>
      </w:r>
      <w:r>
        <w:rPr>
          <w:rFonts w:hint="eastAsia" w:ascii="Times New Roman" w:hAnsi="Times New Roman"/>
          <w:b w:val="0"/>
          <w:bCs w:val="0"/>
          <w:lang w:val="en-US" w:eastAsia="zh-CN"/>
        </w:rPr>
        <w:t>4</w:t>
      </w:r>
      <w:r>
        <w:rPr>
          <w:rFonts w:ascii="Times New Roman" w:hAnsi="Times New Roman"/>
          <w:b w:val="0"/>
          <w:bCs w:val="0"/>
        </w:rPr>
        <w:fldChar w:fldCharType="end"/>
      </w:r>
      <w:r>
        <w:rPr>
          <w:rFonts w:hint="eastAsia" w:ascii="Times New Roman" w:hAnsi="Times New Roman"/>
          <w:b w:val="0"/>
          <w:bCs w:val="0"/>
          <w:lang w:val="en-US" w:eastAsia="zh-CN"/>
        </w:rPr>
        <w:t>8</w:t>
      </w:r>
    </w:p>
    <w:p w14:paraId="427DF3B8">
      <w:pPr>
        <w:pStyle w:val="18"/>
        <w:tabs>
          <w:tab w:val="right" w:leader="dot" w:pos="9345"/>
        </w:tabs>
        <w:spacing w:before="0" w:after="0" w:line="240" w:lineRule="auto"/>
        <w:rPr>
          <w:rFonts w:hint="eastAsia" w:ascii="Times New Roman" w:hAnsi="Times New Roman" w:eastAsia="宋体" w:cstheme="minorBidi"/>
          <w:b w:val="0"/>
          <w:bCs w:val="0"/>
          <w:caps w:val="0"/>
          <w:color w:val="auto"/>
          <w:kern w:val="2"/>
          <w:sz w:val="21"/>
          <w:szCs w:val="22"/>
          <w:lang w:val="en-US" w:eastAsia="zh-CN"/>
        </w:rPr>
      </w:pPr>
      <w:r>
        <w:fldChar w:fldCharType="begin"/>
      </w:r>
      <w:r>
        <w:instrText xml:space="preserve"> HYPERLINK \l "_Toc180478644" </w:instrText>
      </w:r>
      <w:r>
        <w:fldChar w:fldCharType="separate"/>
      </w:r>
      <w:r>
        <w:rPr>
          <w:rStyle w:val="45"/>
          <w:b w:val="0"/>
          <w:bCs w:val="0"/>
        </w:rPr>
        <w:t>附　录　F （规范性） 安全预评价报告评价人员名单格式</w:t>
      </w:r>
      <w:r>
        <w:rPr>
          <w:rFonts w:ascii="Times New Roman" w:hAnsi="Times New Roman"/>
          <w:b w:val="0"/>
          <w:bCs w:val="0"/>
        </w:rPr>
        <w:tab/>
      </w:r>
      <w:r>
        <w:rPr>
          <w:rFonts w:hint="eastAsia" w:ascii="Times New Roman" w:hAnsi="Times New Roman"/>
          <w:b w:val="0"/>
          <w:bCs w:val="0"/>
          <w:lang w:val="en-US" w:eastAsia="zh-CN"/>
        </w:rPr>
        <w:t>4</w:t>
      </w:r>
      <w:r>
        <w:rPr>
          <w:rFonts w:ascii="Times New Roman" w:hAnsi="Times New Roman"/>
          <w:b w:val="0"/>
          <w:bCs w:val="0"/>
        </w:rPr>
        <w:fldChar w:fldCharType="end"/>
      </w:r>
      <w:r>
        <w:rPr>
          <w:rFonts w:hint="eastAsia" w:ascii="Times New Roman" w:hAnsi="Times New Roman"/>
          <w:b w:val="0"/>
          <w:bCs w:val="0"/>
          <w:lang w:val="en-US" w:eastAsia="zh-CN"/>
        </w:rPr>
        <w:t>9</w:t>
      </w:r>
    </w:p>
    <w:p w14:paraId="74FBC12B">
      <w:pPr>
        <w:pStyle w:val="18"/>
        <w:tabs>
          <w:tab w:val="right" w:leader="dot" w:pos="9345"/>
        </w:tabs>
        <w:spacing w:before="0" w:after="0" w:line="240" w:lineRule="auto"/>
        <w:rPr>
          <w:rStyle w:val="45"/>
          <w:rFonts w:hint="eastAsia" w:eastAsia="宋体"/>
          <w:lang w:val="en-US" w:eastAsia="zh-CN"/>
        </w:rPr>
      </w:pPr>
      <w:r>
        <w:fldChar w:fldCharType="begin"/>
      </w:r>
      <w:r>
        <w:instrText xml:space="preserve"> HYPERLINK \l "_Toc180478645" </w:instrText>
      </w:r>
      <w:r>
        <w:fldChar w:fldCharType="separate"/>
      </w:r>
      <w:r>
        <w:rPr>
          <w:rStyle w:val="45"/>
          <w:b w:val="0"/>
          <w:bCs w:val="0"/>
        </w:rPr>
        <w:t>参 考 文 献</w:t>
      </w:r>
      <w:r>
        <w:rPr>
          <w:rStyle w:val="45"/>
        </w:rPr>
        <w:tab/>
      </w:r>
      <w:r>
        <w:rPr>
          <w:rStyle w:val="45"/>
          <w:rFonts w:hint="eastAsia"/>
          <w:lang w:val="en-US" w:eastAsia="zh-CN"/>
        </w:rPr>
        <w:t>5</w:t>
      </w:r>
      <w:r>
        <w:rPr>
          <w:rStyle w:val="45"/>
        </w:rPr>
        <w:fldChar w:fldCharType="end"/>
      </w:r>
      <w:r>
        <w:rPr>
          <w:rStyle w:val="45"/>
          <w:rFonts w:hint="eastAsia"/>
          <w:lang w:val="en-US" w:eastAsia="zh-CN"/>
        </w:rPr>
        <w:t>0</w:t>
      </w:r>
      <w:bookmarkStart w:id="363" w:name="_GoBack"/>
      <w:bookmarkEnd w:id="363"/>
    </w:p>
    <w:p w14:paraId="72321874">
      <w:pPr>
        <w:pStyle w:val="122"/>
        <w:tabs>
          <w:tab w:val="right" w:leader="dot" w:pos="9345"/>
        </w:tabs>
        <w:spacing w:before="0" w:after="0" w:line="240" w:lineRule="auto"/>
        <w:rPr>
          <w:color w:val="000000" w:themeColor="text1"/>
          <w14:textFill>
            <w14:solidFill>
              <w14:schemeClr w14:val="tx1"/>
            </w14:solidFill>
          </w14:textFill>
        </w:rPr>
        <w:sectPr>
          <w:footerReference r:id="rId10" w:type="default"/>
          <w:pgSz w:w="11907" w:h="16839"/>
          <w:pgMar w:top="1418" w:right="1134" w:bottom="1134" w:left="1418" w:header="1418" w:footer="851" w:gutter="0"/>
          <w:pgNumType w:fmt="upperRoman" w:start="1"/>
          <w:cols w:space="720" w:num="1"/>
          <w:docGrid w:type="lines" w:linePitch="312" w:charSpace="0"/>
        </w:sectPr>
      </w:pPr>
      <w:r>
        <w:rPr>
          <w:rFonts w:ascii="Times New Roman" w:eastAsia="宋体"/>
          <w:caps/>
          <w:color w:val="000000" w:themeColor="text1"/>
          <w:sz w:val="20"/>
          <w:szCs w:val="21"/>
          <w:highlight w:val="yellow"/>
          <w:u w:color="000000"/>
          <w14:textFill>
            <w14:solidFill>
              <w14:schemeClr w14:val="tx1"/>
            </w14:solidFill>
          </w14:textFill>
        </w:rPr>
        <w:fldChar w:fldCharType="end"/>
      </w:r>
    </w:p>
    <w:p w14:paraId="073048C0">
      <w:pPr>
        <w:pStyle w:val="83"/>
        <w:rPr>
          <w:color w:val="000000" w:themeColor="text1"/>
          <w14:textFill>
            <w14:solidFill>
              <w14:schemeClr w14:val="tx1"/>
            </w14:solidFill>
          </w14:textFill>
        </w:rPr>
      </w:pPr>
      <w:bookmarkStart w:id="20" w:name="_Toc174118025"/>
      <w:bookmarkStart w:id="21" w:name="_Toc174117953"/>
      <w:bookmarkStart w:id="22" w:name="_Toc535332120"/>
      <w:bookmarkStart w:id="23" w:name="_Toc516994836"/>
      <w:bookmarkStart w:id="24" w:name="_Toc535331852"/>
      <w:bookmarkStart w:id="25" w:name="_Toc514933328"/>
      <w:bookmarkStart w:id="26" w:name="_Toc180478625"/>
      <w:bookmarkStart w:id="27" w:name="_Toc535332639"/>
      <w:r>
        <w:rPr>
          <w:rFonts w:hint="eastAsia"/>
          <w:color w:val="000000" w:themeColor="text1"/>
          <w14:textFill>
            <w14:solidFill>
              <w14:schemeClr w14:val="tx1"/>
            </w14:solidFill>
          </w14:textFill>
        </w:rPr>
        <w:t>前</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言</w:t>
      </w:r>
      <w:bookmarkEnd w:id="20"/>
      <w:bookmarkEnd w:id="21"/>
      <w:bookmarkEnd w:id="22"/>
      <w:bookmarkEnd w:id="23"/>
      <w:bookmarkEnd w:id="24"/>
      <w:bookmarkEnd w:id="25"/>
      <w:bookmarkEnd w:id="26"/>
      <w:bookmarkEnd w:id="27"/>
    </w:p>
    <w:p w14:paraId="62639A55">
      <w:pPr>
        <w:pStyle w:val="65"/>
        <w:ind w:firstLine="420"/>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本文件按照GB/T1.1-2020《标准化工作导则 第1部分：标准化文件的结构和起草规则》的规定起草。</w:t>
      </w:r>
    </w:p>
    <w:p w14:paraId="22248BA4">
      <w:pPr>
        <w:pStyle w:val="65"/>
        <w:ind w:firstLine="420"/>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请注意本文件的某些内容可能涉及专利。本文件的发布机构不承担识别专利的责任。</w:t>
      </w:r>
    </w:p>
    <w:p w14:paraId="6F0DE778">
      <w:pPr>
        <w:pStyle w:val="65"/>
        <w:ind w:firstLine="420"/>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本文件代替</w:t>
      </w:r>
      <w:bookmarkStart w:id="28" w:name="_Hlk174000306"/>
      <w:r>
        <w:rPr>
          <w:rFonts w:ascii="Times New Roman"/>
          <w:color w:val="000000" w:themeColor="text1"/>
          <w14:textFill>
            <w14:solidFill>
              <w14:schemeClr w14:val="tx1"/>
            </w14:solidFill>
          </w14:textFill>
        </w:rPr>
        <w:t>AQ/T 3057-2019</w:t>
      </w:r>
      <w:bookmarkEnd w:id="28"/>
      <w:r>
        <w:rPr>
          <w:rFonts w:hint="eastAsia" w:ascii="Times New Roman"/>
          <w:color w:val="000000" w:themeColor="text1"/>
          <w14:textFill>
            <w14:solidFill>
              <w14:schemeClr w14:val="tx1"/>
            </w14:solidFill>
          </w14:textFill>
        </w:rPr>
        <w:t>《陆上油气管道建设项目安全评价导则》，与</w:t>
      </w:r>
      <w:r>
        <w:rPr>
          <w:rFonts w:ascii="Times New Roman"/>
          <w:color w:val="000000" w:themeColor="text1"/>
          <w14:textFill>
            <w14:solidFill>
              <w14:schemeClr w14:val="tx1"/>
            </w14:solidFill>
          </w14:textFill>
        </w:rPr>
        <w:t>AQ/T 3057-2019</w:t>
      </w:r>
      <w:r>
        <w:rPr>
          <w:rFonts w:hint="eastAsia" w:ascii="Times New Roman"/>
          <w:color w:val="000000" w:themeColor="text1"/>
          <w14:textFill>
            <w14:solidFill>
              <w14:schemeClr w14:val="tx1"/>
            </w14:solidFill>
          </w14:textFill>
        </w:rPr>
        <w:t>相比，主要技术变化如下：</w:t>
      </w:r>
    </w:p>
    <w:p w14:paraId="0375DF15">
      <w:pPr>
        <w:pStyle w:val="65"/>
        <w:numPr>
          <w:ilvl w:val="0"/>
          <w:numId w:val="14"/>
        </w:numPr>
        <w:ind w:firstLine="420"/>
        <w:rPr>
          <w:rFonts w:ascii="Times New Roman"/>
          <w:color w:val="000000" w:themeColor="text1"/>
          <w14:textFill>
            <w14:solidFill>
              <w14:schemeClr w14:val="tx1"/>
            </w14:solidFill>
          </w14:textFill>
        </w:rPr>
      </w:pPr>
      <w:r>
        <w:rPr>
          <w:rFonts w:hint="eastAsia" w:ascii="Times New Roman"/>
        </w:rPr>
        <w:t>删除了不适用于海底油气管道，增加了不适用于石油库的厂际和厂内油气管道（见第1章，见2019年版的第1章）</w:t>
      </w:r>
      <w:r>
        <w:rPr>
          <w:rFonts w:hint="eastAsia" w:ascii="Times New Roman"/>
          <w:color w:val="000000" w:themeColor="text1"/>
          <w14:textFill>
            <w14:solidFill>
              <w14:schemeClr w14:val="tx1"/>
            </w14:solidFill>
          </w14:textFill>
        </w:rPr>
        <w:t>；</w:t>
      </w:r>
    </w:p>
    <w:p w14:paraId="5BFBDF1A">
      <w:pPr>
        <w:pStyle w:val="65"/>
        <w:numPr>
          <w:ilvl w:val="0"/>
          <w:numId w:val="14"/>
        </w:numPr>
        <w:ind w:firstLine="420"/>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删除了可行性研究报告编制单位资质要求（</w:t>
      </w:r>
      <w:r>
        <w:rPr>
          <w:rFonts w:hint="eastAsia" w:ascii="Times New Roman"/>
        </w:rPr>
        <w:t>见2019年版的5.1.2</w:t>
      </w:r>
      <w:r>
        <w:rPr>
          <w:rFonts w:hint="eastAsia" w:ascii="Times New Roman"/>
          <w:color w:val="000000" w:themeColor="text1"/>
          <w14:textFill>
            <w14:solidFill>
              <w14:schemeClr w14:val="tx1"/>
            </w14:solidFill>
          </w14:textFill>
        </w:rPr>
        <w:t>）；</w:t>
      </w:r>
    </w:p>
    <w:p w14:paraId="68AAC44E">
      <w:pPr>
        <w:pStyle w:val="65"/>
        <w:numPr>
          <w:ilvl w:val="0"/>
          <w:numId w:val="14"/>
        </w:numPr>
        <w:ind w:firstLine="420"/>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增加了安全评价机构业务范围要求（</w:t>
      </w:r>
      <w:r>
        <w:rPr>
          <w:rFonts w:hint="eastAsia" w:ascii="Times New Roman"/>
        </w:rPr>
        <w:t>见5.1.3</w:t>
      </w:r>
      <w:r>
        <w:rPr>
          <w:rFonts w:hint="eastAsia" w:ascii="Times New Roman"/>
          <w:color w:val="000000" w:themeColor="text1"/>
          <w14:textFill>
            <w14:solidFill>
              <w14:schemeClr w14:val="tx1"/>
            </w14:solidFill>
          </w14:textFill>
        </w:rPr>
        <w:t>）；</w:t>
      </w:r>
    </w:p>
    <w:p w14:paraId="7A39D8B2">
      <w:pPr>
        <w:pStyle w:val="65"/>
        <w:numPr>
          <w:ilvl w:val="0"/>
          <w:numId w:val="14"/>
        </w:numPr>
        <w:ind w:firstLine="420"/>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增加了陆上油气长输管道人员密集型高后果区管段定量风险评价要求</w:t>
      </w:r>
      <w:r>
        <w:rPr>
          <w:rFonts w:hint="eastAsia" w:ascii="Times New Roman"/>
        </w:rPr>
        <w:t>（见8.3.3、附录B和附录C）</w:t>
      </w:r>
      <w:r>
        <w:rPr>
          <w:rFonts w:hint="eastAsia" w:ascii="Times New Roman"/>
          <w:color w:val="000000" w:themeColor="text1"/>
          <w14:textFill>
            <w14:solidFill>
              <w14:schemeClr w14:val="tx1"/>
            </w14:solidFill>
          </w14:textFill>
        </w:rPr>
        <w:t>；</w:t>
      </w:r>
    </w:p>
    <w:p w14:paraId="183B283E">
      <w:pPr>
        <w:pStyle w:val="65"/>
        <w:numPr>
          <w:ilvl w:val="0"/>
          <w:numId w:val="14"/>
        </w:numPr>
        <w:ind w:firstLine="420"/>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修改了站场定量风险评价要求（</w:t>
      </w:r>
      <w:r>
        <w:rPr>
          <w:rFonts w:hint="eastAsia" w:ascii="Times New Roman"/>
        </w:rPr>
        <w:t>见8.4.7，2019年版的8.3.7</w:t>
      </w:r>
      <w:r>
        <w:rPr>
          <w:rFonts w:hint="eastAsia" w:ascii="Times New Roman"/>
          <w:color w:val="000000" w:themeColor="text1"/>
          <w14:textFill>
            <w14:solidFill>
              <w14:schemeClr w14:val="tx1"/>
            </w14:solidFill>
          </w14:textFill>
        </w:rPr>
        <w:t>）；</w:t>
      </w:r>
    </w:p>
    <w:p w14:paraId="30838480">
      <w:pPr>
        <w:pStyle w:val="65"/>
        <w:numPr>
          <w:ilvl w:val="0"/>
          <w:numId w:val="14"/>
        </w:numPr>
        <w:ind w:firstLine="420"/>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增加了基本安全条件评价单元（</w:t>
      </w:r>
      <w:r>
        <w:rPr>
          <w:rFonts w:hint="eastAsia" w:ascii="Times New Roman"/>
        </w:rPr>
        <w:t>见8.2</w:t>
      </w:r>
      <w:r>
        <w:rPr>
          <w:rFonts w:hint="eastAsia" w:ascii="Times New Roman"/>
          <w:color w:val="000000" w:themeColor="text1"/>
          <w14:textFill>
            <w14:solidFill>
              <w14:schemeClr w14:val="tx1"/>
            </w14:solidFill>
          </w14:textFill>
        </w:rPr>
        <w:t>）；</w:t>
      </w:r>
    </w:p>
    <w:p w14:paraId="407F0242">
      <w:pPr>
        <w:pStyle w:val="65"/>
        <w:numPr>
          <w:ilvl w:val="0"/>
          <w:numId w:val="14"/>
        </w:numPr>
        <w:ind w:firstLine="420"/>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修改了重大危险源辨识及评价要求（</w:t>
      </w:r>
      <w:r>
        <w:rPr>
          <w:rFonts w:hint="eastAsia" w:ascii="Times New Roman"/>
        </w:rPr>
        <w:t>见7.7，2019年版的7.7</w:t>
      </w:r>
      <w:r>
        <w:rPr>
          <w:rFonts w:hint="eastAsia" w:ascii="Times New Roman"/>
          <w:color w:val="000000" w:themeColor="text1"/>
          <w14:textFill>
            <w14:solidFill>
              <w14:schemeClr w14:val="tx1"/>
            </w14:solidFill>
          </w14:textFill>
        </w:rPr>
        <w:t>）；</w:t>
      </w:r>
    </w:p>
    <w:p w14:paraId="63867D0F">
      <w:pPr>
        <w:pStyle w:val="65"/>
        <w:numPr>
          <w:ilvl w:val="0"/>
          <w:numId w:val="14"/>
        </w:numPr>
        <w:ind w:firstLine="420"/>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增加了站场区域布置、平面及竖向布置防火间距检查等要求（</w:t>
      </w:r>
      <w:r>
        <w:rPr>
          <w:rFonts w:hint="eastAsia" w:ascii="Times New Roman"/>
        </w:rPr>
        <w:t>见8.4.1和8.4.2</w:t>
      </w:r>
      <w:r>
        <w:rPr>
          <w:rFonts w:hint="eastAsia" w:ascii="Times New Roman"/>
          <w:color w:val="000000" w:themeColor="text1"/>
          <w14:textFill>
            <w14:solidFill>
              <w14:schemeClr w14:val="tx1"/>
            </w14:solidFill>
          </w14:textFill>
        </w:rPr>
        <w:t>）；</w:t>
      </w:r>
    </w:p>
    <w:p w14:paraId="3978958C">
      <w:pPr>
        <w:pStyle w:val="65"/>
        <w:numPr>
          <w:ilvl w:val="0"/>
          <w:numId w:val="14"/>
        </w:numPr>
        <w:ind w:firstLine="420"/>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增加了人员密集型高后果区附图要求（见12.1）。</w:t>
      </w:r>
    </w:p>
    <w:p w14:paraId="620DE151">
      <w:pPr>
        <w:pStyle w:val="65"/>
        <w:ind w:firstLine="420"/>
        <w:rPr>
          <w:rFonts w:ascii="Times New Roman"/>
        </w:rPr>
      </w:pPr>
      <w:r>
        <w:rPr>
          <w:rFonts w:hint="eastAsia" w:ascii="Times New Roman"/>
        </w:rPr>
        <w:t>本文件由中华人民共和国应急管理部提出。</w:t>
      </w:r>
    </w:p>
    <w:p w14:paraId="4989C8E0">
      <w:pPr>
        <w:pStyle w:val="65"/>
        <w:ind w:firstLine="420"/>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本文件由全国安全生产标准化技术委员会石油天然气开采分技术委员会（</w:t>
      </w:r>
      <w:r>
        <w:rPr>
          <w:rFonts w:ascii="Times New Roman"/>
          <w:color w:val="000000" w:themeColor="text1"/>
          <w14:textFill>
            <w14:solidFill>
              <w14:schemeClr w14:val="tx1"/>
            </w14:solidFill>
          </w14:textFill>
        </w:rPr>
        <w:t>SAC/TC288/SC10</w:t>
      </w:r>
      <w:r>
        <w:rPr>
          <w:rFonts w:hint="eastAsia" w:ascii="Times New Roman"/>
          <w:color w:val="000000" w:themeColor="text1"/>
          <w14:textFill>
            <w14:solidFill>
              <w14:schemeClr w14:val="tx1"/>
            </w14:solidFill>
          </w14:textFill>
        </w:rPr>
        <w:t>）技术归口。</w:t>
      </w:r>
    </w:p>
    <w:p w14:paraId="45EC1B28">
      <w:pPr>
        <w:pStyle w:val="65"/>
        <w:ind w:firstLine="420"/>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本文件起草单位：</w:t>
      </w:r>
    </w:p>
    <w:p w14:paraId="0DDAA8F2">
      <w:pPr>
        <w:pStyle w:val="65"/>
        <w:ind w:firstLine="420"/>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本文件主要起草人：</w:t>
      </w:r>
      <w:r>
        <w:rPr>
          <w:rFonts w:ascii="Times New Roman"/>
          <w:color w:val="000000" w:themeColor="text1"/>
          <w14:textFill>
            <w14:solidFill>
              <w14:schemeClr w14:val="tx1"/>
            </w14:solidFill>
          </w14:textFill>
        </w:rPr>
        <w:t xml:space="preserve"> </w:t>
      </w:r>
    </w:p>
    <w:p w14:paraId="18901678">
      <w:pPr>
        <w:pStyle w:val="65"/>
        <w:ind w:firstLine="420"/>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本文件于2019年首次发布为</w:t>
      </w:r>
      <w:r>
        <w:rPr>
          <w:rFonts w:ascii="Times New Roman"/>
          <w:color w:val="000000" w:themeColor="text1"/>
          <w14:textFill>
            <w14:solidFill>
              <w14:schemeClr w14:val="tx1"/>
            </w14:solidFill>
          </w14:textFill>
        </w:rPr>
        <w:t>AQ/T 3057-2019</w:t>
      </w:r>
      <w:r>
        <w:rPr>
          <w:rFonts w:hint="eastAsia" w:ascii="Times New Roman"/>
          <w:color w:val="000000" w:themeColor="text1"/>
          <w14:textFill>
            <w14:solidFill>
              <w14:schemeClr w14:val="tx1"/>
            </w14:solidFill>
          </w14:textFill>
        </w:rPr>
        <w:t>，本次为第一次修订。</w:t>
      </w:r>
    </w:p>
    <w:p w14:paraId="26D4DE68">
      <w:pPr>
        <w:pStyle w:val="65"/>
        <w:ind w:firstLine="420"/>
        <w:rPr>
          <w:color w:val="000000" w:themeColor="text1"/>
          <w14:textFill>
            <w14:solidFill>
              <w14:schemeClr w14:val="tx1"/>
            </w14:solidFill>
          </w14:textFill>
        </w:rPr>
        <w:sectPr>
          <w:footerReference r:id="rId11" w:type="default"/>
          <w:pgSz w:w="11907" w:h="16839"/>
          <w:pgMar w:top="1418" w:right="1134" w:bottom="1134" w:left="1418" w:header="1418" w:footer="851" w:gutter="0"/>
          <w:pgNumType w:fmt="upperRoman"/>
          <w:cols w:space="720" w:num="1"/>
          <w:docGrid w:type="lines" w:linePitch="312" w:charSpace="0"/>
        </w:sectPr>
      </w:pPr>
    </w:p>
    <w:p w14:paraId="02F16A09">
      <w:pPr>
        <w:widowControl w:val="0"/>
        <w:spacing w:line="240" w:lineRule="auto"/>
        <w:jc w:val="center"/>
        <w:textAlignment w:val="auto"/>
        <w:rPr>
          <w:rFonts w:hint="eastAsia" w:ascii="黑体" w:hAnsi="黑体" w:eastAsia="黑体"/>
          <w:color w:val="auto"/>
          <w:kern w:val="2"/>
          <w:sz w:val="32"/>
          <w:szCs w:val="32"/>
        </w:rPr>
      </w:pPr>
      <w:bookmarkStart w:id="29" w:name="SectionMark4"/>
    </w:p>
    <w:p w14:paraId="1AC44CB7">
      <w:pPr>
        <w:widowControl w:val="0"/>
        <w:spacing w:line="240" w:lineRule="auto"/>
        <w:jc w:val="center"/>
        <w:textAlignment w:val="auto"/>
        <w:rPr>
          <w:rFonts w:hint="eastAsia" w:ascii="黑体" w:hAnsi="黑体" w:eastAsia="黑体"/>
          <w:color w:val="auto"/>
          <w:kern w:val="2"/>
          <w:sz w:val="32"/>
          <w:szCs w:val="32"/>
        </w:rPr>
      </w:pPr>
      <w:r>
        <w:rPr>
          <w:rFonts w:hint="eastAsia" w:ascii="黑体" w:hAnsi="黑体" w:eastAsia="黑体"/>
          <w:color w:val="auto"/>
          <w:kern w:val="2"/>
          <w:sz w:val="32"/>
          <w:szCs w:val="32"/>
        </w:rPr>
        <w:t>陆上油气长输管道建设项目安全预评价导则</w:t>
      </w:r>
    </w:p>
    <w:p w14:paraId="77BFD701">
      <w:pPr>
        <w:pStyle w:val="3"/>
        <w:rPr>
          <w:rFonts w:hint="eastAsia"/>
          <w:lang w:val="en-US"/>
        </w:rPr>
      </w:pPr>
      <w:bookmarkStart w:id="30" w:name="_Toc180478626"/>
      <w:bookmarkStart w:id="31" w:name="_Toc174117954"/>
      <w:r>
        <w:t xml:space="preserve">1 </w:t>
      </w:r>
      <w:r>
        <w:rPr>
          <w:rFonts w:hint="eastAsia"/>
        </w:rPr>
        <w:t>范围</w:t>
      </w:r>
      <w:bookmarkEnd w:id="30"/>
      <w:bookmarkEnd w:id="31"/>
    </w:p>
    <w:p w14:paraId="15A828FE">
      <w:pPr>
        <w:pStyle w:val="65"/>
        <w:tabs>
          <w:tab w:val="center" w:pos="4201"/>
          <w:tab w:val="right" w:leader="dot" w:pos="9298"/>
        </w:tabs>
        <w:ind w:firstLine="420"/>
        <w:rPr>
          <w:rFonts w:ascii="Times New Roman"/>
        </w:rPr>
      </w:pPr>
      <w:r>
        <w:rPr>
          <w:rFonts w:hint="eastAsia" w:ascii="Times New Roman"/>
        </w:rPr>
        <w:t>本文件规定了陆上油气长输管道建设项目可行性研究阶段安全预评价内容及其报告编制的要求。</w:t>
      </w:r>
    </w:p>
    <w:p w14:paraId="6F3953D7">
      <w:pPr>
        <w:pStyle w:val="65"/>
        <w:tabs>
          <w:tab w:val="center" w:pos="4201"/>
          <w:tab w:val="right" w:leader="dot" w:pos="9298"/>
        </w:tabs>
        <w:ind w:firstLine="420"/>
        <w:rPr>
          <w:rFonts w:ascii="Times New Roman"/>
        </w:rPr>
      </w:pPr>
      <w:r>
        <w:rPr>
          <w:rFonts w:hint="eastAsia" w:ascii="Times New Roman"/>
        </w:rPr>
        <w:t>本文件适用于新建、改建、扩建的陆上油气长输管道。</w:t>
      </w:r>
    </w:p>
    <w:p w14:paraId="05524875">
      <w:pPr>
        <w:pStyle w:val="65"/>
        <w:tabs>
          <w:tab w:val="center" w:pos="4201"/>
          <w:tab w:val="right" w:leader="dot" w:pos="9298"/>
        </w:tabs>
        <w:ind w:firstLine="420"/>
        <w:rPr>
          <w:rFonts w:ascii="Times New Roman"/>
        </w:rPr>
      </w:pPr>
      <w:r>
        <w:rPr>
          <w:rFonts w:hint="eastAsia" w:ascii="Times New Roman"/>
        </w:rPr>
        <w:t>本文件不适用于城镇燃气管道、油气田集输管道、机场内的航油管道、石油化工企业及石油库的厂际和</w:t>
      </w:r>
      <w:r>
        <w:rPr>
          <w:rFonts w:ascii="Times New Roman"/>
        </w:rPr>
        <w:t>厂</w:t>
      </w:r>
      <w:r>
        <w:rPr>
          <w:rFonts w:hint="eastAsia" w:ascii="Times New Roman"/>
        </w:rPr>
        <w:t>内油气管道。</w:t>
      </w:r>
    </w:p>
    <w:p w14:paraId="40B272F7">
      <w:pPr>
        <w:pStyle w:val="3"/>
        <w:rPr>
          <w:rFonts w:hint="eastAsia"/>
        </w:rPr>
      </w:pPr>
      <w:bookmarkStart w:id="32" w:name="_Toc174117955"/>
      <w:bookmarkStart w:id="33" w:name="_Toc180478627"/>
      <w:r>
        <w:t xml:space="preserve">2 </w:t>
      </w:r>
      <w:r>
        <w:rPr>
          <w:rFonts w:hint="eastAsia"/>
        </w:rPr>
        <w:t>规范性引用文件</w:t>
      </w:r>
      <w:bookmarkEnd w:id="32"/>
      <w:bookmarkEnd w:id="33"/>
    </w:p>
    <w:p w14:paraId="18F14BFE">
      <w:pPr>
        <w:pStyle w:val="155"/>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7BFD1614">
      <w:pPr>
        <w:pStyle w:val="155"/>
        <w:rPr>
          <w:rFonts w:ascii="Times New Roman"/>
          <w:color w:val="000000" w:themeColor="text1"/>
          <w14:textFill>
            <w14:solidFill>
              <w14:schemeClr w14:val="tx1"/>
            </w14:solidFill>
          </w14:textFill>
        </w:rPr>
      </w:pPr>
      <w:bookmarkStart w:id="34" w:name="OLE_LINK3"/>
      <w:r>
        <w:rPr>
          <w:rFonts w:ascii="Times New Roman"/>
          <w:color w:val="000000" w:themeColor="text1"/>
          <w14:textFill>
            <w14:solidFill>
              <w14:schemeClr w14:val="tx1"/>
            </w14:solidFill>
          </w14:textFill>
        </w:rPr>
        <w:t xml:space="preserve">GB/T 17742  </w:t>
      </w:r>
      <w:r>
        <w:rPr>
          <w:rFonts w:hint="eastAsia" w:ascii="Times New Roman"/>
          <w:color w:val="000000" w:themeColor="text1"/>
          <w14:textFill>
            <w14:solidFill>
              <w14:schemeClr w14:val="tx1"/>
            </w14:solidFill>
          </w14:textFill>
        </w:rPr>
        <w:t>中国地震烈度表</w:t>
      </w:r>
    </w:p>
    <w:p w14:paraId="3744F00E">
      <w:pPr>
        <w:pStyle w:val="155"/>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 xml:space="preserve">GB 18218  </w:t>
      </w:r>
      <w:r>
        <w:rPr>
          <w:rFonts w:hint="eastAsia" w:ascii="Times New Roman"/>
          <w:color w:val="000000" w:themeColor="text1"/>
          <w14:textFill>
            <w14:solidFill>
              <w14:schemeClr w14:val="tx1"/>
            </w14:solidFill>
          </w14:textFill>
        </w:rPr>
        <w:t>危险化学品重大危险源辨识</w:t>
      </w:r>
    </w:p>
    <w:p w14:paraId="6ABA2D6A">
      <w:pPr>
        <w:pStyle w:val="155"/>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 xml:space="preserve">GB 18306  </w:t>
      </w:r>
      <w:r>
        <w:rPr>
          <w:rFonts w:hint="eastAsia" w:ascii="Times New Roman"/>
          <w:color w:val="000000" w:themeColor="text1"/>
          <w14:textFill>
            <w14:solidFill>
              <w14:schemeClr w14:val="tx1"/>
            </w14:solidFill>
          </w14:textFill>
        </w:rPr>
        <w:t>中国地震动参数区划图</w:t>
      </w:r>
    </w:p>
    <w:p w14:paraId="036D1DAB">
      <w:pPr>
        <w:pStyle w:val="155"/>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 xml:space="preserve">GB/T 21447  </w:t>
      </w:r>
      <w:r>
        <w:rPr>
          <w:rFonts w:hint="eastAsia" w:ascii="Times New Roman"/>
          <w:color w:val="000000" w:themeColor="text1"/>
          <w14:textFill>
            <w14:solidFill>
              <w14:schemeClr w14:val="tx1"/>
            </w14:solidFill>
          </w14:textFill>
        </w:rPr>
        <w:t>钢质管道外腐蚀控制规范</w:t>
      </w:r>
    </w:p>
    <w:p w14:paraId="0C17DAA7">
      <w:pPr>
        <w:pStyle w:val="155"/>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 xml:space="preserve">GB 32167  </w:t>
      </w:r>
      <w:r>
        <w:rPr>
          <w:rFonts w:hint="eastAsia" w:ascii="Times New Roman"/>
          <w:color w:val="000000" w:themeColor="text1"/>
          <w14:textFill>
            <w14:solidFill>
              <w14:schemeClr w14:val="tx1"/>
            </w14:solidFill>
          </w14:textFill>
        </w:rPr>
        <w:t>油气输送管道完整性管理规范</w:t>
      </w:r>
    </w:p>
    <w:p w14:paraId="0A2BEE9F">
      <w:pPr>
        <w:pStyle w:val="155"/>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GB 50061  66kV</w:t>
      </w:r>
      <w:r>
        <w:rPr>
          <w:rFonts w:hint="eastAsia" w:ascii="Times New Roman"/>
          <w:color w:val="000000" w:themeColor="text1"/>
          <w14:textFill>
            <w14:solidFill>
              <w14:schemeClr w14:val="tx1"/>
            </w14:solidFill>
          </w14:textFill>
        </w:rPr>
        <w:t>及以下架空电力线路设计规范</w:t>
      </w:r>
    </w:p>
    <w:p w14:paraId="526DF4D8">
      <w:pPr>
        <w:pStyle w:val="155"/>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 xml:space="preserve">GB 50183  </w:t>
      </w:r>
      <w:r>
        <w:rPr>
          <w:rFonts w:hint="eastAsia" w:ascii="Times New Roman"/>
          <w:color w:val="000000" w:themeColor="text1"/>
          <w14:textFill>
            <w14:solidFill>
              <w14:schemeClr w14:val="tx1"/>
            </w14:solidFill>
          </w14:textFill>
        </w:rPr>
        <w:t>石油天然气工程设计防火规范</w:t>
      </w:r>
    </w:p>
    <w:p w14:paraId="5F56ED51">
      <w:pPr>
        <w:pStyle w:val="155"/>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 xml:space="preserve">GB 50251  </w:t>
      </w:r>
      <w:r>
        <w:rPr>
          <w:rFonts w:hint="eastAsia" w:ascii="Times New Roman"/>
          <w:color w:val="000000" w:themeColor="text1"/>
          <w14:textFill>
            <w14:solidFill>
              <w14:schemeClr w14:val="tx1"/>
            </w14:solidFill>
          </w14:textFill>
        </w:rPr>
        <w:t>输气管道工程设计规范</w:t>
      </w:r>
    </w:p>
    <w:p w14:paraId="24DB1704">
      <w:pPr>
        <w:pStyle w:val="155"/>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 xml:space="preserve">GB 50253  </w:t>
      </w:r>
      <w:r>
        <w:rPr>
          <w:rFonts w:hint="eastAsia" w:ascii="Times New Roman"/>
          <w:color w:val="000000" w:themeColor="text1"/>
          <w14:textFill>
            <w14:solidFill>
              <w14:schemeClr w14:val="tx1"/>
            </w14:solidFill>
          </w14:textFill>
        </w:rPr>
        <w:t>输油管道工程设计规范</w:t>
      </w:r>
    </w:p>
    <w:p w14:paraId="040EBF16">
      <w:pPr>
        <w:pStyle w:val="155"/>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 xml:space="preserve">GB 50423  </w:t>
      </w:r>
      <w:r>
        <w:rPr>
          <w:rFonts w:hint="eastAsia" w:ascii="Times New Roman"/>
          <w:color w:val="000000" w:themeColor="text1"/>
          <w14:textFill>
            <w14:solidFill>
              <w14:schemeClr w14:val="tx1"/>
            </w14:solidFill>
          </w14:textFill>
        </w:rPr>
        <w:t>油气输送管道穿越工程设计规范</w:t>
      </w:r>
    </w:p>
    <w:p w14:paraId="44C55F2C">
      <w:pPr>
        <w:pStyle w:val="155"/>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 xml:space="preserve">GB 50459  </w:t>
      </w:r>
      <w:r>
        <w:rPr>
          <w:rFonts w:hint="eastAsia" w:ascii="Times New Roman"/>
          <w:color w:val="000000" w:themeColor="text1"/>
          <w14:textFill>
            <w14:solidFill>
              <w14:schemeClr w14:val="tx1"/>
            </w14:solidFill>
          </w14:textFill>
        </w:rPr>
        <w:t>油气输送管道跨越工程设计规范</w:t>
      </w:r>
    </w:p>
    <w:p w14:paraId="62E0ECF4">
      <w:pPr>
        <w:pStyle w:val="155"/>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 xml:space="preserve">GB 50460  </w:t>
      </w:r>
      <w:r>
        <w:rPr>
          <w:rFonts w:hint="eastAsia" w:ascii="Times New Roman"/>
          <w:color w:val="000000" w:themeColor="text1"/>
          <w14:textFill>
            <w14:solidFill>
              <w14:schemeClr w14:val="tx1"/>
            </w14:solidFill>
          </w14:textFill>
        </w:rPr>
        <w:t>油气输送管道跨越工程施工规范</w:t>
      </w:r>
    </w:p>
    <w:p w14:paraId="69EF41E7">
      <w:pPr>
        <w:pStyle w:val="155"/>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GB 50545  110kV</w:t>
      </w:r>
      <w:r>
        <w:rPr>
          <w:rFonts w:hint="eastAsia" w:ascii="Times New Roman"/>
          <w:color w:val="000000" w:themeColor="text1"/>
          <w14:textFill>
            <w14:solidFill>
              <w14:schemeClr w14:val="tx1"/>
            </w14:solidFill>
          </w14:textFill>
        </w:rPr>
        <w:t>～</w:t>
      </w:r>
      <w:r>
        <w:rPr>
          <w:rFonts w:ascii="Times New Roman"/>
          <w:color w:val="000000" w:themeColor="text1"/>
          <w14:textFill>
            <w14:solidFill>
              <w14:schemeClr w14:val="tx1"/>
            </w14:solidFill>
          </w14:textFill>
        </w:rPr>
        <w:t>750kV</w:t>
      </w:r>
      <w:r>
        <w:rPr>
          <w:rFonts w:hint="eastAsia" w:ascii="Times New Roman"/>
          <w:color w:val="000000" w:themeColor="text1"/>
          <w14:textFill>
            <w14:solidFill>
              <w14:schemeClr w14:val="tx1"/>
            </w14:solidFill>
          </w14:textFill>
        </w:rPr>
        <w:t>架空输电线路设计规范</w:t>
      </w:r>
    </w:p>
    <w:p w14:paraId="1AC01F06">
      <w:pPr>
        <w:pStyle w:val="155"/>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 xml:space="preserve">GB/T 50698  </w:t>
      </w:r>
      <w:r>
        <w:rPr>
          <w:rFonts w:hint="eastAsia" w:ascii="Times New Roman"/>
          <w:color w:val="000000" w:themeColor="text1"/>
          <w14:textFill>
            <w14:solidFill>
              <w14:schemeClr w14:val="tx1"/>
            </w14:solidFill>
          </w14:textFill>
        </w:rPr>
        <w:t>埋地钢质管道交流干扰防护技术标准</w:t>
      </w:r>
    </w:p>
    <w:p w14:paraId="5772F66E">
      <w:pPr>
        <w:pStyle w:val="155"/>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 xml:space="preserve">SY/T 6064  </w:t>
      </w:r>
      <w:r>
        <w:rPr>
          <w:rFonts w:hint="eastAsia" w:ascii="Times New Roman"/>
          <w:color w:val="000000" w:themeColor="text1"/>
          <w14:textFill>
            <w14:solidFill>
              <w14:schemeClr w14:val="tx1"/>
            </w14:solidFill>
          </w14:textFill>
        </w:rPr>
        <w:t>管道干线标记设置技术规范</w:t>
      </w:r>
    </w:p>
    <w:p w14:paraId="7064BE36">
      <w:pPr>
        <w:pStyle w:val="155"/>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 xml:space="preserve">SY/T 7363  </w:t>
      </w:r>
      <w:r>
        <w:rPr>
          <w:rFonts w:hint="eastAsia" w:ascii="Times New Roman"/>
          <w:color w:val="000000" w:themeColor="text1"/>
          <w14:textFill>
            <w14:solidFill>
              <w14:schemeClr w14:val="tx1"/>
            </w14:solidFill>
          </w14:textFill>
        </w:rPr>
        <w:t>黄土地区油气输送管道线路设计规范</w:t>
      </w:r>
    </w:p>
    <w:p w14:paraId="63E21F2B">
      <w:pPr>
        <w:pStyle w:val="155"/>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 xml:space="preserve">SY/T 7364  </w:t>
      </w:r>
      <w:r>
        <w:rPr>
          <w:rFonts w:hint="eastAsia" w:ascii="Times New Roman"/>
          <w:color w:val="000000" w:themeColor="text1"/>
          <w14:textFill>
            <w14:solidFill>
              <w14:schemeClr w14:val="tx1"/>
            </w14:solidFill>
          </w14:textFill>
        </w:rPr>
        <w:t>多年冻土地区油气输送管道工程设计规范</w:t>
      </w:r>
    </w:p>
    <w:p w14:paraId="74D290B4">
      <w:pPr>
        <w:ind w:firstLine="420" w:firstLineChars="200"/>
        <w:rPr>
          <w:rFonts w:hint="eastAsia" w:ascii="宋体" w:hAnsi="宋体" w:cs="宋体"/>
          <w:szCs w:val="21"/>
        </w:rPr>
      </w:pPr>
      <w:r>
        <w:rPr>
          <w:rFonts w:hint="eastAsia" w:ascii="宋体" w:hAnsi="宋体" w:cs="宋体"/>
          <w:szCs w:val="21"/>
        </w:rPr>
        <w:t>《油气输送管道与铁路交汇工程技术及管理规定》 （国能油气</w:t>
      </w:r>
      <w:r>
        <w:rPr>
          <w:rFonts w:hint="eastAsia" w:ascii="宋体" w:hAnsi="宋体" w:cs="宋体"/>
          <w:color w:val="333333"/>
          <w:szCs w:val="21"/>
        </w:rPr>
        <w:t>〔</w:t>
      </w:r>
      <w:r>
        <w:rPr>
          <w:rFonts w:hint="eastAsia" w:ascii="宋体" w:hAnsi="宋体" w:cs="宋体"/>
          <w:szCs w:val="21"/>
        </w:rPr>
        <w:t>2015</w:t>
      </w:r>
      <w:r>
        <w:rPr>
          <w:rFonts w:hint="eastAsia" w:ascii="宋体" w:hAnsi="宋体" w:cs="宋体"/>
          <w:color w:val="333333"/>
          <w:szCs w:val="21"/>
        </w:rPr>
        <w:t>〕</w:t>
      </w:r>
      <w:r>
        <w:rPr>
          <w:rFonts w:hint="eastAsia" w:ascii="宋体" w:hAnsi="宋体" w:cs="宋体"/>
          <w:szCs w:val="21"/>
        </w:rPr>
        <w:t>392号）</w:t>
      </w:r>
    </w:p>
    <w:p w14:paraId="4D0652A9">
      <w:pPr>
        <w:pStyle w:val="155"/>
        <w:rPr>
          <w:rFonts w:ascii="Times New Roman"/>
          <w:color w:val="000000" w:themeColor="text1"/>
          <w14:textFill>
            <w14:solidFill>
              <w14:schemeClr w14:val="tx1"/>
            </w14:solidFill>
          </w14:textFill>
        </w:rPr>
      </w:pPr>
      <w:r>
        <w:rPr>
          <w:rFonts w:hint="eastAsia" w:hAnsi="宋体" w:cs="宋体"/>
          <w:szCs w:val="21"/>
        </w:rPr>
        <w:t>《关于规范公路桥梁与石油天然气管道交叉工程管理的通知》（交公路发〔2015〕36号）</w:t>
      </w:r>
    </w:p>
    <w:bookmarkEnd w:id="34"/>
    <w:p w14:paraId="069DEE3F">
      <w:pPr>
        <w:pStyle w:val="3"/>
        <w:rPr>
          <w:rFonts w:hint="eastAsia"/>
        </w:rPr>
      </w:pPr>
      <w:bookmarkStart w:id="35" w:name="_Toc174117956"/>
      <w:bookmarkStart w:id="36" w:name="_Toc180478628"/>
      <w:r>
        <w:t xml:space="preserve">3 </w:t>
      </w:r>
      <w:r>
        <w:rPr>
          <w:rFonts w:hint="eastAsia"/>
        </w:rPr>
        <w:t>术语和定义</w:t>
      </w:r>
      <w:bookmarkEnd w:id="35"/>
      <w:bookmarkEnd w:id="36"/>
    </w:p>
    <w:p w14:paraId="73C999FC">
      <w:pPr>
        <w:pStyle w:val="65"/>
        <w:tabs>
          <w:tab w:val="center" w:pos="4201"/>
          <w:tab w:val="right" w:leader="dot" w:pos="9298"/>
        </w:tabs>
        <w:ind w:firstLine="420"/>
        <w:rPr>
          <w:rFonts w:ascii="Times New Roman"/>
        </w:rPr>
      </w:pPr>
      <w:r>
        <w:rPr>
          <w:rFonts w:hint="eastAsia" w:ascii="Times New Roman"/>
        </w:rPr>
        <w:t>下列术语和定义适用于本文件。</w:t>
      </w:r>
    </w:p>
    <w:p w14:paraId="1825541B">
      <w:pPr>
        <w:pStyle w:val="4"/>
        <w:rPr>
          <w:rFonts w:hint="eastAsia"/>
          <w:lang w:val="en-US"/>
        </w:rPr>
      </w:pPr>
      <w:bookmarkStart w:id="37" w:name="_Toc535332645"/>
      <w:bookmarkStart w:id="38" w:name="_Toc23878"/>
      <w:bookmarkStart w:id="39" w:name="_Toc535332126"/>
      <w:bookmarkStart w:id="40" w:name="_Toc174117959"/>
      <w:bookmarkStart w:id="41" w:name="_Toc464326063"/>
      <w:r>
        <w:rPr>
          <w:lang w:val="en-US"/>
        </w:rPr>
        <w:t>3.</w:t>
      </w:r>
      <w:bookmarkEnd w:id="37"/>
      <w:bookmarkEnd w:id="38"/>
      <w:bookmarkEnd w:id="39"/>
      <w:bookmarkEnd w:id="40"/>
      <w:r>
        <w:rPr>
          <w:rFonts w:hint="eastAsia"/>
          <w:lang w:val="en-US"/>
        </w:rPr>
        <w:t>1</w:t>
      </w:r>
    </w:p>
    <w:p w14:paraId="6B185783">
      <w:pPr>
        <w:pStyle w:val="4"/>
        <w:ind w:firstLine="420" w:firstLineChars="200"/>
        <w:rPr>
          <w:rFonts w:ascii="Times New Roman" w:hAnsi="Times New Roman"/>
          <w:lang w:val="en-US"/>
        </w:rPr>
      </w:pPr>
      <w:bookmarkStart w:id="42" w:name="_Toc535332646"/>
      <w:bookmarkStart w:id="43" w:name="_Toc2331"/>
      <w:bookmarkStart w:id="44" w:name="_Toc535332127"/>
      <w:bookmarkStart w:id="45" w:name="_Toc174117960"/>
      <w:r>
        <w:rPr>
          <w:rFonts w:hint="eastAsia"/>
        </w:rPr>
        <w:t>安全设施</w:t>
      </w:r>
      <w:bookmarkEnd w:id="41"/>
      <w:r>
        <w:rPr>
          <w:lang w:val="en-US"/>
        </w:rPr>
        <w:t xml:space="preserve"> </w:t>
      </w:r>
      <w:r>
        <w:rPr>
          <w:rFonts w:ascii="Times New Roman" w:hAnsi="Times New Roman"/>
          <w:lang w:val="en-US"/>
        </w:rPr>
        <w:t>safety facilities</w:t>
      </w:r>
      <w:bookmarkEnd w:id="42"/>
      <w:bookmarkEnd w:id="43"/>
      <w:bookmarkEnd w:id="44"/>
      <w:bookmarkEnd w:id="45"/>
    </w:p>
    <w:p w14:paraId="1FE23647">
      <w:pPr>
        <w:pStyle w:val="155"/>
      </w:pPr>
      <w:r>
        <w:rPr>
          <w:rFonts w:hint="eastAsia"/>
        </w:rPr>
        <w:t>油气长输管道系统中用于安全防护、防火防爆、检测报警、应急处置所采用的设施。主要安全设施见附录</w:t>
      </w:r>
      <w:r>
        <w:rPr>
          <w:rFonts w:ascii="Times New Roman"/>
        </w:rPr>
        <w:t>A</w:t>
      </w:r>
      <w:r>
        <w:rPr>
          <w:rFonts w:hint="eastAsia"/>
        </w:rPr>
        <w:t>。</w:t>
      </w:r>
    </w:p>
    <w:p w14:paraId="4448F4AB">
      <w:pPr>
        <w:pStyle w:val="4"/>
        <w:rPr>
          <w:rFonts w:hint="eastAsia"/>
          <w:lang w:val="en-US"/>
        </w:rPr>
      </w:pPr>
      <w:bookmarkStart w:id="46" w:name="_Toc174117961"/>
      <w:bookmarkStart w:id="47" w:name="_Toc11253"/>
      <w:r>
        <w:rPr>
          <w:lang w:val="en-US"/>
        </w:rPr>
        <w:t>3.</w:t>
      </w:r>
      <w:bookmarkEnd w:id="46"/>
      <w:bookmarkEnd w:id="47"/>
      <w:r>
        <w:rPr>
          <w:rFonts w:hint="eastAsia"/>
          <w:lang w:val="en-US"/>
        </w:rPr>
        <w:t>2</w:t>
      </w:r>
    </w:p>
    <w:p w14:paraId="3DDF2AC6">
      <w:pPr>
        <w:pStyle w:val="4"/>
        <w:ind w:firstLine="420" w:firstLineChars="200"/>
        <w:rPr>
          <w:rFonts w:hint="eastAsia"/>
          <w:lang w:val="en-US"/>
        </w:rPr>
      </w:pPr>
      <w:bookmarkStart w:id="48" w:name="_Toc174117962"/>
      <w:r>
        <w:rPr>
          <w:rFonts w:hint="eastAsia"/>
        </w:rPr>
        <w:t>人员密集型高后果区</w:t>
      </w:r>
      <w:r>
        <w:rPr>
          <w:lang w:val="en-US"/>
        </w:rPr>
        <w:t xml:space="preserve"> </w:t>
      </w:r>
      <w:r>
        <w:rPr>
          <w:rFonts w:hint="eastAsia"/>
          <w:lang w:val="en-US"/>
        </w:rPr>
        <w:t>population intensive high consequence areas（PIHCAs）</w:t>
      </w:r>
      <w:bookmarkEnd w:id="48"/>
    </w:p>
    <w:p w14:paraId="3578C1ED">
      <w:pPr>
        <w:spacing w:line="20" w:lineRule="atLeast"/>
        <w:ind w:firstLine="420" w:firstLineChars="200"/>
      </w:pPr>
      <w:r>
        <w:rPr>
          <w:rFonts w:hint="eastAsia"/>
          <w:szCs w:val="21"/>
        </w:rPr>
        <w:t>人员密集且一旦发生油气管道泄漏后，可能造成人员伤亡的区域。</w:t>
      </w:r>
    </w:p>
    <w:p w14:paraId="74B46C53">
      <w:pPr>
        <w:pStyle w:val="3"/>
        <w:rPr>
          <w:rFonts w:hint="eastAsia"/>
        </w:rPr>
      </w:pPr>
      <w:bookmarkStart w:id="49" w:name="_Toc180478629"/>
      <w:bookmarkStart w:id="50" w:name="_Toc174117963"/>
      <w:r>
        <w:rPr>
          <w:rFonts w:hint="eastAsia"/>
        </w:rPr>
        <w:t>4</w:t>
      </w:r>
      <w:r>
        <w:t xml:space="preserve"> </w:t>
      </w:r>
      <w:r>
        <w:rPr>
          <w:rFonts w:hint="eastAsia"/>
        </w:rPr>
        <w:t>评价依据和评价范围</w:t>
      </w:r>
      <w:bookmarkEnd w:id="49"/>
      <w:bookmarkEnd w:id="50"/>
    </w:p>
    <w:p w14:paraId="48AC9414">
      <w:pPr>
        <w:spacing w:line="240" w:lineRule="auto"/>
        <w:rPr>
          <w:rStyle w:val="156"/>
        </w:rPr>
      </w:pPr>
      <w:r>
        <w:rPr>
          <w:rFonts w:ascii="黑体" w:eastAsia="黑体"/>
          <w:color w:val="000000" w:themeColor="text1"/>
          <w14:textFill>
            <w14:solidFill>
              <w14:schemeClr w14:val="tx1"/>
            </w14:solidFill>
          </w14:textFill>
        </w:rPr>
        <w:t>4.1</w:t>
      </w:r>
      <w:r>
        <w:t xml:space="preserve"> </w:t>
      </w:r>
      <w:r>
        <w:rPr>
          <w:rFonts w:hint="eastAsia"/>
        </w:rPr>
        <w:t>列出</w:t>
      </w:r>
      <w:r>
        <w:rPr>
          <w:color w:val="auto"/>
        </w:rPr>
        <w:t>建设项目的有关行政许可</w:t>
      </w:r>
      <w:r>
        <w:rPr>
          <w:rFonts w:hint="eastAsia"/>
          <w:color w:val="auto"/>
        </w:rPr>
        <w:t>、</w:t>
      </w:r>
      <w:r>
        <w:rPr>
          <w:color w:val="auto"/>
        </w:rPr>
        <w:t>建设单位批复等支持性文件</w:t>
      </w:r>
      <w:r>
        <w:rPr>
          <w:rFonts w:hint="eastAsia"/>
          <w:szCs w:val="21"/>
        </w:rPr>
        <w:t>，</w:t>
      </w:r>
      <w:r>
        <w:rPr>
          <w:szCs w:val="21"/>
        </w:rPr>
        <w:t>见12.1</w:t>
      </w:r>
      <w:r>
        <w:rPr>
          <w:rFonts w:hint="eastAsia"/>
          <w:szCs w:val="21"/>
        </w:rPr>
        <w:t>的</w:t>
      </w:r>
      <w:r>
        <w:rPr>
          <w:szCs w:val="21"/>
        </w:rPr>
        <w:t>a</w:t>
      </w:r>
      <w:r>
        <w:rPr>
          <w:rFonts w:hint="eastAsia"/>
          <w:szCs w:val="21"/>
        </w:rPr>
        <w:t>）</w:t>
      </w:r>
      <w:r>
        <w:rPr>
          <w:szCs w:val="21"/>
        </w:rPr>
        <w:t>、b</w:t>
      </w:r>
      <w:r>
        <w:rPr>
          <w:rFonts w:hint="eastAsia"/>
          <w:szCs w:val="21"/>
        </w:rPr>
        <w:t>）</w:t>
      </w:r>
      <w:r>
        <w:rPr>
          <w:szCs w:val="21"/>
        </w:rPr>
        <w:t>、c）、</w:t>
      </w:r>
      <w:r>
        <w:rPr>
          <w:rFonts w:hint="eastAsia"/>
          <w:szCs w:val="21"/>
        </w:rPr>
        <w:t>d</w:t>
      </w:r>
      <w:r>
        <w:rPr>
          <w:szCs w:val="21"/>
        </w:rPr>
        <w:t>）</w:t>
      </w:r>
      <w:r>
        <w:rPr>
          <w:rStyle w:val="156"/>
          <w:rFonts w:ascii="Times New Roman" w:hAnsi="Times New Roman"/>
        </w:rPr>
        <w:t>。</w:t>
      </w:r>
    </w:p>
    <w:p w14:paraId="1FB99AB6">
      <w:pPr>
        <w:spacing w:line="240" w:lineRule="auto"/>
      </w:pPr>
      <w:r>
        <w:rPr>
          <w:rFonts w:ascii="黑体" w:eastAsia="黑体"/>
          <w:color w:val="000000" w:themeColor="text1"/>
          <w14:textFill>
            <w14:solidFill>
              <w14:schemeClr w14:val="tx1"/>
            </w14:solidFill>
          </w14:textFill>
        </w:rPr>
        <w:t>4.2</w:t>
      </w:r>
      <w:r>
        <w:t xml:space="preserve"> </w:t>
      </w:r>
      <w:r>
        <w:rPr>
          <w:rFonts w:hint="eastAsia"/>
        </w:rPr>
        <w:t>列出评价依据的现行国家法律、法规、部门规章和地方法规，标明发布机构、令号和施行日期。</w:t>
      </w:r>
    </w:p>
    <w:p w14:paraId="2E70EA9F">
      <w:pPr>
        <w:spacing w:line="240" w:lineRule="auto"/>
      </w:pPr>
      <w:r>
        <w:rPr>
          <w:rFonts w:ascii="黑体" w:eastAsia="黑体"/>
          <w:color w:val="000000" w:themeColor="text1"/>
          <w14:textFill>
            <w14:solidFill>
              <w14:schemeClr w14:val="tx1"/>
            </w14:solidFill>
          </w14:textFill>
        </w:rPr>
        <w:t>4.3</w:t>
      </w:r>
      <w:r>
        <w:t xml:space="preserve"> </w:t>
      </w:r>
      <w:r>
        <w:rPr>
          <w:rFonts w:hint="eastAsia"/>
        </w:rPr>
        <w:t>列出评价依据的现行规范性文件，标明发布机构、文号和施行日期。</w:t>
      </w:r>
    </w:p>
    <w:p w14:paraId="3CE59993">
      <w:pPr>
        <w:spacing w:line="240" w:lineRule="auto"/>
      </w:pPr>
      <w:r>
        <w:rPr>
          <w:rFonts w:ascii="黑体" w:eastAsia="黑体"/>
          <w:color w:val="000000" w:themeColor="text1"/>
          <w14:textFill>
            <w14:solidFill>
              <w14:schemeClr w14:val="tx1"/>
            </w14:solidFill>
          </w14:textFill>
        </w:rPr>
        <w:t>4.4</w:t>
      </w:r>
      <w:r>
        <w:t xml:space="preserve"> </w:t>
      </w:r>
      <w:r>
        <w:rPr>
          <w:rFonts w:hint="eastAsia"/>
        </w:rPr>
        <w:t>列出评价依据的现行国家和行业标准目录，标明标准代号和年号。参考的国外标准标明版本号或标准代号。</w:t>
      </w:r>
    </w:p>
    <w:p w14:paraId="4F415EA3">
      <w:pPr>
        <w:spacing w:line="240" w:lineRule="auto"/>
      </w:pPr>
      <w:r>
        <w:rPr>
          <w:rFonts w:ascii="黑体" w:eastAsia="黑体"/>
          <w:color w:val="000000" w:themeColor="text1"/>
          <w14:textFill>
            <w14:solidFill>
              <w14:schemeClr w14:val="tx1"/>
            </w14:solidFill>
          </w14:textFill>
        </w:rPr>
        <w:t>4.5</w:t>
      </w:r>
      <w:r>
        <w:t xml:space="preserve"> </w:t>
      </w:r>
      <w:r>
        <w:rPr>
          <w:rFonts w:hint="eastAsia"/>
        </w:rPr>
        <w:t>列出与安全生产相关的地质灾害危险性评估、地震安全性评价、压覆矿产资源评估、防洪影响评价和通航条件评价等工作的开展情况。</w:t>
      </w:r>
    </w:p>
    <w:p w14:paraId="19D882F0">
      <w:pPr>
        <w:pStyle w:val="35"/>
        <w:tabs>
          <w:tab w:val="left" w:pos="1680"/>
        </w:tabs>
        <w:spacing w:after="0" w:line="240" w:lineRule="auto"/>
        <w:ind w:firstLine="0" w:firstLineChars="0"/>
        <w:rPr>
          <w:rFonts w:ascii="黑体" w:eastAsia="黑体"/>
        </w:rPr>
      </w:pPr>
      <w:r>
        <w:rPr>
          <w:rFonts w:ascii="黑体" w:eastAsia="黑体"/>
          <w:color w:val="000000" w:themeColor="text1"/>
          <w14:textFill>
            <w14:solidFill>
              <w14:schemeClr w14:val="tx1"/>
            </w14:solidFill>
          </w14:textFill>
        </w:rPr>
        <w:t xml:space="preserve">4.6 </w:t>
      </w:r>
      <w:r>
        <w:rPr>
          <w:rFonts w:hint="eastAsia" w:ascii="Times New Roman" w:hAnsi="Times New Roman"/>
          <w:color w:val="auto"/>
          <w:kern w:val="0"/>
          <w:szCs w:val="20"/>
        </w:rPr>
        <w:t>说明新建项目与上下游衔接的工程界面和评价界面，按照</w:t>
      </w:r>
      <w:r>
        <w:rPr>
          <w:rFonts w:hint="eastAsia"/>
          <w:lang w:val="zh-CN"/>
        </w:rPr>
        <w:t>审批（核准、备案）文件确定</w:t>
      </w:r>
      <w:r>
        <w:rPr>
          <w:rFonts w:hint="eastAsia" w:ascii="Times New Roman" w:hAnsi="Times New Roman"/>
          <w:color w:val="auto"/>
          <w:kern w:val="0"/>
          <w:szCs w:val="20"/>
        </w:rPr>
        <w:t>评价范围，不应擅自对项目进行拆分；说明改（扩）建项目与在役管道的工程界面和评价界面。</w:t>
      </w:r>
    </w:p>
    <w:bookmarkEnd w:id="29"/>
    <w:p w14:paraId="2223DDFF">
      <w:pPr>
        <w:pStyle w:val="3"/>
        <w:rPr>
          <w:rFonts w:hint="eastAsia"/>
        </w:rPr>
      </w:pPr>
      <w:bookmarkStart w:id="51" w:name="_Toc174117964"/>
      <w:bookmarkStart w:id="52" w:name="_Toc180478630"/>
      <w:r>
        <w:rPr>
          <w:rFonts w:hint="eastAsia"/>
        </w:rPr>
        <w:t>5</w:t>
      </w:r>
      <w:r>
        <w:t xml:space="preserve"> </w:t>
      </w:r>
      <w:r>
        <w:rPr>
          <w:rFonts w:hint="eastAsia"/>
        </w:rPr>
        <w:t>建设项目概况</w:t>
      </w:r>
      <w:bookmarkEnd w:id="51"/>
      <w:bookmarkEnd w:id="52"/>
    </w:p>
    <w:p w14:paraId="55084AF0">
      <w:pPr>
        <w:pStyle w:val="4"/>
        <w:rPr>
          <w:rFonts w:hint="eastAsia"/>
        </w:rPr>
      </w:pPr>
      <w:bookmarkStart w:id="53" w:name="_Toc464326077"/>
      <w:bookmarkStart w:id="54" w:name="_Toc174117965"/>
      <w:r>
        <w:t xml:space="preserve">5.1 </w:t>
      </w:r>
      <w:r>
        <w:rPr>
          <w:rFonts w:hint="eastAsia"/>
        </w:rPr>
        <w:t>基本</w:t>
      </w:r>
      <w:bookmarkEnd w:id="53"/>
      <w:r>
        <w:rPr>
          <w:rFonts w:hint="eastAsia"/>
        </w:rPr>
        <w:t>情况</w:t>
      </w:r>
      <w:bookmarkEnd w:id="54"/>
    </w:p>
    <w:p w14:paraId="3A2FC815">
      <w:pPr>
        <w:pStyle w:val="65"/>
        <w:ind w:firstLine="0" w:firstLineChars="0"/>
        <w:rPr>
          <w:color w:val="000000" w:themeColor="text1"/>
          <w14:textFill>
            <w14:solidFill>
              <w14:schemeClr w14:val="tx1"/>
            </w14:solidFill>
          </w14:textFill>
        </w:rPr>
      </w:pPr>
      <w:r>
        <w:rPr>
          <w:rFonts w:hint="eastAsia" w:ascii="黑体" w:hAnsi="黑体" w:eastAsia="黑体"/>
          <w:color w:val="000000" w:themeColor="text1"/>
          <w14:textFill>
            <w14:solidFill>
              <w14:schemeClr w14:val="tx1"/>
            </w14:solidFill>
          </w14:textFill>
        </w:rPr>
        <w:t>5.1.1</w:t>
      </w:r>
      <w:r>
        <w:rPr>
          <w:rFonts w:hint="eastAsia"/>
          <w:color w:val="000000" w:themeColor="text1"/>
          <w14:textFill>
            <w14:solidFill>
              <w14:schemeClr w14:val="tx1"/>
            </w14:solidFill>
          </w14:textFill>
        </w:rPr>
        <w:t xml:space="preserve"> </w:t>
      </w:r>
      <w:r>
        <w:rPr>
          <w:rFonts w:hint="eastAsia" w:ascii="Times New Roman"/>
        </w:rPr>
        <w:t>说明</w:t>
      </w:r>
      <w:r>
        <w:rPr>
          <w:rFonts w:ascii="Times New Roman"/>
        </w:rPr>
        <w:t>建设单位的</w:t>
      </w:r>
      <w:r>
        <w:rPr>
          <w:rFonts w:hint="eastAsia" w:ascii="Times New Roman"/>
        </w:rPr>
        <w:t>基本情况和</w:t>
      </w:r>
      <w:r>
        <w:rPr>
          <w:rFonts w:ascii="Times New Roman"/>
        </w:rPr>
        <w:t>经营范</w:t>
      </w:r>
      <w:r>
        <w:rPr>
          <w:rFonts w:hint="eastAsia" w:ascii="Times New Roman"/>
        </w:rPr>
        <w:t>围，见12.1的e）。</w:t>
      </w:r>
    </w:p>
    <w:p w14:paraId="561BA0E0">
      <w:pPr>
        <w:pStyle w:val="65"/>
        <w:ind w:firstLine="0" w:firstLineChars="0"/>
        <w:rPr>
          <w:rFonts w:ascii="Times New Roman"/>
        </w:rPr>
      </w:pPr>
      <w:r>
        <w:rPr>
          <w:rFonts w:ascii="黑体" w:hAnsi="黑体" w:eastAsia="黑体"/>
          <w:color w:val="000000" w:themeColor="text1"/>
          <w14:textFill>
            <w14:solidFill>
              <w14:schemeClr w14:val="tx1"/>
            </w14:solidFill>
          </w14:textFill>
        </w:rPr>
        <w:t>5.1.2</w:t>
      </w:r>
      <w:r>
        <w:rPr>
          <w:color w:val="000000" w:themeColor="text1"/>
          <w14:textFill>
            <w14:solidFill>
              <w14:schemeClr w14:val="tx1"/>
            </w14:solidFill>
          </w14:textFill>
        </w:rPr>
        <w:t xml:space="preserve"> </w:t>
      </w:r>
      <w:r>
        <w:rPr>
          <w:rFonts w:hint="eastAsia" w:ascii="Times New Roman"/>
        </w:rPr>
        <w:t>列出可行性研究报告编制单位的经营范围</w:t>
      </w:r>
      <w:r>
        <w:rPr>
          <w:rFonts w:hint="eastAsia" w:hAnsi="宋体" w:cs="宋体"/>
        </w:rPr>
        <w:t>，</w:t>
      </w:r>
      <w:r>
        <w:rPr>
          <w:rFonts w:ascii="Times New Roman"/>
        </w:rPr>
        <w:t>见12.1</w:t>
      </w:r>
      <w:r>
        <w:rPr>
          <w:rFonts w:hint="eastAsia" w:ascii="Times New Roman"/>
        </w:rPr>
        <w:t>的f），如由多家单位共同编制，应明确拿总单位及各单位工作分工。</w:t>
      </w:r>
    </w:p>
    <w:p w14:paraId="7CF783A5">
      <w:pPr>
        <w:pStyle w:val="65"/>
        <w:ind w:firstLine="0" w:firstLineChars="0"/>
        <w:rPr>
          <w:rStyle w:val="156"/>
        </w:rPr>
      </w:pPr>
      <w:r>
        <w:rPr>
          <w:rFonts w:ascii="黑体" w:hAnsi="黑体" w:eastAsia="黑体"/>
          <w:color w:val="000000" w:themeColor="text1"/>
          <w14:textFill>
            <w14:solidFill>
              <w14:schemeClr w14:val="tx1"/>
            </w14:solidFill>
          </w14:textFill>
        </w:rPr>
        <w:t>5.1.3</w:t>
      </w:r>
      <w:r>
        <w:rPr>
          <w:color w:val="000000" w:themeColor="text1"/>
          <w14:textFill>
            <w14:solidFill>
              <w14:schemeClr w14:val="tx1"/>
            </w14:solidFill>
          </w14:textFill>
        </w:rPr>
        <w:t xml:space="preserve"> </w:t>
      </w:r>
      <w:r>
        <w:rPr>
          <w:rFonts w:hint="eastAsia" w:ascii="Times New Roman"/>
        </w:rPr>
        <w:t>列出安全评价机构的业务范围和资质。</w:t>
      </w:r>
    </w:p>
    <w:p w14:paraId="3E823BB7">
      <w:pPr>
        <w:pStyle w:val="65"/>
        <w:ind w:firstLine="0" w:firstLineChars="0"/>
        <w:rPr>
          <w:rFonts w:ascii="Times New Roman"/>
        </w:rPr>
      </w:pPr>
      <w:r>
        <w:rPr>
          <w:rStyle w:val="156"/>
          <w:rFonts w:ascii="黑体" w:hAnsi="黑体" w:eastAsia="黑体" w:cs="黑体"/>
        </w:rPr>
        <w:t>5.1.4</w:t>
      </w:r>
      <w:r>
        <w:rPr>
          <w:rStyle w:val="156"/>
          <w:rFonts w:hint="eastAsia"/>
        </w:rPr>
        <w:t xml:space="preserve"> 列出建设（项目）单位与安全评价机构签订的安全预评价委托书</w:t>
      </w:r>
      <w:r>
        <w:rPr>
          <w:rFonts w:hint="eastAsia" w:hAnsi="宋体" w:cs="宋体"/>
        </w:rPr>
        <w:t>，</w:t>
      </w:r>
      <w:r>
        <w:rPr>
          <w:rFonts w:ascii="Times New Roman"/>
        </w:rPr>
        <w:t>见12.1</w:t>
      </w:r>
      <w:r>
        <w:rPr>
          <w:rFonts w:hint="eastAsia" w:ascii="Times New Roman"/>
        </w:rPr>
        <w:t>的g）。</w:t>
      </w:r>
    </w:p>
    <w:p w14:paraId="2539AF2D">
      <w:pPr>
        <w:pStyle w:val="65"/>
        <w:ind w:firstLine="0" w:firstLineChars="0"/>
        <w:rPr>
          <w:rFonts w:ascii="Times New Roman"/>
        </w:rPr>
      </w:pPr>
      <w:r>
        <w:rPr>
          <w:rStyle w:val="156"/>
          <w:rFonts w:ascii="黑体" w:hAnsi="黑体" w:eastAsia="黑体" w:cs="黑体"/>
        </w:rPr>
        <w:t>5.1.5</w:t>
      </w:r>
      <w:r>
        <w:rPr>
          <w:rStyle w:val="156"/>
          <w:rFonts w:hint="eastAsia"/>
        </w:rPr>
        <w:t xml:space="preserve"> 涉及未通过安全条件审查的，列出历次安全条件审查意见及修改情况</w:t>
      </w:r>
      <w:r>
        <w:rPr>
          <w:rFonts w:hint="eastAsia" w:hAnsi="宋体" w:cs="宋体"/>
        </w:rPr>
        <w:t>，</w:t>
      </w:r>
      <w:r>
        <w:rPr>
          <w:rFonts w:ascii="Times New Roman"/>
        </w:rPr>
        <w:t>见12.1</w:t>
      </w:r>
      <w:r>
        <w:rPr>
          <w:rFonts w:hint="eastAsia" w:ascii="Times New Roman"/>
        </w:rPr>
        <w:t>的h）</w:t>
      </w:r>
      <w:r>
        <w:rPr>
          <w:rStyle w:val="156"/>
          <w:rFonts w:hint="eastAsia"/>
        </w:rPr>
        <w:t>。</w:t>
      </w:r>
    </w:p>
    <w:p w14:paraId="31022711">
      <w:pPr>
        <w:pStyle w:val="65"/>
        <w:ind w:firstLine="0" w:firstLineChars="0"/>
        <w:rPr>
          <w:rFonts w:ascii="Times New Roman"/>
        </w:rPr>
      </w:pPr>
      <w:bookmarkStart w:id="55" w:name="_Toc14618"/>
      <w:bookmarkStart w:id="56" w:name="_Toc174117966"/>
      <w:r>
        <w:rPr>
          <w:rStyle w:val="156"/>
          <w:rFonts w:ascii="黑体" w:hAnsi="黑体" w:eastAsia="黑体" w:cs="黑体"/>
        </w:rPr>
        <w:t>5.1.</w:t>
      </w:r>
      <w:r>
        <w:rPr>
          <w:rStyle w:val="156"/>
          <w:rFonts w:hint="eastAsia" w:ascii="黑体" w:hAnsi="黑体" w:eastAsia="黑体" w:cs="黑体"/>
        </w:rPr>
        <w:t>6</w:t>
      </w:r>
      <w:r>
        <w:rPr>
          <w:rFonts w:ascii="黑体" w:hAnsi="黑体" w:eastAsia="黑体"/>
          <w:b/>
          <w:lang w:val="zh-CN"/>
        </w:rPr>
        <w:t>　</w:t>
      </w:r>
      <w:bookmarkEnd w:id="55"/>
      <w:r>
        <w:rPr>
          <w:rFonts w:ascii="Times New Roman"/>
          <w:color w:val="000000"/>
        </w:rPr>
        <w:t>建设项目基本情况包括但不限于：</w:t>
      </w:r>
    </w:p>
    <w:bookmarkEnd w:id="56"/>
    <w:p w14:paraId="3AA18939">
      <w:pPr>
        <w:pStyle w:val="65"/>
        <w:numPr>
          <w:ilvl w:val="0"/>
          <w:numId w:val="15"/>
        </w:numPr>
        <w:ind w:left="709" w:hanging="284" w:firstLineChars="0"/>
        <w:rPr>
          <w:rFonts w:ascii="Times New Roman"/>
        </w:rPr>
      </w:pPr>
      <w:r>
        <w:rPr>
          <w:rFonts w:ascii="Times New Roman"/>
        </w:rPr>
        <w:t>起点、终点, 总体走向图和途经行政区划（见表 1），</w:t>
      </w:r>
      <w:r>
        <w:rPr>
          <w:rFonts w:hint="eastAsia" w:ascii="Times New Roman"/>
        </w:rPr>
        <w:t>按照GB 50251对</w:t>
      </w:r>
      <w:r>
        <w:rPr>
          <w:rFonts w:ascii="Times New Roman"/>
        </w:rPr>
        <w:t>输气管道</w:t>
      </w:r>
      <w:r>
        <w:rPr>
          <w:rFonts w:hint="eastAsia" w:ascii="Times New Roman"/>
        </w:rPr>
        <w:t>进行</w:t>
      </w:r>
      <w:r>
        <w:rPr>
          <w:rFonts w:ascii="Times New Roman"/>
        </w:rPr>
        <w:t xml:space="preserve">地区等级划分（见表 </w:t>
      </w:r>
      <w:r>
        <w:rPr>
          <w:rFonts w:hint="eastAsia" w:ascii="Times New Roman"/>
        </w:rPr>
        <w:t>2</w:t>
      </w:r>
      <w:r>
        <w:rPr>
          <w:rFonts w:ascii="Times New Roman"/>
        </w:rPr>
        <w:t xml:space="preserve">），站场和阀室的设置（见表 </w:t>
      </w:r>
      <w:r>
        <w:rPr>
          <w:rFonts w:hint="eastAsia" w:ascii="Times New Roman"/>
        </w:rPr>
        <w:t>3</w:t>
      </w:r>
      <w:r>
        <w:rPr>
          <w:rFonts w:ascii="Times New Roman"/>
        </w:rPr>
        <w:t>）</w:t>
      </w:r>
      <w:r>
        <w:rPr>
          <w:rFonts w:hint="eastAsia" w:ascii="Times New Roman"/>
        </w:rPr>
        <w:t>，总投资等；</w:t>
      </w:r>
    </w:p>
    <w:p w14:paraId="621A2593">
      <w:pPr>
        <w:pStyle w:val="5"/>
        <w:rPr>
          <w:rFonts w:hint="eastAsia"/>
        </w:rPr>
      </w:pPr>
      <w:r>
        <w:rPr>
          <w:rFonts w:hint="eastAsia"/>
        </w:rPr>
        <w:t>表</w:t>
      </w:r>
      <w:r>
        <w:rPr>
          <w:rFonts w:ascii="Times New Roman" w:hAnsi="Times New Roman"/>
        </w:rPr>
        <w:t>1</w:t>
      </w:r>
      <w:r>
        <w:t xml:space="preserve"> </w:t>
      </w:r>
      <w:r>
        <w:rPr>
          <w:rFonts w:hint="eastAsia"/>
        </w:rPr>
        <w:t>行政区划表</w:t>
      </w:r>
    </w:p>
    <w:tbl>
      <w:tblPr>
        <w:tblStyle w:val="3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259"/>
        <w:gridCol w:w="2104"/>
        <w:gridCol w:w="2022"/>
        <w:gridCol w:w="2416"/>
        <w:gridCol w:w="1769"/>
      </w:tblGrid>
      <w:tr w14:paraId="20ABDC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tblHeader/>
          <w:jc w:val="center"/>
        </w:trPr>
        <w:tc>
          <w:tcPr>
            <w:tcW w:w="658" w:type="pct"/>
            <w:vAlign w:val="center"/>
          </w:tcPr>
          <w:p w14:paraId="20205863">
            <w:pPr>
              <w:spacing w:line="240" w:lineRule="exact"/>
              <w:jc w:val="center"/>
              <w:rPr>
                <w:rFonts w:eastAsiaTheme="minorEastAsia"/>
                <w:sz w:val="18"/>
                <w:szCs w:val="18"/>
              </w:rPr>
            </w:pPr>
            <w:r>
              <w:rPr>
                <w:rFonts w:eastAsiaTheme="minorEastAsia"/>
                <w:sz w:val="18"/>
                <w:szCs w:val="18"/>
              </w:rPr>
              <w:t>序号</w:t>
            </w:r>
          </w:p>
        </w:tc>
        <w:tc>
          <w:tcPr>
            <w:tcW w:w="1099" w:type="pct"/>
            <w:vAlign w:val="center"/>
          </w:tcPr>
          <w:p w14:paraId="13EB9B98">
            <w:pPr>
              <w:spacing w:line="240" w:lineRule="exact"/>
              <w:jc w:val="center"/>
              <w:rPr>
                <w:rFonts w:eastAsiaTheme="minorEastAsia"/>
                <w:sz w:val="18"/>
                <w:szCs w:val="18"/>
              </w:rPr>
            </w:pPr>
            <w:r>
              <w:rPr>
                <w:rFonts w:eastAsiaTheme="minorEastAsia"/>
                <w:sz w:val="18"/>
                <w:szCs w:val="18"/>
              </w:rPr>
              <w:t>省（区、市）</w:t>
            </w:r>
          </w:p>
        </w:tc>
        <w:tc>
          <w:tcPr>
            <w:tcW w:w="1056" w:type="pct"/>
            <w:vAlign w:val="center"/>
          </w:tcPr>
          <w:p w14:paraId="50BCD096">
            <w:pPr>
              <w:spacing w:line="240" w:lineRule="exact"/>
              <w:jc w:val="center"/>
              <w:rPr>
                <w:rFonts w:eastAsiaTheme="minorEastAsia"/>
                <w:sz w:val="18"/>
                <w:szCs w:val="18"/>
              </w:rPr>
            </w:pPr>
            <w:r>
              <w:rPr>
                <w:rFonts w:eastAsiaTheme="minorEastAsia"/>
                <w:sz w:val="18"/>
                <w:szCs w:val="18"/>
              </w:rPr>
              <w:t>市（设区）</w:t>
            </w:r>
          </w:p>
        </w:tc>
        <w:tc>
          <w:tcPr>
            <w:tcW w:w="1262" w:type="pct"/>
            <w:vAlign w:val="center"/>
          </w:tcPr>
          <w:p w14:paraId="769AF76F">
            <w:pPr>
              <w:spacing w:line="240" w:lineRule="exact"/>
              <w:jc w:val="center"/>
              <w:rPr>
                <w:rFonts w:eastAsiaTheme="minorEastAsia"/>
                <w:sz w:val="18"/>
                <w:szCs w:val="18"/>
              </w:rPr>
            </w:pPr>
            <w:r>
              <w:rPr>
                <w:rFonts w:eastAsiaTheme="minorEastAsia"/>
                <w:sz w:val="18"/>
                <w:szCs w:val="18"/>
              </w:rPr>
              <w:t>县/区</w:t>
            </w:r>
          </w:p>
        </w:tc>
        <w:tc>
          <w:tcPr>
            <w:tcW w:w="923" w:type="pct"/>
            <w:vAlign w:val="center"/>
          </w:tcPr>
          <w:p w14:paraId="32136193">
            <w:pPr>
              <w:spacing w:line="240" w:lineRule="exact"/>
              <w:jc w:val="center"/>
              <w:rPr>
                <w:rFonts w:eastAsiaTheme="minorEastAsia"/>
                <w:sz w:val="18"/>
                <w:szCs w:val="18"/>
              </w:rPr>
            </w:pPr>
            <w:r>
              <w:rPr>
                <w:rFonts w:eastAsiaTheme="minorEastAsia"/>
                <w:sz w:val="18"/>
                <w:szCs w:val="18"/>
              </w:rPr>
              <w:t>长度</w:t>
            </w:r>
          </w:p>
          <w:p w14:paraId="2C930ECF">
            <w:pPr>
              <w:spacing w:line="240" w:lineRule="exact"/>
              <w:jc w:val="center"/>
              <w:rPr>
                <w:rFonts w:eastAsiaTheme="minorEastAsia"/>
                <w:sz w:val="18"/>
                <w:szCs w:val="18"/>
              </w:rPr>
            </w:pPr>
            <w:r>
              <w:rPr>
                <w:rFonts w:eastAsiaTheme="minorEastAsia"/>
                <w:sz w:val="18"/>
                <w:szCs w:val="18"/>
              </w:rPr>
              <w:t>km</w:t>
            </w:r>
          </w:p>
        </w:tc>
      </w:tr>
      <w:tr w14:paraId="155244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58" w:type="pct"/>
            <w:vAlign w:val="center"/>
          </w:tcPr>
          <w:p w14:paraId="7C43DC13">
            <w:pPr>
              <w:spacing w:line="240" w:lineRule="auto"/>
              <w:jc w:val="center"/>
              <w:rPr>
                <w:rFonts w:eastAsiaTheme="minorEastAsia"/>
                <w:sz w:val="18"/>
                <w:szCs w:val="18"/>
              </w:rPr>
            </w:pPr>
            <w:r>
              <w:rPr>
                <w:rFonts w:eastAsiaTheme="minorEastAsia"/>
                <w:sz w:val="18"/>
                <w:szCs w:val="18"/>
              </w:rPr>
              <w:t>1</w:t>
            </w:r>
          </w:p>
        </w:tc>
        <w:tc>
          <w:tcPr>
            <w:tcW w:w="1099" w:type="pct"/>
            <w:vAlign w:val="center"/>
          </w:tcPr>
          <w:p w14:paraId="525EB90A">
            <w:pPr>
              <w:jc w:val="center"/>
              <w:rPr>
                <w:rFonts w:eastAsiaTheme="minorEastAsia"/>
                <w:sz w:val="18"/>
                <w:szCs w:val="18"/>
              </w:rPr>
            </w:pPr>
          </w:p>
        </w:tc>
        <w:tc>
          <w:tcPr>
            <w:tcW w:w="1056" w:type="pct"/>
            <w:vAlign w:val="center"/>
          </w:tcPr>
          <w:p w14:paraId="16EDA374">
            <w:pPr>
              <w:jc w:val="center"/>
              <w:rPr>
                <w:rFonts w:eastAsiaTheme="minorEastAsia"/>
                <w:sz w:val="18"/>
                <w:szCs w:val="18"/>
              </w:rPr>
            </w:pPr>
          </w:p>
        </w:tc>
        <w:tc>
          <w:tcPr>
            <w:tcW w:w="1262" w:type="pct"/>
            <w:vAlign w:val="center"/>
          </w:tcPr>
          <w:p w14:paraId="35A4656B">
            <w:pPr>
              <w:jc w:val="center"/>
              <w:rPr>
                <w:rFonts w:eastAsiaTheme="minorEastAsia"/>
                <w:sz w:val="18"/>
                <w:szCs w:val="18"/>
              </w:rPr>
            </w:pPr>
          </w:p>
        </w:tc>
        <w:tc>
          <w:tcPr>
            <w:tcW w:w="923" w:type="pct"/>
            <w:vAlign w:val="center"/>
          </w:tcPr>
          <w:p w14:paraId="7ED39043">
            <w:pPr>
              <w:jc w:val="center"/>
              <w:rPr>
                <w:rFonts w:eastAsiaTheme="minorEastAsia"/>
                <w:sz w:val="18"/>
                <w:szCs w:val="18"/>
              </w:rPr>
            </w:pPr>
          </w:p>
        </w:tc>
      </w:tr>
      <w:tr w14:paraId="410956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58" w:type="pct"/>
            <w:vAlign w:val="center"/>
          </w:tcPr>
          <w:p w14:paraId="1023DDCE">
            <w:pPr>
              <w:spacing w:line="240" w:lineRule="auto"/>
              <w:jc w:val="center"/>
              <w:rPr>
                <w:rFonts w:eastAsiaTheme="minorEastAsia"/>
                <w:sz w:val="18"/>
                <w:szCs w:val="18"/>
              </w:rPr>
            </w:pPr>
          </w:p>
        </w:tc>
        <w:tc>
          <w:tcPr>
            <w:tcW w:w="1099" w:type="pct"/>
            <w:vAlign w:val="center"/>
          </w:tcPr>
          <w:p w14:paraId="4B00E4D4">
            <w:pPr>
              <w:jc w:val="center"/>
              <w:rPr>
                <w:rFonts w:eastAsiaTheme="minorEastAsia"/>
                <w:sz w:val="18"/>
                <w:szCs w:val="18"/>
              </w:rPr>
            </w:pPr>
            <w:r>
              <w:rPr>
                <w:rFonts w:hint="eastAsia"/>
                <w:sz w:val="18"/>
                <w:szCs w:val="18"/>
              </w:rPr>
              <w:t>小计</w:t>
            </w:r>
          </w:p>
        </w:tc>
        <w:tc>
          <w:tcPr>
            <w:tcW w:w="3242" w:type="pct"/>
            <w:gridSpan w:val="3"/>
            <w:vAlign w:val="center"/>
          </w:tcPr>
          <w:p w14:paraId="7C576D4E">
            <w:pPr>
              <w:jc w:val="center"/>
              <w:rPr>
                <w:rFonts w:eastAsiaTheme="minorEastAsia"/>
                <w:sz w:val="18"/>
                <w:szCs w:val="18"/>
              </w:rPr>
            </w:pPr>
          </w:p>
        </w:tc>
      </w:tr>
      <w:tr w14:paraId="578632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57" w:type="pct"/>
            <w:vAlign w:val="center"/>
          </w:tcPr>
          <w:p w14:paraId="1E53CDEB">
            <w:pPr>
              <w:jc w:val="center"/>
              <w:rPr>
                <w:rFonts w:eastAsiaTheme="minorEastAsia"/>
                <w:sz w:val="18"/>
                <w:szCs w:val="18"/>
              </w:rPr>
            </w:pPr>
            <w:r>
              <w:rPr>
                <w:rFonts w:hint="eastAsia"/>
                <w:sz w:val="18"/>
                <w:szCs w:val="18"/>
              </w:rPr>
              <w:t>2</w:t>
            </w:r>
          </w:p>
        </w:tc>
        <w:tc>
          <w:tcPr>
            <w:tcW w:w="1099" w:type="pct"/>
            <w:vAlign w:val="center"/>
          </w:tcPr>
          <w:p w14:paraId="100F62E0">
            <w:pPr>
              <w:jc w:val="center"/>
              <w:rPr>
                <w:rFonts w:eastAsiaTheme="minorEastAsia"/>
                <w:sz w:val="18"/>
                <w:szCs w:val="18"/>
              </w:rPr>
            </w:pPr>
          </w:p>
        </w:tc>
        <w:tc>
          <w:tcPr>
            <w:tcW w:w="1056" w:type="pct"/>
            <w:vAlign w:val="center"/>
          </w:tcPr>
          <w:p w14:paraId="3950EF30">
            <w:pPr>
              <w:jc w:val="center"/>
              <w:rPr>
                <w:rFonts w:eastAsiaTheme="minorEastAsia"/>
                <w:sz w:val="18"/>
                <w:szCs w:val="18"/>
              </w:rPr>
            </w:pPr>
          </w:p>
        </w:tc>
        <w:tc>
          <w:tcPr>
            <w:tcW w:w="1262" w:type="pct"/>
            <w:vAlign w:val="center"/>
          </w:tcPr>
          <w:p w14:paraId="70F4C6AC">
            <w:pPr>
              <w:jc w:val="center"/>
              <w:rPr>
                <w:rFonts w:eastAsiaTheme="minorEastAsia"/>
                <w:sz w:val="18"/>
                <w:szCs w:val="18"/>
              </w:rPr>
            </w:pPr>
          </w:p>
        </w:tc>
        <w:tc>
          <w:tcPr>
            <w:tcW w:w="924" w:type="pct"/>
            <w:vAlign w:val="center"/>
          </w:tcPr>
          <w:p w14:paraId="7976A433">
            <w:pPr>
              <w:jc w:val="center"/>
              <w:rPr>
                <w:rFonts w:eastAsiaTheme="minorEastAsia"/>
                <w:sz w:val="18"/>
                <w:szCs w:val="18"/>
              </w:rPr>
            </w:pPr>
          </w:p>
        </w:tc>
      </w:tr>
      <w:tr w14:paraId="4E9E24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57" w:type="pct"/>
            <w:vAlign w:val="center"/>
          </w:tcPr>
          <w:p w14:paraId="523E3B0F">
            <w:pPr>
              <w:jc w:val="center"/>
              <w:rPr>
                <w:rFonts w:eastAsiaTheme="minorEastAsia"/>
                <w:bCs/>
                <w:sz w:val="18"/>
                <w:szCs w:val="18"/>
              </w:rPr>
            </w:pPr>
          </w:p>
        </w:tc>
        <w:tc>
          <w:tcPr>
            <w:tcW w:w="1099" w:type="pct"/>
            <w:vAlign w:val="center"/>
          </w:tcPr>
          <w:p w14:paraId="386CA031">
            <w:pPr>
              <w:jc w:val="center"/>
              <w:rPr>
                <w:rFonts w:eastAsiaTheme="minorEastAsia"/>
                <w:sz w:val="18"/>
                <w:szCs w:val="18"/>
              </w:rPr>
            </w:pPr>
            <w:r>
              <w:rPr>
                <w:rFonts w:hint="eastAsia"/>
                <w:sz w:val="18"/>
                <w:szCs w:val="18"/>
              </w:rPr>
              <w:t>小计</w:t>
            </w:r>
          </w:p>
        </w:tc>
        <w:tc>
          <w:tcPr>
            <w:tcW w:w="3242" w:type="pct"/>
            <w:gridSpan w:val="3"/>
            <w:vAlign w:val="center"/>
          </w:tcPr>
          <w:p w14:paraId="3A4A474D">
            <w:pPr>
              <w:jc w:val="center"/>
              <w:rPr>
                <w:rFonts w:eastAsiaTheme="minorEastAsia"/>
                <w:sz w:val="18"/>
                <w:szCs w:val="18"/>
              </w:rPr>
            </w:pPr>
          </w:p>
        </w:tc>
      </w:tr>
      <w:tr w14:paraId="30C744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57" w:type="pct"/>
            <w:vAlign w:val="center"/>
          </w:tcPr>
          <w:p w14:paraId="23DBA5BB">
            <w:pPr>
              <w:jc w:val="center"/>
              <w:rPr>
                <w:rFonts w:eastAsiaTheme="minorEastAsia"/>
                <w:bCs/>
                <w:sz w:val="18"/>
                <w:szCs w:val="18"/>
              </w:rPr>
            </w:pPr>
            <w:r>
              <w:rPr>
                <w:bCs/>
                <w:sz w:val="18"/>
                <w:szCs w:val="18"/>
              </w:rPr>
              <w:t>…</w:t>
            </w:r>
          </w:p>
        </w:tc>
        <w:tc>
          <w:tcPr>
            <w:tcW w:w="1099" w:type="pct"/>
            <w:vAlign w:val="center"/>
          </w:tcPr>
          <w:p w14:paraId="3C71B7D2">
            <w:pPr>
              <w:jc w:val="center"/>
              <w:rPr>
                <w:rFonts w:eastAsiaTheme="minorEastAsia"/>
                <w:sz w:val="18"/>
                <w:szCs w:val="18"/>
              </w:rPr>
            </w:pPr>
          </w:p>
        </w:tc>
        <w:tc>
          <w:tcPr>
            <w:tcW w:w="1056" w:type="pct"/>
            <w:vAlign w:val="center"/>
          </w:tcPr>
          <w:p w14:paraId="71A5D8AA">
            <w:pPr>
              <w:jc w:val="center"/>
              <w:rPr>
                <w:rFonts w:eastAsiaTheme="minorEastAsia"/>
                <w:sz w:val="18"/>
                <w:szCs w:val="18"/>
              </w:rPr>
            </w:pPr>
          </w:p>
        </w:tc>
        <w:tc>
          <w:tcPr>
            <w:tcW w:w="1262" w:type="pct"/>
            <w:vAlign w:val="center"/>
          </w:tcPr>
          <w:p w14:paraId="0275E8BF">
            <w:pPr>
              <w:pStyle w:val="134"/>
              <w:widowControl w:val="0"/>
              <w:snapToGrid/>
              <w:rPr>
                <w:rFonts w:ascii="Times New Roman" w:eastAsiaTheme="minorEastAsia"/>
                <w:kern w:val="0"/>
                <w:sz w:val="18"/>
                <w:szCs w:val="18"/>
              </w:rPr>
            </w:pPr>
          </w:p>
        </w:tc>
        <w:tc>
          <w:tcPr>
            <w:tcW w:w="924" w:type="pct"/>
            <w:vAlign w:val="center"/>
          </w:tcPr>
          <w:p w14:paraId="006EABF3">
            <w:pPr>
              <w:jc w:val="center"/>
              <w:rPr>
                <w:rFonts w:eastAsiaTheme="minorEastAsia"/>
                <w:sz w:val="18"/>
                <w:szCs w:val="18"/>
              </w:rPr>
            </w:pPr>
          </w:p>
        </w:tc>
      </w:tr>
      <w:tr w14:paraId="302D7D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57" w:type="pct"/>
            <w:vAlign w:val="center"/>
          </w:tcPr>
          <w:p w14:paraId="679AB376">
            <w:pPr>
              <w:jc w:val="center"/>
              <w:rPr>
                <w:rFonts w:eastAsiaTheme="minorEastAsia"/>
                <w:bCs/>
                <w:sz w:val="18"/>
                <w:szCs w:val="18"/>
              </w:rPr>
            </w:pPr>
          </w:p>
        </w:tc>
        <w:tc>
          <w:tcPr>
            <w:tcW w:w="1099" w:type="pct"/>
            <w:vAlign w:val="center"/>
          </w:tcPr>
          <w:p w14:paraId="34E396F0">
            <w:pPr>
              <w:jc w:val="center"/>
              <w:rPr>
                <w:rFonts w:eastAsiaTheme="minorEastAsia"/>
                <w:sz w:val="18"/>
                <w:szCs w:val="18"/>
              </w:rPr>
            </w:pPr>
            <w:r>
              <w:rPr>
                <w:rFonts w:hint="eastAsia"/>
                <w:sz w:val="18"/>
                <w:szCs w:val="18"/>
              </w:rPr>
              <w:t>总计</w:t>
            </w:r>
          </w:p>
        </w:tc>
        <w:tc>
          <w:tcPr>
            <w:tcW w:w="3242" w:type="pct"/>
            <w:gridSpan w:val="3"/>
            <w:vAlign w:val="center"/>
          </w:tcPr>
          <w:p w14:paraId="1A2247E9">
            <w:pPr>
              <w:jc w:val="center"/>
              <w:rPr>
                <w:rFonts w:eastAsiaTheme="minorEastAsia"/>
                <w:sz w:val="18"/>
                <w:szCs w:val="18"/>
              </w:rPr>
            </w:pPr>
          </w:p>
        </w:tc>
      </w:tr>
    </w:tbl>
    <w:p w14:paraId="5C3478C1">
      <w:pPr>
        <w:pStyle w:val="65"/>
        <w:ind w:firstLine="0" w:firstLineChars="0"/>
        <w:rPr>
          <w:rFonts w:hint="eastAsia" w:ascii="黑体" w:hAnsi="黑体" w:eastAsia="黑体"/>
          <w:color w:val="000000" w:themeColor="text1"/>
          <w14:textFill>
            <w14:solidFill>
              <w14:schemeClr w14:val="tx1"/>
            </w14:solidFill>
          </w14:textFill>
        </w:rPr>
      </w:pPr>
    </w:p>
    <w:p w14:paraId="64097B79">
      <w:pPr>
        <w:pStyle w:val="65"/>
        <w:ind w:firstLine="0" w:firstLineChars="0"/>
        <w:rPr>
          <w:rFonts w:hint="eastAsia" w:ascii="黑体" w:hAnsi="黑体" w:eastAsia="黑体"/>
          <w:color w:val="000000" w:themeColor="text1"/>
          <w14:textFill>
            <w14:solidFill>
              <w14:schemeClr w14:val="tx1"/>
            </w14:solidFill>
          </w14:textFill>
        </w:rPr>
      </w:pPr>
    </w:p>
    <w:p w14:paraId="5AD2B85B">
      <w:pPr>
        <w:pStyle w:val="65"/>
        <w:ind w:firstLine="0" w:firstLineChars="0"/>
        <w:rPr>
          <w:rFonts w:hint="eastAsia" w:ascii="黑体" w:hAnsi="黑体" w:eastAsia="黑体"/>
          <w:color w:val="000000" w:themeColor="text1"/>
          <w14:textFill>
            <w14:solidFill>
              <w14:schemeClr w14:val="tx1"/>
            </w14:solidFill>
          </w14:textFill>
        </w:rPr>
      </w:pPr>
    </w:p>
    <w:p w14:paraId="60F76E5F">
      <w:pPr>
        <w:pStyle w:val="65"/>
        <w:ind w:firstLine="0" w:firstLineChars="0"/>
        <w:rPr>
          <w:rFonts w:hint="eastAsia" w:ascii="黑体" w:hAnsi="黑体" w:eastAsia="黑体"/>
          <w:color w:val="000000" w:themeColor="text1"/>
          <w14:textFill>
            <w14:solidFill>
              <w14:schemeClr w14:val="tx1"/>
            </w14:solidFill>
          </w14:textFill>
        </w:rPr>
      </w:pPr>
    </w:p>
    <w:p w14:paraId="0F522142">
      <w:pPr>
        <w:pStyle w:val="5"/>
        <w:rPr>
          <w:rFonts w:hint="eastAsia" w:asciiTheme="minorEastAsia" w:hAnsiTheme="minorEastAsia" w:eastAsiaTheme="minorEastAsia"/>
        </w:rPr>
      </w:pPr>
      <w:r>
        <w:t>表</w:t>
      </w:r>
      <w:r>
        <w:rPr>
          <w:rFonts w:ascii="Times New Roman" w:hAnsi="Times New Roman"/>
        </w:rPr>
        <w:t>2</w:t>
      </w:r>
      <w:r>
        <w:rPr>
          <w:rFonts w:hint="eastAsia"/>
        </w:rPr>
        <w:t xml:space="preserve"> </w:t>
      </w:r>
      <w:r>
        <w:rPr>
          <w:rFonts w:hint="eastAsia" w:ascii="Times New Roman" w:hAnsi="Times New Roman"/>
          <w:szCs w:val="24"/>
        </w:rPr>
        <w:t>输气管道地区等级划分表</w:t>
      </w:r>
    </w:p>
    <w:tbl>
      <w:tblPr>
        <w:tblStyle w:val="3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78"/>
        <w:gridCol w:w="3402"/>
        <w:gridCol w:w="992"/>
        <w:gridCol w:w="990"/>
        <w:gridCol w:w="990"/>
        <w:gridCol w:w="2518"/>
      </w:tblGrid>
      <w:tr w14:paraId="52906C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tblHeader/>
          <w:jc w:val="center"/>
        </w:trPr>
        <w:tc>
          <w:tcPr>
            <w:tcW w:w="354" w:type="pct"/>
            <w:tcBorders>
              <w:top w:val="single" w:color="auto" w:sz="12" w:space="0"/>
              <w:left w:val="single" w:color="auto" w:sz="12" w:space="0"/>
              <w:bottom w:val="single" w:color="auto" w:sz="4" w:space="0"/>
              <w:right w:val="single" w:color="auto" w:sz="4" w:space="0"/>
            </w:tcBorders>
            <w:vAlign w:val="center"/>
          </w:tcPr>
          <w:p w14:paraId="5CD2A649">
            <w:pPr>
              <w:spacing w:line="240" w:lineRule="exact"/>
              <w:jc w:val="center"/>
              <w:rPr>
                <w:sz w:val="18"/>
                <w:szCs w:val="18"/>
              </w:rPr>
            </w:pPr>
            <w:r>
              <w:rPr>
                <w:sz w:val="18"/>
                <w:szCs w:val="18"/>
              </w:rPr>
              <w:t>序号</w:t>
            </w:r>
          </w:p>
        </w:tc>
        <w:tc>
          <w:tcPr>
            <w:tcW w:w="1776" w:type="pct"/>
            <w:tcBorders>
              <w:top w:val="single" w:color="auto" w:sz="12" w:space="0"/>
              <w:left w:val="single" w:color="auto" w:sz="4" w:space="0"/>
              <w:bottom w:val="single" w:color="auto" w:sz="4" w:space="0"/>
              <w:right w:val="single" w:color="auto" w:sz="4" w:space="0"/>
            </w:tcBorders>
            <w:vAlign w:val="center"/>
          </w:tcPr>
          <w:p w14:paraId="18421909">
            <w:pPr>
              <w:spacing w:line="240" w:lineRule="exact"/>
              <w:jc w:val="center"/>
              <w:rPr>
                <w:sz w:val="18"/>
                <w:szCs w:val="18"/>
              </w:rPr>
            </w:pPr>
            <w:r>
              <w:rPr>
                <w:rFonts w:eastAsiaTheme="minorEastAsia"/>
                <w:sz w:val="18"/>
                <w:szCs w:val="18"/>
              </w:rPr>
              <w:t>省（区、市）</w:t>
            </w:r>
            <w:r>
              <w:rPr>
                <w:rFonts w:hint="eastAsia" w:eastAsiaTheme="minorEastAsia"/>
                <w:sz w:val="18"/>
                <w:szCs w:val="18"/>
              </w:rPr>
              <w:t>、</w:t>
            </w:r>
            <w:r>
              <w:rPr>
                <w:rFonts w:hint="eastAsia"/>
                <w:sz w:val="18"/>
                <w:szCs w:val="18"/>
              </w:rPr>
              <w:t>市（设区）、县、乡镇</w:t>
            </w:r>
          </w:p>
        </w:tc>
        <w:tc>
          <w:tcPr>
            <w:tcW w:w="518" w:type="pct"/>
            <w:tcBorders>
              <w:top w:val="single" w:color="auto" w:sz="12" w:space="0"/>
              <w:left w:val="single" w:color="auto" w:sz="4" w:space="0"/>
              <w:bottom w:val="single" w:color="auto" w:sz="4" w:space="0"/>
              <w:right w:val="single" w:color="auto" w:sz="4" w:space="0"/>
            </w:tcBorders>
            <w:vAlign w:val="center"/>
          </w:tcPr>
          <w:p w14:paraId="3AC731EE">
            <w:pPr>
              <w:spacing w:line="240" w:lineRule="exact"/>
              <w:jc w:val="center"/>
              <w:rPr>
                <w:sz w:val="18"/>
                <w:szCs w:val="18"/>
              </w:rPr>
            </w:pPr>
            <w:r>
              <w:rPr>
                <w:sz w:val="18"/>
                <w:szCs w:val="18"/>
              </w:rPr>
              <w:t>长度km</w:t>
            </w:r>
          </w:p>
        </w:tc>
        <w:tc>
          <w:tcPr>
            <w:tcW w:w="517" w:type="pct"/>
            <w:tcBorders>
              <w:top w:val="single" w:color="auto" w:sz="12" w:space="0"/>
              <w:left w:val="single" w:color="auto" w:sz="4" w:space="0"/>
              <w:bottom w:val="single" w:color="auto" w:sz="4" w:space="0"/>
              <w:right w:val="single" w:color="auto" w:sz="4" w:space="0"/>
            </w:tcBorders>
            <w:vAlign w:val="center"/>
          </w:tcPr>
          <w:p w14:paraId="06D35221">
            <w:pPr>
              <w:spacing w:line="240" w:lineRule="exact"/>
              <w:jc w:val="center"/>
              <w:rPr>
                <w:sz w:val="18"/>
                <w:szCs w:val="18"/>
              </w:rPr>
            </w:pPr>
            <w:r>
              <w:rPr>
                <w:rFonts w:hint="eastAsia"/>
                <w:sz w:val="18"/>
                <w:szCs w:val="18"/>
              </w:rPr>
              <w:t>地区等级</w:t>
            </w:r>
          </w:p>
        </w:tc>
        <w:tc>
          <w:tcPr>
            <w:tcW w:w="517" w:type="pct"/>
            <w:tcBorders>
              <w:top w:val="single" w:color="auto" w:sz="12" w:space="0"/>
              <w:left w:val="single" w:color="auto" w:sz="4" w:space="0"/>
              <w:bottom w:val="single" w:color="auto" w:sz="4" w:space="0"/>
              <w:right w:val="single" w:color="auto" w:sz="4" w:space="0"/>
            </w:tcBorders>
            <w:vAlign w:val="center"/>
          </w:tcPr>
          <w:p w14:paraId="74026738">
            <w:pPr>
              <w:spacing w:line="240" w:lineRule="exact"/>
              <w:jc w:val="center"/>
              <w:rPr>
                <w:sz w:val="18"/>
                <w:szCs w:val="18"/>
              </w:rPr>
            </w:pPr>
            <w:r>
              <w:rPr>
                <w:rFonts w:hint="eastAsia"/>
                <w:sz w:val="18"/>
                <w:szCs w:val="18"/>
              </w:rPr>
              <w:t>设计系数</w:t>
            </w:r>
          </w:p>
        </w:tc>
        <w:tc>
          <w:tcPr>
            <w:tcW w:w="1314" w:type="pct"/>
            <w:tcBorders>
              <w:top w:val="single" w:color="auto" w:sz="12" w:space="0"/>
              <w:left w:val="single" w:color="auto" w:sz="4" w:space="0"/>
              <w:bottom w:val="single" w:color="auto" w:sz="4" w:space="0"/>
              <w:right w:val="single" w:color="auto" w:sz="12" w:space="0"/>
            </w:tcBorders>
            <w:vAlign w:val="center"/>
          </w:tcPr>
          <w:p w14:paraId="1B3EC821">
            <w:pPr>
              <w:spacing w:line="240" w:lineRule="exact"/>
              <w:jc w:val="center"/>
              <w:rPr>
                <w:sz w:val="18"/>
                <w:szCs w:val="18"/>
              </w:rPr>
            </w:pPr>
            <w:r>
              <w:rPr>
                <w:rFonts w:hint="eastAsia"/>
                <w:sz w:val="18"/>
                <w:szCs w:val="18"/>
              </w:rPr>
              <w:t>识别描述</w:t>
            </w:r>
          </w:p>
        </w:tc>
      </w:tr>
      <w:tr w14:paraId="2DAEF7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54" w:type="pct"/>
            <w:tcBorders>
              <w:top w:val="single" w:color="auto" w:sz="4" w:space="0"/>
              <w:left w:val="single" w:color="auto" w:sz="12" w:space="0"/>
              <w:bottom w:val="single" w:color="auto" w:sz="4" w:space="0"/>
              <w:right w:val="single" w:color="auto" w:sz="4" w:space="0"/>
            </w:tcBorders>
            <w:vAlign w:val="center"/>
          </w:tcPr>
          <w:p w14:paraId="0998EAA0">
            <w:pPr>
              <w:spacing w:line="240" w:lineRule="auto"/>
              <w:jc w:val="center"/>
              <w:rPr>
                <w:sz w:val="18"/>
                <w:szCs w:val="18"/>
              </w:rPr>
            </w:pPr>
            <w:r>
              <w:rPr>
                <w:sz w:val="18"/>
                <w:szCs w:val="18"/>
              </w:rPr>
              <w:t>1</w:t>
            </w:r>
          </w:p>
        </w:tc>
        <w:tc>
          <w:tcPr>
            <w:tcW w:w="1776" w:type="pct"/>
            <w:tcBorders>
              <w:top w:val="single" w:color="auto" w:sz="4" w:space="0"/>
              <w:left w:val="single" w:color="auto" w:sz="4" w:space="0"/>
              <w:bottom w:val="single" w:color="auto" w:sz="4" w:space="0"/>
              <w:right w:val="single" w:color="auto" w:sz="4" w:space="0"/>
            </w:tcBorders>
            <w:vAlign w:val="center"/>
          </w:tcPr>
          <w:p w14:paraId="4A6DA543">
            <w:pPr>
              <w:jc w:val="center"/>
              <w:rPr>
                <w:sz w:val="18"/>
                <w:szCs w:val="18"/>
              </w:rPr>
            </w:pPr>
          </w:p>
        </w:tc>
        <w:tc>
          <w:tcPr>
            <w:tcW w:w="518" w:type="pct"/>
            <w:tcBorders>
              <w:top w:val="single" w:color="auto" w:sz="4" w:space="0"/>
              <w:left w:val="single" w:color="auto" w:sz="4" w:space="0"/>
              <w:bottom w:val="single" w:color="auto" w:sz="4" w:space="0"/>
              <w:right w:val="single" w:color="auto" w:sz="4" w:space="0"/>
            </w:tcBorders>
            <w:vAlign w:val="center"/>
          </w:tcPr>
          <w:p w14:paraId="6B69CA76">
            <w:pPr>
              <w:jc w:val="center"/>
              <w:rPr>
                <w:sz w:val="18"/>
                <w:szCs w:val="18"/>
              </w:rPr>
            </w:pPr>
          </w:p>
        </w:tc>
        <w:tc>
          <w:tcPr>
            <w:tcW w:w="517" w:type="pct"/>
            <w:tcBorders>
              <w:top w:val="single" w:color="auto" w:sz="4" w:space="0"/>
              <w:left w:val="single" w:color="auto" w:sz="4" w:space="0"/>
              <w:bottom w:val="single" w:color="auto" w:sz="4" w:space="0"/>
              <w:right w:val="single" w:color="auto" w:sz="4" w:space="0"/>
            </w:tcBorders>
            <w:vAlign w:val="center"/>
          </w:tcPr>
          <w:p w14:paraId="548909E0">
            <w:pPr>
              <w:jc w:val="center"/>
              <w:rPr>
                <w:sz w:val="18"/>
                <w:szCs w:val="18"/>
              </w:rPr>
            </w:pPr>
          </w:p>
        </w:tc>
        <w:tc>
          <w:tcPr>
            <w:tcW w:w="517" w:type="pct"/>
            <w:tcBorders>
              <w:top w:val="single" w:color="auto" w:sz="4" w:space="0"/>
              <w:left w:val="single" w:color="auto" w:sz="4" w:space="0"/>
              <w:bottom w:val="single" w:color="auto" w:sz="4" w:space="0"/>
              <w:right w:val="single" w:color="auto" w:sz="4" w:space="0"/>
            </w:tcBorders>
            <w:vAlign w:val="center"/>
          </w:tcPr>
          <w:p w14:paraId="284CBDB4">
            <w:pPr>
              <w:jc w:val="center"/>
              <w:rPr>
                <w:sz w:val="18"/>
                <w:szCs w:val="18"/>
              </w:rPr>
            </w:pPr>
          </w:p>
        </w:tc>
        <w:tc>
          <w:tcPr>
            <w:tcW w:w="1314" w:type="pct"/>
            <w:tcBorders>
              <w:top w:val="single" w:color="auto" w:sz="4" w:space="0"/>
              <w:left w:val="single" w:color="auto" w:sz="4" w:space="0"/>
              <w:bottom w:val="single" w:color="auto" w:sz="4" w:space="0"/>
              <w:right w:val="single" w:color="auto" w:sz="12" w:space="0"/>
            </w:tcBorders>
            <w:vAlign w:val="center"/>
          </w:tcPr>
          <w:p w14:paraId="23166860">
            <w:pPr>
              <w:jc w:val="center"/>
              <w:rPr>
                <w:sz w:val="18"/>
                <w:szCs w:val="18"/>
              </w:rPr>
            </w:pPr>
          </w:p>
        </w:tc>
      </w:tr>
      <w:tr w14:paraId="1559CD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54" w:type="pct"/>
            <w:tcBorders>
              <w:top w:val="single" w:color="auto" w:sz="4" w:space="0"/>
              <w:left w:val="single" w:color="auto" w:sz="12" w:space="0"/>
              <w:bottom w:val="single" w:color="auto" w:sz="12" w:space="0"/>
              <w:right w:val="single" w:color="auto" w:sz="4" w:space="0"/>
            </w:tcBorders>
            <w:vAlign w:val="center"/>
          </w:tcPr>
          <w:p w14:paraId="2C55092D">
            <w:pPr>
              <w:jc w:val="center"/>
              <w:rPr>
                <w:sz w:val="18"/>
                <w:szCs w:val="18"/>
              </w:rPr>
            </w:pPr>
            <w:r>
              <w:rPr>
                <w:bCs/>
                <w:sz w:val="18"/>
                <w:szCs w:val="18"/>
              </w:rPr>
              <w:t>…</w:t>
            </w:r>
          </w:p>
        </w:tc>
        <w:tc>
          <w:tcPr>
            <w:tcW w:w="1776" w:type="pct"/>
            <w:tcBorders>
              <w:top w:val="single" w:color="auto" w:sz="4" w:space="0"/>
              <w:left w:val="single" w:color="auto" w:sz="4" w:space="0"/>
              <w:bottom w:val="single" w:color="auto" w:sz="12" w:space="0"/>
              <w:right w:val="single" w:color="auto" w:sz="4" w:space="0"/>
            </w:tcBorders>
            <w:vAlign w:val="center"/>
          </w:tcPr>
          <w:p w14:paraId="554DBB05">
            <w:pPr>
              <w:jc w:val="center"/>
              <w:rPr>
                <w:sz w:val="18"/>
                <w:szCs w:val="18"/>
              </w:rPr>
            </w:pPr>
          </w:p>
        </w:tc>
        <w:tc>
          <w:tcPr>
            <w:tcW w:w="518" w:type="pct"/>
            <w:tcBorders>
              <w:top w:val="single" w:color="auto" w:sz="4" w:space="0"/>
              <w:left w:val="single" w:color="auto" w:sz="4" w:space="0"/>
              <w:bottom w:val="single" w:color="auto" w:sz="12" w:space="0"/>
              <w:right w:val="single" w:color="auto" w:sz="4" w:space="0"/>
            </w:tcBorders>
            <w:vAlign w:val="center"/>
          </w:tcPr>
          <w:p w14:paraId="220C8716">
            <w:pPr>
              <w:jc w:val="center"/>
              <w:rPr>
                <w:sz w:val="18"/>
                <w:szCs w:val="18"/>
              </w:rPr>
            </w:pPr>
          </w:p>
        </w:tc>
        <w:tc>
          <w:tcPr>
            <w:tcW w:w="517" w:type="pct"/>
            <w:tcBorders>
              <w:top w:val="single" w:color="auto" w:sz="4" w:space="0"/>
              <w:left w:val="single" w:color="auto" w:sz="4" w:space="0"/>
              <w:bottom w:val="single" w:color="auto" w:sz="12" w:space="0"/>
              <w:right w:val="single" w:color="auto" w:sz="4" w:space="0"/>
            </w:tcBorders>
            <w:vAlign w:val="center"/>
          </w:tcPr>
          <w:p w14:paraId="55A7096B">
            <w:pPr>
              <w:jc w:val="center"/>
              <w:rPr>
                <w:sz w:val="18"/>
                <w:szCs w:val="18"/>
              </w:rPr>
            </w:pPr>
          </w:p>
        </w:tc>
        <w:tc>
          <w:tcPr>
            <w:tcW w:w="517" w:type="pct"/>
            <w:tcBorders>
              <w:top w:val="single" w:color="auto" w:sz="4" w:space="0"/>
              <w:left w:val="single" w:color="auto" w:sz="4" w:space="0"/>
              <w:bottom w:val="single" w:color="auto" w:sz="12" w:space="0"/>
              <w:right w:val="single" w:color="auto" w:sz="4" w:space="0"/>
            </w:tcBorders>
            <w:vAlign w:val="center"/>
          </w:tcPr>
          <w:p w14:paraId="04213115">
            <w:pPr>
              <w:jc w:val="center"/>
              <w:rPr>
                <w:sz w:val="18"/>
                <w:szCs w:val="18"/>
              </w:rPr>
            </w:pPr>
          </w:p>
        </w:tc>
        <w:tc>
          <w:tcPr>
            <w:tcW w:w="1314" w:type="pct"/>
            <w:tcBorders>
              <w:top w:val="single" w:color="auto" w:sz="4" w:space="0"/>
              <w:left w:val="single" w:color="auto" w:sz="4" w:space="0"/>
              <w:bottom w:val="single" w:color="auto" w:sz="12" w:space="0"/>
              <w:right w:val="single" w:color="auto" w:sz="12" w:space="0"/>
            </w:tcBorders>
            <w:vAlign w:val="center"/>
          </w:tcPr>
          <w:p w14:paraId="086492A1">
            <w:pPr>
              <w:jc w:val="center"/>
              <w:rPr>
                <w:sz w:val="18"/>
                <w:szCs w:val="18"/>
              </w:rPr>
            </w:pPr>
          </w:p>
        </w:tc>
      </w:tr>
    </w:tbl>
    <w:p w14:paraId="311E5B80">
      <w:pPr>
        <w:pStyle w:val="65"/>
        <w:ind w:firstLine="420"/>
        <w:rPr>
          <w:rFonts w:ascii="Times New Roman"/>
          <w:color w:val="000000" w:themeColor="text1"/>
          <w14:textFill>
            <w14:solidFill>
              <w14:schemeClr w14:val="tx1"/>
            </w14:solidFill>
          </w14:textFill>
        </w:rPr>
      </w:pPr>
    </w:p>
    <w:p w14:paraId="74A91D68">
      <w:pPr>
        <w:pStyle w:val="5"/>
        <w:rPr>
          <w:rFonts w:hint="eastAsia"/>
        </w:rPr>
      </w:pPr>
      <w:r>
        <w:t>表</w:t>
      </w:r>
      <w:r>
        <w:rPr>
          <w:rFonts w:ascii="Times New Roman" w:hAnsi="Times New Roman"/>
        </w:rPr>
        <w:t>3</w:t>
      </w:r>
      <w:r>
        <w:t xml:space="preserve"> 站场/</w:t>
      </w:r>
      <w:r>
        <w:rPr>
          <w:rFonts w:hint="eastAsia"/>
        </w:rPr>
        <w:t>阀室</w:t>
      </w:r>
      <w:r>
        <w:t>设置</w:t>
      </w:r>
      <w:r>
        <w:rPr>
          <w:rFonts w:hint="eastAsia"/>
        </w:rPr>
        <w:t>表</w:t>
      </w:r>
    </w:p>
    <w:tbl>
      <w:tblPr>
        <w:tblStyle w:val="36"/>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97"/>
        <w:gridCol w:w="1321"/>
        <w:gridCol w:w="691"/>
        <w:gridCol w:w="1384"/>
        <w:gridCol w:w="846"/>
        <w:gridCol w:w="846"/>
        <w:gridCol w:w="892"/>
        <w:gridCol w:w="1243"/>
        <w:gridCol w:w="1650"/>
      </w:tblGrid>
      <w:tr w14:paraId="2238B1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364" w:type="pct"/>
            <w:vAlign w:val="center"/>
          </w:tcPr>
          <w:p w14:paraId="16DA0BCE">
            <w:pPr>
              <w:adjustRightInd w:val="0"/>
              <w:snapToGrid w:val="0"/>
              <w:spacing w:line="240" w:lineRule="exact"/>
              <w:jc w:val="center"/>
              <w:rPr>
                <w:rFonts w:eastAsiaTheme="minorEastAsia"/>
                <w:color w:val="000000" w:themeColor="text1"/>
                <w:sz w:val="18"/>
                <w:szCs w:val="18"/>
                <w14:textFill>
                  <w14:solidFill>
                    <w14:schemeClr w14:val="tx1"/>
                  </w14:solidFill>
                </w14:textFill>
              </w:rPr>
            </w:pPr>
            <w:r>
              <w:rPr>
                <w:rFonts w:eastAsiaTheme="minorEastAsia"/>
                <w:color w:val="000000" w:themeColor="text1"/>
                <w:sz w:val="18"/>
                <w:szCs w:val="18"/>
                <w14:textFill>
                  <w14:solidFill>
                    <w14:schemeClr w14:val="tx1"/>
                  </w14:solidFill>
                </w14:textFill>
              </w:rPr>
              <w:t>序号</w:t>
            </w:r>
          </w:p>
        </w:tc>
        <w:tc>
          <w:tcPr>
            <w:tcW w:w="690" w:type="pct"/>
            <w:vAlign w:val="center"/>
          </w:tcPr>
          <w:p w14:paraId="46039C67">
            <w:pPr>
              <w:adjustRightInd w:val="0"/>
              <w:snapToGrid w:val="0"/>
              <w:spacing w:line="240" w:lineRule="exact"/>
              <w:jc w:val="center"/>
              <w:rPr>
                <w:rFonts w:eastAsiaTheme="minorEastAsia"/>
                <w:color w:val="000000" w:themeColor="text1"/>
                <w:sz w:val="18"/>
                <w:szCs w:val="18"/>
                <w14:textFill>
                  <w14:solidFill>
                    <w14:schemeClr w14:val="tx1"/>
                  </w14:solidFill>
                </w14:textFill>
              </w:rPr>
            </w:pPr>
            <w:r>
              <w:rPr>
                <w:rFonts w:eastAsiaTheme="minorEastAsia"/>
                <w:color w:val="000000" w:themeColor="text1"/>
                <w:sz w:val="18"/>
                <w:szCs w:val="18"/>
                <w14:textFill>
                  <w14:solidFill>
                    <w14:schemeClr w14:val="tx1"/>
                  </w14:solidFill>
                </w14:textFill>
              </w:rPr>
              <w:t>站场/阀室</w:t>
            </w:r>
          </w:p>
          <w:p w14:paraId="1393E899">
            <w:pPr>
              <w:adjustRightInd w:val="0"/>
              <w:snapToGrid w:val="0"/>
              <w:spacing w:line="240" w:lineRule="exact"/>
              <w:jc w:val="center"/>
              <w:rPr>
                <w:rFonts w:eastAsiaTheme="minorEastAsia"/>
                <w:color w:val="000000" w:themeColor="text1"/>
                <w:sz w:val="18"/>
                <w:szCs w:val="18"/>
                <w14:textFill>
                  <w14:solidFill>
                    <w14:schemeClr w14:val="tx1"/>
                  </w14:solidFill>
                </w14:textFill>
              </w:rPr>
            </w:pPr>
            <w:r>
              <w:rPr>
                <w:rFonts w:eastAsiaTheme="minorEastAsia"/>
                <w:color w:val="000000" w:themeColor="text1"/>
                <w:sz w:val="18"/>
                <w:szCs w:val="18"/>
                <w14:textFill>
                  <w14:solidFill>
                    <w14:schemeClr w14:val="tx1"/>
                  </w14:solidFill>
                </w14:textFill>
              </w:rPr>
              <w:t>名称</w:t>
            </w:r>
          </w:p>
        </w:tc>
        <w:tc>
          <w:tcPr>
            <w:tcW w:w="361" w:type="pct"/>
            <w:vAlign w:val="center"/>
          </w:tcPr>
          <w:p w14:paraId="2C4EEC82">
            <w:pPr>
              <w:adjustRightInd w:val="0"/>
              <w:snapToGrid w:val="0"/>
              <w:spacing w:line="240" w:lineRule="exact"/>
              <w:jc w:val="center"/>
              <w:rPr>
                <w:rFonts w:eastAsiaTheme="minorEastAsia"/>
                <w:color w:val="000000" w:themeColor="text1"/>
                <w:sz w:val="18"/>
                <w:szCs w:val="18"/>
                <w14:textFill>
                  <w14:solidFill>
                    <w14:schemeClr w14:val="tx1"/>
                  </w14:solidFill>
                </w14:textFill>
              </w:rPr>
            </w:pPr>
            <w:r>
              <w:rPr>
                <w:rFonts w:eastAsiaTheme="minorEastAsia"/>
                <w:color w:val="000000" w:themeColor="text1"/>
                <w:sz w:val="18"/>
                <w:szCs w:val="18"/>
                <w14:textFill>
                  <w14:solidFill>
                    <w14:schemeClr w14:val="tx1"/>
                  </w14:solidFill>
                </w14:textFill>
              </w:rPr>
              <w:t>站场等级</w:t>
            </w:r>
          </w:p>
        </w:tc>
        <w:tc>
          <w:tcPr>
            <w:tcW w:w="723" w:type="pct"/>
            <w:vAlign w:val="center"/>
          </w:tcPr>
          <w:p w14:paraId="6AD3F02B">
            <w:pPr>
              <w:adjustRightInd w:val="0"/>
              <w:snapToGrid w:val="0"/>
              <w:spacing w:line="240" w:lineRule="exact"/>
              <w:jc w:val="center"/>
              <w:rPr>
                <w:rFonts w:eastAsiaTheme="minorEastAsia"/>
                <w:color w:val="000000" w:themeColor="text1"/>
                <w:sz w:val="18"/>
                <w:szCs w:val="18"/>
                <w14:textFill>
                  <w14:solidFill>
                    <w14:schemeClr w14:val="tx1"/>
                  </w14:solidFill>
                </w14:textFill>
              </w:rPr>
            </w:pPr>
            <w:r>
              <w:rPr>
                <w:rFonts w:eastAsiaTheme="minorEastAsia"/>
                <w:color w:val="000000" w:themeColor="text1"/>
                <w:sz w:val="18"/>
                <w:szCs w:val="18"/>
                <w14:textFill>
                  <w14:solidFill>
                    <w14:schemeClr w14:val="tx1"/>
                  </w14:solidFill>
                </w14:textFill>
              </w:rPr>
              <w:t>位置</w:t>
            </w:r>
          </w:p>
        </w:tc>
        <w:tc>
          <w:tcPr>
            <w:tcW w:w="442" w:type="pct"/>
            <w:vAlign w:val="center"/>
          </w:tcPr>
          <w:p w14:paraId="5FB1A39F">
            <w:pPr>
              <w:adjustRightInd w:val="0"/>
              <w:snapToGrid w:val="0"/>
              <w:spacing w:line="240" w:lineRule="exact"/>
              <w:jc w:val="center"/>
              <w:rPr>
                <w:rFonts w:eastAsiaTheme="minorEastAsia"/>
                <w:color w:val="000000" w:themeColor="text1"/>
                <w:sz w:val="18"/>
                <w:szCs w:val="18"/>
                <w14:textFill>
                  <w14:solidFill>
                    <w14:schemeClr w14:val="tx1"/>
                  </w14:solidFill>
                </w14:textFill>
              </w:rPr>
            </w:pPr>
            <w:r>
              <w:rPr>
                <w:rFonts w:eastAsiaTheme="minorEastAsia"/>
                <w:color w:val="000000" w:themeColor="text1"/>
                <w:sz w:val="18"/>
                <w:szCs w:val="18"/>
                <w14:textFill>
                  <w14:solidFill>
                    <w14:schemeClr w14:val="tx1"/>
                  </w14:solidFill>
                </w14:textFill>
              </w:rPr>
              <w:t>里程</w:t>
            </w:r>
          </w:p>
          <w:p w14:paraId="3CDEEA4C">
            <w:pPr>
              <w:adjustRightInd w:val="0"/>
              <w:snapToGrid w:val="0"/>
              <w:spacing w:line="240" w:lineRule="exact"/>
              <w:jc w:val="center"/>
              <w:rPr>
                <w:rFonts w:eastAsiaTheme="minorEastAsia"/>
                <w:color w:val="000000" w:themeColor="text1"/>
                <w:sz w:val="18"/>
                <w:szCs w:val="18"/>
                <w14:textFill>
                  <w14:solidFill>
                    <w14:schemeClr w14:val="tx1"/>
                  </w14:solidFill>
                </w14:textFill>
              </w:rPr>
            </w:pPr>
            <w:r>
              <w:rPr>
                <w:rFonts w:eastAsiaTheme="minorEastAsia"/>
                <w:color w:val="000000" w:themeColor="text1"/>
                <w:sz w:val="18"/>
                <w:szCs w:val="18"/>
                <w14:textFill>
                  <w14:solidFill>
                    <w14:schemeClr w14:val="tx1"/>
                  </w14:solidFill>
                </w14:textFill>
              </w:rPr>
              <w:t>km</w:t>
            </w:r>
          </w:p>
        </w:tc>
        <w:tc>
          <w:tcPr>
            <w:tcW w:w="442" w:type="pct"/>
            <w:vAlign w:val="center"/>
          </w:tcPr>
          <w:p w14:paraId="4ECF2FCA">
            <w:pPr>
              <w:adjustRightInd w:val="0"/>
              <w:snapToGrid w:val="0"/>
              <w:spacing w:line="240" w:lineRule="exact"/>
              <w:jc w:val="center"/>
              <w:rPr>
                <w:rFonts w:eastAsiaTheme="minorEastAsia"/>
                <w:color w:val="000000" w:themeColor="text1"/>
                <w:sz w:val="18"/>
                <w:szCs w:val="18"/>
                <w14:textFill>
                  <w14:solidFill>
                    <w14:schemeClr w14:val="tx1"/>
                  </w14:solidFill>
                </w14:textFill>
              </w:rPr>
            </w:pPr>
            <w:r>
              <w:rPr>
                <w:rFonts w:eastAsiaTheme="minorEastAsia"/>
                <w:color w:val="000000" w:themeColor="text1"/>
                <w:sz w:val="18"/>
                <w:szCs w:val="18"/>
                <w14:textFill>
                  <w14:solidFill>
                    <w14:schemeClr w14:val="tx1"/>
                  </w14:solidFill>
                </w14:textFill>
              </w:rPr>
              <w:t>间距</w:t>
            </w:r>
          </w:p>
          <w:p w14:paraId="7D692B7A">
            <w:pPr>
              <w:adjustRightInd w:val="0"/>
              <w:snapToGrid w:val="0"/>
              <w:spacing w:line="240" w:lineRule="exact"/>
              <w:jc w:val="center"/>
              <w:rPr>
                <w:rFonts w:eastAsiaTheme="minorEastAsia"/>
                <w:color w:val="000000" w:themeColor="text1"/>
                <w:sz w:val="18"/>
                <w:szCs w:val="18"/>
                <w14:textFill>
                  <w14:solidFill>
                    <w14:schemeClr w14:val="tx1"/>
                  </w14:solidFill>
                </w14:textFill>
              </w:rPr>
            </w:pPr>
            <w:r>
              <w:rPr>
                <w:rFonts w:eastAsiaTheme="minorEastAsia"/>
                <w:color w:val="000000" w:themeColor="text1"/>
                <w:sz w:val="18"/>
                <w:szCs w:val="18"/>
                <w14:textFill>
                  <w14:solidFill>
                    <w14:schemeClr w14:val="tx1"/>
                  </w14:solidFill>
                </w14:textFill>
              </w:rPr>
              <w:t>km</w:t>
            </w:r>
          </w:p>
        </w:tc>
        <w:tc>
          <w:tcPr>
            <w:tcW w:w="466" w:type="pct"/>
            <w:vAlign w:val="center"/>
          </w:tcPr>
          <w:p w14:paraId="46B5D205">
            <w:pPr>
              <w:adjustRightInd w:val="0"/>
              <w:snapToGrid w:val="0"/>
              <w:spacing w:line="240" w:lineRule="exact"/>
              <w:jc w:val="center"/>
              <w:rPr>
                <w:rFonts w:eastAsiaTheme="minorEastAsia"/>
                <w:color w:val="000000" w:themeColor="text1"/>
                <w:sz w:val="18"/>
                <w:szCs w:val="18"/>
                <w14:textFill>
                  <w14:solidFill>
                    <w14:schemeClr w14:val="tx1"/>
                  </w14:solidFill>
                </w14:textFill>
              </w:rPr>
            </w:pPr>
            <w:r>
              <w:rPr>
                <w:rFonts w:eastAsiaTheme="minorEastAsia"/>
                <w:color w:val="000000" w:themeColor="text1"/>
                <w:sz w:val="18"/>
                <w:szCs w:val="18"/>
                <w14:textFill>
                  <w14:solidFill>
                    <w14:schemeClr w14:val="tx1"/>
                  </w14:solidFill>
                </w14:textFill>
              </w:rPr>
              <w:t>高程</w:t>
            </w:r>
          </w:p>
          <w:p w14:paraId="4846D678">
            <w:pPr>
              <w:adjustRightInd w:val="0"/>
              <w:snapToGrid w:val="0"/>
              <w:spacing w:line="240" w:lineRule="exact"/>
              <w:jc w:val="center"/>
              <w:rPr>
                <w:rFonts w:eastAsiaTheme="minorEastAsia"/>
                <w:color w:val="000000" w:themeColor="text1"/>
                <w:sz w:val="18"/>
                <w:szCs w:val="18"/>
                <w14:textFill>
                  <w14:solidFill>
                    <w14:schemeClr w14:val="tx1"/>
                  </w14:solidFill>
                </w14:textFill>
              </w:rPr>
            </w:pPr>
            <w:r>
              <w:rPr>
                <w:rFonts w:eastAsiaTheme="minorEastAsia"/>
                <w:color w:val="000000" w:themeColor="text1"/>
                <w:sz w:val="18"/>
                <w:szCs w:val="18"/>
                <w14:textFill>
                  <w14:solidFill>
                    <w14:schemeClr w14:val="tx1"/>
                  </w14:solidFill>
                </w14:textFill>
              </w:rPr>
              <w:t>m</w:t>
            </w:r>
          </w:p>
        </w:tc>
        <w:tc>
          <w:tcPr>
            <w:tcW w:w="649" w:type="pct"/>
            <w:vAlign w:val="center"/>
          </w:tcPr>
          <w:p w14:paraId="609E8C76">
            <w:pPr>
              <w:adjustRightInd w:val="0"/>
              <w:snapToGrid w:val="0"/>
              <w:spacing w:line="240" w:lineRule="exact"/>
              <w:jc w:val="center"/>
              <w:rPr>
                <w:rFonts w:eastAsiaTheme="minorEastAsia"/>
                <w:color w:val="000000" w:themeColor="text1"/>
                <w:sz w:val="18"/>
                <w:szCs w:val="18"/>
                <w14:textFill>
                  <w14:solidFill>
                    <w14:schemeClr w14:val="tx1"/>
                  </w14:solidFill>
                </w14:textFill>
              </w:rPr>
            </w:pPr>
            <w:r>
              <w:rPr>
                <w:rFonts w:eastAsiaTheme="minorEastAsia"/>
                <w:color w:val="000000" w:themeColor="text1"/>
                <w:sz w:val="18"/>
                <w:szCs w:val="18"/>
                <w14:textFill>
                  <w14:solidFill>
                    <w14:schemeClr w14:val="tx1"/>
                  </w14:solidFill>
                </w14:textFill>
              </w:rPr>
              <w:t>功能</w:t>
            </w:r>
          </w:p>
        </w:tc>
        <w:tc>
          <w:tcPr>
            <w:tcW w:w="861" w:type="pct"/>
            <w:vAlign w:val="center"/>
          </w:tcPr>
          <w:p w14:paraId="3D7F8706">
            <w:pPr>
              <w:adjustRightInd w:val="0"/>
              <w:snapToGrid w:val="0"/>
              <w:spacing w:line="240" w:lineRule="exact"/>
              <w:jc w:val="center"/>
              <w:rPr>
                <w:rFonts w:eastAsiaTheme="minorEastAsia"/>
                <w:color w:val="000000" w:themeColor="text1"/>
                <w:sz w:val="18"/>
                <w:szCs w:val="18"/>
                <w14:textFill>
                  <w14:solidFill>
                    <w14:schemeClr w14:val="tx1"/>
                  </w14:solidFill>
                </w14:textFill>
              </w:rPr>
            </w:pPr>
            <w:r>
              <w:rPr>
                <w:rFonts w:hint="eastAsia" w:eastAsiaTheme="minorEastAsia"/>
                <w:color w:val="000000" w:themeColor="text1"/>
                <w:sz w:val="18"/>
                <w:szCs w:val="18"/>
                <w14:textFill>
                  <w14:solidFill>
                    <w14:schemeClr w14:val="tx1"/>
                  </w14:solidFill>
                </w14:textFill>
              </w:rPr>
              <w:t>输气管道</w:t>
            </w:r>
          </w:p>
          <w:p w14:paraId="606BCA31">
            <w:pPr>
              <w:adjustRightInd w:val="0"/>
              <w:snapToGrid w:val="0"/>
              <w:spacing w:line="240" w:lineRule="exact"/>
              <w:jc w:val="center"/>
              <w:rPr>
                <w:rFonts w:eastAsiaTheme="minorEastAsia"/>
                <w:color w:val="000000" w:themeColor="text1"/>
                <w:sz w:val="18"/>
                <w:szCs w:val="18"/>
                <w14:textFill>
                  <w14:solidFill>
                    <w14:schemeClr w14:val="tx1"/>
                  </w14:solidFill>
                </w14:textFill>
              </w:rPr>
            </w:pPr>
            <w:r>
              <w:rPr>
                <w:rFonts w:hint="eastAsia" w:eastAsiaTheme="minorEastAsia"/>
                <w:color w:val="000000" w:themeColor="text1"/>
                <w:sz w:val="18"/>
                <w:szCs w:val="18"/>
                <w14:textFill>
                  <w14:solidFill>
                    <w14:schemeClr w14:val="tx1"/>
                  </w14:solidFill>
                </w14:textFill>
              </w:rPr>
              <w:t>地区等级</w:t>
            </w:r>
          </w:p>
        </w:tc>
      </w:tr>
      <w:tr w14:paraId="2E157F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364" w:type="pct"/>
            <w:vAlign w:val="center"/>
          </w:tcPr>
          <w:p w14:paraId="740E1800">
            <w:pPr>
              <w:adjustRightInd w:val="0"/>
              <w:snapToGrid w:val="0"/>
              <w:spacing w:line="240" w:lineRule="exact"/>
              <w:jc w:val="center"/>
              <w:rPr>
                <w:rFonts w:eastAsiaTheme="minorEastAsia"/>
                <w:color w:val="000000" w:themeColor="text1"/>
                <w:sz w:val="18"/>
                <w:szCs w:val="18"/>
                <w14:textFill>
                  <w14:solidFill>
                    <w14:schemeClr w14:val="tx1"/>
                  </w14:solidFill>
                </w14:textFill>
              </w:rPr>
            </w:pPr>
            <w:r>
              <w:rPr>
                <w:rFonts w:eastAsiaTheme="minorEastAsia"/>
                <w:color w:val="000000" w:themeColor="text1"/>
                <w:sz w:val="18"/>
                <w:szCs w:val="18"/>
                <w14:textFill>
                  <w14:solidFill>
                    <w14:schemeClr w14:val="tx1"/>
                  </w14:solidFill>
                </w14:textFill>
              </w:rPr>
              <w:t>1</w:t>
            </w:r>
          </w:p>
        </w:tc>
        <w:tc>
          <w:tcPr>
            <w:tcW w:w="690" w:type="pct"/>
            <w:vAlign w:val="center"/>
          </w:tcPr>
          <w:p w14:paraId="5BBBA877">
            <w:pPr>
              <w:adjustRightInd w:val="0"/>
              <w:snapToGrid w:val="0"/>
              <w:spacing w:line="240" w:lineRule="exact"/>
              <w:jc w:val="center"/>
              <w:rPr>
                <w:rFonts w:eastAsiaTheme="minorEastAsia"/>
                <w:color w:val="000000" w:themeColor="text1"/>
                <w:sz w:val="18"/>
                <w:szCs w:val="18"/>
                <w14:textFill>
                  <w14:solidFill>
                    <w14:schemeClr w14:val="tx1"/>
                  </w14:solidFill>
                </w14:textFill>
              </w:rPr>
            </w:pPr>
          </w:p>
        </w:tc>
        <w:tc>
          <w:tcPr>
            <w:tcW w:w="361" w:type="pct"/>
            <w:vAlign w:val="center"/>
          </w:tcPr>
          <w:p w14:paraId="493ACFCC">
            <w:pPr>
              <w:adjustRightInd w:val="0"/>
              <w:snapToGrid w:val="0"/>
              <w:spacing w:line="240" w:lineRule="exact"/>
              <w:jc w:val="center"/>
              <w:rPr>
                <w:rFonts w:eastAsiaTheme="minorEastAsia"/>
                <w:color w:val="000000" w:themeColor="text1"/>
                <w:sz w:val="18"/>
                <w:szCs w:val="18"/>
                <w14:textFill>
                  <w14:solidFill>
                    <w14:schemeClr w14:val="tx1"/>
                  </w14:solidFill>
                </w14:textFill>
              </w:rPr>
            </w:pPr>
          </w:p>
        </w:tc>
        <w:tc>
          <w:tcPr>
            <w:tcW w:w="723" w:type="pct"/>
            <w:vAlign w:val="center"/>
          </w:tcPr>
          <w:p w14:paraId="70429488">
            <w:pPr>
              <w:adjustRightInd w:val="0"/>
              <w:snapToGrid w:val="0"/>
              <w:spacing w:line="240" w:lineRule="exact"/>
              <w:jc w:val="center"/>
              <w:rPr>
                <w:rFonts w:eastAsiaTheme="minorEastAsia"/>
                <w:color w:val="000000" w:themeColor="text1"/>
                <w:sz w:val="18"/>
                <w:szCs w:val="18"/>
                <w14:textFill>
                  <w14:solidFill>
                    <w14:schemeClr w14:val="tx1"/>
                  </w14:solidFill>
                </w14:textFill>
              </w:rPr>
            </w:pPr>
          </w:p>
        </w:tc>
        <w:tc>
          <w:tcPr>
            <w:tcW w:w="442" w:type="pct"/>
            <w:vAlign w:val="center"/>
          </w:tcPr>
          <w:p w14:paraId="454913ED">
            <w:pPr>
              <w:adjustRightInd w:val="0"/>
              <w:snapToGrid w:val="0"/>
              <w:spacing w:line="240" w:lineRule="exact"/>
              <w:jc w:val="center"/>
              <w:rPr>
                <w:rFonts w:eastAsiaTheme="minorEastAsia"/>
                <w:color w:val="000000" w:themeColor="text1"/>
                <w:sz w:val="18"/>
                <w:szCs w:val="18"/>
                <w14:textFill>
                  <w14:solidFill>
                    <w14:schemeClr w14:val="tx1"/>
                  </w14:solidFill>
                </w14:textFill>
              </w:rPr>
            </w:pPr>
          </w:p>
        </w:tc>
        <w:tc>
          <w:tcPr>
            <w:tcW w:w="442" w:type="pct"/>
            <w:vAlign w:val="center"/>
          </w:tcPr>
          <w:p w14:paraId="1F8E41F1">
            <w:pPr>
              <w:adjustRightInd w:val="0"/>
              <w:snapToGrid w:val="0"/>
              <w:spacing w:line="240" w:lineRule="exact"/>
              <w:jc w:val="center"/>
              <w:rPr>
                <w:rFonts w:eastAsiaTheme="minorEastAsia"/>
                <w:color w:val="000000" w:themeColor="text1"/>
                <w:sz w:val="18"/>
                <w:szCs w:val="18"/>
                <w14:textFill>
                  <w14:solidFill>
                    <w14:schemeClr w14:val="tx1"/>
                  </w14:solidFill>
                </w14:textFill>
              </w:rPr>
            </w:pPr>
          </w:p>
        </w:tc>
        <w:tc>
          <w:tcPr>
            <w:tcW w:w="466" w:type="pct"/>
            <w:vAlign w:val="center"/>
          </w:tcPr>
          <w:p w14:paraId="2F848209">
            <w:pPr>
              <w:adjustRightInd w:val="0"/>
              <w:snapToGrid w:val="0"/>
              <w:spacing w:line="240" w:lineRule="exact"/>
              <w:jc w:val="center"/>
              <w:rPr>
                <w:rFonts w:eastAsiaTheme="minorEastAsia"/>
                <w:color w:val="000000" w:themeColor="text1"/>
                <w:sz w:val="18"/>
                <w:szCs w:val="18"/>
                <w14:textFill>
                  <w14:solidFill>
                    <w14:schemeClr w14:val="tx1"/>
                  </w14:solidFill>
                </w14:textFill>
              </w:rPr>
            </w:pPr>
          </w:p>
        </w:tc>
        <w:tc>
          <w:tcPr>
            <w:tcW w:w="649" w:type="pct"/>
            <w:vAlign w:val="center"/>
          </w:tcPr>
          <w:p w14:paraId="097D51B0">
            <w:pPr>
              <w:adjustRightInd w:val="0"/>
              <w:snapToGrid w:val="0"/>
              <w:spacing w:line="240" w:lineRule="exact"/>
              <w:jc w:val="center"/>
              <w:rPr>
                <w:rFonts w:eastAsiaTheme="minorEastAsia"/>
                <w:color w:val="000000" w:themeColor="text1"/>
                <w:sz w:val="18"/>
                <w:szCs w:val="18"/>
                <w14:textFill>
                  <w14:solidFill>
                    <w14:schemeClr w14:val="tx1"/>
                  </w14:solidFill>
                </w14:textFill>
              </w:rPr>
            </w:pPr>
          </w:p>
        </w:tc>
        <w:tc>
          <w:tcPr>
            <w:tcW w:w="861" w:type="pct"/>
            <w:vAlign w:val="center"/>
          </w:tcPr>
          <w:p w14:paraId="27B38C2E">
            <w:pPr>
              <w:adjustRightInd w:val="0"/>
              <w:snapToGrid w:val="0"/>
              <w:spacing w:line="240" w:lineRule="exact"/>
              <w:jc w:val="center"/>
              <w:rPr>
                <w:rFonts w:eastAsiaTheme="minorEastAsia"/>
                <w:color w:val="000000" w:themeColor="text1"/>
                <w:sz w:val="18"/>
                <w:szCs w:val="18"/>
                <w14:textFill>
                  <w14:solidFill>
                    <w14:schemeClr w14:val="tx1"/>
                  </w14:solidFill>
                </w14:textFill>
              </w:rPr>
            </w:pPr>
          </w:p>
        </w:tc>
      </w:tr>
      <w:tr w14:paraId="5083BF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364" w:type="pct"/>
            <w:tcBorders>
              <w:bottom w:val="single" w:color="auto" w:sz="12" w:space="0"/>
            </w:tcBorders>
            <w:vAlign w:val="center"/>
          </w:tcPr>
          <w:p w14:paraId="09D792F0">
            <w:pPr>
              <w:adjustRightInd w:val="0"/>
              <w:snapToGrid w:val="0"/>
              <w:spacing w:line="240" w:lineRule="exact"/>
              <w:jc w:val="center"/>
              <w:rPr>
                <w:rFonts w:eastAsiaTheme="minorEastAsia"/>
                <w:color w:val="000000" w:themeColor="text1"/>
                <w:sz w:val="18"/>
                <w:szCs w:val="18"/>
                <w14:textFill>
                  <w14:solidFill>
                    <w14:schemeClr w14:val="tx1"/>
                  </w14:solidFill>
                </w14:textFill>
              </w:rPr>
            </w:pPr>
            <w:r>
              <w:rPr>
                <w:rFonts w:eastAsiaTheme="minorEastAsia"/>
                <w:color w:val="000000" w:themeColor="text1"/>
                <w:sz w:val="18"/>
                <w:szCs w:val="18"/>
                <w14:textFill>
                  <w14:solidFill>
                    <w14:schemeClr w14:val="tx1"/>
                  </w14:solidFill>
                </w14:textFill>
              </w:rPr>
              <w:t>…</w:t>
            </w:r>
          </w:p>
        </w:tc>
        <w:tc>
          <w:tcPr>
            <w:tcW w:w="690" w:type="pct"/>
            <w:tcBorders>
              <w:bottom w:val="single" w:color="auto" w:sz="12" w:space="0"/>
            </w:tcBorders>
            <w:vAlign w:val="center"/>
          </w:tcPr>
          <w:p w14:paraId="2E2CBD82">
            <w:pPr>
              <w:adjustRightInd w:val="0"/>
              <w:snapToGrid w:val="0"/>
              <w:spacing w:line="240" w:lineRule="exact"/>
              <w:jc w:val="center"/>
              <w:rPr>
                <w:rFonts w:eastAsiaTheme="minorEastAsia"/>
                <w:color w:val="000000" w:themeColor="text1"/>
                <w:sz w:val="18"/>
                <w:szCs w:val="18"/>
                <w14:textFill>
                  <w14:solidFill>
                    <w14:schemeClr w14:val="tx1"/>
                  </w14:solidFill>
                </w14:textFill>
              </w:rPr>
            </w:pPr>
          </w:p>
        </w:tc>
        <w:tc>
          <w:tcPr>
            <w:tcW w:w="361" w:type="pct"/>
            <w:tcBorders>
              <w:bottom w:val="single" w:color="auto" w:sz="12" w:space="0"/>
            </w:tcBorders>
            <w:vAlign w:val="center"/>
          </w:tcPr>
          <w:p w14:paraId="056EE02C">
            <w:pPr>
              <w:adjustRightInd w:val="0"/>
              <w:snapToGrid w:val="0"/>
              <w:spacing w:line="240" w:lineRule="exact"/>
              <w:jc w:val="center"/>
              <w:rPr>
                <w:rFonts w:eastAsiaTheme="minorEastAsia"/>
                <w:color w:val="000000" w:themeColor="text1"/>
                <w:sz w:val="18"/>
                <w:szCs w:val="18"/>
                <w14:textFill>
                  <w14:solidFill>
                    <w14:schemeClr w14:val="tx1"/>
                  </w14:solidFill>
                </w14:textFill>
              </w:rPr>
            </w:pPr>
          </w:p>
        </w:tc>
        <w:tc>
          <w:tcPr>
            <w:tcW w:w="723" w:type="pct"/>
            <w:tcBorders>
              <w:bottom w:val="single" w:color="auto" w:sz="12" w:space="0"/>
            </w:tcBorders>
            <w:vAlign w:val="center"/>
          </w:tcPr>
          <w:p w14:paraId="099AB774">
            <w:pPr>
              <w:adjustRightInd w:val="0"/>
              <w:snapToGrid w:val="0"/>
              <w:spacing w:line="240" w:lineRule="exact"/>
              <w:jc w:val="center"/>
              <w:rPr>
                <w:rFonts w:eastAsiaTheme="minorEastAsia"/>
                <w:color w:val="000000" w:themeColor="text1"/>
                <w:sz w:val="18"/>
                <w:szCs w:val="18"/>
                <w14:textFill>
                  <w14:solidFill>
                    <w14:schemeClr w14:val="tx1"/>
                  </w14:solidFill>
                </w14:textFill>
              </w:rPr>
            </w:pPr>
          </w:p>
        </w:tc>
        <w:tc>
          <w:tcPr>
            <w:tcW w:w="442" w:type="pct"/>
            <w:tcBorders>
              <w:bottom w:val="single" w:color="auto" w:sz="12" w:space="0"/>
            </w:tcBorders>
            <w:vAlign w:val="center"/>
          </w:tcPr>
          <w:p w14:paraId="0F7C8ADA">
            <w:pPr>
              <w:adjustRightInd w:val="0"/>
              <w:snapToGrid w:val="0"/>
              <w:spacing w:line="240" w:lineRule="exact"/>
              <w:jc w:val="center"/>
              <w:rPr>
                <w:rFonts w:eastAsiaTheme="minorEastAsia"/>
                <w:color w:val="000000" w:themeColor="text1"/>
                <w:sz w:val="18"/>
                <w:szCs w:val="18"/>
                <w14:textFill>
                  <w14:solidFill>
                    <w14:schemeClr w14:val="tx1"/>
                  </w14:solidFill>
                </w14:textFill>
              </w:rPr>
            </w:pPr>
          </w:p>
        </w:tc>
        <w:tc>
          <w:tcPr>
            <w:tcW w:w="442" w:type="pct"/>
            <w:tcBorders>
              <w:bottom w:val="single" w:color="auto" w:sz="12" w:space="0"/>
            </w:tcBorders>
            <w:vAlign w:val="center"/>
          </w:tcPr>
          <w:p w14:paraId="37E77907">
            <w:pPr>
              <w:adjustRightInd w:val="0"/>
              <w:snapToGrid w:val="0"/>
              <w:spacing w:line="240" w:lineRule="exact"/>
              <w:jc w:val="center"/>
              <w:rPr>
                <w:rFonts w:eastAsiaTheme="minorEastAsia"/>
                <w:color w:val="000000" w:themeColor="text1"/>
                <w:sz w:val="18"/>
                <w:szCs w:val="18"/>
                <w14:textFill>
                  <w14:solidFill>
                    <w14:schemeClr w14:val="tx1"/>
                  </w14:solidFill>
                </w14:textFill>
              </w:rPr>
            </w:pPr>
          </w:p>
        </w:tc>
        <w:tc>
          <w:tcPr>
            <w:tcW w:w="466" w:type="pct"/>
            <w:tcBorders>
              <w:bottom w:val="single" w:color="auto" w:sz="12" w:space="0"/>
            </w:tcBorders>
            <w:vAlign w:val="center"/>
          </w:tcPr>
          <w:p w14:paraId="461AE559">
            <w:pPr>
              <w:adjustRightInd w:val="0"/>
              <w:snapToGrid w:val="0"/>
              <w:spacing w:line="240" w:lineRule="exact"/>
              <w:jc w:val="center"/>
              <w:rPr>
                <w:rFonts w:eastAsiaTheme="minorEastAsia"/>
                <w:color w:val="000000" w:themeColor="text1"/>
                <w:sz w:val="18"/>
                <w:szCs w:val="18"/>
                <w14:textFill>
                  <w14:solidFill>
                    <w14:schemeClr w14:val="tx1"/>
                  </w14:solidFill>
                </w14:textFill>
              </w:rPr>
            </w:pPr>
          </w:p>
        </w:tc>
        <w:tc>
          <w:tcPr>
            <w:tcW w:w="649" w:type="pct"/>
            <w:tcBorders>
              <w:bottom w:val="single" w:color="auto" w:sz="12" w:space="0"/>
            </w:tcBorders>
            <w:vAlign w:val="center"/>
          </w:tcPr>
          <w:p w14:paraId="10DD5F14">
            <w:pPr>
              <w:adjustRightInd w:val="0"/>
              <w:snapToGrid w:val="0"/>
              <w:spacing w:line="240" w:lineRule="exact"/>
              <w:jc w:val="center"/>
              <w:rPr>
                <w:rFonts w:eastAsiaTheme="minorEastAsia"/>
                <w:color w:val="000000" w:themeColor="text1"/>
                <w:sz w:val="18"/>
                <w:szCs w:val="18"/>
                <w14:textFill>
                  <w14:solidFill>
                    <w14:schemeClr w14:val="tx1"/>
                  </w14:solidFill>
                </w14:textFill>
              </w:rPr>
            </w:pPr>
          </w:p>
        </w:tc>
        <w:tc>
          <w:tcPr>
            <w:tcW w:w="861" w:type="pct"/>
            <w:tcBorders>
              <w:bottom w:val="single" w:color="auto" w:sz="12" w:space="0"/>
            </w:tcBorders>
          </w:tcPr>
          <w:p w14:paraId="17952A48">
            <w:pPr>
              <w:adjustRightInd w:val="0"/>
              <w:snapToGrid w:val="0"/>
              <w:spacing w:line="240" w:lineRule="exact"/>
              <w:jc w:val="center"/>
              <w:rPr>
                <w:rFonts w:eastAsiaTheme="minorEastAsia"/>
                <w:color w:val="000000" w:themeColor="text1"/>
                <w:sz w:val="18"/>
                <w:szCs w:val="18"/>
                <w14:textFill>
                  <w14:solidFill>
                    <w14:schemeClr w14:val="tx1"/>
                  </w14:solidFill>
                </w14:textFill>
              </w:rPr>
            </w:pPr>
          </w:p>
        </w:tc>
      </w:tr>
    </w:tbl>
    <w:p w14:paraId="6955BBC8">
      <w:pPr>
        <w:pStyle w:val="65"/>
        <w:ind w:firstLine="420"/>
      </w:pPr>
    </w:p>
    <w:p w14:paraId="1911C94A">
      <w:pPr>
        <w:pStyle w:val="65"/>
        <w:numPr>
          <w:ilvl w:val="0"/>
          <w:numId w:val="15"/>
        </w:numPr>
        <w:ind w:left="709" w:hanging="284" w:firstLineChars="0"/>
        <w:rPr>
          <w:rFonts w:ascii="Times New Roman"/>
        </w:rPr>
      </w:pPr>
      <w:r>
        <w:rPr>
          <w:rFonts w:ascii="Times New Roman"/>
          <w:color w:val="000000"/>
        </w:rPr>
        <w:t>输送工艺和设计</w:t>
      </w:r>
      <w:r>
        <w:rPr>
          <w:rFonts w:ascii="Times New Roman"/>
        </w:rPr>
        <w:t>输量、管径、设计压力、管线长度、管材、设计温度等参数</w:t>
      </w:r>
      <w:r>
        <w:rPr>
          <w:rFonts w:hint="eastAsia" w:ascii="Times New Roman"/>
        </w:rPr>
        <w:t>；</w:t>
      </w:r>
    </w:p>
    <w:p w14:paraId="5A63E95B">
      <w:pPr>
        <w:pStyle w:val="65"/>
        <w:numPr>
          <w:ilvl w:val="0"/>
          <w:numId w:val="15"/>
        </w:numPr>
        <w:ind w:left="709" w:hanging="284" w:firstLineChars="0"/>
        <w:rPr>
          <w:rFonts w:ascii="Times New Roman"/>
        </w:rPr>
      </w:pPr>
      <w:r>
        <w:rPr>
          <w:rFonts w:hint="eastAsia" w:ascii="Times New Roman"/>
        </w:rPr>
        <w:t>输送介质的物性、组分。原油物性见表</w:t>
      </w:r>
      <w:r>
        <w:rPr>
          <w:rFonts w:ascii="Times New Roman"/>
        </w:rPr>
        <w:t>4</w:t>
      </w:r>
      <w:r>
        <w:rPr>
          <w:rFonts w:hint="eastAsia" w:ascii="Times New Roman"/>
        </w:rPr>
        <w:t>，成品油物性见表</w:t>
      </w:r>
      <w:r>
        <w:rPr>
          <w:rFonts w:ascii="Times New Roman"/>
        </w:rPr>
        <w:t>5</w:t>
      </w:r>
      <w:r>
        <w:rPr>
          <w:rFonts w:hint="eastAsia" w:ascii="Times New Roman"/>
        </w:rPr>
        <w:t>，天然气物性见表</w:t>
      </w:r>
      <w:r>
        <w:rPr>
          <w:rFonts w:ascii="Times New Roman"/>
        </w:rPr>
        <w:t>6</w:t>
      </w:r>
      <w:r>
        <w:rPr>
          <w:rFonts w:hint="eastAsia" w:ascii="Times New Roman"/>
        </w:rPr>
        <w:t>，天然气组分见表</w:t>
      </w:r>
      <w:r>
        <w:rPr>
          <w:rFonts w:ascii="Times New Roman"/>
        </w:rPr>
        <w:t>7</w:t>
      </w:r>
      <w:r>
        <w:rPr>
          <w:rFonts w:hint="eastAsia" w:ascii="Times New Roman"/>
        </w:rPr>
        <w:t>，液化石油气物性见表</w:t>
      </w:r>
      <w:r>
        <w:rPr>
          <w:rFonts w:ascii="Times New Roman"/>
        </w:rPr>
        <w:t>8</w:t>
      </w:r>
      <w:r>
        <w:rPr>
          <w:rFonts w:hint="eastAsia" w:ascii="Times New Roman"/>
        </w:rPr>
        <w:t>，液化石油气组分见表</w:t>
      </w:r>
      <w:r>
        <w:rPr>
          <w:rFonts w:ascii="Times New Roman"/>
        </w:rPr>
        <w:t>9</w:t>
      </w:r>
      <w:r>
        <w:rPr>
          <w:rFonts w:hint="eastAsia" w:ascii="Times New Roman"/>
        </w:rPr>
        <w:t>。</w:t>
      </w:r>
    </w:p>
    <w:p w14:paraId="45FC4138">
      <w:pPr>
        <w:pStyle w:val="5"/>
        <w:rPr>
          <w:rFonts w:hint="eastAsia"/>
        </w:rPr>
      </w:pPr>
      <w:r>
        <w:t>表</w:t>
      </w:r>
      <w:r>
        <w:rPr>
          <w:rFonts w:ascii="Times New Roman" w:hAnsi="Times New Roman"/>
        </w:rPr>
        <w:t>4</w:t>
      </w:r>
      <w:r>
        <w:t xml:space="preserve"> 原油物性</w:t>
      </w:r>
      <w:r>
        <w:rPr>
          <w:rFonts w:hint="eastAsia"/>
        </w:rPr>
        <w:t>表</w:t>
      </w:r>
    </w:p>
    <w:tbl>
      <w:tblPr>
        <w:tblStyle w:val="3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020"/>
        <w:gridCol w:w="1389"/>
        <w:gridCol w:w="1152"/>
        <w:gridCol w:w="629"/>
        <w:gridCol w:w="629"/>
        <w:gridCol w:w="824"/>
        <w:gridCol w:w="824"/>
        <w:gridCol w:w="1021"/>
        <w:gridCol w:w="629"/>
        <w:gridCol w:w="824"/>
        <w:gridCol w:w="629"/>
      </w:tblGrid>
      <w:tr w14:paraId="53BFB4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6" w:hRule="exact"/>
          <w:jc w:val="center"/>
        </w:trPr>
        <w:tc>
          <w:tcPr>
            <w:tcW w:w="533" w:type="pct"/>
            <w:vAlign w:val="center"/>
          </w:tcPr>
          <w:p w14:paraId="795ED02A">
            <w:pPr>
              <w:pStyle w:val="115"/>
              <w:spacing w:line="240" w:lineRule="exact"/>
              <w:rPr>
                <w:rFonts w:hAnsi="Times New Roman"/>
                <w:b w:val="0"/>
                <w:sz w:val="18"/>
                <w:szCs w:val="18"/>
              </w:rPr>
            </w:pPr>
            <w:r>
              <w:rPr>
                <w:rFonts w:hAnsi="Times New Roman"/>
                <w:b w:val="0"/>
                <w:sz w:val="18"/>
                <w:szCs w:val="18"/>
              </w:rPr>
              <w:t>油品种类</w:t>
            </w:r>
          </w:p>
        </w:tc>
        <w:tc>
          <w:tcPr>
            <w:tcW w:w="725" w:type="pct"/>
            <w:vAlign w:val="center"/>
          </w:tcPr>
          <w:p w14:paraId="4564DEC2">
            <w:pPr>
              <w:pStyle w:val="115"/>
              <w:spacing w:line="240" w:lineRule="exact"/>
              <w:rPr>
                <w:rFonts w:hAnsi="Times New Roman"/>
                <w:b w:val="0"/>
                <w:sz w:val="18"/>
                <w:szCs w:val="18"/>
              </w:rPr>
            </w:pPr>
            <w:r>
              <w:rPr>
                <w:rFonts w:hAnsi="Times New Roman"/>
                <w:b w:val="0"/>
                <w:sz w:val="18"/>
                <w:szCs w:val="18"/>
              </w:rPr>
              <w:t>API相对密度</w:t>
            </w:r>
          </w:p>
        </w:tc>
        <w:tc>
          <w:tcPr>
            <w:tcW w:w="601" w:type="pct"/>
            <w:vAlign w:val="center"/>
          </w:tcPr>
          <w:p w14:paraId="49C289EC">
            <w:pPr>
              <w:pStyle w:val="115"/>
              <w:spacing w:line="240" w:lineRule="exact"/>
              <w:rPr>
                <w:rFonts w:hAnsi="Times New Roman"/>
                <w:b w:val="0"/>
                <w:sz w:val="18"/>
                <w:szCs w:val="18"/>
              </w:rPr>
            </w:pPr>
            <w:r>
              <w:rPr>
                <w:rFonts w:hAnsi="Times New Roman"/>
                <w:b w:val="0"/>
                <w:sz w:val="18"/>
                <w:szCs w:val="18"/>
              </w:rPr>
              <w:t>密度</w:t>
            </w:r>
            <w:r>
              <w:rPr>
                <w:rFonts w:hint="eastAsia" w:hAnsi="Times New Roman"/>
                <w:b w:val="0"/>
                <w:sz w:val="18"/>
                <w:szCs w:val="18"/>
              </w:rPr>
              <w:t>（</w:t>
            </w:r>
            <w:r>
              <w:rPr>
                <w:rFonts w:hAnsi="Times New Roman"/>
                <w:b w:val="0"/>
                <w:sz w:val="18"/>
                <w:szCs w:val="18"/>
              </w:rPr>
              <w:t>20℃</w:t>
            </w:r>
            <w:r>
              <w:rPr>
                <w:rFonts w:hint="eastAsia" w:hAnsi="Times New Roman"/>
                <w:b w:val="0"/>
                <w:sz w:val="18"/>
                <w:szCs w:val="18"/>
              </w:rPr>
              <w:t>）</w:t>
            </w:r>
          </w:p>
          <w:p w14:paraId="47320D95">
            <w:pPr>
              <w:pStyle w:val="115"/>
              <w:spacing w:line="240" w:lineRule="exact"/>
              <w:rPr>
                <w:rFonts w:hAnsi="Times New Roman"/>
                <w:b w:val="0"/>
                <w:sz w:val="18"/>
                <w:szCs w:val="18"/>
              </w:rPr>
            </w:pPr>
            <w:r>
              <w:rPr>
                <w:rFonts w:hAnsi="Times New Roman"/>
                <w:b w:val="0"/>
                <w:sz w:val="18"/>
                <w:szCs w:val="18"/>
              </w:rPr>
              <w:t>t/m</w:t>
            </w:r>
            <w:r>
              <w:rPr>
                <w:rFonts w:hAnsi="Times New Roman"/>
                <w:b w:val="0"/>
                <w:sz w:val="18"/>
                <w:szCs w:val="18"/>
                <w:vertAlign w:val="superscript"/>
              </w:rPr>
              <w:t>3</w:t>
            </w:r>
          </w:p>
        </w:tc>
        <w:tc>
          <w:tcPr>
            <w:tcW w:w="328" w:type="pct"/>
            <w:vAlign w:val="center"/>
          </w:tcPr>
          <w:p w14:paraId="663FE7B7">
            <w:pPr>
              <w:pStyle w:val="115"/>
              <w:spacing w:line="240" w:lineRule="exact"/>
              <w:rPr>
                <w:rFonts w:hAnsi="Times New Roman"/>
                <w:b w:val="0"/>
                <w:sz w:val="18"/>
                <w:szCs w:val="18"/>
              </w:rPr>
            </w:pPr>
            <w:r>
              <w:rPr>
                <w:rFonts w:hAnsi="Times New Roman"/>
                <w:b w:val="0"/>
                <w:sz w:val="18"/>
                <w:szCs w:val="18"/>
              </w:rPr>
              <w:t>凝点</w:t>
            </w:r>
          </w:p>
          <w:p w14:paraId="3CA94879">
            <w:pPr>
              <w:pStyle w:val="115"/>
              <w:spacing w:line="240" w:lineRule="exact"/>
              <w:rPr>
                <w:rFonts w:hAnsi="Times New Roman"/>
                <w:b w:val="0"/>
                <w:sz w:val="18"/>
                <w:szCs w:val="18"/>
              </w:rPr>
            </w:pPr>
            <w:r>
              <w:rPr>
                <w:rFonts w:hAnsi="Times New Roman"/>
                <w:b w:val="0"/>
                <w:sz w:val="18"/>
                <w:szCs w:val="18"/>
              </w:rPr>
              <w:t>℃</w:t>
            </w:r>
          </w:p>
        </w:tc>
        <w:tc>
          <w:tcPr>
            <w:tcW w:w="328" w:type="pct"/>
            <w:vAlign w:val="center"/>
          </w:tcPr>
          <w:p w14:paraId="454E2080">
            <w:pPr>
              <w:pStyle w:val="115"/>
              <w:spacing w:line="240" w:lineRule="exact"/>
              <w:rPr>
                <w:rFonts w:hAnsi="Times New Roman"/>
                <w:b w:val="0"/>
                <w:sz w:val="18"/>
                <w:szCs w:val="18"/>
              </w:rPr>
            </w:pPr>
            <w:r>
              <w:rPr>
                <w:rFonts w:hAnsi="Times New Roman"/>
                <w:b w:val="0"/>
                <w:sz w:val="18"/>
                <w:szCs w:val="18"/>
              </w:rPr>
              <w:t>水分</w:t>
            </w:r>
          </w:p>
          <w:p w14:paraId="6141A078">
            <w:pPr>
              <w:pStyle w:val="115"/>
              <w:spacing w:line="240" w:lineRule="exact"/>
              <w:rPr>
                <w:rFonts w:hAnsi="Times New Roman"/>
                <w:b w:val="0"/>
                <w:sz w:val="18"/>
                <w:szCs w:val="18"/>
              </w:rPr>
            </w:pPr>
            <w:r>
              <w:rPr>
                <w:rFonts w:hAnsi="Times New Roman"/>
                <w:b w:val="0"/>
                <w:sz w:val="18"/>
                <w:szCs w:val="18"/>
              </w:rPr>
              <w:t>％</w:t>
            </w:r>
          </w:p>
        </w:tc>
        <w:tc>
          <w:tcPr>
            <w:tcW w:w="430" w:type="pct"/>
            <w:vAlign w:val="center"/>
          </w:tcPr>
          <w:p w14:paraId="2DB610DC">
            <w:pPr>
              <w:pStyle w:val="115"/>
              <w:spacing w:line="240" w:lineRule="exact"/>
              <w:rPr>
                <w:rFonts w:hAnsi="Times New Roman"/>
                <w:b w:val="0"/>
                <w:sz w:val="18"/>
                <w:szCs w:val="18"/>
              </w:rPr>
            </w:pPr>
            <w:r>
              <w:rPr>
                <w:rFonts w:hAnsi="Times New Roman"/>
                <w:b w:val="0"/>
                <w:sz w:val="18"/>
                <w:szCs w:val="18"/>
              </w:rPr>
              <w:t>硫含量</w:t>
            </w:r>
          </w:p>
          <w:p w14:paraId="3CB185AA">
            <w:pPr>
              <w:pStyle w:val="115"/>
              <w:spacing w:line="240" w:lineRule="exact"/>
              <w:rPr>
                <w:rFonts w:hAnsi="Times New Roman"/>
                <w:b w:val="0"/>
                <w:sz w:val="18"/>
                <w:szCs w:val="18"/>
              </w:rPr>
            </w:pPr>
            <w:r>
              <w:rPr>
                <w:rFonts w:hAnsi="Times New Roman"/>
                <w:b w:val="0"/>
                <w:sz w:val="18"/>
                <w:szCs w:val="18"/>
              </w:rPr>
              <w:t>m％</w:t>
            </w:r>
          </w:p>
        </w:tc>
        <w:tc>
          <w:tcPr>
            <w:tcW w:w="430" w:type="pct"/>
            <w:vAlign w:val="center"/>
          </w:tcPr>
          <w:p w14:paraId="01619803">
            <w:pPr>
              <w:pStyle w:val="115"/>
              <w:spacing w:line="240" w:lineRule="exact"/>
              <w:rPr>
                <w:rFonts w:hAnsi="Times New Roman"/>
                <w:b w:val="0"/>
                <w:sz w:val="18"/>
                <w:szCs w:val="18"/>
              </w:rPr>
            </w:pPr>
            <w:r>
              <w:rPr>
                <w:rFonts w:hAnsi="Times New Roman"/>
                <w:b w:val="0"/>
                <w:sz w:val="18"/>
                <w:szCs w:val="18"/>
              </w:rPr>
              <w:t>蜡含量</w:t>
            </w:r>
          </w:p>
          <w:p w14:paraId="181168FC">
            <w:pPr>
              <w:pStyle w:val="115"/>
              <w:spacing w:line="240" w:lineRule="exact"/>
              <w:rPr>
                <w:rFonts w:hAnsi="Times New Roman"/>
                <w:b w:val="0"/>
                <w:sz w:val="18"/>
                <w:szCs w:val="18"/>
              </w:rPr>
            </w:pPr>
            <w:r>
              <w:rPr>
                <w:rFonts w:hAnsi="Times New Roman"/>
                <w:b w:val="0"/>
                <w:sz w:val="18"/>
                <w:szCs w:val="18"/>
              </w:rPr>
              <w:t>m％</w:t>
            </w:r>
          </w:p>
        </w:tc>
        <w:tc>
          <w:tcPr>
            <w:tcW w:w="533" w:type="pct"/>
            <w:vAlign w:val="center"/>
          </w:tcPr>
          <w:p w14:paraId="6EF5405F">
            <w:pPr>
              <w:pStyle w:val="115"/>
              <w:spacing w:line="240" w:lineRule="exact"/>
              <w:rPr>
                <w:rFonts w:hAnsi="Times New Roman"/>
                <w:b w:val="0"/>
                <w:sz w:val="18"/>
                <w:szCs w:val="18"/>
              </w:rPr>
            </w:pPr>
            <w:r>
              <w:rPr>
                <w:rFonts w:hAnsi="Times New Roman"/>
                <w:b w:val="0"/>
                <w:sz w:val="18"/>
                <w:szCs w:val="18"/>
              </w:rPr>
              <w:t>运动黏度</w:t>
            </w:r>
          </w:p>
          <w:p w14:paraId="51B36406">
            <w:pPr>
              <w:pStyle w:val="115"/>
              <w:spacing w:line="240" w:lineRule="exact"/>
              <w:rPr>
                <w:rFonts w:hAnsi="Times New Roman"/>
                <w:b w:val="0"/>
                <w:sz w:val="18"/>
                <w:szCs w:val="18"/>
              </w:rPr>
            </w:pPr>
            <w:r>
              <w:rPr>
                <w:rFonts w:hAnsi="Times New Roman"/>
                <w:b w:val="0"/>
                <w:sz w:val="18"/>
                <w:szCs w:val="18"/>
              </w:rPr>
              <w:t>mm</w:t>
            </w:r>
            <w:r>
              <w:rPr>
                <w:rFonts w:hAnsi="Times New Roman"/>
                <w:b w:val="0"/>
                <w:sz w:val="18"/>
                <w:szCs w:val="18"/>
                <w:vertAlign w:val="superscript"/>
              </w:rPr>
              <w:t>2</w:t>
            </w:r>
            <w:r>
              <w:rPr>
                <w:rFonts w:hAnsi="Times New Roman"/>
                <w:b w:val="0"/>
                <w:sz w:val="18"/>
                <w:szCs w:val="18"/>
              </w:rPr>
              <w:t>/s</w:t>
            </w:r>
          </w:p>
        </w:tc>
        <w:tc>
          <w:tcPr>
            <w:tcW w:w="328" w:type="pct"/>
            <w:vAlign w:val="center"/>
          </w:tcPr>
          <w:p w14:paraId="6A1124CD">
            <w:pPr>
              <w:pStyle w:val="115"/>
              <w:spacing w:line="240" w:lineRule="exact"/>
              <w:rPr>
                <w:rFonts w:hAnsi="Times New Roman"/>
                <w:b w:val="0"/>
                <w:sz w:val="18"/>
                <w:szCs w:val="18"/>
              </w:rPr>
            </w:pPr>
            <w:r>
              <w:rPr>
                <w:rFonts w:hAnsi="Times New Roman"/>
                <w:b w:val="0"/>
                <w:sz w:val="18"/>
                <w:szCs w:val="18"/>
              </w:rPr>
              <w:t>原油</w:t>
            </w:r>
          </w:p>
          <w:p w14:paraId="2EBDB885">
            <w:pPr>
              <w:pStyle w:val="115"/>
              <w:spacing w:line="240" w:lineRule="exact"/>
              <w:rPr>
                <w:rFonts w:hAnsi="Times New Roman"/>
                <w:b w:val="0"/>
                <w:sz w:val="18"/>
                <w:szCs w:val="18"/>
              </w:rPr>
            </w:pPr>
            <w:r>
              <w:rPr>
                <w:rFonts w:hAnsi="Times New Roman"/>
                <w:b w:val="0"/>
                <w:sz w:val="18"/>
                <w:szCs w:val="18"/>
              </w:rPr>
              <w:t>类别</w:t>
            </w:r>
          </w:p>
        </w:tc>
        <w:tc>
          <w:tcPr>
            <w:tcW w:w="430" w:type="pct"/>
            <w:vAlign w:val="center"/>
          </w:tcPr>
          <w:p w14:paraId="3F5C9D4F">
            <w:pPr>
              <w:pStyle w:val="115"/>
              <w:spacing w:line="240" w:lineRule="exact"/>
              <w:rPr>
                <w:rFonts w:hAnsi="Times New Roman"/>
                <w:b w:val="0"/>
                <w:sz w:val="18"/>
                <w:szCs w:val="18"/>
              </w:rPr>
            </w:pPr>
            <w:r>
              <w:rPr>
                <w:rFonts w:hAnsi="Times New Roman"/>
                <w:b w:val="0"/>
                <w:sz w:val="18"/>
                <w:szCs w:val="18"/>
              </w:rPr>
              <w:t>闪点</w:t>
            </w:r>
          </w:p>
          <w:p w14:paraId="5F0BB51E">
            <w:pPr>
              <w:pStyle w:val="115"/>
              <w:spacing w:line="240" w:lineRule="exact"/>
              <w:rPr>
                <w:rFonts w:hAnsi="Times New Roman"/>
                <w:b w:val="0"/>
                <w:sz w:val="18"/>
                <w:szCs w:val="18"/>
              </w:rPr>
            </w:pPr>
            <w:r>
              <w:rPr>
                <w:rFonts w:hAnsi="Times New Roman"/>
                <w:b w:val="0"/>
                <w:sz w:val="18"/>
                <w:szCs w:val="18"/>
              </w:rPr>
              <w:t>℃</w:t>
            </w:r>
          </w:p>
        </w:tc>
        <w:tc>
          <w:tcPr>
            <w:tcW w:w="328" w:type="pct"/>
          </w:tcPr>
          <w:p w14:paraId="5F301C6F">
            <w:pPr>
              <w:pStyle w:val="115"/>
              <w:spacing w:line="240" w:lineRule="exact"/>
              <w:rPr>
                <w:rFonts w:hAnsi="Times New Roman"/>
                <w:b w:val="0"/>
                <w:sz w:val="18"/>
                <w:szCs w:val="18"/>
              </w:rPr>
            </w:pPr>
            <w:r>
              <w:rPr>
                <w:rFonts w:hAnsi="Times New Roman"/>
                <w:b w:val="0"/>
                <w:sz w:val="18"/>
                <w:szCs w:val="18"/>
              </w:rPr>
              <w:t>……</w:t>
            </w:r>
          </w:p>
        </w:tc>
      </w:tr>
      <w:tr w14:paraId="19FCC5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exact"/>
          <w:jc w:val="center"/>
        </w:trPr>
        <w:tc>
          <w:tcPr>
            <w:tcW w:w="533" w:type="pct"/>
          </w:tcPr>
          <w:p w14:paraId="7C832F54">
            <w:pPr>
              <w:pStyle w:val="115"/>
              <w:spacing w:line="240" w:lineRule="exact"/>
              <w:rPr>
                <w:rFonts w:hAnsi="Times New Roman"/>
                <w:b w:val="0"/>
                <w:sz w:val="18"/>
                <w:szCs w:val="18"/>
              </w:rPr>
            </w:pPr>
            <w:r>
              <w:rPr>
                <w:rFonts w:hint="eastAsia" w:hAnsi="Times New Roman"/>
                <w:b w:val="0"/>
                <w:sz w:val="18"/>
                <w:szCs w:val="18"/>
              </w:rPr>
              <w:t>××</w:t>
            </w:r>
            <w:r>
              <w:rPr>
                <w:rFonts w:hAnsi="Times New Roman"/>
                <w:b w:val="0"/>
                <w:sz w:val="18"/>
                <w:szCs w:val="18"/>
              </w:rPr>
              <w:t>原油</w:t>
            </w:r>
          </w:p>
        </w:tc>
        <w:tc>
          <w:tcPr>
            <w:tcW w:w="725" w:type="pct"/>
          </w:tcPr>
          <w:p w14:paraId="4FBBAB97">
            <w:pPr>
              <w:pStyle w:val="115"/>
              <w:spacing w:line="240" w:lineRule="exact"/>
              <w:rPr>
                <w:rFonts w:hAnsi="Times New Roman"/>
                <w:b w:val="0"/>
                <w:sz w:val="18"/>
                <w:szCs w:val="18"/>
              </w:rPr>
            </w:pPr>
          </w:p>
        </w:tc>
        <w:tc>
          <w:tcPr>
            <w:tcW w:w="601" w:type="pct"/>
          </w:tcPr>
          <w:p w14:paraId="6DB2A648">
            <w:pPr>
              <w:pStyle w:val="115"/>
              <w:spacing w:line="240" w:lineRule="exact"/>
              <w:rPr>
                <w:rFonts w:hAnsi="Times New Roman"/>
                <w:b w:val="0"/>
                <w:sz w:val="18"/>
                <w:szCs w:val="18"/>
              </w:rPr>
            </w:pPr>
          </w:p>
        </w:tc>
        <w:tc>
          <w:tcPr>
            <w:tcW w:w="328" w:type="pct"/>
          </w:tcPr>
          <w:p w14:paraId="79A1FD9B">
            <w:pPr>
              <w:pStyle w:val="115"/>
              <w:spacing w:line="240" w:lineRule="exact"/>
              <w:rPr>
                <w:rFonts w:hAnsi="Times New Roman"/>
                <w:b w:val="0"/>
                <w:sz w:val="18"/>
                <w:szCs w:val="18"/>
              </w:rPr>
            </w:pPr>
          </w:p>
        </w:tc>
        <w:tc>
          <w:tcPr>
            <w:tcW w:w="328" w:type="pct"/>
          </w:tcPr>
          <w:p w14:paraId="568B2169">
            <w:pPr>
              <w:pStyle w:val="115"/>
              <w:spacing w:line="240" w:lineRule="exact"/>
              <w:rPr>
                <w:rFonts w:hAnsi="Times New Roman"/>
                <w:b w:val="0"/>
                <w:sz w:val="18"/>
                <w:szCs w:val="18"/>
              </w:rPr>
            </w:pPr>
          </w:p>
        </w:tc>
        <w:tc>
          <w:tcPr>
            <w:tcW w:w="430" w:type="pct"/>
          </w:tcPr>
          <w:p w14:paraId="328DADF5">
            <w:pPr>
              <w:pStyle w:val="115"/>
              <w:spacing w:line="240" w:lineRule="exact"/>
              <w:rPr>
                <w:rFonts w:hAnsi="Times New Roman"/>
                <w:b w:val="0"/>
                <w:sz w:val="18"/>
                <w:szCs w:val="18"/>
              </w:rPr>
            </w:pPr>
          </w:p>
        </w:tc>
        <w:tc>
          <w:tcPr>
            <w:tcW w:w="430" w:type="pct"/>
          </w:tcPr>
          <w:p w14:paraId="005770AA">
            <w:pPr>
              <w:pStyle w:val="115"/>
              <w:spacing w:line="240" w:lineRule="exact"/>
              <w:rPr>
                <w:rFonts w:hAnsi="Times New Roman"/>
                <w:b w:val="0"/>
                <w:sz w:val="18"/>
                <w:szCs w:val="18"/>
              </w:rPr>
            </w:pPr>
          </w:p>
        </w:tc>
        <w:tc>
          <w:tcPr>
            <w:tcW w:w="533" w:type="pct"/>
          </w:tcPr>
          <w:p w14:paraId="3589E95F">
            <w:pPr>
              <w:pStyle w:val="115"/>
              <w:spacing w:line="240" w:lineRule="exact"/>
              <w:rPr>
                <w:rFonts w:hAnsi="Times New Roman"/>
                <w:b w:val="0"/>
                <w:sz w:val="18"/>
                <w:szCs w:val="18"/>
              </w:rPr>
            </w:pPr>
          </w:p>
        </w:tc>
        <w:tc>
          <w:tcPr>
            <w:tcW w:w="328" w:type="pct"/>
          </w:tcPr>
          <w:p w14:paraId="06CAC386">
            <w:pPr>
              <w:pStyle w:val="115"/>
              <w:spacing w:line="240" w:lineRule="exact"/>
              <w:rPr>
                <w:rFonts w:hAnsi="Times New Roman"/>
                <w:b w:val="0"/>
                <w:sz w:val="18"/>
                <w:szCs w:val="18"/>
              </w:rPr>
            </w:pPr>
          </w:p>
        </w:tc>
        <w:tc>
          <w:tcPr>
            <w:tcW w:w="430" w:type="pct"/>
          </w:tcPr>
          <w:p w14:paraId="2BBB9DA9">
            <w:pPr>
              <w:pStyle w:val="115"/>
              <w:spacing w:line="240" w:lineRule="exact"/>
              <w:rPr>
                <w:rFonts w:hAnsi="Times New Roman"/>
                <w:b w:val="0"/>
                <w:sz w:val="18"/>
                <w:szCs w:val="18"/>
              </w:rPr>
            </w:pPr>
          </w:p>
        </w:tc>
        <w:tc>
          <w:tcPr>
            <w:tcW w:w="328" w:type="pct"/>
          </w:tcPr>
          <w:p w14:paraId="579C15CA">
            <w:pPr>
              <w:pStyle w:val="115"/>
              <w:spacing w:line="240" w:lineRule="exact"/>
              <w:rPr>
                <w:rFonts w:hAnsi="Times New Roman"/>
                <w:b w:val="0"/>
                <w:sz w:val="18"/>
                <w:szCs w:val="18"/>
              </w:rPr>
            </w:pPr>
          </w:p>
        </w:tc>
      </w:tr>
      <w:tr w14:paraId="3C119F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exact"/>
          <w:jc w:val="center"/>
        </w:trPr>
        <w:tc>
          <w:tcPr>
            <w:tcW w:w="533" w:type="pct"/>
            <w:vAlign w:val="center"/>
          </w:tcPr>
          <w:p w14:paraId="11305354">
            <w:pPr>
              <w:pStyle w:val="115"/>
              <w:spacing w:line="240" w:lineRule="exact"/>
              <w:rPr>
                <w:rFonts w:hAnsi="Times New Roman"/>
                <w:b w:val="0"/>
                <w:sz w:val="18"/>
                <w:szCs w:val="18"/>
              </w:rPr>
            </w:pPr>
            <w:r>
              <w:rPr>
                <w:rFonts w:hAnsi="Times New Roman"/>
                <w:b w:val="0"/>
                <w:kern w:val="0"/>
                <w:sz w:val="18"/>
                <w:szCs w:val="18"/>
              </w:rPr>
              <w:t>…</w:t>
            </w:r>
          </w:p>
        </w:tc>
        <w:tc>
          <w:tcPr>
            <w:tcW w:w="725" w:type="pct"/>
            <w:vAlign w:val="center"/>
          </w:tcPr>
          <w:p w14:paraId="05F982FA">
            <w:pPr>
              <w:pStyle w:val="115"/>
              <w:spacing w:line="240" w:lineRule="exact"/>
              <w:rPr>
                <w:rFonts w:hAnsi="Times New Roman"/>
                <w:b w:val="0"/>
                <w:sz w:val="18"/>
                <w:szCs w:val="18"/>
              </w:rPr>
            </w:pPr>
          </w:p>
        </w:tc>
        <w:tc>
          <w:tcPr>
            <w:tcW w:w="601" w:type="pct"/>
            <w:vAlign w:val="center"/>
          </w:tcPr>
          <w:p w14:paraId="502272E8">
            <w:pPr>
              <w:pStyle w:val="115"/>
              <w:spacing w:line="240" w:lineRule="exact"/>
              <w:rPr>
                <w:rFonts w:hAnsi="Times New Roman"/>
                <w:b w:val="0"/>
                <w:sz w:val="18"/>
                <w:szCs w:val="18"/>
              </w:rPr>
            </w:pPr>
          </w:p>
        </w:tc>
        <w:tc>
          <w:tcPr>
            <w:tcW w:w="328" w:type="pct"/>
            <w:vAlign w:val="center"/>
          </w:tcPr>
          <w:p w14:paraId="549F1010">
            <w:pPr>
              <w:pStyle w:val="115"/>
              <w:spacing w:line="240" w:lineRule="exact"/>
              <w:rPr>
                <w:rFonts w:hAnsi="Times New Roman"/>
                <w:b w:val="0"/>
                <w:sz w:val="18"/>
                <w:szCs w:val="18"/>
              </w:rPr>
            </w:pPr>
          </w:p>
        </w:tc>
        <w:tc>
          <w:tcPr>
            <w:tcW w:w="328" w:type="pct"/>
            <w:vAlign w:val="center"/>
          </w:tcPr>
          <w:p w14:paraId="75381139">
            <w:pPr>
              <w:pStyle w:val="115"/>
              <w:spacing w:line="240" w:lineRule="exact"/>
              <w:rPr>
                <w:rFonts w:hAnsi="Times New Roman"/>
                <w:b w:val="0"/>
                <w:sz w:val="18"/>
                <w:szCs w:val="18"/>
              </w:rPr>
            </w:pPr>
          </w:p>
        </w:tc>
        <w:tc>
          <w:tcPr>
            <w:tcW w:w="430" w:type="pct"/>
            <w:vAlign w:val="center"/>
          </w:tcPr>
          <w:p w14:paraId="02F9A8A1">
            <w:pPr>
              <w:pStyle w:val="115"/>
              <w:spacing w:line="240" w:lineRule="exact"/>
              <w:rPr>
                <w:rFonts w:hAnsi="Times New Roman"/>
                <w:b w:val="0"/>
                <w:sz w:val="18"/>
                <w:szCs w:val="18"/>
              </w:rPr>
            </w:pPr>
          </w:p>
        </w:tc>
        <w:tc>
          <w:tcPr>
            <w:tcW w:w="430" w:type="pct"/>
            <w:vAlign w:val="center"/>
          </w:tcPr>
          <w:p w14:paraId="3EC6D1C6">
            <w:pPr>
              <w:pStyle w:val="115"/>
              <w:spacing w:line="240" w:lineRule="exact"/>
              <w:rPr>
                <w:rFonts w:hAnsi="Times New Roman"/>
                <w:b w:val="0"/>
                <w:sz w:val="18"/>
                <w:szCs w:val="18"/>
              </w:rPr>
            </w:pPr>
          </w:p>
        </w:tc>
        <w:tc>
          <w:tcPr>
            <w:tcW w:w="533" w:type="pct"/>
            <w:vAlign w:val="center"/>
          </w:tcPr>
          <w:p w14:paraId="6C6A75FE">
            <w:pPr>
              <w:pStyle w:val="115"/>
              <w:spacing w:line="240" w:lineRule="exact"/>
              <w:rPr>
                <w:rFonts w:hAnsi="Times New Roman"/>
                <w:b w:val="0"/>
                <w:sz w:val="18"/>
                <w:szCs w:val="18"/>
              </w:rPr>
            </w:pPr>
          </w:p>
        </w:tc>
        <w:tc>
          <w:tcPr>
            <w:tcW w:w="328" w:type="pct"/>
            <w:vAlign w:val="center"/>
          </w:tcPr>
          <w:p w14:paraId="4B3D72AE">
            <w:pPr>
              <w:pStyle w:val="115"/>
              <w:spacing w:line="240" w:lineRule="exact"/>
              <w:rPr>
                <w:rFonts w:hAnsi="Times New Roman"/>
                <w:b w:val="0"/>
                <w:sz w:val="18"/>
                <w:szCs w:val="18"/>
              </w:rPr>
            </w:pPr>
          </w:p>
        </w:tc>
        <w:tc>
          <w:tcPr>
            <w:tcW w:w="430" w:type="pct"/>
            <w:vAlign w:val="center"/>
          </w:tcPr>
          <w:p w14:paraId="0F655C26">
            <w:pPr>
              <w:pStyle w:val="115"/>
              <w:spacing w:line="240" w:lineRule="exact"/>
              <w:rPr>
                <w:rFonts w:hAnsi="Times New Roman"/>
                <w:b w:val="0"/>
                <w:sz w:val="18"/>
                <w:szCs w:val="18"/>
              </w:rPr>
            </w:pPr>
          </w:p>
        </w:tc>
        <w:tc>
          <w:tcPr>
            <w:tcW w:w="328" w:type="pct"/>
            <w:vAlign w:val="center"/>
          </w:tcPr>
          <w:p w14:paraId="3E8CD69A">
            <w:pPr>
              <w:pStyle w:val="115"/>
              <w:spacing w:line="240" w:lineRule="exact"/>
              <w:rPr>
                <w:rFonts w:hAnsi="Times New Roman"/>
                <w:b w:val="0"/>
                <w:sz w:val="18"/>
                <w:szCs w:val="18"/>
              </w:rPr>
            </w:pPr>
          </w:p>
        </w:tc>
      </w:tr>
    </w:tbl>
    <w:p w14:paraId="0B2664A5">
      <w:pPr>
        <w:pStyle w:val="5"/>
        <w:rPr>
          <w:rFonts w:hint="eastAsia"/>
        </w:rPr>
      </w:pPr>
      <w:r>
        <w:t>表</w:t>
      </w:r>
      <w:r>
        <w:rPr>
          <w:rFonts w:ascii="Times New Roman" w:hAnsi="Times New Roman"/>
        </w:rPr>
        <w:t>5</w:t>
      </w:r>
      <w:r>
        <w:t xml:space="preserve"> 成品油物性</w:t>
      </w:r>
      <w:r>
        <w:rPr>
          <w:rFonts w:hint="eastAsia"/>
        </w:rPr>
        <w:t>表</w:t>
      </w:r>
    </w:p>
    <w:tbl>
      <w:tblPr>
        <w:tblStyle w:val="36"/>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297"/>
        <w:gridCol w:w="1369"/>
        <w:gridCol w:w="1751"/>
        <w:gridCol w:w="1753"/>
        <w:gridCol w:w="1591"/>
        <w:gridCol w:w="1809"/>
      </w:tblGrid>
      <w:tr w14:paraId="308534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7" w:hRule="atLeast"/>
          <w:jc w:val="center"/>
        </w:trPr>
        <w:tc>
          <w:tcPr>
            <w:tcW w:w="1393" w:type="pct"/>
            <w:gridSpan w:val="2"/>
            <w:vMerge w:val="restart"/>
            <w:vAlign w:val="center"/>
          </w:tcPr>
          <w:p w14:paraId="5AEFD067">
            <w:pPr>
              <w:overflowPunct w:val="0"/>
              <w:spacing w:line="24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油品种类</w:t>
            </w:r>
          </w:p>
        </w:tc>
        <w:tc>
          <w:tcPr>
            <w:tcW w:w="915" w:type="pct"/>
            <w:vMerge w:val="restart"/>
            <w:vAlign w:val="center"/>
          </w:tcPr>
          <w:p w14:paraId="3D1ADDAE">
            <w:pPr>
              <w:overflowPunct w:val="0"/>
              <w:spacing w:line="24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密度</w:t>
            </w:r>
          </w:p>
          <w:p w14:paraId="4AB72305">
            <w:pPr>
              <w:overflowPunct w:val="0"/>
              <w:spacing w:line="24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t/m</w:t>
            </w:r>
            <w:r>
              <w:rPr>
                <w:color w:val="000000" w:themeColor="text1"/>
                <w:sz w:val="18"/>
                <w:szCs w:val="18"/>
                <w:vertAlign w:val="superscript"/>
                <w14:textFill>
                  <w14:solidFill>
                    <w14:schemeClr w14:val="tx1"/>
                  </w14:solidFill>
                </w14:textFill>
              </w:rPr>
              <w:t>3</w:t>
            </w:r>
          </w:p>
        </w:tc>
        <w:tc>
          <w:tcPr>
            <w:tcW w:w="916" w:type="pct"/>
            <w:vMerge w:val="restart"/>
            <w:vAlign w:val="center"/>
          </w:tcPr>
          <w:p w14:paraId="6EC7433E">
            <w:pPr>
              <w:overflowPunct w:val="0"/>
              <w:spacing w:line="24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闪点</w:t>
            </w:r>
          </w:p>
          <w:p w14:paraId="6D6B85DA">
            <w:pPr>
              <w:overflowPunct w:val="0"/>
              <w:spacing w:line="240" w:lineRule="atLeast"/>
              <w:jc w:val="center"/>
              <w:rPr>
                <w:color w:val="000000" w:themeColor="text1"/>
                <w:sz w:val="18"/>
                <w:szCs w:val="18"/>
                <w14:textFill>
                  <w14:solidFill>
                    <w14:schemeClr w14:val="tx1"/>
                  </w14:solidFill>
                </w14:textFill>
              </w:rPr>
            </w:pPr>
            <w:r>
              <w:rPr>
                <w:rFonts w:hint="eastAsia" w:cs="宋体"/>
                <w:color w:val="000000" w:themeColor="text1"/>
                <w:sz w:val="18"/>
                <w:szCs w:val="18"/>
                <w14:textFill>
                  <w14:solidFill>
                    <w14:schemeClr w14:val="tx1"/>
                  </w14:solidFill>
                </w14:textFill>
              </w:rPr>
              <w:t>℃</w:t>
            </w:r>
          </w:p>
        </w:tc>
        <w:tc>
          <w:tcPr>
            <w:tcW w:w="831" w:type="pct"/>
            <w:vMerge w:val="restart"/>
            <w:vAlign w:val="center"/>
          </w:tcPr>
          <w:p w14:paraId="50FADE6D">
            <w:pPr>
              <w:overflowPunct w:val="0"/>
              <w:spacing w:line="24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干点</w:t>
            </w:r>
          </w:p>
          <w:p w14:paraId="4333DA88">
            <w:pPr>
              <w:overflowPunct w:val="0"/>
              <w:spacing w:line="240" w:lineRule="atLeast"/>
              <w:jc w:val="center"/>
              <w:rPr>
                <w:color w:val="000000" w:themeColor="text1"/>
                <w:sz w:val="18"/>
                <w:szCs w:val="18"/>
                <w14:textFill>
                  <w14:solidFill>
                    <w14:schemeClr w14:val="tx1"/>
                  </w14:solidFill>
                </w14:textFill>
              </w:rPr>
            </w:pPr>
            <w:r>
              <w:rPr>
                <w:rFonts w:hint="eastAsia" w:cs="宋体"/>
                <w:color w:val="000000" w:themeColor="text1"/>
                <w:sz w:val="18"/>
                <w:szCs w:val="18"/>
                <w14:textFill>
                  <w14:solidFill>
                    <w14:schemeClr w14:val="tx1"/>
                  </w14:solidFill>
                </w14:textFill>
              </w:rPr>
              <w:t>℃</w:t>
            </w:r>
          </w:p>
        </w:tc>
        <w:tc>
          <w:tcPr>
            <w:tcW w:w="945" w:type="pct"/>
            <w:vMerge w:val="restart"/>
            <w:vAlign w:val="center"/>
          </w:tcPr>
          <w:p w14:paraId="37537291">
            <w:pPr>
              <w:overflowPunct w:val="0"/>
              <w:spacing w:line="240" w:lineRule="atLeast"/>
              <w:ind w:firstLine="33"/>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粘度</w:t>
            </w:r>
          </w:p>
          <w:p w14:paraId="175EF261">
            <w:pPr>
              <w:overflowPunct w:val="0"/>
              <w:spacing w:line="240" w:lineRule="atLeast"/>
              <w:ind w:firstLine="33"/>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mm</w:t>
            </w:r>
            <w:r>
              <w:rPr>
                <w:color w:val="000000" w:themeColor="text1"/>
                <w:sz w:val="18"/>
                <w:szCs w:val="18"/>
                <w:vertAlign w:val="superscript"/>
                <w14:textFill>
                  <w14:solidFill>
                    <w14:schemeClr w14:val="tx1"/>
                  </w14:solidFill>
                </w14:textFill>
              </w:rPr>
              <w:t>2</w:t>
            </w:r>
            <w:r>
              <w:rPr>
                <w:color w:val="000000" w:themeColor="text1"/>
                <w:sz w:val="18"/>
                <w:szCs w:val="18"/>
                <w14:textFill>
                  <w14:solidFill>
                    <w14:schemeClr w14:val="tx1"/>
                  </w14:solidFill>
                </w14:textFill>
              </w:rPr>
              <w:t>/s</w:t>
            </w:r>
          </w:p>
        </w:tc>
      </w:tr>
      <w:tr w14:paraId="636FA5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7" w:hRule="atLeast"/>
          <w:jc w:val="center"/>
        </w:trPr>
        <w:tc>
          <w:tcPr>
            <w:tcW w:w="1393" w:type="pct"/>
            <w:gridSpan w:val="2"/>
            <w:vMerge w:val="continue"/>
            <w:vAlign w:val="center"/>
          </w:tcPr>
          <w:p w14:paraId="013ED43B">
            <w:pPr>
              <w:overflowPunct w:val="0"/>
              <w:ind w:firstLine="420"/>
              <w:jc w:val="center"/>
              <w:rPr>
                <w:color w:val="000000" w:themeColor="text1"/>
                <w:sz w:val="18"/>
                <w:szCs w:val="18"/>
                <w14:textFill>
                  <w14:solidFill>
                    <w14:schemeClr w14:val="tx1"/>
                  </w14:solidFill>
                </w14:textFill>
              </w:rPr>
            </w:pPr>
          </w:p>
        </w:tc>
        <w:tc>
          <w:tcPr>
            <w:tcW w:w="915" w:type="pct"/>
            <w:vMerge w:val="continue"/>
          </w:tcPr>
          <w:p w14:paraId="62609354">
            <w:pPr>
              <w:overflowPunct w:val="0"/>
              <w:ind w:firstLine="420"/>
              <w:jc w:val="center"/>
              <w:rPr>
                <w:color w:val="000000" w:themeColor="text1"/>
                <w:sz w:val="18"/>
                <w:szCs w:val="18"/>
                <w14:textFill>
                  <w14:solidFill>
                    <w14:schemeClr w14:val="tx1"/>
                  </w14:solidFill>
                </w14:textFill>
              </w:rPr>
            </w:pPr>
          </w:p>
        </w:tc>
        <w:tc>
          <w:tcPr>
            <w:tcW w:w="916" w:type="pct"/>
            <w:vMerge w:val="continue"/>
            <w:vAlign w:val="center"/>
          </w:tcPr>
          <w:p w14:paraId="2E00EAB0">
            <w:pPr>
              <w:overflowPunct w:val="0"/>
              <w:ind w:firstLine="420"/>
              <w:jc w:val="center"/>
              <w:rPr>
                <w:color w:val="000000" w:themeColor="text1"/>
                <w:sz w:val="18"/>
                <w:szCs w:val="18"/>
                <w14:textFill>
                  <w14:solidFill>
                    <w14:schemeClr w14:val="tx1"/>
                  </w14:solidFill>
                </w14:textFill>
              </w:rPr>
            </w:pPr>
          </w:p>
        </w:tc>
        <w:tc>
          <w:tcPr>
            <w:tcW w:w="831" w:type="pct"/>
            <w:vMerge w:val="continue"/>
            <w:vAlign w:val="center"/>
          </w:tcPr>
          <w:p w14:paraId="743839D3">
            <w:pPr>
              <w:overflowPunct w:val="0"/>
              <w:ind w:firstLine="420"/>
              <w:jc w:val="center"/>
              <w:rPr>
                <w:color w:val="000000" w:themeColor="text1"/>
                <w:sz w:val="18"/>
                <w:szCs w:val="18"/>
                <w14:textFill>
                  <w14:solidFill>
                    <w14:schemeClr w14:val="tx1"/>
                  </w14:solidFill>
                </w14:textFill>
              </w:rPr>
            </w:pPr>
          </w:p>
        </w:tc>
        <w:tc>
          <w:tcPr>
            <w:tcW w:w="945" w:type="pct"/>
            <w:vMerge w:val="continue"/>
            <w:vAlign w:val="center"/>
          </w:tcPr>
          <w:p w14:paraId="2C0F5654">
            <w:pPr>
              <w:overflowPunct w:val="0"/>
              <w:jc w:val="center"/>
              <w:rPr>
                <w:color w:val="000000" w:themeColor="text1"/>
                <w:sz w:val="18"/>
                <w:szCs w:val="18"/>
                <w14:textFill>
                  <w14:solidFill>
                    <w14:schemeClr w14:val="tx1"/>
                  </w14:solidFill>
                </w14:textFill>
              </w:rPr>
            </w:pPr>
          </w:p>
        </w:tc>
      </w:tr>
      <w:tr w14:paraId="628BE8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0" w:hRule="atLeast"/>
          <w:jc w:val="center"/>
        </w:trPr>
        <w:tc>
          <w:tcPr>
            <w:tcW w:w="678" w:type="pct"/>
            <w:vMerge w:val="restart"/>
            <w:vAlign w:val="center"/>
          </w:tcPr>
          <w:p w14:paraId="4D3EB937">
            <w:pPr>
              <w:overflowPunct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汽油</w:t>
            </w:r>
          </w:p>
        </w:tc>
        <w:tc>
          <w:tcPr>
            <w:tcW w:w="715" w:type="pct"/>
            <w:vAlign w:val="center"/>
          </w:tcPr>
          <w:p w14:paraId="7A544D91">
            <w:pPr>
              <w:overflowPunct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92</w:t>
            </w:r>
            <w:r>
              <w:rPr>
                <w:rFonts w:hint="eastAsia"/>
                <w:color w:val="000000" w:themeColor="text1"/>
                <w:sz w:val="18"/>
                <w:szCs w:val="18"/>
                <w14:textFill>
                  <w14:solidFill>
                    <w14:schemeClr w14:val="tx1"/>
                  </w14:solidFill>
                </w14:textFill>
              </w:rPr>
              <w:t>号</w:t>
            </w:r>
          </w:p>
        </w:tc>
        <w:tc>
          <w:tcPr>
            <w:tcW w:w="915" w:type="pct"/>
          </w:tcPr>
          <w:p w14:paraId="0F30A4AC">
            <w:pPr>
              <w:overflowPunct w:val="0"/>
              <w:ind w:leftChars="-1" w:hanging="1" w:hangingChars="1"/>
              <w:jc w:val="center"/>
              <w:rPr>
                <w:color w:val="000000" w:themeColor="text1"/>
                <w:sz w:val="18"/>
                <w:szCs w:val="18"/>
                <w14:textFill>
                  <w14:solidFill>
                    <w14:schemeClr w14:val="tx1"/>
                  </w14:solidFill>
                </w14:textFill>
              </w:rPr>
            </w:pPr>
          </w:p>
        </w:tc>
        <w:tc>
          <w:tcPr>
            <w:tcW w:w="916" w:type="pct"/>
            <w:vAlign w:val="center"/>
          </w:tcPr>
          <w:p w14:paraId="582A0AAA">
            <w:pPr>
              <w:overflowPunct w:val="0"/>
              <w:ind w:leftChars="-1" w:hanging="1" w:hangingChars="1"/>
              <w:jc w:val="center"/>
              <w:rPr>
                <w:color w:val="000000" w:themeColor="text1"/>
                <w:sz w:val="18"/>
                <w:szCs w:val="18"/>
                <w14:textFill>
                  <w14:solidFill>
                    <w14:schemeClr w14:val="tx1"/>
                  </w14:solidFill>
                </w14:textFill>
              </w:rPr>
            </w:pPr>
          </w:p>
        </w:tc>
        <w:tc>
          <w:tcPr>
            <w:tcW w:w="831" w:type="pct"/>
            <w:vAlign w:val="center"/>
          </w:tcPr>
          <w:p w14:paraId="5FE7EDBA">
            <w:pPr>
              <w:overflowPunct w:val="0"/>
              <w:ind w:firstLine="9" w:firstLineChars="5"/>
              <w:jc w:val="center"/>
              <w:rPr>
                <w:color w:val="000000" w:themeColor="text1"/>
                <w:sz w:val="18"/>
                <w:szCs w:val="18"/>
                <w14:textFill>
                  <w14:solidFill>
                    <w14:schemeClr w14:val="tx1"/>
                  </w14:solidFill>
                </w14:textFill>
              </w:rPr>
            </w:pPr>
          </w:p>
        </w:tc>
        <w:tc>
          <w:tcPr>
            <w:tcW w:w="945" w:type="pct"/>
            <w:vAlign w:val="center"/>
          </w:tcPr>
          <w:p w14:paraId="5F97EDD5">
            <w:pPr>
              <w:overflowPunct w:val="0"/>
              <w:jc w:val="center"/>
              <w:rPr>
                <w:color w:val="000000" w:themeColor="text1"/>
                <w:sz w:val="18"/>
                <w:szCs w:val="18"/>
                <w14:textFill>
                  <w14:solidFill>
                    <w14:schemeClr w14:val="tx1"/>
                  </w14:solidFill>
                </w14:textFill>
              </w:rPr>
            </w:pPr>
          </w:p>
        </w:tc>
      </w:tr>
      <w:tr w14:paraId="58603A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0" w:hRule="atLeast"/>
          <w:jc w:val="center"/>
        </w:trPr>
        <w:tc>
          <w:tcPr>
            <w:tcW w:w="678" w:type="pct"/>
            <w:vMerge w:val="continue"/>
            <w:vAlign w:val="center"/>
          </w:tcPr>
          <w:p w14:paraId="2C62AA4D">
            <w:pPr>
              <w:overflowPunct w:val="0"/>
              <w:ind w:firstLine="420"/>
              <w:jc w:val="center"/>
              <w:rPr>
                <w:color w:val="000000" w:themeColor="text1"/>
                <w:sz w:val="18"/>
                <w:szCs w:val="18"/>
                <w14:textFill>
                  <w14:solidFill>
                    <w14:schemeClr w14:val="tx1"/>
                  </w14:solidFill>
                </w14:textFill>
              </w:rPr>
            </w:pPr>
          </w:p>
        </w:tc>
        <w:tc>
          <w:tcPr>
            <w:tcW w:w="715" w:type="pct"/>
            <w:vAlign w:val="center"/>
          </w:tcPr>
          <w:p w14:paraId="602C09DD">
            <w:pPr>
              <w:overflowPunct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w:t>
            </w:r>
          </w:p>
        </w:tc>
        <w:tc>
          <w:tcPr>
            <w:tcW w:w="915" w:type="pct"/>
          </w:tcPr>
          <w:p w14:paraId="14833E7A">
            <w:pPr>
              <w:overflowPunct w:val="0"/>
              <w:ind w:leftChars="-1" w:hanging="1" w:hangingChars="1"/>
              <w:jc w:val="center"/>
              <w:rPr>
                <w:color w:val="000000" w:themeColor="text1"/>
                <w:sz w:val="18"/>
                <w:szCs w:val="18"/>
                <w14:textFill>
                  <w14:solidFill>
                    <w14:schemeClr w14:val="tx1"/>
                  </w14:solidFill>
                </w14:textFill>
              </w:rPr>
            </w:pPr>
          </w:p>
        </w:tc>
        <w:tc>
          <w:tcPr>
            <w:tcW w:w="916" w:type="pct"/>
            <w:vAlign w:val="center"/>
          </w:tcPr>
          <w:p w14:paraId="0A0083F9">
            <w:pPr>
              <w:overflowPunct w:val="0"/>
              <w:ind w:leftChars="-1" w:hanging="1" w:hangingChars="1"/>
              <w:jc w:val="center"/>
              <w:rPr>
                <w:color w:val="000000" w:themeColor="text1"/>
                <w:sz w:val="18"/>
                <w:szCs w:val="18"/>
                <w14:textFill>
                  <w14:solidFill>
                    <w14:schemeClr w14:val="tx1"/>
                  </w14:solidFill>
                </w14:textFill>
              </w:rPr>
            </w:pPr>
          </w:p>
        </w:tc>
        <w:tc>
          <w:tcPr>
            <w:tcW w:w="831" w:type="pct"/>
            <w:vAlign w:val="center"/>
          </w:tcPr>
          <w:p w14:paraId="50D39D08">
            <w:pPr>
              <w:overflowPunct w:val="0"/>
              <w:ind w:firstLine="9" w:firstLineChars="5"/>
              <w:jc w:val="center"/>
              <w:rPr>
                <w:color w:val="000000" w:themeColor="text1"/>
                <w:sz w:val="18"/>
                <w:szCs w:val="18"/>
                <w14:textFill>
                  <w14:solidFill>
                    <w14:schemeClr w14:val="tx1"/>
                  </w14:solidFill>
                </w14:textFill>
              </w:rPr>
            </w:pPr>
          </w:p>
        </w:tc>
        <w:tc>
          <w:tcPr>
            <w:tcW w:w="945" w:type="pct"/>
            <w:vAlign w:val="center"/>
          </w:tcPr>
          <w:p w14:paraId="613C10E0">
            <w:pPr>
              <w:overflowPunct w:val="0"/>
              <w:jc w:val="center"/>
              <w:rPr>
                <w:color w:val="000000" w:themeColor="text1"/>
                <w:sz w:val="18"/>
                <w:szCs w:val="18"/>
                <w14:textFill>
                  <w14:solidFill>
                    <w14:schemeClr w14:val="tx1"/>
                  </w14:solidFill>
                </w14:textFill>
              </w:rPr>
            </w:pPr>
          </w:p>
        </w:tc>
      </w:tr>
      <w:tr w14:paraId="2B2BEB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0" w:hRule="atLeast"/>
          <w:jc w:val="center"/>
        </w:trPr>
        <w:tc>
          <w:tcPr>
            <w:tcW w:w="678" w:type="pct"/>
            <w:vMerge w:val="restart"/>
            <w:vAlign w:val="center"/>
          </w:tcPr>
          <w:p w14:paraId="7EAFBFF1">
            <w:pPr>
              <w:overflowPunct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柴油</w:t>
            </w:r>
          </w:p>
        </w:tc>
        <w:tc>
          <w:tcPr>
            <w:tcW w:w="715" w:type="pct"/>
            <w:vAlign w:val="center"/>
          </w:tcPr>
          <w:p w14:paraId="37638327">
            <w:pPr>
              <w:overflowPunct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w:t>
            </w:r>
            <w:r>
              <w:rPr>
                <w:rFonts w:hint="eastAsia"/>
                <w:color w:val="000000" w:themeColor="text1"/>
                <w:sz w:val="18"/>
                <w:szCs w:val="18"/>
                <w14:textFill>
                  <w14:solidFill>
                    <w14:schemeClr w14:val="tx1"/>
                  </w14:solidFill>
                </w14:textFill>
              </w:rPr>
              <w:t>号</w:t>
            </w:r>
          </w:p>
        </w:tc>
        <w:tc>
          <w:tcPr>
            <w:tcW w:w="915" w:type="pct"/>
          </w:tcPr>
          <w:p w14:paraId="7FAB39B8">
            <w:pPr>
              <w:overflowPunct w:val="0"/>
              <w:ind w:leftChars="-1" w:hanging="1" w:hangingChars="1"/>
              <w:jc w:val="center"/>
              <w:rPr>
                <w:color w:val="000000" w:themeColor="text1"/>
                <w:sz w:val="18"/>
                <w:szCs w:val="18"/>
                <w14:textFill>
                  <w14:solidFill>
                    <w14:schemeClr w14:val="tx1"/>
                  </w14:solidFill>
                </w14:textFill>
              </w:rPr>
            </w:pPr>
          </w:p>
        </w:tc>
        <w:tc>
          <w:tcPr>
            <w:tcW w:w="916" w:type="pct"/>
            <w:vAlign w:val="center"/>
          </w:tcPr>
          <w:p w14:paraId="66D23DC7">
            <w:pPr>
              <w:overflowPunct w:val="0"/>
              <w:ind w:leftChars="-1" w:hanging="1" w:hangingChars="1"/>
              <w:jc w:val="center"/>
              <w:rPr>
                <w:color w:val="000000" w:themeColor="text1"/>
                <w:sz w:val="18"/>
                <w:szCs w:val="18"/>
                <w14:textFill>
                  <w14:solidFill>
                    <w14:schemeClr w14:val="tx1"/>
                  </w14:solidFill>
                </w14:textFill>
              </w:rPr>
            </w:pPr>
          </w:p>
        </w:tc>
        <w:tc>
          <w:tcPr>
            <w:tcW w:w="831" w:type="pct"/>
            <w:vAlign w:val="center"/>
          </w:tcPr>
          <w:p w14:paraId="2A98F7E6">
            <w:pPr>
              <w:overflowPunct w:val="0"/>
              <w:ind w:firstLine="9" w:firstLineChars="5"/>
              <w:jc w:val="center"/>
              <w:rPr>
                <w:color w:val="000000" w:themeColor="text1"/>
                <w:sz w:val="18"/>
                <w:szCs w:val="18"/>
                <w14:textFill>
                  <w14:solidFill>
                    <w14:schemeClr w14:val="tx1"/>
                  </w14:solidFill>
                </w14:textFill>
              </w:rPr>
            </w:pPr>
          </w:p>
        </w:tc>
        <w:tc>
          <w:tcPr>
            <w:tcW w:w="945" w:type="pct"/>
            <w:vAlign w:val="center"/>
          </w:tcPr>
          <w:p w14:paraId="496B0F04">
            <w:pPr>
              <w:overflowPunct w:val="0"/>
              <w:jc w:val="center"/>
              <w:rPr>
                <w:color w:val="000000" w:themeColor="text1"/>
                <w:sz w:val="18"/>
                <w:szCs w:val="18"/>
                <w14:textFill>
                  <w14:solidFill>
                    <w14:schemeClr w14:val="tx1"/>
                  </w14:solidFill>
                </w14:textFill>
              </w:rPr>
            </w:pPr>
          </w:p>
        </w:tc>
      </w:tr>
      <w:tr w14:paraId="4BA332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0" w:hRule="atLeast"/>
          <w:jc w:val="center"/>
        </w:trPr>
        <w:tc>
          <w:tcPr>
            <w:tcW w:w="678" w:type="pct"/>
            <w:vMerge w:val="continue"/>
            <w:vAlign w:val="center"/>
          </w:tcPr>
          <w:p w14:paraId="4F035359">
            <w:pPr>
              <w:overflowPunct w:val="0"/>
              <w:jc w:val="center"/>
              <w:rPr>
                <w:color w:val="000000" w:themeColor="text1"/>
                <w:sz w:val="18"/>
                <w:szCs w:val="18"/>
                <w14:textFill>
                  <w14:solidFill>
                    <w14:schemeClr w14:val="tx1"/>
                  </w14:solidFill>
                </w14:textFill>
              </w:rPr>
            </w:pPr>
          </w:p>
        </w:tc>
        <w:tc>
          <w:tcPr>
            <w:tcW w:w="715" w:type="pct"/>
            <w:vAlign w:val="center"/>
          </w:tcPr>
          <w:p w14:paraId="4DA158AB">
            <w:pPr>
              <w:overflowPunct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w:t>
            </w:r>
          </w:p>
        </w:tc>
        <w:tc>
          <w:tcPr>
            <w:tcW w:w="915" w:type="pct"/>
          </w:tcPr>
          <w:p w14:paraId="41D38212">
            <w:pPr>
              <w:overflowPunct w:val="0"/>
              <w:ind w:leftChars="-1" w:hanging="1" w:hangingChars="1"/>
              <w:jc w:val="center"/>
              <w:rPr>
                <w:color w:val="000000" w:themeColor="text1"/>
                <w:sz w:val="18"/>
                <w:szCs w:val="18"/>
                <w14:textFill>
                  <w14:solidFill>
                    <w14:schemeClr w14:val="tx1"/>
                  </w14:solidFill>
                </w14:textFill>
              </w:rPr>
            </w:pPr>
          </w:p>
        </w:tc>
        <w:tc>
          <w:tcPr>
            <w:tcW w:w="916" w:type="pct"/>
            <w:vAlign w:val="center"/>
          </w:tcPr>
          <w:p w14:paraId="6A31C03B">
            <w:pPr>
              <w:overflowPunct w:val="0"/>
              <w:ind w:leftChars="-1" w:hanging="1" w:hangingChars="1"/>
              <w:jc w:val="center"/>
              <w:rPr>
                <w:color w:val="000000" w:themeColor="text1"/>
                <w:sz w:val="18"/>
                <w:szCs w:val="18"/>
                <w14:textFill>
                  <w14:solidFill>
                    <w14:schemeClr w14:val="tx1"/>
                  </w14:solidFill>
                </w14:textFill>
              </w:rPr>
            </w:pPr>
          </w:p>
        </w:tc>
        <w:tc>
          <w:tcPr>
            <w:tcW w:w="831" w:type="pct"/>
            <w:vAlign w:val="center"/>
          </w:tcPr>
          <w:p w14:paraId="11A89385">
            <w:pPr>
              <w:overflowPunct w:val="0"/>
              <w:ind w:firstLine="9" w:firstLineChars="5"/>
              <w:jc w:val="center"/>
              <w:rPr>
                <w:color w:val="000000" w:themeColor="text1"/>
                <w:sz w:val="18"/>
                <w:szCs w:val="18"/>
                <w14:textFill>
                  <w14:solidFill>
                    <w14:schemeClr w14:val="tx1"/>
                  </w14:solidFill>
                </w14:textFill>
              </w:rPr>
            </w:pPr>
          </w:p>
        </w:tc>
        <w:tc>
          <w:tcPr>
            <w:tcW w:w="945" w:type="pct"/>
            <w:vAlign w:val="center"/>
          </w:tcPr>
          <w:p w14:paraId="0B300101">
            <w:pPr>
              <w:overflowPunct w:val="0"/>
              <w:jc w:val="center"/>
              <w:rPr>
                <w:color w:val="000000" w:themeColor="text1"/>
                <w:sz w:val="18"/>
                <w:szCs w:val="18"/>
                <w14:textFill>
                  <w14:solidFill>
                    <w14:schemeClr w14:val="tx1"/>
                  </w14:solidFill>
                </w14:textFill>
              </w:rPr>
            </w:pPr>
          </w:p>
        </w:tc>
      </w:tr>
      <w:tr w14:paraId="12DCEC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0" w:hRule="atLeast"/>
          <w:jc w:val="center"/>
        </w:trPr>
        <w:tc>
          <w:tcPr>
            <w:tcW w:w="678" w:type="pct"/>
            <w:vAlign w:val="center"/>
          </w:tcPr>
          <w:p w14:paraId="4EE34EA2">
            <w:pPr>
              <w:overflowPunct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w:t>
            </w:r>
          </w:p>
        </w:tc>
        <w:tc>
          <w:tcPr>
            <w:tcW w:w="715" w:type="pct"/>
            <w:vAlign w:val="center"/>
          </w:tcPr>
          <w:p w14:paraId="014C6A7B">
            <w:pPr>
              <w:overflowPunct w:val="0"/>
              <w:jc w:val="center"/>
              <w:rPr>
                <w:color w:val="000000" w:themeColor="text1"/>
                <w:sz w:val="18"/>
                <w:szCs w:val="18"/>
                <w14:textFill>
                  <w14:solidFill>
                    <w14:schemeClr w14:val="tx1"/>
                  </w14:solidFill>
                </w14:textFill>
              </w:rPr>
            </w:pPr>
          </w:p>
        </w:tc>
        <w:tc>
          <w:tcPr>
            <w:tcW w:w="915" w:type="pct"/>
          </w:tcPr>
          <w:p w14:paraId="6B9DAB0D">
            <w:pPr>
              <w:overflowPunct w:val="0"/>
              <w:ind w:leftChars="-1" w:hanging="1" w:hangingChars="1"/>
              <w:jc w:val="center"/>
              <w:rPr>
                <w:color w:val="000000" w:themeColor="text1"/>
                <w:sz w:val="18"/>
                <w:szCs w:val="18"/>
                <w14:textFill>
                  <w14:solidFill>
                    <w14:schemeClr w14:val="tx1"/>
                  </w14:solidFill>
                </w14:textFill>
              </w:rPr>
            </w:pPr>
          </w:p>
        </w:tc>
        <w:tc>
          <w:tcPr>
            <w:tcW w:w="916" w:type="pct"/>
            <w:vAlign w:val="center"/>
          </w:tcPr>
          <w:p w14:paraId="1AB7FEAC">
            <w:pPr>
              <w:overflowPunct w:val="0"/>
              <w:ind w:leftChars="-1" w:hanging="1" w:hangingChars="1"/>
              <w:jc w:val="center"/>
              <w:rPr>
                <w:color w:val="000000" w:themeColor="text1"/>
                <w:sz w:val="18"/>
                <w:szCs w:val="18"/>
                <w14:textFill>
                  <w14:solidFill>
                    <w14:schemeClr w14:val="tx1"/>
                  </w14:solidFill>
                </w14:textFill>
              </w:rPr>
            </w:pPr>
          </w:p>
        </w:tc>
        <w:tc>
          <w:tcPr>
            <w:tcW w:w="831" w:type="pct"/>
            <w:vAlign w:val="center"/>
          </w:tcPr>
          <w:p w14:paraId="1FB1CF8C">
            <w:pPr>
              <w:overflowPunct w:val="0"/>
              <w:ind w:firstLine="9" w:firstLineChars="5"/>
              <w:jc w:val="center"/>
              <w:rPr>
                <w:color w:val="000000" w:themeColor="text1"/>
                <w:sz w:val="18"/>
                <w:szCs w:val="18"/>
                <w14:textFill>
                  <w14:solidFill>
                    <w14:schemeClr w14:val="tx1"/>
                  </w14:solidFill>
                </w14:textFill>
              </w:rPr>
            </w:pPr>
          </w:p>
        </w:tc>
        <w:tc>
          <w:tcPr>
            <w:tcW w:w="945" w:type="pct"/>
            <w:vAlign w:val="center"/>
          </w:tcPr>
          <w:p w14:paraId="0373F725">
            <w:pPr>
              <w:overflowPunct w:val="0"/>
              <w:jc w:val="center"/>
              <w:rPr>
                <w:color w:val="000000" w:themeColor="text1"/>
                <w:sz w:val="18"/>
                <w:szCs w:val="18"/>
                <w14:textFill>
                  <w14:solidFill>
                    <w14:schemeClr w14:val="tx1"/>
                  </w14:solidFill>
                </w14:textFill>
              </w:rPr>
            </w:pPr>
          </w:p>
        </w:tc>
      </w:tr>
    </w:tbl>
    <w:p w14:paraId="40615595">
      <w:pPr>
        <w:pStyle w:val="65"/>
        <w:ind w:firstLine="420"/>
      </w:pPr>
    </w:p>
    <w:p w14:paraId="711CFD48">
      <w:pPr>
        <w:pStyle w:val="5"/>
        <w:rPr>
          <w:rFonts w:hint="eastAsia"/>
        </w:rPr>
      </w:pPr>
      <w:r>
        <w:t>表</w:t>
      </w:r>
      <w:r>
        <w:rPr>
          <w:rFonts w:ascii="Times New Roman" w:hAnsi="Times New Roman"/>
        </w:rPr>
        <w:t>6</w:t>
      </w:r>
      <w:r>
        <w:t xml:space="preserve"> 天然气物性</w:t>
      </w:r>
      <w:r>
        <w:rPr>
          <w:rFonts w:hint="eastAsia"/>
        </w:rPr>
        <w:t>表</w:t>
      </w:r>
    </w:p>
    <w:tbl>
      <w:tblPr>
        <w:tblStyle w:val="36"/>
        <w:tblW w:w="4994"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15"/>
        <w:gridCol w:w="1116"/>
        <w:gridCol w:w="1263"/>
        <w:gridCol w:w="1219"/>
        <w:gridCol w:w="1229"/>
        <w:gridCol w:w="991"/>
        <w:gridCol w:w="808"/>
        <w:gridCol w:w="1169"/>
        <w:gridCol w:w="649"/>
      </w:tblGrid>
      <w:tr w14:paraId="38AE19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583" w:type="pct"/>
            <w:vAlign w:val="center"/>
          </w:tcPr>
          <w:p w14:paraId="002DB04A">
            <w:pPr>
              <w:pStyle w:val="115"/>
              <w:spacing w:line="240" w:lineRule="exact"/>
              <w:rPr>
                <w:rFonts w:hAnsi="Times New Roman"/>
                <w:b w:val="0"/>
                <w:sz w:val="18"/>
                <w:szCs w:val="21"/>
              </w:rPr>
            </w:pPr>
            <w:r>
              <w:rPr>
                <w:rFonts w:hint="eastAsia" w:hAnsi="Times New Roman"/>
                <w:b w:val="0"/>
                <w:sz w:val="18"/>
                <w:szCs w:val="21"/>
              </w:rPr>
              <w:t>项目</w:t>
            </w:r>
          </w:p>
        </w:tc>
        <w:tc>
          <w:tcPr>
            <w:tcW w:w="583" w:type="pct"/>
            <w:vAlign w:val="center"/>
          </w:tcPr>
          <w:p w14:paraId="73D0C78B">
            <w:pPr>
              <w:pStyle w:val="115"/>
              <w:spacing w:line="240" w:lineRule="exact"/>
              <w:rPr>
                <w:rFonts w:hAnsi="Times New Roman"/>
                <w:b w:val="0"/>
                <w:sz w:val="18"/>
                <w:szCs w:val="21"/>
              </w:rPr>
            </w:pPr>
            <w:r>
              <w:rPr>
                <w:rFonts w:hAnsi="Times New Roman"/>
                <w:b w:val="0"/>
                <w:sz w:val="18"/>
                <w:szCs w:val="21"/>
              </w:rPr>
              <w:t>密度</w:t>
            </w:r>
          </w:p>
          <w:p w14:paraId="2B841656">
            <w:pPr>
              <w:pStyle w:val="115"/>
              <w:spacing w:line="240" w:lineRule="exact"/>
              <w:rPr>
                <w:rFonts w:hAnsi="Times New Roman"/>
                <w:b w:val="0"/>
                <w:sz w:val="18"/>
                <w:szCs w:val="21"/>
              </w:rPr>
            </w:pPr>
            <w:r>
              <w:rPr>
                <w:rFonts w:hAnsi="Times New Roman"/>
                <w:b w:val="0"/>
                <w:sz w:val="18"/>
                <w:szCs w:val="21"/>
              </w:rPr>
              <w:t>kg/m</w:t>
            </w:r>
            <w:r>
              <w:rPr>
                <w:rFonts w:hAnsi="Times New Roman"/>
                <w:b w:val="0"/>
                <w:sz w:val="18"/>
                <w:szCs w:val="21"/>
                <w:vertAlign w:val="superscript"/>
              </w:rPr>
              <w:t>3</w:t>
            </w:r>
          </w:p>
        </w:tc>
        <w:tc>
          <w:tcPr>
            <w:tcW w:w="660" w:type="pct"/>
            <w:vAlign w:val="center"/>
          </w:tcPr>
          <w:p w14:paraId="0559A641">
            <w:pPr>
              <w:pStyle w:val="115"/>
              <w:spacing w:line="240" w:lineRule="exact"/>
              <w:rPr>
                <w:rFonts w:hAnsi="Times New Roman"/>
                <w:b w:val="0"/>
                <w:sz w:val="18"/>
                <w:szCs w:val="21"/>
              </w:rPr>
            </w:pPr>
            <w:r>
              <w:rPr>
                <w:rFonts w:hAnsi="Times New Roman"/>
                <w:b w:val="0"/>
                <w:sz w:val="18"/>
                <w:szCs w:val="21"/>
              </w:rPr>
              <w:t>高位发热量</w:t>
            </w:r>
          </w:p>
          <w:p w14:paraId="5B4BCA41">
            <w:pPr>
              <w:pStyle w:val="115"/>
              <w:spacing w:line="240" w:lineRule="exact"/>
              <w:rPr>
                <w:rFonts w:hAnsi="Times New Roman"/>
                <w:b w:val="0"/>
                <w:sz w:val="18"/>
                <w:szCs w:val="21"/>
              </w:rPr>
            </w:pPr>
            <w:r>
              <w:rPr>
                <w:rFonts w:hAnsi="Times New Roman"/>
                <w:b w:val="0"/>
                <w:sz w:val="18"/>
                <w:szCs w:val="18"/>
              </w:rPr>
              <w:t>MJ/m</w:t>
            </w:r>
            <w:r>
              <w:rPr>
                <w:rFonts w:hAnsi="Times New Roman"/>
                <w:b w:val="0"/>
                <w:sz w:val="18"/>
                <w:szCs w:val="18"/>
                <w:vertAlign w:val="superscript"/>
              </w:rPr>
              <w:t>3</w:t>
            </w:r>
          </w:p>
        </w:tc>
        <w:tc>
          <w:tcPr>
            <w:tcW w:w="637" w:type="pct"/>
            <w:vAlign w:val="center"/>
          </w:tcPr>
          <w:p w14:paraId="059AF3C3">
            <w:pPr>
              <w:pStyle w:val="115"/>
              <w:spacing w:line="240" w:lineRule="exact"/>
              <w:rPr>
                <w:rFonts w:hAnsi="Times New Roman"/>
                <w:b w:val="0"/>
                <w:sz w:val="18"/>
                <w:szCs w:val="21"/>
              </w:rPr>
            </w:pPr>
            <w:r>
              <w:rPr>
                <w:rFonts w:hAnsi="Times New Roman"/>
                <w:b w:val="0"/>
                <w:sz w:val="18"/>
                <w:szCs w:val="21"/>
              </w:rPr>
              <w:t>低位发热量</w:t>
            </w:r>
          </w:p>
          <w:p w14:paraId="248632A5">
            <w:pPr>
              <w:pStyle w:val="115"/>
              <w:spacing w:line="240" w:lineRule="exact"/>
              <w:rPr>
                <w:rFonts w:hAnsi="Times New Roman"/>
                <w:b w:val="0"/>
                <w:sz w:val="18"/>
                <w:szCs w:val="21"/>
              </w:rPr>
            </w:pPr>
            <w:r>
              <w:rPr>
                <w:rFonts w:hAnsi="Times New Roman"/>
                <w:b w:val="0"/>
                <w:sz w:val="18"/>
                <w:szCs w:val="18"/>
              </w:rPr>
              <w:t>MJ/m</w:t>
            </w:r>
            <w:r>
              <w:rPr>
                <w:rFonts w:hAnsi="Times New Roman"/>
                <w:b w:val="0"/>
                <w:sz w:val="18"/>
                <w:szCs w:val="18"/>
                <w:vertAlign w:val="superscript"/>
              </w:rPr>
              <w:t>3</w:t>
            </w:r>
          </w:p>
        </w:tc>
        <w:tc>
          <w:tcPr>
            <w:tcW w:w="642" w:type="pct"/>
            <w:vAlign w:val="center"/>
          </w:tcPr>
          <w:p w14:paraId="4B519D43">
            <w:pPr>
              <w:pStyle w:val="115"/>
              <w:spacing w:line="240" w:lineRule="exact"/>
              <w:rPr>
                <w:rFonts w:hAnsi="Times New Roman"/>
                <w:b w:val="0"/>
                <w:sz w:val="18"/>
                <w:szCs w:val="21"/>
              </w:rPr>
            </w:pPr>
            <w:r>
              <w:rPr>
                <w:rFonts w:hAnsi="Times New Roman"/>
                <w:b w:val="0"/>
                <w:sz w:val="18"/>
                <w:szCs w:val="21"/>
              </w:rPr>
              <w:t>硫化氢含量</w:t>
            </w:r>
          </w:p>
          <w:p w14:paraId="150AEB75">
            <w:pPr>
              <w:pStyle w:val="115"/>
              <w:spacing w:line="240" w:lineRule="exact"/>
              <w:rPr>
                <w:rFonts w:hAnsi="Times New Roman"/>
                <w:b w:val="0"/>
                <w:kern w:val="0"/>
                <w:sz w:val="18"/>
                <w:szCs w:val="18"/>
              </w:rPr>
            </w:pPr>
            <w:r>
              <w:rPr>
                <w:rFonts w:hAnsi="Times New Roman"/>
                <w:b w:val="0"/>
                <w:sz w:val="18"/>
                <w:szCs w:val="21"/>
              </w:rPr>
              <w:t>mg/m</w:t>
            </w:r>
            <w:r>
              <w:rPr>
                <w:rFonts w:hAnsi="Times New Roman"/>
                <w:b w:val="0"/>
                <w:sz w:val="18"/>
                <w:szCs w:val="21"/>
                <w:vertAlign w:val="superscript"/>
              </w:rPr>
              <w:t>3</w:t>
            </w:r>
          </w:p>
        </w:tc>
        <w:tc>
          <w:tcPr>
            <w:tcW w:w="518" w:type="pct"/>
            <w:vAlign w:val="center"/>
          </w:tcPr>
          <w:p w14:paraId="5EF7B25B">
            <w:pPr>
              <w:pStyle w:val="115"/>
              <w:spacing w:line="240" w:lineRule="exact"/>
              <w:rPr>
                <w:rFonts w:hAnsi="Times New Roman"/>
                <w:b w:val="0"/>
                <w:sz w:val="18"/>
                <w:szCs w:val="21"/>
              </w:rPr>
            </w:pPr>
            <w:r>
              <w:rPr>
                <w:rFonts w:hAnsi="Times New Roman"/>
                <w:b w:val="0"/>
                <w:sz w:val="18"/>
                <w:szCs w:val="21"/>
              </w:rPr>
              <w:t>总硫含量</w:t>
            </w:r>
          </w:p>
          <w:p w14:paraId="5F823881">
            <w:pPr>
              <w:pStyle w:val="115"/>
              <w:spacing w:line="240" w:lineRule="exact"/>
              <w:rPr>
                <w:rFonts w:hAnsi="Times New Roman"/>
                <w:b w:val="0"/>
                <w:kern w:val="0"/>
                <w:sz w:val="18"/>
                <w:szCs w:val="18"/>
              </w:rPr>
            </w:pPr>
            <w:r>
              <w:rPr>
                <w:rFonts w:hAnsi="Times New Roman"/>
                <w:b w:val="0"/>
                <w:sz w:val="18"/>
                <w:szCs w:val="21"/>
              </w:rPr>
              <w:t>mg/m</w:t>
            </w:r>
            <w:r>
              <w:rPr>
                <w:rFonts w:hAnsi="Times New Roman"/>
                <w:b w:val="0"/>
                <w:sz w:val="18"/>
                <w:szCs w:val="21"/>
                <w:vertAlign w:val="superscript"/>
              </w:rPr>
              <w:t>3</w:t>
            </w:r>
          </w:p>
        </w:tc>
        <w:tc>
          <w:tcPr>
            <w:tcW w:w="422" w:type="pct"/>
            <w:vAlign w:val="center"/>
          </w:tcPr>
          <w:p w14:paraId="21BE98D6">
            <w:pPr>
              <w:pStyle w:val="115"/>
              <w:spacing w:line="240" w:lineRule="exact"/>
              <w:rPr>
                <w:rFonts w:hAnsi="Times New Roman"/>
                <w:b w:val="0"/>
                <w:sz w:val="18"/>
                <w:szCs w:val="21"/>
              </w:rPr>
            </w:pPr>
            <w:r>
              <w:rPr>
                <w:rFonts w:hAnsi="Times New Roman"/>
                <w:b w:val="0"/>
                <w:sz w:val="18"/>
                <w:szCs w:val="21"/>
              </w:rPr>
              <w:t>烃露点</w:t>
            </w:r>
          </w:p>
          <w:p w14:paraId="27FA19C4">
            <w:pPr>
              <w:pStyle w:val="115"/>
              <w:spacing w:line="240" w:lineRule="exact"/>
              <w:rPr>
                <w:rFonts w:hAnsi="Times New Roman"/>
                <w:b w:val="0"/>
                <w:sz w:val="18"/>
                <w:szCs w:val="21"/>
              </w:rPr>
            </w:pPr>
            <w:r>
              <w:rPr>
                <w:rFonts w:hAnsi="Times New Roman"/>
                <w:b w:val="0"/>
                <w:kern w:val="0"/>
                <w:sz w:val="18"/>
                <w:szCs w:val="18"/>
              </w:rPr>
              <w:t>℃</w:t>
            </w:r>
          </w:p>
        </w:tc>
        <w:tc>
          <w:tcPr>
            <w:tcW w:w="611" w:type="pct"/>
            <w:vAlign w:val="center"/>
          </w:tcPr>
          <w:p w14:paraId="40BB4DBE">
            <w:pPr>
              <w:pStyle w:val="115"/>
              <w:spacing w:line="240" w:lineRule="exact"/>
              <w:rPr>
                <w:rFonts w:hAnsi="Times New Roman"/>
                <w:b w:val="0"/>
                <w:sz w:val="18"/>
                <w:szCs w:val="21"/>
              </w:rPr>
            </w:pPr>
            <w:r>
              <w:rPr>
                <w:rFonts w:hAnsi="Times New Roman"/>
                <w:b w:val="0"/>
                <w:sz w:val="18"/>
                <w:szCs w:val="21"/>
              </w:rPr>
              <w:t>水露点</w:t>
            </w:r>
          </w:p>
          <w:p w14:paraId="6CA24E2F">
            <w:pPr>
              <w:pStyle w:val="115"/>
              <w:spacing w:line="240" w:lineRule="exact"/>
              <w:rPr>
                <w:rFonts w:hAnsi="Times New Roman"/>
                <w:b w:val="0"/>
                <w:sz w:val="18"/>
                <w:szCs w:val="21"/>
              </w:rPr>
            </w:pPr>
            <w:r>
              <w:rPr>
                <w:rFonts w:hAnsi="Times New Roman"/>
                <w:b w:val="0"/>
                <w:kern w:val="0"/>
                <w:sz w:val="18"/>
                <w:szCs w:val="18"/>
              </w:rPr>
              <w:t>℃</w:t>
            </w:r>
          </w:p>
        </w:tc>
        <w:tc>
          <w:tcPr>
            <w:tcW w:w="339" w:type="pct"/>
            <w:vAlign w:val="center"/>
          </w:tcPr>
          <w:p w14:paraId="299E4AF3">
            <w:pPr>
              <w:pStyle w:val="115"/>
              <w:spacing w:line="240" w:lineRule="exact"/>
              <w:rPr>
                <w:rFonts w:hAnsi="Times New Roman"/>
                <w:b w:val="0"/>
                <w:sz w:val="18"/>
                <w:szCs w:val="21"/>
              </w:rPr>
            </w:pPr>
            <w:r>
              <w:rPr>
                <w:rFonts w:hAnsi="Times New Roman"/>
                <w:b w:val="0"/>
                <w:sz w:val="18"/>
                <w:szCs w:val="21"/>
              </w:rPr>
              <w:t>…</w:t>
            </w:r>
          </w:p>
        </w:tc>
      </w:tr>
      <w:tr w14:paraId="277B44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exact"/>
          <w:jc w:val="center"/>
        </w:trPr>
        <w:tc>
          <w:tcPr>
            <w:tcW w:w="583" w:type="pct"/>
            <w:vAlign w:val="center"/>
          </w:tcPr>
          <w:p w14:paraId="0A04F514">
            <w:pPr>
              <w:pStyle w:val="115"/>
              <w:spacing w:line="240" w:lineRule="exact"/>
              <w:rPr>
                <w:rFonts w:hAnsi="Times New Roman"/>
                <w:b w:val="0"/>
                <w:sz w:val="18"/>
                <w:szCs w:val="21"/>
              </w:rPr>
            </w:pPr>
            <w:r>
              <w:rPr>
                <w:rFonts w:hint="eastAsia" w:hAnsi="Times New Roman"/>
                <w:b w:val="0"/>
                <w:sz w:val="18"/>
                <w:szCs w:val="21"/>
              </w:rPr>
              <w:t>××</w:t>
            </w:r>
            <w:r>
              <w:rPr>
                <w:rFonts w:hAnsi="Times New Roman"/>
                <w:b w:val="0"/>
                <w:sz w:val="18"/>
                <w:szCs w:val="21"/>
              </w:rPr>
              <w:t>气源</w:t>
            </w:r>
          </w:p>
        </w:tc>
        <w:tc>
          <w:tcPr>
            <w:tcW w:w="583" w:type="pct"/>
            <w:vAlign w:val="center"/>
          </w:tcPr>
          <w:p w14:paraId="7B3AA773">
            <w:pPr>
              <w:pStyle w:val="115"/>
              <w:spacing w:line="240" w:lineRule="exact"/>
              <w:rPr>
                <w:rFonts w:hAnsi="Times New Roman"/>
                <w:b w:val="0"/>
                <w:sz w:val="18"/>
                <w:szCs w:val="21"/>
              </w:rPr>
            </w:pPr>
          </w:p>
          <w:p w14:paraId="1436E6E8">
            <w:pPr>
              <w:spacing w:line="240" w:lineRule="exact"/>
              <w:jc w:val="center"/>
            </w:pPr>
          </w:p>
        </w:tc>
        <w:tc>
          <w:tcPr>
            <w:tcW w:w="660" w:type="pct"/>
            <w:vAlign w:val="center"/>
          </w:tcPr>
          <w:p w14:paraId="19451D23">
            <w:pPr>
              <w:pStyle w:val="115"/>
              <w:spacing w:line="240" w:lineRule="exact"/>
              <w:rPr>
                <w:rFonts w:hAnsi="Times New Roman"/>
                <w:b w:val="0"/>
                <w:sz w:val="18"/>
                <w:szCs w:val="21"/>
              </w:rPr>
            </w:pPr>
          </w:p>
        </w:tc>
        <w:tc>
          <w:tcPr>
            <w:tcW w:w="637" w:type="pct"/>
            <w:vAlign w:val="center"/>
          </w:tcPr>
          <w:p w14:paraId="0B7B8CCD">
            <w:pPr>
              <w:pStyle w:val="115"/>
              <w:spacing w:line="240" w:lineRule="exact"/>
              <w:rPr>
                <w:rFonts w:hAnsi="Times New Roman"/>
                <w:b w:val="0"/>
                <w:sz w:val="18"/>
                <w:szCs w:val="21"/>
              </w:rPr>
            </w:pPr>
          </w:p>
        </w:tc>
        <w:tc>
          <w:tcPr>
            <w:tcW w:w="642" w:type="pct"/>
            <w:vAlign w:val="center"/>
          </w:tcPr>
          <w:p w14:paraId="1DD55A15">
            <w:pPr>
              <w:pStyle w:val="115"/>
              <w:spacing w:line="240" w:lineRule="exact"/>
              <w:rPr>
                <w:rFonts w:hAnsi="Times New Roman"/>
                <w:b w:val="0"/>
                <w:sz w:val="18"/>
                <w:szCs w:val="21"/>
                <w:highlight w:val="yellow"/>
              </w:rPr>
            </w:pPr>
          </w:p>
        </w:tc>
        <w:tc>
          <w:tcPr>
            <w:tcW w:w="518" w:type="pct"/>
            <w:vAlign w:val="center"/>
          </w:tcPr>
          <w:p w14:paraId="1CEDA7A8">
            <w:pPr>
              <w:pStyle w:val="115"/>
              <w:spacing w:line="240" w:lineRule="exact"/>
              <w:rPr>
                <w:rFonts w:hAnsi="Times New Roman"/>
                <w:b w:val="0"/>
                <w:sz w:val="18"/>
                <w:szCs w:val="21"/>
                <w:highlight w:val="yellow"/>
              </w:rPr>
            </w:pPr>
          </w:p>
        </w:tc>
        <w:tc>
          <w:tcPr>
            <w:tcW w:w="422" w:type="pct"/>
            <w:vAlign w:val="center"/>
          </w:tcPr>
          <w:p w14:paraId="64458B35">
            <w:pPr>
              <w:pStyle w:val="115"/>
              <w:spacing w:line="240" w:lineRule="exact"/>
              <w:rPr>
                <w:rFonts w:hAnsi="Times New Roman"/>
                <w:b w:val="0"/>
                <w:sz w:val="18"/>
                <w:szCs w:val="21"/>
              </w:rPr>
            </w:pPr>
          </w:p>
        </w:tc>
        <w:tc>
          <w:tcPr>
            <w:tcW w:w="611" w:type="pct"/>
            <w:vAlign w:val="center"/>
          </w:tcPr>
          <w:p w14:paraId="5AFA4C6A">
            <w:pPr>
              <w:pStyle w:val="115"/>
              <w:spacing w:line="240" w:lineRule="exact"/>
              <w:rPr>
                <w:rFonts w:hAnsi="Times New Roman"/>
                <w:b w:val="0"/>
                <w:sz w:val="18"/>
                <w:szCs w:val="21"/>
              </w:rPr>
            </w:pPr>
          </w:p>
        </w:tc>
        <w:tc>
          <w:tcPr>
            <w:tcW w:w="339" w:type="pct"/>
            <w:vAlign w:val="center"/>
          </w:tcPr>
          <w:p w14:paraId="4F526862">
            <w:pPr>
              <w:pStyle w:val="115"/>
              <w:spacing w:line="240" w:lineRule="exact"/>
              <w:rPr>
                <w:rFonts w:hAnsi="Times New Roman"/>
                <w:b w:val="0"/>
                <w:sz w:val="18"/>
                <w:szCs w:val="21"/>
              </w:rPr>
            </w:pPr>
          </w:p>
        </w:tc>
      </w:tr>
      <w:tr w14:paraId="6D98DD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exact"/>
          <w:jc w:val="center"/>
        </w:trPr>
        <w:tc>
          <w:tcPr>
            <w:tcW w:w="583" w:type="pct"/>
            <w:vAlign w:val="center"/>
          </w:tcPr>
          <w:p w14:paraId="3EF9245B">
            <w:pPr>
              <w:pStyle w:val="115"/>
              <w:spacing w:line="240" w:lineRule="exact"/>
              <w:rPr>
                <w:rFonts w:hAnsi="Times New Roman"/>
                <w:b w:val="0"/>
                <w:sz w:val="18"/>
                <w:szCs w:val="21"/>
              </w:rPr>
            </w:pPr>
            <w:r>
              <w:rPr>
                <w:rFonts w:hAnsi="Times New Roman"/>
                <w:kern w:val="0"/>
                <w:sz w:val="18"/>
                <w:szCs w:val="18"/>
              </w:rPr>
              <w:t>…</w:t>
            </w:r>
          </w:p>
        </w:tc>
        <w:tc>
          <w:tcPr>
            <w:tcW w:w="583" w:type="pct"/>
            <w:vAlign w:val="center"/>
          </w:tcPr>
          <w:p w14:paraId="76F488BA">
            <w:pPr>
              <w:pStyle w:val="115"/>
              <w:spacing w:line="240" w:lineRule="exact"/>
              <w:rPr>
                <w:rFonts w:hAnsi="Times New Roman"/>
                <w:b w:val="0"/>
                <w:sz w:val="18"/>
                <w:szCs w:val="21"/>
              </w:rPr>
            </w:pPr>
          </w:p>
        </w:tc>
        <w:tc>
          <w:tcPr>
            <w:tcW w:w="660" w:type="pct"/>
            <w:vAlign w:val="center"/>
          </w:tcPr>
          <w:p w14:paraId="1E2E4753">
            <w:pPr>
              <w:pStyle w:val="115"/>
              <w:spacing w:line="240" w:lineRule="exact"/>
              <w:rPr>
                <w:rFonts w:hAnsi="Times New Roman"/>
                <w:b w:val="0"/>
                <w:sz w:val="18"/>
                <w:szCs w:val="21"/>
              </w:rPr>
            </w:pPr>
          </w:p>
        </w:tc>
        <w:tc>
          <w:tcPr>
            <w:tcW w:w="637" w:type="pct"/>
            <w:vAlign w:val="center"/>
          </w:tcPr>
          <w:p w14:paraId="70730973">
            <w:pPr>
              <w:pStyle w:val="115"/>
              <w:spacing w:line="240" w:lineRule="exact"/>
              <w:rPr>
                <w:rFonts w:hAnsi="Times New Roman"/>
                <w:b w:val="0"/>
                <w:sz w:val="18"/>
                <w:szCs w:val="21"/>
              </w:rPr>
            </w:pPr>
          </w:p>
        </w:tc>
        <w:tc>
          <w:tcPr>
            <w:tcW w:w="642" w:type="pct"/>
            <w:vAlign w:val="center"/>
          </w:tcPr>
          <w:p w14:paraId="083E79DD">
            <w:pPr>
              <w:pStyle w:val="115"/>
              <w:spacing w:line="240" w:lineRule="exact"/>
              <w:rPr>
                <w:rFonts w:hAnsi="Times New Roman"/>
                <w:b w:val="0"/>
                <w:sz w:val="18"/>
                <w:szCs w:val="21"/>
                <w:highlight w:val="yellow"/>
              </w:rPr>
            </w:pPr>
          </w:p>
        </w:tc>
        <w:tc>
          <w:tcPr>
            <w:tcW w:w="518" w:type="pct"/>
            <w:vAlign w:val="center"/>
          </w:tcPr>
          <w:p w14:paraId="5FD5DB24">
            <w:pPr>
              <w:pStyle w:val="115"/>
              <w:spacing w:line="240" w:lineRule="exact"/>
              <w:rPr>
                <w:rFonts w:hAnsi="Times New Roman"/>
                <w:b w:val="0"/>
                <w:sz w:val="18"/>
                <w:szCs w:val="21"/>
                <w:highlight w:val="yellow"/>
              </w:rPr>
            </w:pPr>
          </w:p>
        </w:tc>
        <w:tc>
          <w:tcPr>
            <w:tcW w:w="422" w:type="pct"/>
            <w:vAlign w:val="center"/>
          </w:tcPr>
          <w:p w14:paraId="2A44D556">
            <w:pPr>
              <w:pStyle w:val="115"/>
              <w:spacing w:line="240" w:lineRule="exact"/>
              <w:rPr>
                <w:rFonts w:hAnsi="Times New Roman"/>
                <w:b w:val="0"/>
                <w:sz w:val="18"/>
                <w:szCs w:val="21"/>
              </w:rPr>
            </w:pPr>
          </w:p>
        </w:tc>
        <w:tc>
          <w:tcPr>
            <w:tcW w:w="611" w:type="pct"/>
            <w:vAlign w:val="center"/>
          </w:tcPr>
          <w:p w14:paraId="2DB9153E">
            <w:pPr>
              <w:pStyle w:val="115"/>
              <w:spacing w:line="240" w:lineRule="exact"/>
              <w:rPr>
                <w:rFonts w:hAnsi="Times New Roman"/>
                <w:b w:val="0"/>
                <w:sz w:val="18"/>
                <w:szCs w:val="21"/>
              </w:rPr>
            </w:pPr>
          </w:p>
        </w:tc>
        <w:tc>
          <w:tcPr>
            <w:tcW w:w="339" w:type="pct"/>
            <w:vAlign w:val="center"/>
          </w:tcPr>
          <w:p w14:paraId="3070AC90">
            <w:pPr>
              <w:pStyle w:val="115"/>
              <w:spacing w:line="240" w:lineRule="exact"/>
              <w:rPr>
                <w:rFonts w:hAnsi="Times New Roman"/>
                <w:b w:val="0"/>
                <w:sz w:val="18"/>
                <w:szCs w:val="21"/>
              </w:rPr>
            </w:pPr>
          </w:p>
        </w:tc>
      </w:tr>
    </w:tbl>
    <w:p w14:paraId="1C6D4216"/>
    <w:p w14:paraId="268D0B74">
      <w:pPr>
        <w:pStyle w:val="5"/>
        <w:rPr>
          <w:rFonts w:hint="eastAsia"/>
        </w:rPr>
      </w:pPr>
      <w:r>
        <w:t>表</w:t>
      </w:r>
      <w:r>
        <w:rPr>
          <w:rFonts w:ascii="Times New Roman" w:hAnsi="Times New Roman"/>
        </w:rPr>
        <w:t>7</w:t>
      </w:r>
      <w:r>
        <w:t xml:space="preserve"> 天然气组分</w:t>
      </w:r>
      <w:r>
        <w:rPr>
          <w:rFonts w:hint="eastAsia"/>
        </w:rPr>
        <w:t>表</w:t>
      </w:r>
    </w:p>
    <w:tbl>
      <w:tblPr>
        <w:tblStyle w:val="3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83"/>
        <w:gridCol w:w="781"/>
        <w:gridCol w:w="781"/>
        <w:gridCol w:w="781"/>
        <w:gridCol w:w="781"/>
        <w:gridCol w:w="781"/>
        <w:gridCol w:w="781"/>
        <w:gridCol w:w="781"/>
        <w:gridCol w:w="781"/>
        <w:gridCol w:w="781"/>
        <w:gridCol w:w="781"/>
        <w:gridCol w:w="777"/>
      </w:tblGrid>
      <w:tr w14:paraId="25F000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1" w:hRule="exact"/>
          <w:jc w:val="center"/>
        </w:trPr>
        <w:tc>
          <w:tcPr>
            <w:tcW w:w="514" w:type="pct"/>
            <w:vAlign w:val="center"/>
          </w:tcPr>
          <w:p w14:paraId="0BFD233B">
            <w:pPr>
              <w:pStyle w:val="115"/>
              <w:spacing w:line="240" w:lineRule="auto"/>
              <w:rPr>
                <w:rFonts w:hAnsi="Times New Roman"/>
                <w:b w:val="0"/>
                <w:color w:val="000000" w:themeColor="text1"/>
                <w:sz w:val="18"/>
                <w:szCs w:val="21"/>
                <w14:textFill>
                  <w14:solidFill>
                    <w14:schemeClr w14:val="tx1"/>
                  </w14:solidFill>
                </w14:textFill>
              </w:rPr>
            </w:pPr>
            <w:r>
              <w:rPr>
                <w:rFonts w:hint="eastAsia" w:hAnsi="Times New Roman"/>
                <w:b w:val="0"/>
                <w:color w:val="000000" w:themeColor="text1"/>
                <w:sz w:val="18"/>
                <w:szCs w:val="21"/>
                <w14:textFill>
                  <w14:solidFill>
                    <w14:schemeClr w14:val="tx1"/>
                  </w14:solidFill>
                </w14:textFill>
              </w:rPr>
              <w:t>m</w:t>
            </w:r>
            <w:r>
              <w:rPr>
                <w:rFonts w:hAnsi="Times New Roman"/>
                <w:b w:val="0"/>
                <w:color w:val="000000" w:themeColor="text1"/>
                <w:sz w:val="18"/>
                <w:szCs w:val="21"/>
                <w14:textFill>
                  <w14:solidFill>
                    <w14:schemeClr w14:val="tx1"/>
                  </w14:solidFill>
                </w14:textFill>
              </w:rPr>
              <w:t>ol</w:t>
            </w:r>
            <w:r>
              <w:rPr>
                <w:rFonts w:hint="eastAsia" w:hAnsi="Times New Roman"/>
                <w:b w:val="0"/>
                <w:color w:val="000000" w:themeColor="text1"/>
                <w:sz w:val="18"/>
                <w:szCs w:val="21"/>
                <w14:textFill>
                  <w14:solidFill>
                    <w14:schemeClr w14:val="tx1"/>
                  </w14:solidFill>
                </w14:textFill>
              </w:rPr>
              <w:t>组分</w:t>
            </w:r>
            <w:r>
              <w:rPr>
                <w:rFonts w:hAnsi="Times New Roman"/>
                <w:b w:val="0"/>
                <w:color w:val="000000" w:themeColor="text1"/>
                <w:sz w:val="18"/>
                <w:szCs w:val="21"/>
                <w14:textFill>
                  <w14:solidFill>
                    <w14:schemeClr w14:val="tx1"/>
                  </w14:solidFill>
                </w14:textFill>
              </w:rPr>
              <w:t>/%</w:t>
            </w:r>
          </w:p>
        </w:tc>
        <w:tc>
          <w:tcPr>
            <w:tcW w:w="408" w:type="pct"/>
            <w:vAlign w:val="center"/>
          </w:tcPr>
          <w:p w14:paraId="093D49DB">
            <w:pPr>
              <w:pStyle w:val="115"/>
              <w:rPr>
                <w:rFonts w:hAnsi="Times New Roman"/>
                <w:b w:val="0"/>
                <w:color w:val="000000" w:themeColor="text1"/>
                <w:sz w:val="18"/>
                <w:szCs w:val="21"/>
                <w14:textFill>
                  <w14:solidFill>
                    <w14:schemeClr w14:val="tx1"/>
                  </w14:solidFill>
                </w14:textFill>
              </w:rPr>
            </w:pPr>
            <w:r>
              <w:rPr>
                <w:rFonts w:hAnsi="Times New Roman"/>
                <w:b w:val="0"/>
                <w:color w:val="000000" w:themeColor="text1"/>
                <w:sz w:val="18"/>
                <w:szCs w:val="21"/>
                <w14:textFill>
                  <w14:solidFill>
                    <w14:schemeClr w14:val="tx1"/>
                  </w14:solidFill>
                </w14:textFill>
              </w:rPr>
              <w:t>C</w:t>
            </w:r>
            <w:r>
              <w:rPr>
                <w:rFonts w:hAnsi="Times New Roman"/>
                <w:b w:val="0"/>
                <w:color w:val="000000" w:themeColor="text1"/>
                <w:sz w:val="18"/>
                <w:szCs w:val="21"/>
                <w:vertAlign w:val="subscript"/>
                <w14:textFill>
                  <w14:solidFill>
                    <w14:schemeClr w14:val="tx1"/>
                  </w14:solidFill>
                </w14:textFill>
              </w:rPr>
              <w:t>1</w:t>
            </w:r>
          </w:p>
        </w:tc>
        <w:tc>
          <w:tcPr>
            <w:tcW w:w="408" w:type="pct"/>
            <w:vAlign w:val="center"/>
          </w:tcPr>
          <w:p w14:paraId="0F470B9C">
            <w:pPr>
              <w:pStyle w:val="115"/>
              <w:rPr>
                <w:rFonts w:hAnsi="Times New Roman"/>
                <w:b w:val="0"/>
                <w:color w:val="000000" w:themeColor="text1"/>
                <w:sz w:val="18"/>
                <w:szCs w:val="21"/>
                <w14:textFill>
                  <w14:solidFill>
                    <w14:schemeClr w14:val="tx1"/>
                  </w14:solidFill>
                </w14:textFill>
              </w:rPr>
            </w:pPr>
            <w:r>
              <w:rPr>
                <w:rFonts w:hAnsi="Times New Roman"/>
                <w:b w:val="0"/>
                <w:color w:val="000000" w:themeColor="text1"/>
                <w:sz w:val="18"/>
                <w:szCs w:val="21"/>
                <w14:textFill>
                  <w14:solidFill>
                    <w14:schemeClr w14:val="tx1"/>
                  </w14:solidFill>
                </w14:textFill>
              </w:rPr>
              <w:t>C</w:t>
            </w:r>
            <w:r>
              <w:rPr>
                <w:rFonts w:hAnsi="Times New Roman"/>
                <w:b w:val="0"/>
                <w:color w:val="000000" w:themeColor="text1"/>
                <w:sz w:val="18"/>
                <w:szCs w:val="21"/>
                <w:vertAlign w:val="subscript"/>
                <w14:textFill>
                  <w14:solidFill>
                    <w14:schemeClr w14:val="tx1"/>
                  </w14:solidFill>
                </w14:textFill>
              </w:rPr>
              <w:t>2</w:t>
            </w:r>
          </w:p>
        </w:tc>
        <w:tc>
          <w:tcPr>
            <w:tcW w:w="408" w:type="pct"/>
            <w:vAlign w:val="center"/>
          </w:tcPr>
          <w:p w14:paraId="33952A3A">
            <w:pPr>
              <w:pStyle w:val="115"/>
              <w:rPr>
                <w:rFonts w:hAnsi="Times New Roman"/>
                <w:b w:val="0"/>
                <w:color w:val="000000" w:themeColor="text1"/>
                <w:sz w:val="18"/>
                <w:szCs w:val="21"/>
                <w14:textFill>
                  <w14:solidFill>
                    <w14:schemeClr w14:val="tx1"/>
                  </w14:solidFill>
                </w14:textFill>
              </w:rPr>
            </w:pPr>
            <w:r>
              <w:rPr>
                <w:rFonts w:hAnsi="Times New Roman"/>
                <w:b w:val="0"/>
                <w:color w:val="000000" w:themeColor="text1"/>
                <w:sz w:val="18"/>
                <w:szCs w:val="21"/>
                <w14:textFill>
                  <w14:solidFill>
                    <w14:schemeClr w14:val="tx1"/>
                  </w14:solidFill>
                </w14:textFill>
              </w:rPr>
              <w:t>C</w:t>
            </w:r>
            <w:r>
              <w:rPr>
                <w:rFonts w:hAnsi="Times New Roman"/>
                <w:b w:val="0"/>
                <w:color w:val="000000" w:themeColor="text1"/>
                <w:sz w:val="18"/>
                <w:szCs w:val="21"/>
                <w:vertAlign w:val="subscript"/>
                <w14:textFill>
                  <w14:solidFill>
                    <w14:schemeClr w14:val="tx1"/>
                  </w14:solidFill>
                </w14:textFill>
              </w:rPr>
              <w:t>3</w:t>
            </w:r>
          </w:p>
        </w:tc>
        <w:tc>
          <w:tcPr>
            <w:tcW w:w="408" w:type="pct"/>
            <w:vAlign w:val="center"/>
          </w:tcPr>
          <w:p w14:paraId="7C81C2A4">
            <w:pPr>
              <w:pStyle w:val="115"/>
              <w:rPr>
                <w:rFonts w:hAnsi="Times New Roman"/>
                <w:b w:val="0"/>
                <w:color w:val="000000" w:themeColor="text1"/>
                <w:sz w:val="18"/>
                <w:szCs w:val="21"/>
                <w14:textFill>
                  <w14:solidFill>
                    <w14:schemeClr w14:val="tx1"/>
                  </w14:solidFill>
                </w14:textFill>
              </w:rPr>
            </w:pPr>
            <w:r>
              <w:rPr>
                <w:rFonts w:hAnsi="Times New Roman"/>
                <w:b w:val="0"/>
                <w:color w:val="000000" w:themeColor="text1"/>
                <w:sz w:val="18"/>
                <w:szCs w:val="21"/>
                <w14:textFill>
                  <w14:solidFill>
                    <w14:schemeClr w14:val="tx1"/>
                  </w14:solidFill>
                </w14:textFill>
              </w:rPr>
              <w:t>iC</w:t>
            </w:r>
            <w:r>
              <w:rPr>
                <w:rFonts w:hAnsi="Times New Roman"/>
                <w:b w:val="0"/>
                <w:color w:val="000000" w:themeColor="text1"/>
                <w:sz w:val="18"/>
                <w:szCs w:val="21"/>
                <w:vertAlign w:val="subscript"/>
                <w14:textFill>
                  <w14:solidFill>
                    <w14:schemeClr w14:val="tx1"/>
                  </w14:solidFill>
                </w14:textFill>
              </w:rPr>
              <w:t>4</w:t>
            </w:r>
          </w:p>
        </w:tc>
        <w:tc>
          <w:tcPr>
            <w:tcW w:w="408" w:type="pct"/>
            <w:vAlign w:val="center"/>
          </w:tcPr>
          <w:p w14:paraId="19150A09">
            <w:pPr>
              <w:pStyle w:val="115"/>
              <w:rPr>
                <w:rFonts w:hAnsi="Times New Roman"/>
                <w:b w:val="0"/>
                <w:color w:val="000000" w:themeColor="text1"/>
                <w:sz w:val="18"/>
                <w:szCs w:val="21"/>
                <w14:textFill>
                  <w14:solidFill>
                    <w14:schemeClr w14:val="tx1"/>
                  </w14:solidFill>
                </w14:textFill>
              </w:rPr>
            </w:pPr>
            <w:r>
              <w:rPr>
                <w:rFonts w:hAnsi="Times New Roman"/>
                <w:b w:val="0"/>
                <w:color w:val="000000" w:themeColor="text1"/>
                <w:sz w:val="18"/>
                <w:szCs w:val="21"/>
                <w14:textFill>
                  <w14:solidFill>
                    <w14:schemeClr w14:val="tx1"/>
                  </w14:solidFill>
                </w14:textFill>
              </w:rPr>
              <w:t>nC</w:t>
            </w:r>
            <w:r>
              <w:rPr>
                <w:rFonts w:hAnsi="Times New Roman"/>
                <w:b w:val="0"/>
                <w:color w:val="000000" w:themeColor="text1"/>
                <w:sz w:val="18"/>
                <w:szCs w:val="21"/>
                <w:vertAlign w:val="subscript"/>
                <w14:textFill>
                  <w14:solidFill>
                    <w14:schemeClr w14:val="tx1"/>
                  </w14:solidFill>
                </w14:textFill>
              </w:rPr>
              <w:t>4</w:t>
            </w:r>
          </w:p>
        </w:tc>
        <w:tc>
          <w:tcPr>
            <w:tcW w:w="408" w:type="pct"/>
            <w:vAlign w:val="center"/>
          </w:tcPr>
          <w:p w14:paraId="572EC9DE">
            <w:pPr>
              <w:pStyle w:val="115"/>
              <w:rPr>
                <w:rFonts w:hAnsi="Times New Roman"/>
                <w:b w:val="0"/>
                <w:color w:val="000000" w:themeColor="text1"/>
                <w:sz w:val="18"/>
                <w:szCs w:val="21"/>
                <w14:textFill>
                  <w14:solidFill>
                    <w14:schemeClr w14:val="tx1"/>
                  </w14:solidFill>
                </w14:textFill>
              </w:rPr>
            </w:pPr>
            <w:r>
              <w:rPr>
                <w:rFonts w:hAnsi="Times New Roman"/>
                <w:b w:val="0"/>
                <w:color w:val="000000" w:themeColor="text1"/>
                <w:sz w:val="18"/>
                <w:szCs w:val="21"/>
                <w14:textFill>
                  <w14:solidFill>
                    <w14:schemeClr w14:val="tx1"/>
                  </w14:solidFill>
                </w14:textFill>
              </w:rPr>
              <w:t>N</w:t>
            </w:r>
            <w:r>
              <w:rPr>
                <w:rFonts w:hAnsi="Times New Roman"/>
                <w:b w:val="0"/>
                <w:color w:val="000000" w:themeColor="text1"/>
                <w:sz w:val="18"/>
                <w:szCs w:val="21"/>
                <w:vertAlign w:val="subscript"/>
                <w14:textFill>
                  <w14:solidFill>
                    <w14:schemeClr w14:val="tx1"/>
                  </w14:solidFill>
                </w14:textFill>
              </w:rPr>
              <w:t>2</w:t>
            </w:r>
          </w:p>
        </w:tc>
        <w:tc>
          <w:tcPr>
            <w:tcW w:w="408" w:type="pct"/>
            <w:vAlign w:val="center"/>
          </w:tcPr>
          <w:p w14:paraId="3903383E">
            <w:pPr>
              <w:pStyle w:val="115"/>
              <w:rPr>
                <w:rFonts w:hAnsi="Times New Roman"/>
                <w:b w:val="0"/>
                <w:color w:val="000000" w:themeColor="text1"/>
                <w:sz w:val="18"/>
                <w:szCs w:val="21"/>
                <w14:textFill>
                  <w14:solidFill>
                    <w14:schemeClr w14:val="tx1"/>
                  </w14:solidFill>
                </w14:textFill>
              </w:rPr>
            </w:pPr>
            <w:r>
              <w:rPr>
                <w:rFonts w:hAnsi="Times New Roman"/>
                <w:b w:val="0"/>
                <w:color w:val="000000" w:themeColor="text1"/>
                <w:sz w:val="18"/>
                <w:szCs w:val="21"/>
                <w14:textFill>
                  <w14:solidFill>
                    <w14:schemeClr w14:val="tx1"/>
                  </w14:solidFill>
                </w14:textFill>
              </w:rPr>
              <w:t>CO</w:t>
            </w:r>
            <w:r>
              <w:rPr>
                <w:rFonts w:hAnsi="Times New Roman"/>
                <w:b w:val="0"/>
                <w:color w:val="000000" w:themeColor="text1"/>
                <w:sz w:val="18"/>
                <w:szCs w:val="21"/>
                <w:vertAlign w:val="subscript"/>
                <w14:textFill>
                  <w14:solidFill>
                    <w14:schemeClr w14:val="tx1"/>
                  </w14:solidFill>
                </w14:textFill>
              </w:rPr>
              <w:t>2</w:t>
            </w:r>
          </w:p>
        </w:tc>
        <w:tc>
          <w:tcPr>
            <w:tcW w:w="408" w:type="pct"/>
            <w:vAlign w:val="center"/>
          </w:tcPr>
          <w:p w14:paraId="4B918042">
            <w:pPr>
              <w:pStyle w:val="115"/>
              <w:rPr>
                <w:rFonts w:hAnsi="Times New Roman"/>
                <w:b w:val="0"/>
                <w:color w:val="000000" w:themeColor="text1"/>
                <w:sz w:val="18"/>
                <w:szCs w:val="21"/>
                <w14:textFill>
                  <w14:solidFill>
                    <w14:schemeClr w14:val="tx1"/>
                  </w14:solidFill>
                </w14:textFill>
              </w:rPr>
            </w:pPr>
            <w:r>
              <w:rPr>
                <w:rFonts w:hAnsi="Times New Roman"/>
                <w:b w:val="0"/>
                <w:color w:val="000000" w:themeColor="text1"/>
                <w:sz w:val="18"/>
                <w:szCs w:val="21"/>
                <w14:textFill>
                  <w14:solidFill>
                    <w14:schemeClr w14:val="tx1"/>
                  </w14:solidFill>
                </w14:textFill>
              </w:rPr>
              <w:t>H</w:t>
            </w:r>
            <w:r>
              <w:rPr>
                <w:rFonts w:hAnsi="Times New Roman"/>
                <w:b w:val="0"/>
                <w:color w:val="000000" w:themeColor="text1"/>
                <w:sz w:val="18"/>
                <w:szCs w:val="21"/>
                <w:vertAlign w:val="subscript"/>
                <w14:textFill>
                  <w14:solidFill>
                    <w14:schemeClr w14:val="tx1"/>
                  </w14:solidFill>
                </w14:textFill>
              </w:rPr>
              <w:t>2</w:t>
            </w:r>
          </w:p>
        </w:tc>
        <w:tc>
          <w:tcPr>
            <w:tcW w:w="408" w:type="pct"/>
            <w:vAlign w:val="center"/>
          </w:tcPr>
          <w:p w14:paraId="27F246BC">
            <w:pPr>
              <w:pStyle w:val="115"/>
              <w:rPr>
                <w:rFonts w:hAnsi="Times New Roman"/>
                <w:b w:val="0"/>
                <w:color w:val="000000" w:themeColor="text1"/>
                <w:sz w:val="18"/>
                <w:szCs w:val="21"/>
                <w14:textFill>
                  <w14:solidFill>
                    <w14:schemeClr w14:val="tx1"/>
                  </w14:solidFill>
                </w14:textFill>
              </w:rPr>
            </w:pPr>
            <w:r>
              <w:rPr>
                <w:rFonts w:hAnsi="Times New Roman"/>
                <w:b w:val="0"/>
                <w:color w:val="000000" w:themeColor="text1"/>
                <w:sz w:val="18"/>
                <w:szCs w:val="21"/>
                <w14:textFill>
                  <w14:solidFill>
                    <w14:schemeClr w14:val="tx1"/>
                  </w14:solidFill>
                </w14:textFill>
              </w:rPr>
              <w:t>CO</w:t>
            </w:r>
          </w:p>
        </w:tc>
        <w:tc>
          <w:tcPr>
            <w:tcW w:w="408" w:type="pct"/>
            <w:vAlign w:val="center"/>
          </w:tcPr>
          <w:p w14:paraId="14905D36">
            <w:pPr>
              <w:pStyle w:val="115"/>
              <w:rPr>
                <w:rFonts w:hAnsi="Times New Roman"/>
                <w:b w:val="0"/>
                <w:color w:val="000000" w:themeColor="text1"/>
                <w:sz w:val="18"/>
                <w:szCs w:val="21"/>
                <w14:textFill>
                  <w14:solidFill>
                    <w14:schemeClr w14:val="tx1"/>
                  </w14:solidFill>
                </w14:textFill>
              </w:rPr>
            </w:pPr>
            <w:r>
              <w:rPr>
                <w:rFonts w:hAnsi="Times New Roman"/>
                <w:b w:val="0"/>
                <w:color w:val="000000" w:themeColor="text1"/>
                <w:sz w:val="18"/>
                <w:szCs w:val="21"/>
                <w14:textFill>
                  <w14:solidFill>
                    <w14:schemeClr w14:val="tx1"/>
                  </w14:solidFill>
                </w14:textFill>
              </w:rPr>
              <w:t>H</w:t>
            </w:r>
            <w:r>
              <w:rPr>
                <w:rFonts w:hAnsi="Times New Roman"/>
                <w:b w:val="0"/>
                <w:color w:val="000000" w:themeColor="text1"/>
                <w:sz w:val="18"/>
                <w:szCs w:val="21"/>
                <w:vertAlign w:val="subscript"/>
                <w14:textFill>
                  <w14:solidFill>
                    <w14:schemeClr w14:val="tx1"/>
                  </w14:solidFill>
                </w14:textFill>
              </w:rPr>
              <w:t>2</w:t>
            </w:r>
            <w:r>
              <w:rPr>
                <w:rFonts w:hAnsi="Times New Roman"/>
                <w:b w:val="0"/>
                <w:color w:val="000000" w:themeColor="text1"/>
                <w:sz w:val="18"/>
                <w:szCs w:val="21"/>
                <w14:textFill>
                  <w14:solidFill>
                    <w14:schemeClr w14:val="tx1"/>
                  </w14:solidFill>
                </w14:textFill>
              </w:rPr>
              <w:t>S</w:t>
            </w:r>
          </w:p>
        </w:tc>
        <w:tc>
          <w:tcPr>
            <w:tcW w:w="406" w:type="pct"/>
            <w:vAlign w:val="center"/>
          </w:tcPr>
          <w:p w14:paraId="01549BF7">
            <w:pPr>
              <w:pStyle w:val="115"/>
              <w:rPr>
                <w:rFonts w:hAnsi="Times New Roman"/>
                <w:b w:val="0"/>
                <w:color w:val="000000" w:themeColor="text1"/>
                <w:sz w:val="18"/>
                <w:szCs w:val="21"/>
                <w14:textFill>
                  <w14:solidFill>
                    <w14:schemeClr w14:val="tx1"/>
                  </w14:solidFill>
                </w14:textFill>
              </w:rPr>
            </w:pPr>
            <w:r>
              <w:rPr>
                <w:rFonts w:hAnsi="Times New Roman"/>
                <w:b w:val="0"/>
                <w:color w:val="000000" w:themeColor="text1"/>
                <w:sz w:val="18"/>
                <w:szCs w:val="21"/>
                <w14:textFill>
                  <w14:solidFill>
                    <w14:schemeClr w14:val="tx1"/>
                  </w14:solidFill>
                </w14:textFill>
              </w:rPr>
              <w:t>He</w:t>
            </w:r>
          </w:p>
        </w:tc>
      </w:tr>
      <w:tr w14:paraId="7A1E56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7" w:hRule="exact"/>
          <w:jc w:val="center"/>
        </w:trPr>
        <w:tc>
          <w:tcPr>
            <w:tcW w:w="514" w:type="pct"/>
            <w:vAlign w:val="center"/>
          </w:tcPr>
          <w:p w14:paraId="035BFA3E">
            <w:pPr>
              <w:pStyle w:val="115"/>
              <w:rPr>
                <w:rFonts w:hAnsi="Times New Roman"/>
                <w:b w:val="0"/>
                <w:color w:val="000000" w:themeColor="text1"/>
                <w:sz w:val="18"/>
                <w:szCs w:val="21"/>
                <w14:textFill>
                  <w14:solidFill>
                    <w14:schemeClr w14:val="tx1"/>
                  </w14:solidFill>
                </w14:textFill>
              </w:rPr>
            </w:pPr>
            <w:r>
              <w:rPr>
                <w:rFonts w:hint="eastAsia"/>
                <w:color w:val="000000"/>
                <w:sz w:val="18"/>
                <w:szCs w:val="18"/>
              </w:rPr>
              <w:t>××</w:t>
            </w:r>
            <w:r>
              <w:rPr>
                <w:rFonts w:hint="eastAsia" w:hAnsi="Times New Roman"/>
                <w:b w:val="0"/>
                <w:color w:val="000000" w:themeColor="text1"/>
                <w:sz w:val="18"/>
                <w:szCs w:val="21"/>
                <w14:textFill>
                  <w14:solidFill>
                    <w14:schemeClr w14:val="tx1"/>
                  </w14:solidFill>
                </w14:textFill>
              </w:rPr>
              <w:t>气源</w:t>
            </w:r>
          </w:p>
        </w:tc>
        <w:tc>
          <w:tcPr>
            <w:tcW w:w="408" w:type="pct"/>
            <w:vAlign w:val="center"/>
          </w:tcPr>
          <w:p w14:paraId="7A9BD0DC">
            <w:pPr>
              <w:pStyle w:val="115"/>
              <w:rPr>
                <w:rFonts w:hAnsi="Times New Roman"/>
                <w:b w:val="0"/>
                <w:color w:val="000000" w:themeColor="text1"/>
                <w:sz w:val="18"/>
                <w:szCs w:val="21"/>
                <w14:textFill>
                  <w14:solidFill>
                    <w14:schemeClr w14:val="tx1"/>
                  </w14:solidFill>
                </w14:textFill>
              </w:rPr>
            </w:pPr>
          </w:p>
        </w:tc>
        <w:tc>
          <w:tcPr>
            <w:tcW w:w="408" w:type="pct"/>
            <w:vAlign w:val="center"/>
          </w:tcPr>
          <w:p w14:paraId="46A8702F">
            <w:pPr>
              <w:pStyle w:val="115"/>
              <w:rPr>
                <w:rFonts w:hAnsi="Times New Roman"/>
                <w:b w:val="0"/>
                <w:color w:val="000000" w:themeColor="text1"/>
                <w:sz w:val="18"/>
                <w:szCs w:val="21"/>
                <w14:textFill>
                  <w14:solidFill>
                    <w14:schemeClr w14:val="tx1"/>
                  </w14:solidFill>
                </w14:textFill>
              </w:rPr>
            </w:pPr>
          </w:p>
        </w:tc>
        <w:tc>
          <w:tcPr>
            <w:tcW w:w="408" w:type="pct"/>
            <w:vAlign w:val="center"/>
          </w:tcPr>
          <w:p w14:paraId="46E49EA7">
            <w:pPr>
              <w:pStyle w:val="115"/>
              <w:rPr>
                <w:rFonts w:hAnsi="Times New Roman"/>
                <w:b w:val="0"/>
                <w:color w:val="000000" w:themeColor="text1"/>
                <w:sz w:val="18"/>
                <w:szCs w:val="21"/>
                <w14:textFill>
                  <w14:solidFill>
                    <w14:schemeClr w14:val="tx1"/>
                  </w14:solidFill>
                </w14:textFill>
              </w:rPr>
            </w:pPr>
          </w:p>
        </w:tc>
        <w:tc>
          <w:tcPr>
            <w:tcW w:w="408" w:type="pct"/>
            <w:vAlign w:val="center"/>
          </w:tcPr>
          <w:p w14:paraId="4BA755DE">
            <w:pPr>
              <w:pStyle w:val="115"/>
              <w:rPr>
                <w:rFonts w:hAnsi="Times New Roman"/>
                <w:b w:val="0"/>
                <w:color w:val="000000" w:themeColor="text1"/>
                <w:sz w:val="18"/>
                <w:szCs w:val="21"/>
                <w14:textFill>
                  <w14:solidFill>
                    <w14:schemeClr w14:val="tx1"/>
                  </w14:solidFill>
                </w14:textFill>
              </w:rPr>
            </w:pPr>
          </w:p>
        </w:tc>
        <w:tc>
          <w:tcPr>
            <w:tcW w:w="408" w:type="pct"/>
            <w:vAlign w:val="center"/>
          </w:tcPr>
          <w:p w14:paraId="6D960062">
            <w:pPr>
              <w:pStyle w:val="115"/>
              <w:rPr>
                <w:rFonts w:hAnsi="Times New Roman"/>
                <w:b w:val="0"/>
                <w:color w:val="000000" w:themeColor="text1"/>
                <w:sz w:val="18"/>
                <w:szCs w:val="21"/>
                <w14:textFill>
                  <w14:solidFill>
                    <w14:schemeClr w14:val="tx1"/>
                  </w14:solidFill>
                </w14:textFill>
              </w:rPr>
            </w:pPr>
          </w:p>
        </w:tc>
        <w:tc>
          <w:tcPr>
            <w:tcW w:w="408" w:type="pct"/>
            <w:vAlign w:val="center"/>
          </w:tcPr>
          <w:p w14:paraId="2E99AE88">
            <w:pPr>
              <w:pStyle w:val="115"/>
              <w:rPr>
                <w:rFonts w:hAnsi="Times New Roman"/>
                <w:b w:val="0"/>
                <w:color w:val="000000" w:themeColor="text1"/>
                <w:sz w:val="18"/>
                <w:szCs w:val="21"/>
                <w14:textFill>
                  <w14:solidFill>
                    <w14:schemeClr w14:val="tx1"/>
                  </w14:solidFill>
                </w14:textFill>
              </w:rPr>
            </w:pPr>
          </w:p>
        </w:tc>
        <w:tc>
          <w:tcPr>
            <w:tcW w:w="408" w:type="pct"/>
            <w:vAlign w:val="center"/>
          </w:tcPr>
          <w:p w14:paraId="58C965DB">
            <w:pPr>
              <w:pStyle w:val="115"/>
              <w:rPr>
                <w:rFonts w:hAnsi="Times New Roman"/>
                <w:b w:val="0"/>
                <w:color w:val="000000" w:themeColor="text1"/>
                <w:sz w:val="18"/>
                <w:szCs w:val="21"/>
                <w14:textFill>
                  <w14:solidFill>
                    <w14:schemeClr w14:val="tx1"/>
                  </w14:solidFill>
                </w14:textFill>
              </w:rPr>
            </w:pPr>
          </w:p>
        </w:tc>
        <w:tc>
          <w:tcPr>
            <w:tcW w:w="408" w:type="pct"/>
            <w:vAlign w:val="center"/>
          </w:tcPr>
          <w:p w14:paraId="41556337">
            <w:pPr>
              <w:pStyle w:val="115"/>
              <w:rPr>
                <w:rFonts w:hAnsi="Times New Roman"/>
                <w:b w:val="0"/>
                <w:color w:val="000000" w:themeColor="text1"/>
                <w:sz w:val="18"/>
                <w:szCs w:val="21"/>
                <w14:textFill>
                  <w14:solidFill>
                    <w14:schemeClr w14:val="tx1"/>
                  </w14:solidFill>
                </w14:textFill>
              </w:rPr>
            </w:pPr>
          </w:p>
        </w:tc>
        <w:tc>
          <w:tcPr>
            <w:tcW w:w="408" w:type="pct"/>
            <w:vAlign w:val="center"/>
          </w:tcPr>
          <w:p w14:paraId="03CC1AF6">
            <w:pPr>
              <w:pStyle w:val="115"/>
              <w:rPr>
                <w:rFonts w:hAnsi="Times New Roman"/>
                <w:b w:val="0"/>
                <w:color w:val="000000" w:themeColor="text1"/>
                <w:sz w:val="18"/>
                <w:szCs w:val="21"/>
                <w14:textFill>
                  <w14:solidFill>
                    <w14:schemeClr w14:val="tx1"/>
                  </w14:solidFill>
                </w14:textFill>
              </w:rPr>
            </w:pPr>
          </w:p>
        </w:tc>
        <w:tc>
          <w:tcPr>
            <w:tcW w:w="408" w:type="pct"/>
            <w:vAlign w:val="center"/>
          </w:tcPr>
          <w:p w14:paraId="48330B03">
            <w:pPr>
              <w:pStyle w:val="115"/>
              <w:rPr>
                <w:rFonts w:hAnsi="Times New Roman"/>
                <w:b w:val="0"/>
                <w:color w:val="000000" w:themeColor="text1"/>
                <w:sz w:val="18"/>
                <w:szCs w:val="21"/>
                <w14:textFill>
                  <w14:solidFill>
                    <w14:schemeClr w14:val="tx1"/>
                  </w14:solidFill>
                </w14:textFill>
              </w:rPr>
            </w:pPr>
          </w:p>
        </w:tc>
        <w:tc>
          <w:tcPr>
            <w:tcW w:w="406" w:type="pct"/>
            <w:vAlign w:val="center"/>
          </w:tcPr>
          <w:p w14:paraId="693A3C0B">
            <w:pPr>
              <w:pStyle w:val="115"/>
              <w:rPr>
                <w:rFonts w:hAnsi="Times New Roman"/>
                <w:b w:val="0"/>
                <w:color w:val="000000" w:themeColor="text1"/>
                <w:sz w:val="18"/>
                <w:szCs w:val="21"/>
                <w14:textFill>
                  <w14:solidFill>
                    <w14:schemeClr w14:val="tx1"/>
                  </w14:solidFill>
                </w14:textFill>
              </w:rPr>
            </w:pPr>
          </w:p>
        </w:tc>
      </w:tr>
      <w:tr w14:paraId="02DBAF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7" w:hRule="exact"/>
          <w:jc w:val="center"/>
        </w:trPr>
        <w:tc>
          <w:tcPr>
            <w:tcW w:w="514" w:type="pct"/>
            <w:vAlign w:val="center"/>
          </w:tcPr>
          <w:p w14:paraId="78EB2FEB">
            <w:pPr>
              <w:pStyle w:val="115"/>
              <w:rPr>
                <w:rFonts w:hAnsi="Times New Roman"/>
                <w:b w:val="0"/>
                <w:color w:val="000000" w:themeColor="text1"/>
                <w:kern w:val="0"/>
                <w:sz w:val="18"/>
                <w:szCs w:val="18"/>
                <w14:textFill>
                  <w14:solidFill>
                    <w14:schemeClr w14:val="tx1"/>
                  </w14:solidFill>
                </w14:textFill>
              </w:rPr>
            </w:pPr>
            <w:r>
              <w:rPr>
                <w:rFonts w:hAnsi="Times New Roman"/>
                <w:b w:val="0"/>
                <w:color w:val="000000" w:themeColor="text1"/>
                <w:kern w:val="0"/>
                <w:sz w:val="18"/>
                <w:szCs w:val="18"/>
                <w14:textFill>
                  <w14:solidFill>
                    <w14:schemeClr w14:val="tx1"/>
                  </w14:solidFill>
                </w14:textFill>
              </w:rPr>
              <w:t>…</w:t>
            </w:r>
          </w:p>
        </w:tc>
        <w:tc>
          <w:tcPr>
            <w:tcW w:w="408" w:type="pct"/>
            <w:vAlign w:val="center"/>
          </w:tcPr>
          <w:p w14:paraId="719A3C56">
            <w:pPr>
              <w:pStyle w:val="115"/>
              <w:rPr>
                <w:rFonts w:hAnsi="Times New Roman"/>
                <w:b w:val="0"/>
                <w:color w:val="000000" w:themeColor="text1"/>
                <w:sz w:val="18"/>
                <w:szCs w:val="21"/>
                <w14:textFill>
                  <w14:solidFill>
                    <w14:schemeClr w14:val="tx1"/>
                  </w14:solidFill>
                </w14:textFill>
              </w:rPr>
            </w:pPr>
          </w:p>
        </w:tc>
        <w:tc>
          <w:tcPr>
            <w:tcW w:w="408" w:type="pct"/>
            <w:vAlign w:val="center"/>
          </w:tcPr>
          <w:p w14:paraId="450993B9">
            <w:pPr>
              <w:pStyle w:val="115"/>
              <w:rPr>
                <w:rFonts w:hAnsi="Times New Roman"/>
                <w:b w:val="0"/>
                <w:color w:val="000000" w:themeColor="text1"/>
                <w:sz w:val="18"/>
                <w:szCs w:val="21"/>
                <w14:textFill>
                  <w14:solidFill>
                    <w14:schemeClr w14:val="tx1"/>
                  </w14:solidFill>
                </w14:textFill>
              </w:rPr>
            </w:pPr>
          </w:p>
        </w:tc>
        <w:tc>
          <w:tcPr>
            <w:tcW w:w="408" w:type="pct"/>
            <w:vAlign w:val="center"/>
          </w:tcPr>
          <w:p w14:paraId="1B74EA04">
            <w:pPr>
              <w:pStyle w:val="115"/>
              <w:rPr>
                <w:rFonts w:hAnsi="Times New Roman"/>
                <w:b w:val="0"/>
                <w:color w:val="000000" w:themeColor="text1"/>
                <w:sz w:val="18"/>
                <w:szCs w:val="21"/>
                <w14:textFill>
                  <w14:solidFill>
                    <w14:schemeClr w14:val="tx1"/>
                  </w14:solidFill>
                </w14:textFill>
              </w:rPr>
            </w:pPr>
          </w:p>
        </w:tc>
        <w:tc>
          <w:tcPr>
            <w:tcW w:w="408" w:type="pct"/>
            <w:vAlign w:val="center"/>
          </w:tcPr>
          <w:p w14:paraId="6F424BB4">
            <w:pPr>
              <w:pStyle w:val="115"/>
              <w:rPr>
                <w:rFonts w:hAnsi="Times New Roman"/>
                <w:b w:val="0"/>
                <w:color w:val="000000" w:themeColor="text1"/>
                <w:sz w:val="18"/>
                <w:szCs w:val="21"/>
                <w14:textFill>
                  <w14:solidFill>
                    <w14:schemeClr w14:val="tx1"/>
                  </w14:solidFill>
                </w14:textFill>
              </w:rPr>
            </w:pPr>
          </w:p>
        </w:tc>
        <w:tc>
          <w:tcPr>
            <w:tcW w:w="408" w:type="pct"/>
            <w:vAlign w:val="center"/>
          </w:tcPr>
          <w:p w14:paraId="5D5F37B1">
            <w:pPr>
              <w:pStyle w:val="115"/>
              <w:rPr>
                <w:rFonts w:hAnsi="Times New Roman"/>
                <w:b w:val="0"/>
                <w:color w:val="000000" w:themeColor="text1"/>
                <w:sz w:val="18"/>
                <w:szCs w:val="21"/>
                <w14:textFill>
                  <w14:solidFill>
                    <w14:schemeClr w14:val="tx1"/>
                  </w14:solidFill>
                </w14:textFill>
              </w:rPr>
            </w:pPr>
          </w:p>
        </w:tc>
        <w:tc>
          <w:tcPr>
            <w:tcW w:w="408" w:type="pct"/>
            <w:vAlign w:val="center"/>
          </w:tcPr>
          <w:p w14:paraId="28E87285">
            <w:pPr>
              <w:pStyle w:val="115"/>
              <w:rPr>
                <w:rFonts w:hAnsi="Times New Roman"/>
                <w:b w:val="0"/>
                <w:color w:val="000000" w:themeColor="text1"/>
                <w:sz w:val="18"/>
                <w:szCs w:val="21"/>
                <w14:textFill>
                  <w14:solidFill>
                    <w14:schemeClr w14:val="tx1"/>
                  </w14:solidFill>
                </w14:textFill>
              </w:rPr>
            </w:pPr>
          </w:p>
        </w:tc>
        <w:tc>
          <w:tcPr>
            <w:tcW w:w="408" w:type="pct"/>
            <w:vAlign w:val="center"/>
          </w:tcPr>
          <w:p w14:paraId="787E1D66">
            <w:pPr>
              <w:pStyle w:val="115"/>
              <w:rPr>
                <w:rFonts w:hAnsi="Times New Roman"/>
                <w:b w:val="0"/>
                <w:color w:val="000000" w:themeColor="text1"/>
                <w:sz w:val="18"/>
                <w:szCs w:val="21"/>
                <w14:textFill>
                  <w14:solidFill>
                    <w14:schemeClr w14:val="tx1"/>
                  </w14:solidFill>
                </w14:textFill>
              </w:rPr>
            </w:pPr>
          </w:p>
        </w:tc>
        <w:tc>
          <w:tcPr>
            <w:tcW w:w="408" w:type="pct"/>
            <w:vAlign w:val="center"/>
          </w:tcPr>
          <w:p w14:paraId="193ABE07">
            <w:pPr>
              <w:pStyle w:val="115"/>
              <w:rPr>
                <w:rFonts w:hAnsi="Times New Roman"/>
                <w:b w:val="0"/>
                <w:color w:val="000000" w:themeColor="text1"/>
                <w:sz w:val="18"/>
                <w:szCs w:val="21"/>
                <w14:textFill>
                  <w14:solidFill>
                    <w14:schemeClr w14:val="tx1"/>
                  </w14:solidFill>
                </w14:textFill>
              </w:rPr>
            </w:pPr>
          </w:p>
        </w:tc>
        <w:tc>
          <w:tcPr>
            <w:tcW w:w="408" w:type="pct"/>
            <w:vAlign w:val="center"/>
          </w:tcPr>
          <w:p w14:paraId="7D98E2A3">
            <w:pPr>
              <w:pStyle w:val="115"/>
              <w:rPr>
                <w:rFonts w:hAnsi="Times New Roman"/>
                <w:b w:val="0"/>
                <w:color w:val="000000" w:themeColor="text1"/>
                <w:sz w:val="18"/>
                <w:szCs w:val="21"/>
                <w14:textFill>
                  <w14:solidFill>
                    <w14:schemeClr w14:val="tx1"/>
                  </w14:solidFill>
                </w14:textFill>
              </w:rPr>
            </w:pPr>
          </w:p>
        </w:tc>
        <w:tc>
          <w:tcPr>
            <w:tcW w:w="408" w:type="pct"/>
            <w:vAlign w:val="center"/>
          </w:tcPr>
          <w:p w14:paraId="6D3B8E15">
            <w:pPr>
              <w:pStyle w:val="115"/>
              <w:rPr>
                <w:rFonts w:hAnsi="Times New Roman"/>
                <w:b w:val="0"/>
                <w:color w:val="000000" w:themeColor="text1"/>
                <w:sz w:val="18"/>
                <w:szCs w:val="21"/>
                <w14:textFill>
                  <w14:solidFill>
                    <w14:schemeClr w14:val="tx1"/>
                  </w14:solidFill>
                </w14:textFill>
              </w:rPr>
            </w:pPr>
          </w:p>
        </w:tc>
        <w:tc>
          <w:tcPr>
            <w:tcW w:w="406" w:type="pct"/>
            <w:vAlign w:val="center"/>
          </w:tcPr>
          <w:p w14:paraId="20C6BA09">
            <w:pPr>
              <w:pStyle w:val="115"/>
              <w:rPr>
                <w:rFonts w:hAnsi="Times New Roman"/>
                <w:b w:val="0"/>
                <w:color w:val="000000" w:themeColor="text1"/>
                <w:sz w:val="18"/>
                <w:szCs w:val="21"/>
                <w14:textFill>
                  <w14:solidFill>
                    <w14:schemeClr w14:val="tx1"/>
                  </w14:solidFill>
                </w14:textFill>
              </w:rPr>
            </w:pPr>
          </w:p>
        </w:tc>
      </w:tr>
    </w:tbl>
    <w:p w14:paraId="40DE3A9B">
      <w:pPr>
        <w:pStyle w:val="65"/>
        <w:ind w:firstLine="420"/>
      </w:pPr>
    </w:p>
    <w:p w14:paraId="287B33CA">
      <w:pPr>
        <w:pStyle w:val="5"/>
        <w:rPr>
          <w:rFonts w:hint="eastAsia"/>
        </w:rPr>
      </w:pPr>
      <w:r>
        <w:t>表</w:t>
      </w:r>
      <w:r>
        <w:rPr>
          <w:rFonts w:ascii="Times New Roman" w:hAnsi="Times New Roman"/>
        </w:rPr>
        <w:t>8</w:t>
      </w:r>
      <w:r>
        <w:t xml:space="preserve"> 液化石油气物性</w:t>
      </w:r>
      <w:r>
        <w:rPr>
          <w:rFonts w:hint="eastAsia"/>
        </w:rPr>
        <w:t>表</w:t>
      </w:r>
    </w:p>
    <w:tbl>
      <w:tblPr>
        <w:tblStyle w:val="3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276"/>
        <w:gridCol w:w="1401"/>
        <w:gridCol w:w="1294"/>
        <w:gridCol w:w="1208"/>
        <w:gridCol w:w="1279"/>
        <w:gridCol w:w="1357"/>
        <w:gridCol w:w="953"/>
        <w:gridCol w:w="802"/>
      </w:tblGrid>
      <w:tr w14:paraId="22B282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2" w:hRule="exact"/>
          <w:jc w:val="center"/>
        </w:trPr>
        <w:tc>
          <w:tcPr>
            <w:tcW w:w="667" w:type="pct"/>
            <w:vAlign w:val="center"/>
          </w:tcPr>
          <w:p w14:paraId="197E90F2">
            <w:pPr>
              <w:pStyle w:val="115"/>
              <w:spacing w:line="240" w:lineRule="auto"/>
              <w:rPr>
                <w:rFonts w:hAnsi="Times New Roman"/>
                <w:b w:val="0"/>
                <w:color w:val="000000" w:themeColor="text1"/>
                <w:sz w:val="18"/>
                <w:szCs w:val="21"/>
                <w14:textFill>
                  <w14:solidFill>
                    <w14:schemeClr w14:val="tx1"/>
                  </w14:solidFill>
                </w14:textFill>
              </w:rPr>
            </w:pPr>
            <w:r>
              <w:rPr>
                <w:rFonts w:hint="eastAsia" w:hAnsi="Times New Roman"/>
                <w:b w:val="0"/>
                <w:color w:val="000000" w:themeColor="text1"/>
                <w:sz w:val="18"/>
                <w:szCs w:val="21"/>
                <w14:textFill>
                  <w14:solidFill>
                    <w14:schemeClr w14:val="tx1"/>
                  </w14:solidFill>
                </w14:textFill>
              </w:rPr>
              <w:t>项目</w:t>
            </w:r>
          </w:p>
        </w:tc>
        <w:tc>
          <w:tcPr>
            <w:tcW w:w="1401" w:type="dxa"/>
            <w:vAlign w:val="center"/>
          </w:tcPr>
          <w:p w14:paraId="278B4F1C">
            <w:pPr>
              <w:pStyle w:val="115"/>
              <w:spacing w:line="240" w:lineRule="exact"/>
              <w:rPr>
                <w:rFonts w:hAnsi="Times New Roman"/>
                <w:b w:val="0"/>
                <w:sz w:val="18"/>
                <w:szCs w:val="21"/>
              </w:rPr>
            </w:pPr>
            <w:r>
              <w:rPr>
                <w:rFonts w:hAnsi="Times New Roman"/>
                <w:b w:val="0"/>
                <w:sz w:val="18"/>
                <w:szCs w:val="21"/>
              </w:rPr>
              <w:t>密度</w:t>
            </w:r>
          </w:p>
          <w:p w14:paraId="2666ABAE">
            <w:pPr>
              <w:pStyle w:val="115"/>
              <w:spacing w:line="240" w:lineRule="exact"/>
              <w:rPr>
                <w:rFonts w:hAnsi="Times New Roman"/>
                <w:b w:val="0"/>
                <w:color w:val="000000" w:themeColor="text1"/>
                <w:sz w:val="18"/>
                <w:szCs w:val="21"/>
                <w14:textFill>
                  <w14:solidFill>
                    <w14:schemeClr w14:val="tx1"/>
                  </w14:solidFill>
                </w14:textFill>
              </w:rPr>
            </w:pPr>
            <w:r>
              <w:rPr>
                <w:rFonts w:hAnsi="Times New Roman"/>
                <w:b w:val="0"/>
                <w:sz w:val="18"/>
                <w:szCs w:val="21"/>
              </w:rPr>
              <w:t>kg/m</w:t>
            </w:r>
            <w:r>
              <w:rPr>
                <w:rFonts w:hAnsi="Times New Roman"/>
                <w:b w:val="0"/>
                <w:sz w:val="18"/>
                <w:szCs w:val="21"/>
                <w:vertAlign w:val="superscript"/>
              </w:rPr>
              <w:t>3</w:t>
            </w:r>
          </w:p>
        </w:tc>
        <w:tc>
          <w:tcPr>
            <w:tcW w:w="1294" w:type="dxa"/>
            <w:vAlign w:val="center"/>
          </w:tcPr>
          <w:p w14:paraId="4BD50921">
            <w:pPr>
              <w:pStyle w:val="115"/>
              <w:spacing w:line="240" w:lineRule="exact"/>
              <w:rPr>
                <w:rFonts w:hAnsi="Times New Roman"/>
                <w:b w:val="0"/>
                <w:sz w:val="18"/>
                <w:szCs w:val="21"/>
              </w:rPr>
            </w:pPr>
            <w:r>
              <w:rPr>
                <w:rFonts w:hAnsi="Times New Roman"/>
                <w:b w:val="0"/>
                <w:sz w:val="18"/>
                <w:szCs w:val="21"/>
              </w:rPr>
              <w:t>饱和蒸气压</w:t>
            </w:r>
          </w:p>
          <w:p w14:paraId="46CC0570">
            <w:pPr>
              <w:pStyle w:val="115"/>
              <w:spacing w:line="240" w:lineRule="exact"/>
              <w:rPr>
                <w:rFonts w:hAnsi="Times New Roman"/>
                <w:b w:val="0"/>
                <w:color w:val="000000" w:themeColor="text1"/>
                <w:sz w:val="18"/>
                <w:szCs w:val="21"/>
                <w14:textFill>
                  <w14:solidFill>
                    <w14:schemeClr w14:val="tx1"/>
                  </w14:solidFill>
                </w14:textFill>
              </w:rPr>
            </w:pPr>
            <w:r>
              <w:rPr>
                <w:rFonts w:hAnsi="Times New Roman"/>
                <w:b w:val="0"/>
                <w:sz w:val="18"/>
                <w:szCs w:val="21"/>
              </w:rPr>
              <w:t>kPa</w:t>
            </w:r>
          </w:p>
        </w:tc>
        <w:tc>
          <w:tcPr>
            <w:tcW w:w="1208" w:type="dxa"/>
            <w:vAlign w:val="center"/>
          </w:tcPr>
          <w:p w14:paraId="1BF97A59">
            <w:pPr>
              <w:pStyle w:val="115"/>
              <w:spacing w:line="240" w:lineRule="exact"/>
              <w:rPr>
                <w:rFonts w:hAnsi="Times New Roman"/>
                <w:b w:val="0"/>
                <w:color w:val="000000" w:themeColor="text1"/>
                <w:sz w:val="18"/>
                <w:szCs w:val="21"/>
                <w14:textFill>
                  <w14:solidFill>
                    <w14:schemeClr w14:val="tx1"/>
                  </w14:solidFill>
                </w14:textFill>
              </w:rPr>
            </w:pPr>
            <w:r>
              <w:rPr>
                <w:rFonts w:hAnsi="Times New Roman"/>
                <w:b w:val="0"/>
                <w:sz w:val="18"/>
                <w:szCs w:val="21"/>
              </w:rPr>
              <w:t>残留物</w:t>
            </w:r>
          </w:p>
        </w:tc>
        <w:tc>
          <w:tcPr>
            <w:tcW w:w="1279" w:type="dxa"/>
            <w:vAlign w:val="center"/>
          </w:tcPr>
          <w:p w14:paraId="4CD767F2">
            <w:pPr>
              <w:pStyle w:val="115"/>
              <w:spacing w:line="240" w:lineRule="exact"/>
              <w:rPr>
                <w:rFonts w:hAnsi="Times New Roman"/>
                <w:b w:val="0"/>
                <w:sz w:val="18"/>
                <w:szCs w:val="21"/>
              </w:rPr>
            </w:pPr>
            <w:r>
              <w:rPr>
                <w:rFonts w:hAnsi="Times New Roman"/>
                <w:b w:val="0"/>
                <w:sz w:val="18"/>
                <w:szCs w:val="21"/>
              </w:rPr>
              <w:t>硫化氢含量</w:t>
            </w:r>
          </w:p>
          <w:p w14:paraId="7EBB90EB">
            <w:pPr>
              <w:pStyle w:val="115"/>
              <w:spacing w:line="240" w:lineRule="exact"/>
              <w:rPr>
                <w:rFonts w:hAnsi="Times New Roman"/>
                <w:b w:val="0"/>
                <w:color w:val="000000" w:themeColor="text1"/>
                <w:sz w:val="18"/>
                <w:szCs w:val="21"/>
                <w14:textFill>
                  <w14:solidFill>
                    <w14:schemeClr w14:val="tx1"/>
                  </w14:solidFill>
                </w14:textFill>
              </w:rPr>
            </w:pPr>
            <w:r>
              <w:rPr>
                <w:rFonts w:hAnsi="Times New Roman"/>
                <w:b w:val="0"/>
                <w:sz w:val="18"/>
                <w:szCs w:val="21"/>
              </w:rPr>
              <w:t>mg/m</w:t>
            </w:r>
            <w:r>
              <w:rPr>
                <w:rFonts w:hAnsi="Times New Roman"/>
                <w:b w:val="0"/>
                <w:sz w:val="18"/>
                <w:szCs w:val="21"/>
                <w:vertAlign w:val="superscript"/>
              </w:rPr>
              <w:t>3</w:t>
            </w:r>
          </w:p>
        </w:tc>
        <w:tc>
          <w:tcPr>
            <w:tcW w:w="1357" w:type="dxa"/>
            <w:vAlign w:val="center"/>
          </w:tcPr>
          <w:p w14:paraId="7CB377AF">
            <w:pPr>
              <w:pStyle w:val="115"/>
              <w:spacing w:line="240" w:lineRule="exact"/>
              <w:rPr>
                <w:rFonts w:hAnsi="Times New Roman"/>
                <w:b w:val="0"/>
                <w:sz w:val="18"/>
                <w:szCs w:val="21"/>
              </w:rPr>
            </w:pPr>
            <w:r>
              <w:rPr>
                <w:rFonts w:hAnsi="Times New Roman"/>
                <w:b w:val="0"/>
                <w:sz w:val="18"/>
                <w:szCs w:val="21"/>
              </w:rPr>
              <w:t>总硫含量</w:t>
            </w:r>
          </w:p>
          <w:p w14:paraId="0C037F92">
            <w:pPr>
              <w:pStyle w:val="115"/>
              <w:spacing w:line="240" w:lineRule="exact"/>
              <w:rPr>
                <w:rFonts w:hAnsi="Times New Roman"/>
                <w:b w:val="0"/>
                <w:color w:val="000000" w:themeColor="text1"/>
                <w:sz w:val="18"/>
                <w:szCs w:val="21"/>
                <w14:textFill>
                  <w14:solidFill>
                    <w14:schemeClr w14:val="tx1"/>
                  </w14:solidFill>
                </w14:textFill>
              </w:rPr>
            </w:pPr>
            <w:r>
              <w:rPr>
                <w:rFonts w:hAnsi="Times New Roman"/>
                <w:b w:val="0"/>
                <w:sz w:val="18"/>
                <w:szCs w:val="21"/>
              </w:rPr>
              <w:t>mg/m</w:t>
            </w:r>
            <w:r>
              <w:rPr>
                <w:rFonts w:hAnsi="Times New Roman"/>
                <w:b w:val="0"/>
                <w:sz w:val="18"/>
                <w:szCs w:val="21"/>
                <w:vertAlign w:val="superscript"/>
              </w:rPr>
              <w:t>3</w:t>
            </w:r>
          </w:p>
        </w:tc>
        <w:tc>
          <w:tcPr>
            <w:tcW w:w="953" w:type="dxa"/>
            <w:vAlign w:val="center"/>
          </w:tcPr>
          <w:p w14:paraId="7D41B56A">
            <w:pPr>
              <w:pStyle w:val="115"/>
              <w:spacing w:line="240" w:lineRule="exact"/>
              <w:rPr>
                <w:rFonts w:hAnsi="Times New Roman"/>
                <w:b w:val="0"/>
                <w:color w:val="000000" w:themeColor="text1"/>
                <w:sz w:val="18"/>
                <w:szCs w:val="21"/>
                <w14:textFill>
                  <w14:solidFill>
                    <w14:schemeClr w14:val="tx1"/>
                  </w14:solidFill>
                </w14:textFill>
              </w:rPr>
            </w:pPr>
            <w:r>
              <w:rPr>
                <w:rFonts w:hAnsi="Times New Roman"/>
                <w:b w:val="0"/>
                <w:sz w:val="18"/>
                <w:szCs w:val="21"/>
              </w:rPr>
              <w:t>游离水</w:t>
            </w:r>
          </w:p>
        </w:tc>
        <w:tc>
          <w:tcPr>
            <w:tcW w:w="802" w:type="dxa"/>
            <w:vAlign w:val="center"/>
          </w:tcPr>
          <w:p w14:paraId="5CD9983F">
            <w:pPr>
              <w:pStyle w:val="115"/>
              <w:spacing w:line="240" w:lineRule="exact"/>
              <w:rPr>
                <w:rFonts w:hAnsi="Times New Roman"/>
                <w:b w:val="0"/>
                <w:color w:val="000000" w:themeColor="text1"/>
                <w:sz w:val="18"/>
                <w:szCs w:val="21"/>
                <w14:textFill>
                  <w14:solidFill>
                    <w14:schemeClr w14:val="tx1"/>
                  </w14:solidFill>
                </w14:textFill>
              </w:rPr>
            </w:pPr>
            <w:r>
              <w:rPr>
                <w:rFonts w:hAnsi="Times New Roman"/>
                <w:b w:val="0"/>
                <w:sz w:val="18"/>
                <w:szCs w:val="21"/>
              </w:rPr>
              <w:t>……</w:t>
            </w:r>
          </w:p>
        </w:tc>
      </w:tr>
      <w:tr w14:paraId="3A51C1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67" w:type="pct"/>
            <w:vAlign w:val="center"/>
          </w:tcPr>
          <w:p w14:paraId="354DEB3E">
            <w:pPr>
              <w:pStyle w:val="115"/>
              <w:spacing w:line="240" w:lineRule="auto"/>
              <w:rPr>
                <w:rFonts w:hAnsi="Times New Roman"/>
                <w:b w:val="0"/>
                <w:color w:val="000000" w:themeColor="text1"/>
                <w:sz w:val="18"/>
                <w:szCs w:val="21"/>
                <w14:textFill>
                  <w14:solidFill>
                    <w14:schemeClr w14:val="tx1"/>
                  </w14:solidFill>
                </w14:textFill>
              </w:rPr>
            </w:pPr>
            <w:r>
              <w:rPr>
                <w:rFonts w:hint="eastAsia"/>
                <w:color w:val="000000"/>
                <w:sz w:val="18"/>
                <w:szCs w:val="18"/>
              </w:rPr>
              <w:t>××</w:t>
            </w:r>
            <w:r>
              <w:rPr>
                <w:rFonts w:hint="eastAsia" w:hAnsi="Times New Roman"/>
                <w:b w:val="0"/>
                <w:color w:val="000000" w:themeColor="text1"/>
                <w:sz w:val="18"/>
                <w:szCs w:val="21"/>
                <w14:textFill>
                  <w14:solidFill>
                    <w14:schemeClr w14:val="tx1"/>
                  </w14:solidFill>
                </w14:textFill>
              </w:rPr>
              <w:t>气源</w:t>
            </w:r>
          </w:p>
        </w:tc>
        <w:tc>
          <w:tcPr>
            <w:tcW w:w="732" w:type="pct"/>
            <w:vAlign w:val="center"/>
          </w:tcPr>
          <w:p w14:paraId="094682EB">
            <w:pPr>
              <w:pStyle w:val="115"/>
              <w:spacing w:line="240" w:lineRule="auto"/>
              <w:rPr>
                <w:rFonts w:hAnsi="Times New Roman"/>
                <w:b w:val="0"/>
                <w:color w:val="000000" w:themeColor="text1"/>
                <w:sz w:val="18"/>
                <w:szCs w:val="21"/>
                <w14:textFill>
                  <w14:solidFill>
                    <w14:schemeClr w14:val="tx1"/>
                  </w14:solidFill>
                </w14:textFill>
              </w:rPr>
            </w:pPr>
          </w:p>
        </w:tc>
        <w:tc>
          <w:tcPr>
            <w:tcW w:w="676" w:type="pct"/>
            <w:vAlign w:val="center"/>
          </w:tcPr>
          <w:p w14:paraId="7119193B">
            <w:pPr>
              <w:pStyle w:val="115"/>
              <w:spacing w:line="240" w:lineRule="auto"/>
              <w:rPr>
                <w:rFonts w:hAnsi="Times New Roman"/>
                <w:b w:val="0"/>
                <w:color w:val="000000" w:themeColor="text1"/>
                <w:sz w:val="18"/>
                <w:szCs w:val="21"/>
                <w14:textFill>
                  <w14:solidFill>
                    <w14:schemeClr w14:val="tx1"/>
                  </w14:solidFill>
                </w14:textFill>
              </w:rPr>
            </w:pPr>
          </w:p>
        </w:tc>
        <w:tc>
          <w:tcPr>
            <w:tcW w:w="631" w:type="pct"/>
            <w:vAlign w:val="center"/>
          </w:tcPr>
          <w:p w14:paraId="6AE9DE8C">
            <w:pPr>
              <w:pStyle w:val="115"/>
              <w:spacing w:line="240" w:lineRule="auto"/>
              <w:rPr>
                <w:rFonts w:hAnsi="Times New Roman"/>
                <w:b w:val="0"/>
                <w:color w:val="000000" w:themeColor="text1"/>
                <w:sz w:val="18"/>
                <w:szCs w:val="21"/>
                <w14:textFill>
                  <w14:solidFill>
                    <w14:schemeClr w14:val="tx1"/>
                  </w14:solidFill>
                </w14:textFill>
              </w:rPr>
            </w:pPr>
          </w:p>
        </w:tc>
        <w:tc>
          <w:tcPr>
            <w:tcW w:w="668" w:type="pct"/>
            <w:vAlign w:val="center"/>
          </w:tcPr>
          <w:p w14:paraId="290B9347">
            <w:pPr>
              <w:pStyle w:val="115"/>
              <w:spacing w:line="240" w:lineRule="auto"/>
              <w:rPr>
                <w:rFonts w:hAnsi="Times New Roman"/>
                <w:b w:val="0"/>
                <w:color w:val="000000" w:themeColor="text1"/>
                <w:sz w:val="18"/>
                <w:szCs w:val="21"/>
                <w14:textFill>
                  <w14:solidFill>
                    <w14:schemeClr w14:val="tx1"/>
                  </w14:solidFill>
                </w14:textFill>
              </w:rPr>
            </w:pPr>
          </w:p>
        </w:tc>
        <w:tc>
          <w:tcPr>
            <w:tcW w:w="709" w:type="pct"/>
            <w:vAlign w:val="center"/>
          </w:tcPr>
          <w:p w14:paraId="3C1DCC5B">
            <w:pPr>
              <w:pStyle w:val="115"/>
              <w:spacing w:line="240" w:lineRule="auto"/>
              <w:rPr>
                <w:rFonts w:hAnsi="Times New Roman"/>
                <w:b w:val="0"/>
                <w:color w:val="000000" w:themeColor="text1"/>
                <w:sz w:val="18"/>
                <w:szCs w:val="21"/>
                <w14:textFill>
                  <w14:solidFill>
                    <w14:schemeClr w14:val="tx1"/>
                  </w14:solidFill>
                </w14:textFill>
              </w:rPr>
            </w:pPr>
          </w:p>
        </w:tc>
        <w:tc>
          <w:tcPr>
            <w:tcW w:w="498" w:type="pct"/>
            <w:vAlign w:val="center"/>
          </w:tcPr>
          <w:p w14:paraId="5E35966C">
            <w:pPr>
              <w:pStyle w:val="115"/>
              <w:spacing w:line="240" w:lineRule="auto"/>
              <w:rPr>
                <w:rFonts w:hAnsi="Times New Roman"/>
                <w:b w:val="0"/>
                <w:color w:val="000000" w:themeColor="text1"/>
                <w:sz w:val="18"/>
                <w:szCs w:val="21"/>
                <w14:textFill>
                  <w14:solidFill>
                    <w14:schemeClr w14:val="tx1"/>
                  </w14:solidFill>
                </w14:textFill>
              </w:rPr>
            </w:pPr>
          </w:p>
        </w:tc>
        <w:tc>
          <w:tcPr>
            <w:tcW w:w="419" w:type="pct"/>
            <w:vAlign w:val="center"/>
          </w:tcPr>
          <w:p w14:paraId="48D8A57E">
            <w:pPr>
              <w:pStyle w:val="115"/>
              <w:spacing w:line="240" w:lineRule="auto"/>
              <w:rPr>
                <w:rFonts w:hAnsi="Times New Roman"/>
                <w:b w:val="0"/>
                <w:color w:val="000000" w:themeColor="text1"/>
                <w:sz w:val="18"/>
                <w:szCs w:val="21"/>
                <w14:textFill>
                  <w14:solidFill>
                    <w14:schemeClr w14:val="tx1"/>
                  </w14:solidFill>
                </w14:textFill>
              </w:rPr>
            </w:pPr>
          </w:p>
        </w:tc>
      </w:tr>
      <w:tr w14:paraId="3CCC12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67" w:type="pct"/>
            <w:vAlign w:val="center"/>
          </w:tcPr>
          <w:p w14:paraId="6D689166">
            <w:pPr>
              <w:pStyle w:val="115"/>
              <w:spacing w:line="240" w:lineRule="auto"/>
              <w:rPr>
                <w:rFonts w:hAnsi="Times New Roman"/>
                <w:b w:val="0"/>
                <w:color w:val="000000" w:themeColor="text1"/>
                <w:sz w:val="18"/>
                <w:szCs w:val="21"/>
                <w14:textFill>
                  <w14:solidFill>
                    <w14:schemeClr w14:val="tx1"/>
                  </w14:solidFill>
                </w14:textFill>
              </w:rPr>
            </w:pPr>
            <w:r>
              <w:rPr>
                <w:rFonts w:hAnsi="Times New Roman"/>
                <w:b w:val="0"/>
                <w:color w:val="000000" w:themeColor="text1"/>
                <w:kern w:val="0"/>
                <w:sz w:val="18"/>
                <w:szCs w:val="18"/>
                <w14:textFill>
                  <w14:solidFill>
                    <w14:schemeClr w14:val="tx1"/>
                  </w14:solidFill>
                </w14:textFill>
              </w:rPr>
              <w:t>…</w:t>
            </w:r>
          </w:p>
        </w:tc>
        <w:tc>
          <w:tcPr>
            <w:tcW w:w="732" w:type="pct"/>
            <w:vAlign w:val="center"/>
          </w:tcPr>
          <w:p w14:paraId="5F9EE94B">
            <w:pPr>
              <w:pStyle w:val="115"/>
              <w:spacing w:line="240" w:lineRule="auto"/>
              <w:rPr>
                <w:rFonts w:hAnsi="Times New Roman"/>
                <w:b w:val="0"/>
                <w:color w:val="000000" w:themeColor="text1"/>
                <w:sz w:val="18"/>
                <w:szCs w:val="21"/>
                <w14:textFill>
                  <w14:solidFill>
                    <w14:schemeClr w14:val="tx1"/>
                  </w14:solidFill>
                </w14:textFill>
              </w:rPr>
            </w:pPr>
          </w:p>
        </w:tc>
        <w:tc>
          <w:tcPr>
            <w:tcW w:w="676" w:type="pct"/>
            <w:vAlign w:val="center"/>
          </w:tcPr>
          <w:p w14:paraId="6E68CA2B">
            <w:pPr>
              <w:pStyle w:val="115"/>
              <w:spacing w:line="240" w:lineRule="auto"/>
              <w:rPr>
                <w:rFonts w:hAnsi="Times New Roman"/>
                <w:b w:val="0"/>
                <w:color w:val="000000" w:themeColor="text1"/>
                <w:sz w:val="18"/>
                <w:szCs w:val="21"/>
                <w14:textFill>
                  <w14:solidFill>
                    <w14:schemeClr w14:val="tx1"/>
                  </w14:solidFill>
                </w14:textFill>
              </w:rPr>
            </w:pPr>
          </w:p>
        </w:tc>
        <w:tc>
          <w:tcPr>
            <w:tcW w:w="631" w:type="pct"/>
            <w:vAlign w:val="center"/>
          </w:tcPr>
          <w:p w14:paraId="4520D15A">
            <w:pPr>
              <w:pStyle w:val="115"/>
              <w:spacing w:line="240" w:lineRule="auto"/>
              <w:rPr>
                <w:rFonts w:hAnsi="Times New Roman"/>
                <w:b w:val="0"/>
                <w:color w:val="000000" w:themeColor="text1"/>
                <w:sz w:val="18"/>
                <w:szCs w:val="21"/>
                <w14:textFill>
                  <w14:solidFill>
                    <w14:schemeClr w14:val="tx1"/>
                  </w14:solidFill>
                </w14:textFill>
              </w:rPr>
            </w:pPr>
          </w:p>
        </w:tc>
        <w:tc>
          <w:tcPr>
            <w:tcW w:w="668" w:type="pct"/>
            <w:vAlign w:val="center"/>
          </w:tcPr>
          <w:p w14:paraId="170C3BBF">
            <w:pPr>
              <w:pStyle w:val="115"/>
              <w:spacing w:line="240" w:lineRule="auto"/>
              <w:rPr>
                <w:rFonts w:hAnsi="Times New Roman"/>
                <w:b w:val="0"/>
                <w:color w:val="000000" w:themeColor="text1"/>
                <w:sz w:val="18"/>
                <w:szCs w:val="21"/>
                <w14:textFill>
                  <w14:solidFill>
                    <w14:schemeClr w14:val="tx1"/>
                  </w14:solidFill>
                </w14:textFill>
              </w:rPr>
            </w:pPr>
          </w:p>
        </w:tc>
        <w:tc>
          <w:tcPr>
            <w:tcW w:w="709" w:type="pct"/>
            <w:vAlign w:val="center"/>
          </w:tcPr>
          <w:p w14:paraId="4B5CBDE4">
            <w:pPr>
              <w:pStyle w:val="115"/>
              <w:spacing w:line="240" w:lineRule="auto"/>
              <w:rPr>
                <w:rFonts w:hAnsi="Times New Roman"/>
                <w:b w:val="0"/>
                <w:color w:val="000000" w:themeColor="text1"/>
                <w:sz w:val="18"/>
                <w:szCs w:val="21"/>
                <w14:textFill>
                  <w14:solidFill>
                    <w14:schemeClr w14:val="tx1"/>
                  </w14:solidFill>
                </w14:textFill>
              </w:rPr>
            </w:pPr>
          </w:p>
        </w:tc>
        <w:tc>
          <w:tcPr>
            <w:tcW w:w="498" w:type="pct"/>
            <w:vAlign w:val="center"/>
          </w:tcPr>
          <w:p w14:paraId="3FEDB3D0">
            <w:pPr>
              <w:pStyle w:val="115"/>
              <w:spacing w:line="240" w:lineRule="auto"/>
              <w:rPr>
                <w:rFonts w:hAnsi="Times New Roman"/>
                <w:b w:val="0"/>
                <w:color w:val="000000" w:themeColor="text1"/>
                <w:sz w:val="18"/>
                <w:szCs w:val="21"/>
                <w14:textFill>
                  <w14:solidFill>
                    <w14:schemeClr w14:val="tx1"/>
                  </w14:solidFill>
                </w14:textFill>
              </w:rPr>
            </w:pPr>
          </w:p>
        </w:tc>
        <w:tc>
          <w:tcPr>
            <w:tcW w:w="419" w:type="pct"/>
            <w:vAlign w:val="center"/>
          </w:tcPr>
          <w:p w14:paraId="1D180031">
            <w:pPr>
              <w:pStyle w:val="115"/>
              <w:spacing w:line="240" w:lineRule="auto"/>
              <w:rPr>
                <w:rFonts w:hAnsi="Times New Roman"/>
                <w:b w:val="0"/>
                <w:color w:val="000000" w:themeColor="text1"/>
                <w:sz w:val="18"/>
                <w:szCs w:val="21"/>
                <w14:textFill>
                  <w14:solidFill>
                    <w14:schemeClr w14:val="tx1"/>
                  </w14:solidFill>
                </w14:textFill>
              </w:rPr>
            </w:pPr>
          </w:p>
        </w:tc>
      </w:tr>
    </w:tbl>
    <w:p w14:paraId="7BE1E890">
      <w:pPr>
        <w:pStyle w:val="65"/>
        <w:ind w:firstLine="420"/>
      </w:pPr>
    </w:p>
    <w:p w14:paraId="24A3E090">
      <w:pPr>
        <w:pStyle w:val="5"/>
        <w:rPr>
          <w:rFonts w:hint="eastAsia"/>
        </w:rPr>
      </w:pPr>
      <w:r>
        <w:t>表</w:t>
      </w:r>
      <w:r>
        <w:rPr>
          <w:rFonts w:ascii="Times New Roman" w:hAnsi="Times New Roman"/>
        </w:rPr>
        <w:t>9</w:t>
      </w:r>
      <w:r>
        <w:t xml:space="preserve">  液化石油气组分</w:t>
      </w:r>
      <w:r>
        <w:rPr>
          <w:rFonts w:hint="eastAsia"/>
        </w:rPr>
        <w:t>表</w:t>
      </w:r>
    </w:p>
    <w:tbl>
      <w:tblPr>
        <w:tblStyle w:val="3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665"/>
        <w:gridCol w:w="1079"/>
        <w:gridCol w:w="1026"/>
        <w:gridCol w:w="1363"/>
        <w:gridCol w:w="1043"/>
        <w:gridCol w:w="1043"/>
        <w:gridCol w:w="1537"/>
        <w:gridCol w:w="814"/>
      </w:tblGrid>
      <w:tr w14:paraId="0EDBAB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70" w:type="pct"/>
            <w:vAlign w:val="center"/>
          </w:tcPr>
          <w:p w14:paraId="3DEABEB7">
            <w:pPr>
              <w:pStyle w:val="115"/>
              <w:rPr>
                <w:rFonts w:hAnsi="Times New Roman"/>
                <w:b w:val="0"/>
                <w:color w:val="000000" w:themeColor="text1"/>
                <w:sz w:val="18"/>
                <w:szCs w:val="21"/>
                <w14:textFill>
                  <w14:solidFill>
                    <w14:schemeClr w14:val="tx1"/>
                  </w14:solidFill>
                </w14:textFill>
              </w:rPr>
            </w:pPr>
            <w:r>
              <w:rPr>
                <w:rFonts w:hint="eastAsia" w:hAnsi="Times New Roman"/>
                <w:b w:val="0"/>
                <w:color w:val="000000" w:themeColor="text1"/>
                <w:sz w:val="18"/>
                <w:szCs w:val="21"/>
                <w14:textFill>
                  <w14:solidFill>
                    <w14:schemeClr w14:val="tx1"/>
                  </w14:solidFill>
                </w14:textFill>
              </w:rPr>
              <w:t>m</w:t>
            </w:r>
            <w:r>
              <w:rPr>
                <w:rFonts w:hAnsi="Times New Roman"/>
                <w:b w:val="0"/>
                <w:color w:val="000000" w:themeColor="text1"/>
                <w:sz w:val="18"/>
                <w:szCs w:val="21"/>
                <w14:textFill>
                  <w14:solidFill>
                    <w14:schemeClr w14:val="tx1"/>
                  </w14:solidFill>
                </w14:textFill>
              </w:rPr>
              <w:t>ol</w:t>
            </w:r>
            <w:r>
              <w:rPr>
                <w:rFonts w:hint="eastAsia" w:hAnsi="Times New Roman"/>
                <w:b w:val="0"/>
                <w:color w:val="000000" w:themeColor="text1"/>
                <w:sz w:val="18"/>
                <w:szCs w:val="21"/>
                <w14:textFill>
                  <w14:solidFill>
                    <w14:schemeClr w14:val="tx1"/>
                  </w14:solidFill>
                </w14:textFill>
              </w:rPr>
              <w:t>组分</w:t>
            </w:r>
            <w:r>
              <w:rPr>
                <w:rFonts w:hAnsi="Times New Roman"/>
                <w:b w:val="0"/>
                <w:color w:val="000000" w:themeColor="text1"/>
                <w:sz w:val="18"/>
                <w:szCs w:val="21"/>
                <w14:textFill>
                  <w14:solidFill>
                    <w14:schemeClr w14:val="tx1"/>
                  </w14:solidFill>
                </w14:textFill>
              </w:rPr>
              <w:t>/%</w:t>
            </w:r>
          </w:p>
        </w:tc>
        <w:tc>
          <w:tcPr>
            <w:tcW w:w="564" w:type="pct"/>
            <w:vAlign w:val="center"/>
          </w:tcPr>
          <w:p w14:paraId="71A35A7A">
            <w:pPr>
              <w:pStyle w:val="115"/>
              <w:rPr>
                <w:rFonts w:hAnsi="Times New Roman"/>
                <w:b w:val="0"/>
                <w:color w:val="000000" w:themeColor="text1"/>
                <w:sz w:val="18"/>
                <w:szCs w:val="21"/>
                <w14:textFill>
                  <w14:solidFill>
                    <w14:schemeClr w14:val="tx1"/>
                  </w14:solidFill>
                </w14:textFill>
              </w:rPr>
            </w:pPr>
            <w:r>
              <w:rPr>
                <w:rFonts w:hAnsi="Times New Roman"/>
                <w:b w:val="0"/>
                <w:color w:val="000000" w:themeColor="text1"/>
                <w:sz w:val="18"/>
                <w:szCs w:val="21"/>
                <w14:textFill>
                  <w14:solidFill>
                    <w14:schemeClr w14:val="tx1"/>
                  </w14:solidFill>
                </w14:textFill>
              </w:rPr>
              <w:t>C</w:t>
            </w:r>
            <w:r>
              <w:rPr>
                <w:rFonts w:hAnsi="Times New Roman"/>
                <w:b w:val="0"/>
                <w:color w:val="000000" w:themeColor="text1"/>
                <w:sz w:val="18"/>
                <w:szCs w:val="21"/>
                <w:vertAlign w:val="subscript"/>
                <w14:textFill>
                  <w14:solidFill>
                    <w14:schemeClr w14:val="tx1"/>
                  </w14:solidFill>
                </w14:textFill>
              </w:rPr>
              <w:t>1</w:t>
            </w:r>
          </w:p>
        </w:tc>
        <w:tc>
          <w:tcPr>
            <w:tcW w:w="536" w:type="pct"/>
            <w:vAlign w:val="center"/>
          </w:tcPr>
          <w:p w14:paraId="22D2FF05">
            <w:pPr>
              <w:pStyle w:val="115"/>
              <w:rPr>
                <w:rFonts w:hAnsi="Times New Roman"/>
                <w:b w:val="0"/>
                <w:color w:val="000000" w:themeColor="text1"/>
                <w:sz w:val="18"/>
                <w:szCs w:val="21"/>
                <w14:textFill>
                  <w14:solidFill>
                    <w14:schemeClr w14:val="tx1"/>
                  </w14:solidFill>
                </w14:textFill>
              </w:rPr>
            </w:pPr>
            <w:r>
              <w:rPr>
                <w:rFonts w:hAnsi="Times New Roman"/>
                <w:b w:val="0"/>
                <w:color w:val="000000" w:themeColor="text1"/>
                <w:sz w:val="18"/>
                <w:szCs w:val="21"/>
                <w14:textFill>
                  <w14:solidFill>
                    <w14:schemeClr w14:val="tx1"/>
                  </w14:solidFill>
                </w14:textFill>
              </w:rPr>
              <w:t>C</w:t>
            </w:r>
            <w:r>
              <w:rPr>
                <w:rFonts w:hAnsi="Times New Roman"/>
                <w:b w:val="0"/>
                <w:color w:val="000000" w:themeColor="text1"/>
                <w:sz w:val="18"/>
                <w:szCs w:val="21"/>
                <w:vertAlign w:val="subscript"/>
                <w14:textFill>
                  <w14:solidFill>
                    <w14:schemeClr w14:val="tx1"/>
                  </w14:solidFill>
                </w14:textFill>
              </w:rPr>
              <w:t>2</w:t>
            </w:r>
          </w:p>
        </w:tc>
        <w:tc>
          <w:tcPr>
            <w:tcW w:w="712" w:type="pct"/>
            <w:vAlign w:val="center"/>
          </w:tcPr>
          <w:p w14:paraId="138E30AC">
            <w:pPr>
              <w:pStyle w:val="115"/>
              <w:rPr>
                <w:rFonts w:hAnsi="Times New Roman"/>
                <w:b w:val="0"/>
                <w:color w:val="000000" w:themeColor="text1"/>
                <w:sz w:val="18"/>
                <w:szCs w:val="21"/>
                <w14:textFill>
                  <w14:solidFill>
                    <w14:schemeClr w14:val="tx1"/>
                  </w14:solidFill>
                </w14:textFill>
              </w:rPr>
            </w:pPr>
            <w:r>
              <w:rPr>
                <w:rFonts w:hAnsi="Times New Roman"/>
                <w:b w:val="0"/>
                <w:color w:val="000000" w:themeColor="text1"/>
                <w:sz w:val="18"/>
                <w:szCs w:val="21"/>
                <w14:textFill>
                  <w14:solidFill>
                    <w14:schemeClr w14:val="tx1"/>
                  </w14:solidFill>
                </w14:textFill>
              </w:rPr>
              <w:t>C</w:t>
            </w:r>
            <w:r>
              <w:rPr>
                <w:rFonts w:hAnsi="Times New Roman"/>
                <w:b w:val="0"/>
                <w:color w:val="000000" w:themeColor="text1"/>
                <w:sz w:val="18"/>
                <w:szCs w:val="21"/>
                <w:vertAlign w:val="subscript"/>
                <w14:textFill>
                  <w14:solidFill>
                    <w14:schemeClr w14:val="tx1"/>
                  </w14:solidFill>
                </w14:textFill>
              </w:rPr>
              <w:t>3</w:t>
            </w:r>
          </w:p>
        </w:tc>
        <w:tc>
          <w:tcPr>
            <w:tcW w:w="545" w:type="pct"/>
            <w:vAlign w:val="center"/>
          </w:tcPr>
          <w:p w14:paraId="50EDDF65">
            <w:pPr>
              <w:pStyle w:val="115"/>
              <w:rPr>
                <w:rFonts w:hAnsi="Times New Roman"/>
                <w:b w:val="0"/>
                <w:color w:val="000000" w:themeColor="text1"/>
                <w:sz w:val="18"/>
                <w:szCs w:val="21"/>
                <w14:textFill>
                  <w14:solidFill>
                    <w14:schemeClr w14:val="tx1"/>
                  </w14:solidFill>
                </w14:textFill>
              </w:rPr>
            </w:pPr>
            <w:r>
              <w:rPr>
                <w:rFonts w:hAnsi="Times New Roman"/>
                <w:b w:val="0"/>
                <w:color w:val="000000" w:themeColor="text1"/>
                <w:sz w:val="18"/>
                <w:szCs w:val="21"/>
                <w14:textFill>
                  <w14:solidFill>
                    <w14:schemeClr w14:val="tx1"/>
                  </w14:solidFill>
                </w14:textFill>
              </w:rPr>
              <w:t>iC</w:t>
            </w:r>
            <w:r>
              <w:rPr>
                <w:rFonts w:hAnsi="Times New Roman"/>
                <w:b w:val="0"/>
                <w:color w:val="000000" w:themeColor="text1"/>
                <w:sz w:val="18"/>
                <w:szCs w:val="21"/>
                <w:vertAlign w:val="subscript"/>
                <w14:textFill>
                  <w14:solidFill>
                    <w14:schemeClr w14:val="tx1"/>
                  </w14:solidFill>
                </w14:textFill>
              </w:rPr>
              <w:t>4</w:t>
            </w:r>
          </w:p>
        </w:tc>
        <w:tc>
          <w:tcPr>
            <w:tcW w:w="545" w:type="pct"/>
            <w:vAlign w:val="center"/>
          </w:tcPr>
          <w:p w14:paraId="50A00646">
            <w:pPr>
              <w:pStyle w:val="115"/>
              <w:rPr>
                <w:rFonts w:hAnsi="Times New Roman"/>
                <w:b w:val="0"/>
                <w:color w:val="000000" w:themeColor="text1"/>
                <w:sz w:val="18"/>
                <w:szCs w:val="21"/>
                <w14:textFill>
                  <w14:solidFill>
                    <w14:schemeClr w14:val="tx1"/>
                  </w14:solidFill>
                </w14:textFill>
              </w:rPr>
            </w:pPr>
            <w:r>
              <w:rPr>
                <w:rFonts w:hAnsi="Times New Roman"/>
                <w:b w:val="0"/>
                <w:color w:val="000000" w:themeColor="text1"/>
                <w:sz w:val="18"/>
                <w:szCs w:val="21"/>
                <w14:textFill>
                  <w14:solidFill>
                    <w14:schemeClr w14:val="tx1"/>
                  </w14:solidFill>
                </w14:textFill>
              </w:rPr>
              <w:t>nC</w:t>
            </w:r>
            <w:r>
              <w:rPr>
                <w:rFonts w:hAnsi="Times New Roman"/>
                <w:b w:val="0"/>
                <w:color w:val="000000" w:themeColor="text1"/>
                <w:sz w:val="18"/>
                <w:szCs w:val="21"/>
                <w:vertAlign w:val="subscript"/>
                <w14:textFill>
                  <w14:solidFill>
                    <w14:schemeClr w14:val="tx1"/>
                  </w14:solidFill>
                </w14:textFill>
              </w:rPr>
              <w:t>4</w:t>
            </w:r>
          </w:p>
        </w:tc>
        <w:tc>
          <w:tcPr>
            <w:tcW w:w="803" w:type="pct"/>
            <w:vAlign w:val="center"/>
          </w:tcPr>
          <w:p w14:paraId="261D8A71">
            <w:pPr>
              <w:pStyle w:val="115"/>
              <w:rPr>
                <w:rFonts w:hAnsi="Times New Roman"/>
                <w:b w:val="0"/>
                <w:color w:val="000000" w:themeColor="text1"/>
                <w:sz w:val="18"/>
                <w:szCs w:val="21"/>
                <w14:textFill>
                  <w14:solidFill>
                    <w14:schemeClr w14:val="tx1"/>
                  </w14:solidFill>
                </w14:textFill>
              </w:rPr>
            </w:pPr>
            <w:r>
              <w:rPr>
                <w:rFonts w:hAnsi="Times New Roman"/>
                <w:b w:val="0"/>
                <w:color w:val="000000" w:themeColor="text1"/>
                <w:sz w:val="18"/>
                <w:szCs w:val="21"/>
                <w14:textFill>
                  <w14:solidFill>
                    <w14:schemeClr w14:val="tx1"/>
                  </w14:solidFill>
                </w14:textFill>
              </w:rPr>
              <w:t>C</w:t>
            </w:r>
            <w:r>
              <w:rPr>
                <w:rFonts w:hAnsi="Times New Roman"/>
                <w:b w:val="0"/>
                <w:color w:val="000000" w:themeColor="text1"/>
                <w:sz w:val="18"/>
                <w:szCs w:val="21"/>
                <w:vertAlign w:val="subscript"/>
                <w14:textFill>
                  <w14:solidFill>
                    <w14:schemeClr w14:val="tx1"/>
                  </w14:solidFill>
                </w14:textFill>
              </w:rPr>
              <w:t>5</w:t>
            </w:r>
            <w:r>
              <w:rPr>
                <w:rFonts w:hint="eastAsia" w:hAnsi="Times New Roman"/>
                <w:b w:val="0"/>
                <w:color w:val="000000" w:themeColor="text1"/>
                <w:sz w:val="18"/>
                <w:szCs w:val="21"/>
                <w14:textFill>
                  <w14:solidFill>
                    <w14:schemeClr w14:val="tx1"/>
                  </w14:solidFill>
                </w14:textFill>
              </w:rPr>
              <w:t>及</w:t>
            </w:r>
            <w:r>
              <w:rPr>
                <w:rFonts w:hAnsi="Times New Roman"/>
                <w:b w:val="0"/>
                <w:color w:val="000000" w:themeColor="text1"/>
                <w:sz w:val="18"/>
                <w:szCs w:val="21"/>
                <w14:textFill>
                  <w14:solidFill>
                    <w14:schemeClr w14:val="tx1"/>
                  </w14:solidFill>
                </w14:textFill>
              </w:rPr>
              <w:t>C</w:t>
            </w:r>
            <w:r>
              <w:rPr>
                <w:rFonts w:hAnsi="Times New Roman"/>
                <w:b w:val="0"/>
                <w:color w:val="000000" w:themeColor="text1"/>
                <w:sz w:val="18"/>
                <w:szCs w:val="21"/>
                <w:vertAlign w:val="subscript"/>
                <w14:textFill>
                  <w14:solidFill>
                    <w14:schemeClr w14:val="tx1"/>
                  </w14:solidFill>
                </w14:textFill>
              </w:rPr>
              <w:t>5</w:t>
            </w:r>
            <w:r>
              <w:rPr>
                <w:rFonts w:hint="eastAsia" w:hAnsi="Times New Roman"/>
                <w:b w:val="0"/>
                <w:color w:val="000000" w:themeColor="text1"/>
                <w:sz w:val="18"/>
                <w:szCs w:val="21"/>
                <w14:textFill>
                  <w14:solidFill>
                    <w14:schemeClr w14:val="tx1"/>
                  </w14:solidFill>
                </w14:textFill>
              </w:rPr>
              <w:t>以上</w:t>
            </w:r>
          </w:p>
        </w:tc>
        <w:tc>
          <w:tcPr>
            <w:tcW w:w="425" w:type="pct"/>
            <w:vAlign w:val="center"/>
          </w:tcPr>
          <w:p w14:paraId="5654D0D0">
            <w:pPr>
              <w:pStyle w:val="115"/>
              <w:rPr>
                <w:rFonts w:hAnsi="Times New Roman"/>
                <w:b w:val="0"/>
                <w:color w:val="000000" w:themeColor="text1"/>
                <w:sz w:val="18"/>
                <w:szCs w:val="21"/>
                <w14:textFill>
                  <w14:solidFill>
                    <w14:schemeClr w14:val="tx1"/>
                  </w14:solidFill>
                </w14:textFill>
              </w:rPr>
            </w:pPr>
            <w:r>
              <w:rPr>
                <w:rFonts w:hint="eastAsia" w:hAnsi="Times New Roman"/>
                <w:b w:val="0"/>
                <w:color w:val="000000" w:themeColor="text1"/>
                <w:sz w:val="18"/>
                <w:szCs w:val="21"/>
                <w14:textFill>
                  <w14:solidFill>
                    <w14:schemeClr w14:val="tx1"/>
                  </w14:solidFill>
                </w14:textFill>
              </w:rPr>
              <w:t>…</w:t>
            </w:r>
          </w:p>
        </w:tc>
      </w:tr>
      <w:tr w14:paraId="18FBFB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70" w:type="pct"/>
            <w:vAlign w:val="center"/>
          </w:tcPr>
          <w:p w14:paraId="1C4F5BF1">
            <w:pPr>
              <w:pStyle w:val="115"/>
              <w:rPr>
                <w:rFonts w:hAnsi="Times New Roman"/>
                <w:b w:val="0"/>
                <w:color w:val="000000" w:themeColor="text1"/>
                <w:sz w:val="18"/>
                <w:szCs w:val="21"/>
                <w14:textFill>
                  <w14:solidFill>
                    <w14:schemeClr w14:val="tx1"/>
                  </w14:solidFill>
                </w14:textFill>
              </w:rPr>
            </w:pPr>
            <w:r>
              <w:rPr>
                <w:rFonts w:hint="eastAsia"/>
                <w:color w:val="000000"/>
                <w:sz w:val="18"/>
                <w:szCs w:val="18"/>
              </w:rPr>
              <w:t>××</w:t>
            </w:r>
            <w:r>
              <w:rPr>
                <w:rFonts w:hint="eastAsia" w:hAnsi="Times New Roman"/>
                <w:b w:val="0"/>
                <w:color w:val="000000" w:themeColor="text1"/>
                <w:sz w:val="18"/>
                <w:szCs w:val="21"/>
                <w14:textFill>
                  <w14:solidFill>
                    <w14:schemeClr w14:val="tx1"/>
                  </w14:solidFill>
                </w14:textFill>
              </w:rPr>
              <w:t>气源</w:t>
            </w:r>
          </w:p>
        </w:tc>
        <w:tc>
          <w:tcPr>
            <w:tcW w:w="564" w:type="pct"/>
            <w:vAlign w:val="center"/>
          </w:tcPr>
          <w:p w14:paraId="2B86EB7E">
            <w:pPr>
              <w:pStyle w:val="115"/>
              <w:rPr>
                <w:rFonts w:hAnsi="Times New Roman"/>
                <w:b w:val="0"/>
                <w:color w:val="000000" w:themeColor="text1"/>
                <w:sz w:val="18"/>
                <w:szCs w:val="21"/>
                <w14:textFill>
                  <w14:solidFill>
                    <w14:schemeClr w14:val="tx1"/>
                  </w14:solidFill>
                </w14:textFill>
              </w:rPr>
            </w:pPr>
          </w:p>
        </w:tc>
        <w:tc>
          <w:tcPr>
            <w:tcW w:w="536" w:type="pct"/>
            <w:vAlign w:val="center"/>
          </w:tcPr>
          <w:p w14:paraId="72050A6D">
            <w:pPr>
              <w:pStyle w:val="115"/>
              <w:rPr>
                <w:rFonts w:hAnsi="Times New Roman"/>
                <w:b w:val="0"/>
                <w:color w:val="000000" w:themeColor="text1"/>
                <w:sz w:val="18"/>
                <w:szCs w:val="21"/>
                <w14:textFill>
                  <w14:solidFill>
                    <w14:schemeClr w14:val="tx1"/>
                  </w14:solidFill>
                </w14:textFill>
              </w:rPr>
            </w:pPr>
          </w:p>
        </w:tc>
        <w:tc>
          <w:tcPr>
            <w:tcW w:w="712" w:type="pct"/>
            <w:vAlign w:val="center"/>
          </w:tcPr>
          <w:p w14:paraId="466DE6A4">
            <w:pPr>
              <w:pStyle w:val="115"/>
              <w:rPr>
                <w:rFonts w:hAnsi="Times New Roman"/>
                <w:b w:val="0"/>
                <w:color w:val="000000" w:themeColor="text1"/>
                <w:sz w:val="18"/>
                <w:szCs w:val="21"/>
                <w14:textFill>
                  <w14:solidFill>
                    <w14:schemeClr w14:val="tx1"/>
                  </w14:solidFill>
                </w14:textFill>
              </w:rPr>
            </w:pPr>
          </w:p>
        </w:tc>
        <w:tc>
          <w:tcPr>
            <w:tcW w:w="545" w:type="pct"/>
            <w:vAlign w:val="center"/>
          </w:tcPr>
          <w:p w14:paraId="013602EA">
            <w:pPr>
              <w:pStyle w:val="115"/>
              <w:rPr>
                <w:rFonts w:hAnsi="Times New Roman"/>
                <w:b w:val="0"/>
                <w:color w:val="000000" w:themeColor="text1"/>
                <w:sz w:val="18"/>
                <w:szCs w:val="21"/>
                <w14:textFill>
                  <w14:solidFill>
                    <w14:schemeClr w14:val="tx1"/>
                  </w14:solidFill>
                </w14:textFill>
              </w:rPr>
            </w:pPr>
          </w:p>
        </w:tc>
        <w:tc>
          <w:tcPr>
            <w:tcW w:w="545" w:type="pct"/>
            <w:vAlign w:val="center"/>
          </w:tcPr>
          <w:p w14:paraId="101A7C9D">
            <w:pPr>
              <w:pStyle w:val="115"/>
              <w:rPr>
                <w:rFonts w:hAnsi="Times New Roman"/>
                <w:b w:val="0"/>
                <w:color w:val="000000" w:themeColor="text1"/>
                <w:sz w:val="18"/>
                <w:szCs w:val="21"/>
                <w14:textFill>
                  <w14:solidFill>
                    <w14:schemeClr w14:val="tx1"/>
                  </w14:solidFill>
                </w14:textFill>
              </w:rPr>
            </w:pPr>
          </w:p>
        </w:tc>
        <w:tc>
          <w:tcPr>
            <w:tcW w:w="803" w:type="pct"/>
            <w:vAlign w:val="center"/>
          </w:tcPr>
          <w:p w14:paraId="632B4FF4">
            <w:pPr>
              <w:pStyle w:val="115"/>
              <w:rPr>
                <w:rFonts w:hAnsi="Times New Roman"/>
                <w:b w:val="0"/>
                <w:color w:val="000000" w:themeColor="text1"/>
                <w:sz w:val="18"/>
                <w:szCs w:val="21"/>
                <w14:textFill>
                  <w14:solidFill>
                    <w14:schemeClr w14:val="tx1"/>
                  </w14:solidFill>
                </w14:textFill>
              </w:rPr>
            </w:pPr>
          </w:p>
        </w:tc>
        <w:tc>
          <w:tcPr>
            <w:tcW w:w="425" w:type="pct"/>
            <w:vAlign w:val="center"/>
          </w:tcPr>
          <w:p w14:paraId="0FA71C79">
            <w:pPr>
              <w:pStyle w:val="115"/>
              <w:rPr>
                <w:rFonts w:hAnsi="Times New Roman"/>
                <w:b w:val="0"/>
                <w:color w:val="000000" w:themeColor="text1"/>
                <w:sz w:val="18"/>
                <w:szCs w:val="21"/>
                <w14:textFill>
                  <w14:solidFill>
                    <w14:schemeClr w14:val="tx1"/>
                  </w14:solidFill>
                </w14:textFill>
              </w:rPr>
            </w:pPr>
          </w:p>
        </w:tc>
      </w:tr>
      <w:tr w14:paraId="0150BA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70" w:type="pct"/>
            <w:vAlign w:val="center"/>
          </w:tcPr>
          <w:p w14:paraId="15DB7BFE">
            <w:pPr>
              <w:pStyle w:val="115"/>
              <w:rPr>
                <w:rFonts w:hAnsi="Times New Roman"/>
                <w:b w:val="0"/>
                <w:color w:val="000000" w:themeColor="text1"/>
                <w:sz w:val="18"/>
                <w:szCs w:val="21"/>
                <w14:textFill>
                  <w14:solidFill>
                    <w14:schemeClr w14:val="tx1"/>
                  </w14:solidFill>
                </w14:textFill>
              </w:rPr>
            </w:pPr>
            <w:r>
              <w:rPr>
                <w:rFonts w:hAnsi="Times New Roman"/>
                <w:b w:val="0"/>
                <w:color w:val="000000" w:themeColor="text1"/>
                <w:kern w:val="0"/>
                <w:sz w:val="18"/>
                <w:szCs w:val="18"/>
                <w14:textFill>
                  <w14:solidFill>
                    <w14:schemeClr w14:val="tx1"/>
                  </w14:solidFill>
                </w14:textFill>
              </w:rPr>
              <w:t>…</w:t>
            </w:r>
          </w:p>
        </w:tc>
        <w:tc>
          <w:tcPr>
            <w:tcW w:w="564" w:type="pct"/>
            <w:vAlign w:val="center"/>
          </w:tcPr>
          <w:p w14:paraId="20307752">
            <w:pPr>
              <w:pStyle w:val="115"/>
              <w:rPr>
                <w:rFonts w:hAnsi="Times New Roman"/>
                <w:b w:val="0"/>
                <w:color w:val="000000" w:themeColor="text1"/>
                <w:sz w:val="18"/>
                <w:szCs w:val="21"/>
                <w14:textFill>
                  <w14:solidFill>
                    <w14:schemeClr w14:val="tx1"/>
                  </w14:solidFill>
                </w14:textFill>
              </w:rPr>
            </w:pPr>
          </w:p>
        </w:tc>
        <w:tc>
          <w:tcPr>
            <w:tcW w:w="536" w:type="pct"/>
            <w:vAlign w:val="center"/>
          </w:tcPr>
          <w:p w14:paraId="7E5E5988">
            <w:pPr>
              <w:pStyle w:val="115"/>
              <w:rPr>
                <w:rFonts w:hAnsi="Times New Roman"/>
                <w:b w:val="0"/>
                <w:color w:val="000000" w:themeColor="text1"/>
                <w:sz w:val="18"/>
                <w:szCs w:val="21"/>
                <w14:textFill>
                  <w14:solidFill>
                    <w14:schemeClr w14:val="tx1"/>
                  </w14:solidFill>
                </w14:textFill>
              </w:rPr>
            </w:pPr>
          </w:p>
        </w:tc>
        <w:tc>
          <w:tcPr>
            <w:tcW w:w="712" w:type="pct"/>
            <w:vAlign w:val="center"/>
          </w:tcPr>
          <w:p w14:paraId="049DA0F5">
            <w:pPr>
              <w:pStyle w:val="115"/>
              <w:rPr>
                <w:rFonts w:hAnsi="Times New Roman"/>
                <w:b w:val="0"/>
                <w:color w:val="000000" w:themeColor="text1"/>
                <w:sz w:val="18"/>
                <w:szCs w:val="21"/>
                <w14:textFill>
                  <w14:solidFill>
                    <w14:schemeClr w14:val="tx1"/>
                  </w14:solidFill>
                </w14:textFill>
              </w:rPr>
            </w:pPr>
          </w:p>
        </w:tc>
        <w:tc>
          <w:tcPr>
            <w:tcW w:w="545" w:type="pct"/>
            <w:vAlign w:val="center"/>
          </w:tcPr>
          <w:p w14:paraId="2E3495DF">
            <w:pPr>
              <w:pStyle w:val="115"/>
              <w:rPr>
                <w:rFonts w:hAnsi="Times New Roman"/>
                <w:b w:val="0"/>
                <w:color w:val="000000" w:themeColor="text1"/>
                <w:sz w:val="18"/>
                <w:szCs w:val="21"/>
                <w14:textFill>
                  <w14:solidFill>
                    <w14:schemeClr w14:val="tx1"/>
                  </w14:solidFill>
                </w14:textFill>
              </w:rPr>
            </w:pPr>
          </w:p>
        </w:tc>
        <w:tc>
          <w:tcPr>
            <w:tcW w:w="545" w:type="pct"/>
            <w:vAlign w:val="center"/>
          </w:tcPr>
          <w:p w14:paraId="32664EB3">
            <w:pPr>
              <w:pStyle w:val="115"/>
              <w:rPr>
                <w:rFonts w:hAnsi="Times New Roman"/>
                <w:b w:val="0"/>
                <w:color w:val="000000" w:themeColor="text1"/>
                <w:sz w:val="18"/>
                <w:szCs w:val="21"/>
                <w14:textFill>
                  <w14:solidFill>
                    <w14:schemeClr w14:val="tx1"/>
                  </w14:solidFill>
                </w14:textFill>
              </w:rPr>
            </w:pPr>
          </w:p>
        </w:tc>
        <w:tc>
          <w:tcPr>
            <w:tcW w:w="803" w:type="pct"/>
            <w:vAlign w:val="center"/>
          </w:tcPr>
          <w:p w14:paraId="19E5F5D5">
            <w:pPr>
              <w:pStyle w:val="115"/>
              <w:rPr>
                <w:rFonts w:hAnsi="Times New Roman"/>
                <w:b w:val="0"/>
                <w:color w:val="000000" w:themeColor="text1"/>
                <w:sz w:val="18"/>
                <w:szCs w:val="21"/>
                <w14:textFill>
                  <w14:solidFill>
                    <w14:schemeClr w14:val="tx1"/>
                  </w14:solidFill>
                </w14:textFill>
              </w:rPr>
            </w:pPr>
          </w:p>
        </w:tc>
        <w:tc>
          <w:tcPr>
            <w:tcW w:w="425" w:type="pct"/>
            <w:vAlign w:val="center"/>
          </w:tcPr>
          <w:p w14:paraId="2614A6D3">
            <w:pPr>
              <w:pStyle w:val="115"/>
              <w:rPr>
                <w:rFonts w:hAnsi="Times New Roman"/>
                <w:b w:val="0"/>
                <w:color w:val="000000" w:themeColor="text1"/>
                <w:sz w:val="18"/>
                <w:szCs w:val="21"/>
                <w14:textFill>
                  <w14:solidFill>
                    <w14:schemeClr w14:val="tx1"/>
                  </w14:solidFill>
                </w14:textFill>
              </w:rPr>
            </w:pPr>
          </w:p>
        </w:tc>
      </w:tr>
    </w:tbl>
    <w:p w14:paraId="110436A8">
      <w:pPr>
        <w:pStyle w:val="65"/>
        <w:ind w:firstLine="420"/>
        <w:rPr>
          <w:rFonts w:ascii="Times New Roman"/>
          <w:color w:val="000000" w:themeColor="text1"/>
          <w14:textFill>
            <w14:solidFill>
              <w14:schemeClr w14:val="tx1"/>
            </w14:solidFill>
          </w14:textFill>
        </w:rPr>
      </w:pPr>
    </w:p>
    <w:p w14:paraId="69B195BC">
      <w:pPr>
        <w:pStyle w:val="4"/>
        <w:rPr>
          <w:rFonts w:hint="eastAsia"/>
        </w:rPr>
      </w:pPr>
      <w:bookmarkStart w:id="57" w:name="_Toc254604955"/>
      <w:bookmarkStart w:id="58" w:name="_Toc464326078"/>
      <w:bookmarkStart w:id="59" w:name="_Toc174117967"/>
      <w:r>
        <w:t>5.</w:t>
      </w:r>
      <w:bookmarkEnd w:id="57"/>
      <w:r>
        <w:rPr>
          <w:rFonts w:hint="eastAsia"/>
          <w:lang w:val="en-US"/>
        </w:rPr>
        <w:t>2</w:t>
      </w:r>
      <w:r>
        <w:rPr>
          <w:rFonts w:hint="eastAsia"/>
        </w:rPr>
        <w:t xml:space="preserve"> 自然及社会环境概况</w:t>
      </w:r>
      <w:bookmarkEnd w:id="58"/>
      <w:bookmarkEnd w:id="59"/>
    </w:p>
    <w:p w14:paraId="5CCA364F">
      <w:pPr>
        <w:pStyle w:val="153"/>
        <w:spacing w:before="156" w:after="156"/>
        <w:rPr>
          <w:rFonts w:hint="eastAsia"/>
        </w:rPr>
      </w:pPr>
      <w:bookmarkStart w:id="60" w:name="_Toc464326079"/>
      <w:r>
        <w:t>5.</w:t>
      </w:r>
      <w:r>
        <w:rPr>
          <w:rFonts w:hint="eastAsia"/>
          <w:lang w:val="en-US"/>
        </w:rPr>
        <w:t>2</w:t>
      </w:r>
      <w:r>
        <w:t xml:space="preserve">.1 </w:t>
      </w:r>
      <w:r>
        <w:rPr>
          <w:rFonts w:hint="eastAsia"/>
        </w:rPr>
        <w:t>自然环境</w:t>
      </w:r>
      <w:bookmarkEnd w:id="60"/>
    </w:p>
    <w:p w14:paraId="54925129">
      <w:pPr>
        <w:pStyle w:val="65"/>
        <w:ind w:firstLine="0" w:firstLineChars="0"/>
        <w:rPr>
          <w:rFonts w:ascii="Times New Roman"/>
          <w:color w:val="000000" w:themeColor="text1"/>
          <w14:textFill>
            <w14:solidFill>
              <w14:schemeClr w14:val="tx1"/>
            </w14:solidFill>
          </w14:textFill>
        </w:rPr>
      </w:pPr>
      <w:r>
        <w:rPr>
          <w:rFonts w:ascii="黑体" w:eastAsia="黑体"/>
          <w:color w:val="000000" w:themeColor="text1"/>
          <w14:textFill>
            <w14:solidFill>
              <w14:schemeClr w14:val="tx1"/>
            </w14:solidFill>
          </w14:textFill>
        </w:rPr>
        <w:t>5.</w:t>
      </w:r>
      <w:r>
        <w:rPr>
          <w:rFonts w:hint="eastAsia" w:ascii="黑体" w:eastAsia="黑体"/>
          <w:color w:val="000000" w:themeColor="text1"/>
          <w14:textFill>
            <w14:solidFill>
              <w14:schemeClr w14:val="tx1"/>
            </w14:solidFill>
          </w14:textFill>
        </w:rPr>
        <w:t>2</w:t>
      </w:r>
      <w:r>
        <w:rPr>
          <w:rFonts w:ascii="黑体" w:eastAsia="黑体"/>
          <w:color w:val="000000" w:themeColor="text1"/>
          <w14:textFill>
            <w14:solidFill>
              <w14:schemeClr w14:val="tx1"/>
            </w14:solidFill>
          </w14:textFill>
        </w:rPr>
        <w:t xml:space="preserve">.1.1 </w:t>
      </w:r>
      <w:r>
        <w:rPr>
          <w:rFonts w:ascii="Times New Roman"/>
        </w:rPr>
        <w:t>说明建设项目沿线的气象条件</w:t>
      </w:r>
      <w:r>
        <w:rPr>
          <w:rFonts w:hint="eastAsia" w:ascii="Times New Roman"/>
        </w:rPr>
        <w:t>，列出气象条件表（</w:t>
      </w:r>
      <w:r>
        <w:rPr>
          <w:rFonts w:ascii="Times New Roman"/>
        </w:rPr>
        <w:t>见表10</w:t>
      </w:r>
      <w:r>
        <w:rPr>
          <w:rFonts w:hint="eastAsia" w:ascii="Times New Roman"/>
        </w:rPr>
        <w:t>）</w:t>
      </w:r>
      <w:r>
        <w:rPr>
          <w:rStyle w:val="156"/>
          <w:rFonts w:hint="eastAsia" w:ascii="Times New Roman" w:hAnsi="Times New Roman"/>
        </w:rPr>
        <w:t>。</w:t>
      </w:r>
    </w:p>
    <w:p w14:paraId="0C407148">
      <w:pPr>
        <w:pStyle w:val="5"/>
        <w:rPr>
          <w:rFonts w:hint="eastAsia"/>
        </w:rPr>
      </w:pPr>
      <w:r>
        <w:t>表</w:t>
      </w:r>
      <w:r>
        <w:rPr>
          <w:rFonts w:ascii="Times New Roman" w:hAnsi="Times New Roman"/>
        </w:rPr>
        <w:t>10</w:t>
      </w:r>
      <w:r>
        <w:t xml:space="preserve"> 气象条件</w:t>
      </w:r>
      <w:r>
        <w:rPr>
          <w:rFonts w:hint="eastAsia"/>
        </w:rPr>
        <w:t>表</w:t>
      </w:r>
    </w:p>
    <w:tbl>
      <w:tblPr>
        <w:tblStyle w:val="3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19"/>
        <w:gridCol w:w="756"/>
        <w:gridCol w:w="639"/>
        <w:gridCol w:w="419"/>
        <w:gridCol w:w="420"/>
        <w:gridCol w:w="424"/>
        <w:gridCol w:w="420"/>
        <w:gridCol w:w="420"/>
        <w:gridCol w:w="422"/>
        <w:gridCol w:w="420"/>
        <w:gridCol w:w="420"/>
        <w:gridCol w:w="422"/>
        <w:gridCol w:w="656"/>
        <w:gridCol w:w="656"/>
        <w:gridCol w:w="660"/>
        <w:gridCol w:w="591"/>
        <w:gridCol w:w="704"/>
        <w:gridCol w:w="702"/>
      </w:tblGrid>
      <w:tr w14:paraId="7DFD37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19" w:type="pct"/>
            <w:vMerge w:val="restart"/>
            <w:vAlign w:val="center"/>
          </w:tcPr>
          <w:p w14:paraId="1F469367">
            <w:pPr>
              <w:spacing w:line="240" w:lineRule="exact"/>
              <w:jc w:val="center"/>
              <w:rPr>
                <w:sz w:val="18"/>
                <w:szCs w:val="18"/>
              </w:rPr>
            </w:pPr>
            <w:r>
              <w:rPr>
                <w:sz w:val="18"/>
                <w:szCs w:val="18"/>
              </w:rPr>
              <w:t>序号</w:t>
            </w:r>
          </w:p>
        </w:tc>
        <w:tc>
          <w:tcPr>
            <w:tcW w:w="728" w:type="pct"/>
            <w:gridSpan w:val="2"/>
            <w:vMerge w:val="restart"/>
            <w:vAlign w:val="center"/>
          </w:tcPr>
          <w:p w14:paraId="71918B64">
            <w:pPr>
              <w:spacing w:line="240" w:lineRule="exact"/>
              <w:jc w:val="center"/>
              <w:rPr>
                <w:sz w:val="18"/>
                <w:szCs w:val="18"/>
              </w:rPr>
            </w:pPr>
            <w:r>
              <w:rPr>
                <w:sz w:val="18"/>
                <w:szCs w:val="18"/>
              </w:rPr>
              <w:t>地  名</w:t>
            </w:r>
          </w:p>
        </w:tc>
        <w:tc>
          <w:tcPr>
            <w:tcW w:w="659" w:type="pct"/>
            <w:gridSpan w:val="3"/>
            <w:vAlign w:val="center"/>
          </w:tcPr>
          <w:p w14:paraId="779D6546">
            <w:pPr>
              <w:spacing w:line="240" w:lineRule="exact"/>
              <w:jc w:val="center"/>
              <w:rPr>
                <w:sz w:val="18"/>
                <w:szCs w:val="18"/>
              </w:rPr>
            </w:pPr>
            <w:r>
              <w:rPr>
                <w:sz w:val="18"/>
                <w:szCs w:val="18"/>
              </w:rPr>
              <w:t>气温 ℃</w:t>
            </w:r>
          </w:p>
        </w:tc>
        <w:tc>
          <w:tcPr>
            <w:tcW w:w="658" w:type="pct"/>
            <w:gridSpan w:val="3"/>
            <w:vAlign w:val="center"/>
          </w:tcPr>
          <w:p w14:paraId="6C4328A3">
            <w:pPr>
              <w:spacing w:line="240" w:lineRule="exact"/>
              <w:jc w:val="center"/>
              <w:rPr>
                <w:sz w:val="18"/>
                <w:szCs w:val="18"/>
              </w:rPr>
            </w:pPr>
            <w:r>
              <w:rPr>
                <w:sz w:val="18"/>
                <w:szCs w:val="18"/>
              </w:rPr>
              <w:t>年降水量mm</w:t>
            </w:r>
          </w:p>
        </w:tc>
        <w:tc>
          <w:tcPr>
            <w:tcW w:w="658" w:type="pct"/>
            <w:gridSpan w:val="3"/>
            <w:vAlign w:val="center"/>
          </w:tcPr>
          <w:p w14:paraId="677AD8F1">
            <w:pPr>
              <w:spacing w:line="240" w:lineRule="exact"/>
              <w:jc w:val="center"/>
              <w:rPr>
                <w:sz w:val="18"/>
                <w:szCs w:val="18"/>
              </w:rPr>
            </w:pPr>
            <w:r>
              <w:rPr>
                <w:sz w:val="18"/>
                <w:szCs w:val="18"/>
              </w:rPr>
              <w:t>风速m/s</w:t>
            </w:r>
          </w:p>
        </w:tc>
        <w:tc>
          <w:tcPr>
            <w:tcW w:w="342" w:type="pct"/>
            <w:vMerge w:val="restart"/>
            <w:vAlign w:val="center"/>
          </w:tcPr>
          <w:p w14:paraId="6EE18CC2">
            <w:pPr>
              <w:adjustRightInd w:val="0"/>
              <w:spacing w:line="240" w:lineRule="exact"/>
              <w:jc w:val="center"/>
              <w:rPr>
                <w:sz w:val="18"/>
                <w:szCs w:val="18"/>
              </w:rPr>
            </w:pPr>
            <w:r>
              <w:rPr>
                <w:sz w:val="18"/>
                <w:szCs w:val="18"/>
              </w:rPr>
              <w:t>年平均相对湿度</w:t>
            </w:r>
          </w:p>
          <w:p w14:paraId="5DE1EE4E">
            <w:pPr>
              <w:adjustRightInd w:val="0"/>
              <w:spacing w:line="240" w:lineRule="exact"/>
              <w:jc w:val="center"/>
              <w:rPr>
                <w:sz w:val="18"/>
                <w:szCs w:val="18"/>
              </w:rPr>
            </w:pPr>
            <w:r>
              <w:rPr>
                <w:sz w:val="18"/>
                <w:szCs w:val="18"/>
              </w:rPr>
              <w:t>%</w:t>
            </w:r>
          </w:p>
        </w:tc>
        <w:tc>
          <w:tcPr>
            <w:tcW w:w="342" w:type="pct"/>
            <w:vMerge w:val="restart"/>
            <w:vAlign w:val="center"/>
          </w:tcPr>
          <w:p w14:paraId="3F7FFBAE">
            <w:pPr>
              <w:adjustRightInd w:val="0"/>
              <w:spacing w:line="240" w:lineRule="exact"/>
              <w:jc w:val="center"/>
              <w:rPr>
                <w:sz w:val="18"/>
                <w:szCs w:val="18"/>
              </w:rPr>
            </w:pPr>
            <w:r>
              <w:rPr>
                <w:sz w:val="18"/>
                <w:szCs w:val="18"/>
              </w:rPr>
              <w:t>最大相对湿度</w:t>
            </w:r>
          </w:p>
          <w:p w14:paraId="2BE717C8">
            <w:pPr>
              <w:adjustRightInd w:val="0"/>
              <w:spacing w:line="240" w:lineRule="exact"/>
              <w:jc w:val="center"/>
              <w:rPr>
                <w:sz w:val="18"/>
                <w:szCs w:val="18"/>
              </w:rPr>
            </w:pPr>
            <w:r>
              <w:rPr>
                <w:sz w:val="18"/>
                <w:szCs w:val="18"/>
              </w:rPr>
              <w:t>%</w:t>
            </w:r>
          </w:p>
        </w:tc>
        <w:tc>
          <w:tcPr>
            <w:tcW w:w="344" w:type="pct"/>
            <w:vMerge w:val="restart"/>
            <w:vAlign w:val="center"/>
          </w:tcPr>
          <w:p w14:paraId="5B8817C4">
            <w:pPr>
              <w:adjustRightInd w:val="0"/>
              <w:spacing w:line="240" w:lineRule="exact"/>
              <w:jc w:val="center"/>
              <w:rPr>
                <w:sz w:val="18"/>
                <w:szCs w:val="18"/>
              </w:rPr>
            </w:pPr>
            <w:r>
              <w:rPr>
                <w:sz w:val="18"/>
                <w:szCs w:val="18"/>
              </w:rPr>
              <w:t>多年平均无日照数</w:t>
            </w:r>
          </w:p>
          <w:p w14:paraId="0F049851">
            <w:pPr>
              <w:adjustRightInd w:val="0"/>
              <w:spacing w:line="240" w:lineRule="exact"/>
              <w:jc w:val="center"/>
              <w:rPr>
                <w:sz w:val="18"/>
                <w:szCs w:val="18"/>
              </w:rPr>
            </w:pPr>
            <w:r>
              <w:rPr>
                <w:sz w:val="18"/>
                <w:szCs w:val="18"/>
              </w:rPr>
              <w:t>h</w:t>
            </w:r>
          </w:p>
        </w:tc>
        <w:tc>
          <w:tcPr>
            <w:tcW w:w="308" w:type="pct"/>
            <w:vMerge w:val="restart"/>
            <w:vAlign w:val="center"/>
          </w:tcPr>
          <w:p w14:paraId="3E54144C">
            <w:pPr>
              <w:spacing w:line="240" w:lineRule="exact"/>
              <w:jc w:val="center"/>
              <w:rPr>
                <w:sz w:val="18"/>
                <w:szCs w:val="18"/>
              </w:rPr>
            </w:pPr>
            <w:r>
              <w:rPr>
                <w:sz w:val="18"/>
                <w:szCs w:val="18"/>
              </w:rPr>
              <w:t>多年平均年蒸发量</w:t>
            </w:r>
          </w:p>
          <w:p w14:paraId="3A9B7C47">
            <w:pPr>
              <w:spacing w:line="240" w:lineRule="exact"/>
              <w:jc w:val="center"/>
              <w:rPr>
                <w:sz w:val="18"/>
                <w:szCs w:val="18"/>
              </w:rPr>
            </w:pPr>
            <w:r>
              <w:rPr>
                <w:sz w:val="18"/>
                <w:szCs w:val="18"/>
              </w:rPr>
              <w:t>mm</w:t>
            </w:r>
          </w:p>
        </w:tc>
        <w:tc>
          <w:tcPr>
            <w:tcW w:w="367" w:type="pct"/>
            <w:vMerge w:val="restart"/>
            <w:vAlign w:val="center"/>
          </w:tcPr>
          <w:p w14:paraId="79FB935F">
            <w:pPr>
              <w:spacing w:line="240" w:lineRule="exact"/>
              <w:jc w:val="center"/>
              <w:rPr>
                <w:bCs/>
                <w:sz w:val="18"/>
                <w:szCs w:val="18"/>
              </w:rPr>
            </w:pPr>
            <w:r>
              <w:rPr>
                <w:bCs/>
                <w:sz w:val="18"/>
                <w:szCs w:val="18"/>
              </w:rPr>
              <w:t>季节性冻土最大冻深</w:t>
            </w:r>
          </w:p>
          <w:p w14:paraId="43518CB6">
            <w:pPr>
              <w:spacing w:line="240" w:lineRule="exact"/>
              <w:jc w:val="center"/>
              <w:rPr>
                <w:sz w:val="18"/>
                <w:szCs w:val="18"/>
              </w:rPr>
            </w:pPr>
            <w:r>
              <w:rPr>
                <w:sz w:val="18"/>
                <w:szCs w:val="18"/>
              </w:rPr>
              <w:t>cm</w:t>
            </w:r>
          </w:p>
        </w:tc>
        <w:tc>
          <w:tcPr>
            <w:tcW w:w="366" w:type="pct"/>
            <w:vMerge w:val="restart"/>
            <w:vAlign w:val="center"/>
          </w:tcPr>
          <w:p w14:paraId="2A8FFCDB">
            <w:pPr>
              <w:spacing w:line="240" w:lineRule="exact"/>
              <w:jc w:val="center"/>
              <w:rPr>
                <w:bCs/>
                <w:sz w:val="18"/>
                <w:szCs w:val="18"/>
              </w:rPr>
            </w:pPr>
            <w:r>
              <w:rPr>
                <w:bCs/>
                <w:sz w:val="18"/>
                <w:szCs w:val="18"/>
              </w:rPr>
              <w:t>年雷暴日</w:t>
            </w:r>
          </w:p>
          <w:p w14:paraId="70E4361F">
            <w:pPr>
              <w:spacing w:line="240" w:lineRule="exact"/>
              <w:jc w:val="center"/>
              <w:rPr>
                <w:sz w:val="18"/>
                <w:szCs w:val="18"/>
              </w:rPr>
            </w:pPr>
            <w:r>
              <w:rPr>
                <w:bCs/>
                <w:sz w:val="18"/>
                <w:szCs w:val="18"/>
              </w:rPr>
              <w:t>d</w:t>
            </w:r>
          </w:p>
        </w:tc>
      </w:tr>
      <w:tr w14:paraId="133C0D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19" w:type="pct"/>
            <w:vMerge w:val="continue"/>
            <w:vAlign w:val="center"/>
          </w:tcPr>
          <w:p w14:paraId="765751E4">
            <w:pPr>
              <w:spacing w:line="240" w:lineRule="exact"/>
              <w:jc w:val="center"/>
              <w:rPr>
                <w:sz w:val="18"/>
                <w:szCs w:val="18"/>
              </w:rPr>
            </w:pPr>
          </w:p>
        </w:tc>
        <w:tc>
          <w:tcPr>
            <w:tcW w:w="728" w:type="pct"/>
            <w:gridSpan w:val="2"/>
            <w:vMerge w:val="continue"/>
            <w:vAlign w:val="center"/>
          </w:tcPr>
          <w:p w14:paraId="0EED8D18">
            <w:pPr>
              <w:spacing w:line="240" w:lineRule="exact"/>
              <w:jc w:val="center"/>
              <w:rPr>
                <w:sz w:val="18"/>
                <w:szCs w:val="18"/>
              </w:rPr>
            </w:pPr>
          </w:p>
        </w:tc>
        <w:tc>
          <w:tcPr>
            <w:tcW w:w="219" w:type="pct"/>
            <w:vAlign w:val="center"/>
          </w:tcPr>
          <w:p w14:paraId="4A4A8F89">
            <w:pPr>
              <w:adjustRightInd w:val="0"/>
              <w:spacing w:line="240" w:lineRule="exact"/>
              <w:jc w:val="center"/>
              <w:rPr>
                <w:sz w:val="18"/>
                <w:szCs w:val="18"/>
              </w:rPr>
            </w:pPr>
            <w:r>
              <w:rPr>
                <w:sz w:val="18"/>
                <w:szCs w:val="18"/>
              </w:rPr>
              <w:t>多年平均</w:t>
            </w:r>
          </w:p>
        </w:tc>
        <w:tc>
          <w:tcPr>
            <w:tcW w:w="219" w:type="pct"/>
            <w:vAlign w:val="center"/>
          </w:tcPr>
          <w:p w14:paraId="29714EFE">
            <w:pPr>
              <w:adjustRightInd w:val="0"/>
              <w:spacing w:line="240" w:lineRule="exact"/>
              <w:jc w:val="center"/>
              <w:rPr>
                <w:sz w:val="18"/>
                <w:szCs w:val="18"/>
              </w:rPr>
            </w:pPr>
            <w:r>
              <w:rPr>
                <w:sz w:val="18"/>
                <w:szCs w:val="18"/>
              </w:rPr>
              <w:t>极端最高</w:t>
            </w:r>
          </w:p>
        </w:tc>
        <w:tc>
          <w:tcPr>
            <w:tcW w:w="220" w:type="pct"/>
            <w:vAlign w:val="center"/>
          </w:tcPr>
          <w:p w14:paraId="7AF0200A">
            <w:pPr>
              <w:adjustRightInd w:val="0"/>
              <w:spacing w:line="240" w:lineRule="exact"/>
              <w:jc w:val="center"/>
              <w:rPr>
                <w:sz w:val="18"/>
                <w:szCs w:val="18"/>
              </w:rPr>
            </w:pPr>
            <w:r>
              <w:rPr>
                <w:sz w:val="18"/>
                <w:szCs w:val="18"/>
              </w:rPr>
              <w:t>极端最低</w:t>
            </w:r>
          </w:p>
        </w:tc>
        <w:tc>
          <w:tcPr>
            <w:tcW w:w="219" w:type="pct"/>
            <w:vAlign w:val="center"/>
          </w:tcPr>
          <w:p w14:paraId="690A218E">
            <w:pPr>
              <w:adjustRightInd w:val="0"/>
              <w:spacing w:line="240" w:lineRule="exact"/>
              <w:jc w:val="center"/>
              <w:rPr>
                <w:sz w:val="18"/>
                <w:szCs w:val="18"/>
              </w:rPr>
            </w:pPr>
            <w:r>
              <w:rPr>
                <w:sz w:val="18"/>
                <w:szCs w:val="18"/>
              </w:rPr>
              <w:t>多年平均</w:t>
            </w:r>
          </w:p>
        </w:tc>
        <w:tc>
          <w:tcPr>
            <w:tcW w:w="219" w:type="pct"/>
            <w:vAlign w:val="center"/>
          </w:tcPr>
          <w:p w14:paraId="44B64397">
            <w:pPr>
              <w:adjustRightInd w:val="0"/>
              <w:spacing w:line="240" w:lineRule="exact"/>
              <w:jc w:val="center"/>
              <w:rPr>
                <w:sz w:val="18"/>
                <w:szCs w:val="18"/>
              </w:rPr>
            </w:pPr>
            <w:r>
              <w:rPr>
                <w:sz w:val="18"/>
                <w:szCs w:val="18"/>
              </w:rPr>
              <w:t>最多</w:t>
            </w:r>
          </w:p>
        </w:tc>
        <w:tc>
          <w:tcPr>
            <w:tcW w:w="219" w:type="pct"/>
            <w:vAlign w:val="center"/>
          </w:tcPr>
          <w:p w14:paraId="1F4BCD20">
            <w:pPr>
              <w:adjustRightInd w:val="0"/>
              <w:spacing w:line="240" w:lineRule="exact"/>
              <w:jc w:val="center"/>
              <w:rPr>
                <w:sz w:val="18"/>
                <w:szCs w:val="18"/>
              </w:rPr>
            </w:pPr>
            <w:r>
              <w:rPr>
                <w:sz w:val="18"/>
                <w:szCs w:val="18"/>
              </w:rPr>
              <w:t>最少</w:t>
            </w:r>
          </w:p>
        </w:tc>
        <w:tc>
          <w:tcPr>
            <w:tcW w:w="219" w:type="pct"/>
            <w:vAlign w:val="center"/>
          </w:tcPr>
          <w:p w14:paraId="3A09133A">
            <w:pPr>
              <w:adjustRightInd w:val="0"/>
              <w:spacing w:line="240" w:lineRule="exact"/>
              <w:jc w:val="center"/>
              <w:rPr>
                <w:sz w:val="18"/>
                <w:szCs w:val="18"/>
              </w:rPr>
            </w:pPr>
            <w:r>
              <w:rPr>
                <w:sz w:val="18"/>
                <w:szCs w:val="18"/>
              </w:rPr>
              <w:t>多年平均</w:t>
            </w:r>
          </w:p>
        </w:tc>
        <w:tc>
          <w:tcPr>
            <w:tcW w:w="219" w:type="pct"/>
            <w:vAlign w:val="center"/>
          </w:tcPr>
          <w:p w14:paraId="0933604E">
            <w:pPr>
              <w:adjustRightInd w:val="0"/>
              <w:spacing w:line="240" w:lineRule="exact"/>
              <w:jc w:val="center"/>
              <w:rPr>
                <w:sz w:val="18"/>
                <w:szCs w:val="18"/>
              </w:rPr>
            </w:pPr>
            <w:r>
              <w:rPr>
                <w:sz w:val="18"/>
                <w:szCs w:val="18"/>
              </w:rPr>
              <w:t>最大</w:t>
            </w:r>
          </w:p>
        </w:tc>
        <w:tc>
          <w:tcPr>
            <w:tcW w:w="219" w:type="pct"/>
            <w:vAlign w:val="center"/>
          </w:tcPr>
          <w:p w14:paraId="130247B6">
            <w:pPr>
              <w:adjustRightInd w:val="0"/>
              <w:spacing w:line="240" w:lineRule="exact"/>
              <w:jc w:val="center"/>
              <w:rPr>
                <w:sz w:val="18"/>
                <w:szCs w:val="18"/>
              </w:rPr>
            </w:pPr>
            <w:r>
              <w:rPr>
                <w:sz w:val="18"/>
                <w:szCs w:val="18"/>
              </w:rPr>
              <w:t>主导风向</w:t>
            </w:r>
          </w:p>
        </w:tc>
        <w:tc>
          <w:tcPr>
            <w:tcW w:w="342" w:type="pct"/>
            <w:vMerge w:val="continue"/>
            <w:vAlign w:val="center"/>
          </w:tcPr>
          <w:p w14:paraId="5985CD82">
            <w:pPr>
              <w:adjustRightInd w:val="0"/>
              <w:spacing w:line="240" w:lineRule="exact"/>
              <w:jc w:val="center"/>
              <w:rPr>
                <w:sz w:val="18"/>
                <w:szCs w:val="18"/>
              </w:rPr>
            </w:pPr>
          </w:p>
        </w:tc>
        <w:tc>
          <w:tcPr>
            <w:tcW w:w="342" w:type="pct"/>
            <w:vMerge w:val="continue"/>
            <w:vAlign w:val="center"/>
          </w:tcPr>
          <w:p w14:paraId="7D29DD7F">
            <w:pPr>
              <w:adjustRightInd w:val="0"/>
              <w:spacing w:line="240" w:lineRule="exact"/>
              <w:jc w:val="center"/>
              <w:rPr>
                <w:sz w:val="18"/>
                <w:szCs w:val="18"/>
              </w:rPr>
            </w:pPr>
          </w:p>
        </w:tc>
        <w:tc>
          <w:tcPr>
            <w:tcW w:w="344" w:type="pct"/>
            <w:vMerge w:val="continue"/>
            <w:vAlign w:val="center"/>
          </w:tcPr>
          <w:p w14:paraId="4A235935">
            <w:pPr>
              <w:adjustRightInd w:val="0"/>
              <w:spacing w:line="240" w:lineRule="exact"/>
              <w:jc w:val="center"/>
              <w:rPr>
                <w:sz w:val="18"/>
                <w:szCs w:val="18"/>
              </w:rPr>
            </w:pPr>
          </w:p>
        </w:tc>
        <w:tc>
          <w:tcPr>
            <w:tcW w:w="308" w:type="pct"/>
            <w:vMerge w:val="continue"/>
            <w:vAlign w:val="center"/>
          </w:tcPr>
          <w:p w14:paraId="49221AB3">
            <w:pPr>
              <w:spacing w:line="240" w:lineRule="exact"/>
              <w:jc w:val="center"/>
              <w:rPr>
                <w:sz w:val="18"/>
                <w:szCs w:val="18"/>
              </w:rPr>
            </w:pPr>
          </w:p>
        </w:tc>
        <w:tc>
          <w:tcPr>
            <w:tcW w:w="367" w:type="pct"/>
            <w:vMerge w:val="continue"/>
            <w:vAlign w:val="center"/>
          </w:tcPr>
          <w:p w14:paraId="3C6713B4">
            <w:pPr>
              <w:spacing w:line="240" w:lineRule="exact"/>
              <w:jc w:val="center"/>
              <w:rPr>
                <w:sz w:val="18"/>
                <w:szCs w:val="18"/>
              </w:rPr>
            </w:pPr>
          </w:p>
        </w:tc>
        <w:tc>
          <w:tcPr>
            <w:tcW w:w="366" w:type="pct"/>
            <w:vMerge w:val="continue"/>
            <w:vAlign w:val="center"/>
          </w:tcPr>
          <w:p w14:paraId="596BAF97">
            <w:pPr>
              <w:spacing w:line="240" w:lineRule="exact"/>
              <w:jc w:val="center"/>
              <w:rPr>
                <w:sz w:val="18"/>
                <w:szCs w:val="18"/>
              </w:rPr>
            </w:pPr>
          </w:p>
        </w:tc>
      </w:tr>
      <w:tr w14:paraId="1AE75B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2" w:hRule="atLeast"/>
          <w:jc w:val="center"/>
        </w:trPr>
        <w:tc>
          <w:tcPr>
            <w:tcW w:w="219" w:type="pct"/>
            <w:vAlign w:val="center"/>
          </w:tcPr>
          <w:p w14:paraId="01DD97BA">
            <w:pPr>
              <w:jc w:val="center"/>
              <w:rPr>
                <w:sz w:val="18"/>
                <w:szCs w:val="18"/>
              </w:rPr>
            </w:pPr>
            <w:r>
              <w:rPr>
                <w:sz w:val="18"/>
                <w:szCs w:val="18"/>
              </w:rPr>
              <w:t>1</w:t>
            </w:r>
          </w:p>
        </w:tc>
        <w:tc>
          <w:tcPr>
            <w:tcW w:w="394" w:type="pct"/>
            <w:vMerge w:val="restart"/>
            <w:vAlign w:val="center"/>
          </w:tcPr>
          <w:p w14:paraId="2D1279F6">
            <w:pPr>
              <w:adjustRightInd w:val="0"/>
              <w:jc w:val="center"/>
              <w:rPr>
                <w:sz w:val="18"/>
                <w:szCs w:val="18"/>
              </w:rPr>
            </w:pPr>
            <w:r>
              <w:rPr>
                <w:rFonts w:hint="eastAsia"/>
                <w:sz w:val="18"/>
                <w:szCs w:val="18"/>
              </w:rPr>
              <w:t>××</w:t>
            </w:r>
            <w:r>
              <w:rPr>
                <w:sz w:val="18"/>
                <w:szCs w:val="18"/>
              </w:rPr>
              <w:t>省（区、市）</w:t>
            </w:r>
          </w:p>
        </w:tc>
        <w:tc>
          <w:tcPr>
            <w:tcW w:w="333" w:type="pct"/>
            <w:vAlign w:val="center"/>
          </w:tcPr>
          <w:p w14:paraId="38DD9F79">
            <w:pPr>
              <w:adjustRightInd w:val="0"/>
              <w:jc w:val="center"/>
              <w:rPr>
                <w:sz w:val="18"/>
                <w:szCs w:val="18"/>
              </w:rPr>
            </w:pPr>
            <w:r>
              <w:rPr>
                <w:rFonts w:hint="eastAsia"/>
                <w:sz w:val="18"/>
                <w:szCs w:val="18"/>
              </w:rPr>
              <w:t>××</w:t>
            </w:r>
          </w:p>
          <w:p w14:paraId="293BABEA">
            <w:pPr>
              <w:adjustRightInd w:val="0"/>
              <w:jc w:val="center"/>
              <w:rPr>
                <w:sz w:val="18"/>
                <w:szCs w:val="18"/>
              </w:rPr>
            </w:pPr>
            <w:r>
              <w:rPr>
                <w:sz w:val="18"/>
                <w:szCs w:val="18"/>
              </w:rPr>
              <w:t>市/县</w:t>
            </w:r>
          </w:p>
        </w:tc>
        <w:tc>
          <w:tcPr>
            <w:tcW w:w="219" w:type="pct"/>
            <w:vAlign w:val="center"/>
          </w:tcPr>
          <w:p w14:paraId="713F0A5E">
            <w:pPr>
              <w:adjustRightInd w:val="0"/>
              <w:jc w:val="center"/>
              <w:rPr>
                <w:sz w:val="18"/>
                <w:szCs w:val="18"/>
              </w:rPr>
            </w:pPr>
          </w:p>
        </w:tc>
        <w:tc>
          <w:tcPr>
            <w:tcW w:w="219" w:type="pct"/>
            <w:vAlign w:val="center"/>
          </w:tcPr>
          <w:p w14:paraId="1A7DBA9A">
            <w:pPr>
              <w:jc w:val="center"/>
              <w:rPr>
                <w:sz w:val="18"/>
                <w:szCs w:val="18"/>
              </w:rPr>
            </w:pPr>
          </w:p>
        </w:tc>
        <w:tc>
          <w:tcPr>
            <w:tcW w:w="220" w:type="pct"/>
            <w:vAlign w:val="center"/>
          </w:tcPr>
          <w:p w14:paraId="646C628F">
            <w:pPr>
              <w:jc w:val="center"/>
              <w:rPr>
                <w:sz w:val="18"/>
                <w:szCs w:val="18"/>
              </w:rPr>
            </w:pPr>
          </w:p>
        </w:tc>
        <w:tc>
          <w:tcPr>
            <w:tcW w:w="219" w:type="pct"/>
            <w:vAlign w:val="center"/>
          </w:tcPr>
          <w:p w14:paraId="2D0E0621">
            <w:pPr>
              <w:adjustRightInd w:val="0"/>
              <w:jc w:val="center"/>
              <w:rPr>
                <w:sz w:val="18"/>
                <w:szCs w:val="18"/>
              </w:rPr>
            </w:pPr>
          </w:p>
        </w:tc>
        <w:tc>
          <w:tcPr>
            <w:tcW w:w="219" w:type="pct"/>
            <w:vAlign w:val="center"/>
          </w:tcPr>
          <w:p w14:paraId="0E0DF556">
            <w:pPr>
              <w:jc w:val="center"/>
              <w:rPr>
                <w:sz w:val="18"/>
                <w:szCs w:val="18"/>
              </w:rPr>
            </w:pPr>
          </w:p>
        </w:tc>
        <w:tc>
          <w:tcPr>
            <w:tcW w:w="219" w:type="pct"/>
            <w:vAlign w:val="center"/>
          </w:tcPr>
          <w:p w14:paraId="48899372">
            <w:pPr>
              <w:jc w:val="center"/>
              <w:rPr>
                <w:sz w:val="18"/>
                <w:szCs w:val="18"/>
              </w:rPr>
            </w:pPr>
          </w:p>
        </w:tc>
        <w:tc>
          <w:tcPr>
            <w:tcW w:w="219" w:type="pct"/>
            <w:vAlign w:val="center"/>
          </w:tcPr>
          <w:p w14:paraId="60EA66E3">
            <w:pPr>
              <w:jc w:val="center"/>
              <w:rPr>
                <w:sz w:val="18"/>
                <w:szCs w:val="18"/>
              </w:rPr>
            </w:pPr>
          </w:p>
        </w:tc>
        <w:tc>
          <w:tcPr>
            <w:tcW w:w="219" w:type="pct"/>
            <w:vAlign w:val="center"/>
          </w:tcPr>
          <w:p w14:paraId="1B79F094">
            <w:pPr>
              <w:jc w:val="center"/>
              <w:rPr>
                <w:sz w:val="18"/>
                <w:szCs w:val="18"/>
              </w:rPr>
            </w:pPr>
          </w:p>
        </w:tc>
        <w:tc>
          <w:tcPr>
            <w:tcW w:w="219" w:type="pct"/>
            <w:vAlign w:val="center"/>
          </w:tcPr>
          <w:p w14:paraId="300F16A3">
            <w:pPr>
              <w:adjustRightInd w:val="0"/>
              <w:jc w:val="center"/>
              <w:rPr>
                <w:sz w:val="18"/>
                <w:szCs w:val="18"/>
              </w:rPr>
            </w:pPr>
          </w:p>
        </w:tc>
        <w:tc>
          <w:tcPr>
            <w:tcW w:w="342" w:type="pct"/>
            <w:vAlign w:val="center"/>
          </w:tcPr>
          <w:p w14:paraId="4DE43FE2">
            <w:pPr>
              <w:adjustRightInd w:val="0"/>
              <w:jc w:val="center"/>
              <w:rPr>
                <w:sz w:val="18"/>
                <w:szCs w:val="18"/>
              </w:rPr>
            </w:pPr>
          </w:p>
        </w:tc>
        <w:tc>
          <w:tcPr>
            <w:tcW w:w="342" w:type="pct"/>
            <w:vAlign w:val="center"/>
          </w:tcPr>
          <w:p w14:paraId="4873A4AE">
            <w:pPr>
              <w:jc w:val="center"/>
              <w:rPr>
                <w:sz w:val="18"/>
                <w:szCs w:val="18"/>
              </w:rPr>
            </w:pPr>
          </w:p>
        </w:tc>
        <w:tc>
          <w:tcPr>
            <w:tcW w:w="344" w:type="pct"/>
          </w:tcPr>
          <w:p w14:paraId="1781906A">
            <w:pPr>
              <w:jc w:val="center"/>
              <w:rPr>
                <w:sz w:val="18"/>
                <w:szCs w:val="18"/>
              </w:rPr>
            </w:pPr>
          </w:p>
        </w:tc>
        <w:tc>
          <w:tcPr>
            <w:tcW w:w="308" w:type="pct"/>
          </w:tcPr>
          <w:p w14:paraId="608DE6E2">
            <w:pPr>
              <w:jc w:val="center"/>
              <w:rPr>
                <w:sz w:val="18"/>
                <w:szCs w:val="18"/>
              </w:rPr>
            </w:pPr>
          </w:p>
        </w:tc>
        <w:tc>
          <w:tcPr>
            <w:tcW w:w="367" w:type="pct"/>
          </w:tcPr>
          <w:p w14:paraId="3EDF44AB">
            <w:pPr>
              <w:jc w:val="center"/>
              <w:rPr>
                <w:sz w:val="18"/>
                <w:szCs w:val="18"/>
              </w:rPr>
            </w:pPr>
          </w:p>
        </w:tc>
        <w:tc>
          <w:tcPr>
            <w:tcW w:w="366" w:type="pct"/>
          </w:tcPr>
          <w:p w14:paraId="165A226D">
            <w:pPr>
              <w:jc w:val="center"/>
              <w:rPr>
                <w:sz w:val="18"/>
                <w:szCs w:val="18"/>
              </w:rPr>
            </w:pPr>
          </w:p>
        </w:tc>
      </w:tr>
      <w:tr w14:paraId="361C67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2" w:hRule="atLeast"/>
          <w:jc w:val="center"/>
        </w:trPr>
        <w:tc>
          <w:tcPr>
            <w:tcW w:w="219" w:type="pct"/>
            <w:vAlign w:val="center"/>
          </w:tcPr>
          <w:p w14:paraId="38BF8DDC">
            <w:pPr>
              <w:jc w:val="center"/>
              <w:rPr>
                <w:sz w:val="18"/>
                <w:szCs w:val="18"/>
              </w:rPr>
            </w:pPr>
            <w:r>
              <w:rPr>
                <w:sz w:val="18"/>
                <w:szCs w:val="18"/>
              </w:rPr>
              <w:t>2</w:t>
            </w:r>
          </w:p>
        </w:tc>
        <w:tc>
          <w:tcPr>
            <w:tcW w:w="394" w:type="pct"/>
            <w:vMerge w:val="continue"/>
            <w:vAlign w:val="center"/>
          </w:tcPr>
          <w:p w14:paraId="27B2122E">
            <w:pPr>
              <w:adjustRightInd w:val="0"/>
              <w:jc w:val="center"/>
              <w:rPr>
                <w:sz w:val="18"/>
                <w:szCs w:val="18"/>
              </w:rPr>
            </w:pPr>
          </w:p>
        </w:tc>
        <w:tc>
          <w:tcPr>
            <w:tcW w:w="333" w:type="pct"/>
            <w:vAlign w:val="center"/>
          </w:tcPr>
          <w:p w14:paraId="75703FB5">
            <w:pPr>
              <w:adjustRightInd w:val="0"/>
              <w:jc w:val="center"/>
              <w:rPr>
                <w:sz w:val="18"/>
                <w:szCs w:val="18"/>
              </w:rPr>
            </w:pPr>
            <w:r>
              <w:rPr>
                <w:rFonts w:hint="eastAsia"/>
                <w:sz w:val="18"/>
                <w:szCs w:val="18"/>
              </w:rPr>
              <w:t>××</w:t>
            </w:r>
          </w:p>
          <w:p w14:paraId="6E48EA27">
            <w:pPr>
              <w:adjustRightInd w:val="0"/>
              <w:jc w:val="center"/>
              <w:rPr>
                <w:sz w:val="18"/>
                <w:szCs w:val="18"/>
              </w:rPr>
            </w:pPr>
            <w:r>
              <w:rPr>
                <w:sz w:val="18"/>
                <w:szCs w:val="18"/>
              </w:rPr>
              <w:t>市/县</w:t>
            </w:r>
          </w:p>
        </w:tc>
        <w:tc>
          <w:tcPr>
            <w:tcW w:w="219" w:type="pct"/>
            <w:vAlign w:val="center"/>
          </w:tcPr>
          <w:p w14:paraId="7E4BCD7B">
            <w:pPr>
              <w:adjustRightInd w:val="0"/>
              <w:jc w:val="center"/>
              <w:rPr>
                <w:sz w:val="18"/>
                <w:szCs w:val="18"/>
              </w:rPr>
            </w:pPr>
          </w:p>
        </w:tc>
        <w:tc>
          <w:tcPr>
            <w:tcW w:w="219" w:type="pct"/>
            <w:vAlign w:val="center"/>
          </w:tcPr>
          <w:p w14:paraId="3D16D681">
            <w:pPr>
              <w:jc w:val="center"/>
              <w:rPr>
                <w:sz w:val="18"/>
                <w:szCs w:val="18"/>
              </w:rPr>
            </w:pPr>
          </w:p>
        </w:tc>
        <w:tc>
          <w:tcPr>
            <w:tcW w:w="220" w:type="pct"/>
            <w:vAlign w:val="center"/>
          </w:tcPr>
          <w:p w14:paraId="302FDF37">
            <w:pPr>
              <w:jc w:val="center"/>
              <w:rPr>
                <w:sz w:val="18"/>
                <w:szCs w:val="18"/>
              </w:rPr>
            </w:pPr>
          </w:p>
        </w:tc>
        <w:tc>
          <w:tcPr>
            <w:tcW w:w="219" w:type="pct"/>
            <w:vAlign w:val="center"/>
          </w:tcPr>
          <w:p w14:paraId="37931E58">
            <w:pPr>
              <w:adjustRightInd w:val="0"/>
              <w:jc w:val="center"/>
              <w:rPr>
                <w:sz w:val="18"/>
                <w:szCs w:val="18"/>
              </w:rPr>
            </w:pPr>
          </w:p>
        </w:tc>
        <w:tc>
          <w:tcPr>
            <w:tcW w:w="219" w:type="pct"/>
            <w:vAlign w:val="center"/>
          </w:tcPr>
          <w:p w14:paraId="21FFD5E2">
            <w:pPr>
              <w:jc w:val="center"/>
              <w:rPr>
                <w:sz w:val="18"/>
                <w:szCs w:val="18"/>
              </w:rPr>
            </w:pPr>
          </w:p>
        </w:tc>
        <w:tc>
          <w:tcPr>
            <w:tcW w:w="219" w:type="pct"/>
            <w:vAlign w:val="center"/>
          </w:tcPr>
          <w:p w14:paraId="6EBD169E">
            <w:pPr>
              <w:jc w:val="center"/>
              <w:rPr>
                <w:sz w:val="18"/>
                <w:szCs w:val="18"/>
              </w:rPr>
            </w:pPr>
          </w:p>
        </w:tc>
        <w:tc>
          <w:tcPr>
            <w:tcW w:w="219" w:type="pct"/>
            <w:vAlign w:val="center"/>
          </w:tcPr>
          <w:p w14:paraId="67198B3B">
            <w:pPr>
              <w:jc w:val="center"/>
              <w:rPr>
                <w:sz w:val="18"/>
                <w:szCs w:val="18"/>
              </w:rPr>
            </w:pPr>
          </w:p>
        </w:tc>
        <w:tc>
          <w:tcPr>
            <w:tcW w:w="219" w:type="pct"/>
            <w:vAlign w:val="center"/>
          </w:tcPr>
          <w:p w14:paraId="59FF3C8F">
            <w:pPr>
              <w:jc w:val="center"/>
              <w:rPr>
                <w:sz w:val="18"/>
                <w:szCs w:val="18"/>
              </w:rPr>
            </w:pPr>
          </w:p>
        </w:tc>
        <w:tc>
          <w:tcPr>
            <w:tcW w:w="219" w:type="pct"/>
            <w:vAlign w:val="center"/>
          </w:tcPr>
          <w:p w14:paraId="2FC329E5">
            <w:pPr>
              <w:adjustRightInd w:val="0"/>
              <w:jc w:val="center"/>
              <w:rPr>
                <w:sz w:val="18"/>
                <w:szCs w:val="18"/>
              </w:rPr>
            </w:pPr>
          </w:p>
        </w:tc>
        <w:tc>
          <w:tcPr>
            <w:tcW w:w="342" w:type="pct"/>
          </w:tcPr>
          <w:p w14:paraId="6D2AF7E7">
            <w:pPr>
              <w:jc w:val="center"/>
              <w:rPr>
                <w:sz w:val="18"/>
                <w:szCs w:val="18"/>
              </w:rPr>
            </w:pPr>
          </w:p>
        </w:tc>
        <w:tc>
          <w:tcPr>
            <w:tcW w:w="342" w:type="pct"/>
            <w:vAlign w:val="center"/>
          </w:tcPr>
          <w:p w14:paraId="24753E39">
            <w:pPr>
              <w:jc w:val="center"/>
              <w:rPr>
                <w:sz w:val="18"/>
                <w:szCs w:val="18"/>
              </w:rPr>
            </w:pPr>
          </w:p>
        </w:tc>
        <w:tc>
          <w:tcPr>
            <w:tcW w:w="344" w:type="pct"/>
          </w:tcPr>
          <w:p w14:paraId="40E0DA5D">
            <w:pPr>
              <w:jc w:val="center"/>
              <w:rPr>
                <w:sz w:val="18"/>
                <w:szCs w:val="18"/>
              </w:rPr>
            </w:pPr>
          </w:p>
        </w:tc>
        <w:tc>
          <w:tcPr>
            <w:tcW w:w="308" w:type="pct"/>
          </w:tcPr>
          <w:p w14:paraId="0D25EA78">
            <w:pPr>
              <w:jc w:val="center"/>
              <w:rPr>
                <w:sz w:val="18"/>
                <w:szCs w:val="18"/>
              </w:rPr>
            </w:pPr>
          </w:p>
        </w:tc>
        <w:tc>
          <w:tcPr>
            <w:tcW w:w="367" w:type="pct"/>
          </w:tcPr>
          <w:p w14:paraId="02A0B86B">
            <w:pPr>
              <w:jc w:val="center"/>
              <w:rPr>
                <w:sz w:val="18"/>
                <w:szCs w:val="18"/>
              </w:rPr>
            </w:pPr>
          </w:p>
        </w:tc>
        <w:tc>
          <w:tcPr>
            <w:tcW w:w="366" w:type="pct"/>
          </w:tcPr>
          <w:p w14:paraId="6ACF8489">
            <w:pPr>
              <w:jc w:val="center"/>
              <w:rPr>
                <w:sz w:val="18"/>
                <w:szCs w:val="18"/>
              </w:rPr>
            </w:pPr>
          </w:p>
        </w:tc>
      </w:tr>
      <w:tr w14:paraId="639C6A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219" w:type="pct"/>
            <w:vAlign w:val="center"/>
          </w:tcPr>
          <w:p w14:paraId="7AB38BD3">
            <w:pPr>
              <w:adjustRightInd w:val="0"/>
              <w:jc w:val="center"/>
              <w:rPr>
                <w:sz w:val="18"/>
                <w:szCs w:val="18"/>
              </w:rPr>
            </w:pPr>
            <w:r>
              <w:rPr>
                <w:sz w:val="18"/>
                <w:szCs w:val="18"/>
              </w:rPr>
              <w:t>…</w:t>
            </w:r>
          </w:p>
        </w:tc>
        <w:tc>
          <w:tcPr>
            <w:tcW w:w="394" w:type="pct"/>
            <w:vAlign w:val="center"/>
          </w:tcPr>
          <w:p w14:paraId="550806DA">
            <w:pPr>
              <w:adjustRightInd w:val="0"/>
              <w:jc w:val="center"/>
              <w:rPr>
                <w:sz w:val="18"/>
                <w:szCs w:val="18"/>
              </w:rPr>
            </w:pPr>
            <w:r>
              <w:rPr>
                <w:sz w:val="18"/>
                <w:szCs w:val="18"/>
              </w:rPr>
              <w:t>…</w:t>
            </w:r>
          </w:p>
        </w:tc>
        <w:tc>
          <w:tcPr>
            <w:tcW w:w="333" w:type="pct"/>
            <w:vAlign w:val="center"/>
          </w:tcPr>
          <w:p w14:paraId="2FFBB3EF">
            <w:pPr>
              <w:adjustRightInd w:val="0"/>
              <w:jc w:val="center"/>
              <w:rPr>
                <w:sz w:val="18"/>
                <w:szCs w:val="18"/>
              </w:rPr>
            </w:pPr>
            <w:r>
              <w:rPr>
                <w:sz w:val="18"/>
                <w:szCs w:val="18"/>
              </w:rPr>
              <w:t>…</w:t>
            </w:r>
          </w:p>
        </w:tc>
        <w:tc>
          <w:tcPr>
            <w:tcW w:w="219" w:type="pct"/>
            <w:vAlign w:val="center"/>
          </w:tcPr>
          <w:p w14:paraId="6632B063">
            <w:pPr>
              <w:jc w:val="center"/>
              <w:rPr>
                <w:sz w:val="18"/>
                <w:szCs w:val="18"/>
              </w:rPr>
            </w:pPr>
          </w:p>
        </w:tc>
        <w:tc>
          <w:tcPr>
            <w:tcW w:w="219" w:type="pct"/>
            <w:vAlign w:val="center"/>
          </w:tcPr>
          <w:p w14:paraId="41A5BAA1">
            <w:pPr>
              <w:jc w:val="center"/>
              <w:rPr>
                <w:sz w:val="18"/>
                <w:szCs w:val="18"/>
              </w:rPr>
            </w:pPr>
          </w:p>
        </w:tc>
        <w:tc>
          <w:tcPr>
            <w:tcW w:w="220" w:type="pct"/>
            <w:vAlign w:val="center"/>
          </w:tcPr>
          <w:p w14:paraId="0DF58536">
            <w:pPr>
              <w:jc w:val="center"/>
              <w:rPr>
                <w:sz w:val="18"/>
                <w:szCs w:val="18"/>
              </w:rPr>
            </w:pPr>
          </w:p>
        </w:tc>
        <w:tc>
          <w:tcPr>
            <w:tcW w:w="219" w:type="pct"/>
            <w:vAlign w:val="center"/>
          </w:tcPr>
          <w:p w14:paraId="1F04307A">
            <w:pPr>
              <w:jc w:val="center"/>
              <w:rPr>
                <w:sz w:val="18"/>
                <w:szCs w:val="18"/>
              </w:rPr>
            </w:pPr>
          </w:p>
        </w:tc>
        <w:tc>
          <w:tcPr>
            <w:tcW w:w="219" w:type="pct"/>
            <w:vAlign w:val="center"/>
          </w:tcPr>
          <w:p w14:paraId="7EC47336">
            <w:pPr>
              <w:jc w:val="center"/>
              <w:rPr>
                <w:sz w:val="18"/>
                <w:szCs w:val="18"/>
              </w:rPr>
            </w:pPr>
          </w:p>
        </w:tc>
        <w:tc>
          <w:tcPr>
            <w:tcW w:w="219" w:type="pct"/>
            <w:vAlign w:val="center"/>
          </w:tcPr>
          <w:p w14:paraId="5184D5FA">
            <w:pPr>
              <w:jc w:val="center"/>
              <w:rPr>
                <w:sz w:val="18"/>
                <w:szCs w:val="18"/>
              </w:rPr>
            </w:pPr>
          </w:p>
        </w:tc>
        <w:tc>
          <w:tcPr>
            <w:tcW w:w="219" w:type="pct"/>
            <w:vAlign w:val="center"/>
          </w:tcPr>
          <w:p w14:paraId="7011BF4B">
            <w:pPr>
              <w:jc w:val="center"/>
              <w:rPr>
                <w:sz w:val="18"/>
                <w:szCs w:val="18"/>
              </w:rPr>
            </w:pPr>
          </w:p>
        </w:tc>
        <w:tc>
          <w:tcPr>
            <w:tcW w:w="219" w:type="pct"/>
            <w:vAlign w:val="center"/>
          </w:tcPr>
          <w:p w14:paraId="73E49A87">
            <w:pPr>
              <w:jc w:val="center"/>
              <w:rPr>
                <w:sz w:val="18"/>
                <w:szCs w:val="18"/>
              </w:rPr>
            </w:pPr>
          </w:p>
        </w:tc>
        <w:tc>
          <w:tcPr>
            <w:tcW w:w="219" w:type="pct"/>
            <w:vAlign w:val="center"/>
          </w:tcPr>
          <w:p w14:paraId="240917AB">
            <w:pPr>
              <w:jc w:val="center"/>
              <w:rPr>
                <w:sz w:val="18"/>
                <w:szCs w:val="18"/>
              </w:rPr>
            </w:pPr>
          </w:p>
        </w:tc>
        <w:tc>
          <w:tcPr>
            <w:tcW w:w="342" w:type="pct"/>
          </w:tcPr>
          <w:p w14:paraId="0BDDC0E2">
            <w:pPr>
              <w:jc w:val="center"/>
              <w:rPr>
                <w:sz w:val="18"/>
                <w:szCs w:val="18"/>
              </w:rPr>
            </w:pPr>
          </w:p>
        </w:tc>
        <w:tc>
          <w:tcPr>
            <w:tcW w:w="342" w:type="pct"/>
            <w:vAlign w:val="center"/>
          </w:tcPr>
          <w:p w14:paraId="553D55B3">
            <w:pPr>
              <w:jc w:val="center"/>
              <w:rPr>
                <w:sz w:val="18"/>
                <w:szCs w:val="18"/>
              </w:rPr>
            </w:pPr>
          </w:p>
        </w:tc>
        <w:tc>
          <w:tcPr>
            <w:tcW w:w="344" w:type="pct"/>
          </w:tcPr>
          <w:p w14:paraId="2D0D8553">
            <w:pPr>
              <w:jc w:val="center"/>
              <w:rPr>
                <w:sz w:val="18"/>
                <w:szCs w:val="18"/>
              </w:rPr>
            </w:pPr>
          </w:p>
        </w:tc>
        <w:tc>
          <w:tcPr>
            <w:tcW w:w="308" w:type="pct"/>
          </w:tcPr>
          <w:p w14:paraId="7AC09E0F">
            <w:pPr>
              <w:jc w:val="center"/>
              <w:rPr>
                <w:sz w:val="18"/>
                <w:szCs w:val="18"/>
              </w:rPr>
            </w:pPr>
          </w:p>
        </w:tc>
        <w:tc>
          <w:tcPr>
            <w:tcW w:w="367" w:type="pct"/>
          </w:tcPr>
          <w:p w14:paraId="4A7CAEA5">
            <w:pPr>
              <w:jc w:val="center"/>
              <w:rPr>
                <w:sz w:val="18"/>
                <w:szCs w:val="18"/>
              </w:rPr>
            </w:pPr>
          </w:p>
        </w:tc>
        <w:tc>
          <w:tcPr>
            <w:tcW w:w="366" w:type="pct"/>
          </w:tcPr>
          <w:p w14:paraId="2C44B9E6">
            <w:pPr>
              <w:jc w:val="center"/>
              <w:rPr>
                <w:sz w:val="18"/>
                <w:szCs w:val="18"/>
              </w:rPr>
            </w:pPr>
          </w:p>
        </w:tc>
      </w:tr>
    </w:tbl>
    <w:p w14:paraId="02B7F217">
      <w:pPr>
        <w:adjustRightInd w:val="0"/>
        <w:snapToGrid w:val="0"/>
        <w:spacing w:line="240" w:lineRule="auto"/>
        <w:rPr>
          <w:rFonts w:ascii="黑体" w:eastAsia="黑体"/>
          <w:color w:val="000000" w:themeColor="text1"/>
          <w14:textFill>
            <w14:solidFill>
              <w14:schemeClr w14:val="tx1"/>
            </w14:solidFill>
          </w14:textFill>
        </w:rPr>
      </w:pPr>
    </w:p>
    <w:p w14:paraId="65CF0185">
      <w:pPr>
        <w:adjustRightInd w:val="0"/>
        <w:snapToGrid w:val="0"/>
        <w:spacing w:line="240" w:lineRule="auto"/>
        <w:rPr>
          <w:color w:val="000000" w:themeColor="text1"/>
          <w14:textFill>
            <w14:solidFill>
              <w14:schemeClr w14:val="tx1"/>
            </w14:solidFill>
          </w14:textFill>
        </w:rPr>
      </w:pPr>
      <w:r>
        <w:rPr>
          <w:rFonts w:ascii="黑体" w:eastAsia="黑体"/>
          <w:color w:val="000000" w:themeColor="text1"/>
          <w14:textFill>
            <w14:solidFill>
              <w14:schemeClr w14:val="tx1"/>
            </w14:solidFill>
          </w14:textFill>
        </w:rPr>
        <w:t>5.</w:t>
      </w:r>
      <w:r>
        <w:rPr>
          <w:rFonts w:hint="eastAsia" w:ascii="黑体" w:eastAsia="黑体"/>
          <w:color w:val="000000" w:themeColor="text1"/>
          <w14:textFill>
            <w14:solidFill>
              <w14:schemeClr w14:val="tx1"/>
            </w14:solidFill>
          </w14:textFill>
        </w:rPr>
        <w:t>2</w:t>
      </w:r>
      <w:r>
        <w:rPr>
          <w:rFonts w:ascii="黑体" w:eastAsia="黑体"/>
          <w:color w:val="000000" w:themeColor="text1"/>
          <w14:textFill>
            <w14:solidFill>
              <w14:schemeClr w14:val="tx1"/>
            </w14:solidFill>
          </w14:textFill>
        </w:rPr>
        <w:t xml:space="preserve">.1.2 </w:t>
      </w:r>
      <w:r>
        <w:rPr>
          <w:rFonts w:hint="eastAsia"/>
        </w:rPr>
        <w:t>说明建设项目沿线的水文条件</w:t>
      </w:r>
      <w:r>
        <w:rPr>
          <w:rFonts w:hint="eastAsia" w:ascii="宋体" w:hAnsi="宋体" w:cs="宋体"/>
        </w:rPr>
        <w:t>，列出</w:t>
      </w:r>
      <w:r>
        <w:rPr>
          <w:rFonts w:hint="eastAsia"/>
        </w:rPr>
        <w:t>水文条件表（</w:t>
      </w:r>
      <w:r>
        <w:rPr>
          <w:rFonts w:hint="eastAsia" w:ascii="宋体" w:hAnsi="宋体" w:cs="宋体"/>
        </w:rPr>
        <w:t>见表</w:t>
      </w:r>
      <w:r>
        <w:t>11</w:t>
      </w:r>
      <w:r>
        <w:rPr>
          <w:rFonts w:hint="eastAsia" w:ascii="宋体" w:hAnsi="宋体" w:cs="宋体"/>
        </w:rPr>
        <w:t>）</w:t>
      </w:r>
      <w:r>
        <w:rPr>
          <w:rFonts w:hint="eastAsia"/>
          <w:color w:val="000000" w:themeColor="text1"/>
          <w14:textFill>
            <w14:solidFill>
              <w14:schemeClr w14:val="tx1"/>
            </w14:solidFill>
          </w14:textFill>
        </w:rPr>
        <w:t>。</w:t>
      </w:r>
    </w:p>
    <w:p w14:paraId="517A28C1">
      <w:pPr>
        <w:pStyle w:val="5"/>
        <w:rPr>
          <w:rFonts w:hint="eastAsia"/>
        </w:rPr>
      </w:pPr>
      <w:r>
        <w:t>表</w:t>
      </w:r>
      <w:r>
        <w:rPr>
          <w:rFonts w:ascii="Times New Roman" w:hAnsi="Times New Roman"/>
        </w:rPr>
        <w:t>11</w:t>
      </w:r>
      <w:r>
        <w:t xml:space="preserve"> </w:t>
      </w:r>
      <w:r>
        <w:rPr>
          <w:rFonts w:hint="eastAsia"/>
        </w:rPr>
        <w:t>水文条件表</w:t>
      </w:r>
    </w:p>
    <w:tbl>
      <w:tblPr>
        <w:tblStyle w:val="36"/>
        <w:tblW w:w="4994"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91"/>
        <w:gridCol w:w="2202"/>
        <w:gridCol w:w="1464"/>
        <w:gridCol w:w="1885"/>
        <w:gridCol w:w="1464"/>
        <w:gridCol w:w="1653"/>
      </w:tblGrid>
      <w:tr w14:paraId="332BF7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6" w:hRule="atLeast"/>
          <w:tblHeader/>
          <w:jc w:val="center"/>
        </w:trPr>
        <w:tc>
          <w:tcPr>
            <w:tcW w:w="466" w:type="pct"/>
            <w:vAlign w:val="center"/>
          </w:tcPr>
          <w:p w14:paraId="567A51FF">
            <w:pPr>
              <w:pStyle w:val="63"/>
              <w:snapToGrid/>
              <w:ind w:left="-80" w:right="-69"/>
              <w:rPr>
                <w:bCs/>
                <w:color w:val="000000"/>
                <w:sz w:val="18"/>
                <w:szCs w:val="18"/>
              </w:rPr>
            </w:pPr>
            <w:r>
              <w:rPr>
                <w:rFonts w:hint="eastAsia"/>
                <w:bCs/>
                <w:color w:val="000000"/>
                <w:sz w:val="18"/>
                <w:szCs w:val="18"/>
              </w:rPr>
              <w:t>序号</w:t>
            </w:r>
          </w:p>
        </w:tc>
        <w:tc>
          <w:tcPr>
            <w:tcW w:w="2202" w:type="dxa"/>
            <w:vAlign w:val="center"/>
          </w:tcPr>
          <w:p w14:paraId="2DA89455">
            <w:pPr>
              <w:jc w:val="center"/>
              <w:rPr>
                <w:bCs/>
                <w:sz w:val="18"/>
                <w:szCs w:val="18"/>
              </w:rPr>
            </w:pPr>
            <w:r>
              <w:rPr>
                <w:sz w:val="18"/>
                <w:szCs w:val="18"/>
              </w:rPr>
              <w:t>河流名称</w:t>
            </w:r>
          </w:p>
        </w:tc>
        <w:tc>
          <w:tcPr>
            <w:tcW w:w="1464" w:type="dxa"/>
            <w:vAlign w:val="center"/>
          </w:tcPr>
          <w:p w14:paraId="374F3B8C">
            <w:pPr>
              <w:jc w:val="center"/>
              <w:rPr>
                <w:bCs/>
                <w:sz w:val="18"/>
                <w:szCs w:val="18"/>
              </w:rPr>
            </w:pPr>
            <w:r>
              <w:rPr>
                <w:sz w:val="18"/>
                <w:szCs w:val="18"/>
              </w:rPr>
              <w:t>所属水系</w:t>
            </w:r>
          </w:p>
        </w:tc>
        <w:tc>
          <w:tcPr>
            <w:tcW w:w="1885" w:type="dxa"/>
            <w:vAlign w:val="center"/>
          </w:tcPr>
          <w:p w14:paraId="75AC4C50">
            <w:pPr>
              <w:jc w:val="center"/>
              <w:rPr>
                <w:sz w:val="18"/>
                <w:szCs w:val="18"/>
              </w:rPr>
            </w:pPr>
            <w:r>
              <w:rPr>
                <w:sz w:val="18"/>
                <w:szCs w:val="18"/>
              </w:rPr>
              <w:t>河流长度</w:t>
            </w:r>
          </w:p>
          <w:p w14:paraId="6DF88CD3">
            <w:pPr>
              <w:jc w:val="center"/>
              <w:rPr>
                <w:bCs/>
                <w:sz w:val="18"/>
                <w:szCs w:val="18"/>
              </w:rPr>
            </w:pPr>
            <w:r>
              <w:rPr>
                <w:sz w:val="18"/>
                <w:szCs w:val="18"/>
              </w:rPr>
              <w:t>km</w:t>
            </w:r>
          </w:p>
        </w:tc>
        <w:tc>
          <w:tcPr>
            <w:tcW w:w="1464" w:type="dxa"/>
            <w:vAlign w:val="center"/>
          </w:tcPr>
          <w:p w14:paraId="733F6CEA">
            <w:pPr>
              <w:jc w:val="center"/>
              <w:rPr>
                <w:sz w:val="18"/>
                <w:szCs w:val="18"/>
              </w:rPr>
            </w:pPr>
            <w:r>
              <w:rPr>
                <w:sz w:val="18"/>
                <w:szCs w:val="18"/>
              </w:rPr>
              <w:t>流域面积</w:t>
            </w:r>
          </w:p>
          <w:p w14:paraId="63424D5C">
            <w:pPr>
              <w:jc w:val="center"/>
              <w:rPr>
                <w:bCs/>
                <w:sz w:val="18"/>
                <w:szCs w:val="18"/>
              </w:rPr>
            </w:pPr>
            <w:r>
              <w:rPr>
                <w:sz w:val="18"/>
                <w:szCs w:val="18"/>
              </w:rPr>
              <w:t>10</w:t>
            </w:r>
            <w:r>
              <w:rPr>
                <w:sz w:val="18"/>
                <w:szCs w:val="18"/>
                <w:vertAlign w:val="superscript"/>
              </w:rPr>
              <w:t>4</w:t>
            </w:r>
            <w:r>
              <w:rPr>
                <w:sz w:val="18"/>
                <w:szCs w:val="18"/>
              </w:rPr>
              <w:t>km</w:t>
            </w:r>
            <w:r>
              <w:rPr>
                <w:sz w:val="18"/>
                <w:szCs w:val="18"/>
                <w:vertAlign w:val="superscript"/>
              </w:rPr>
              <w:t>2</w:t>
            </w:r>
          </w:p>
        </w:tc>
        <w:tc>
          <w:tcPr>
            <w:tcW w:w="1652" w:type="dxa"/>
            <w:vAlign w:val="center"/>
          </w:tcPr>
          <w:p w14:paraId="019EA21C">
            <w:pPr>
              <w:jc w:val="center"/>
              <w:rPr>
                <w:sz w:val="18"/>
                <w:szCs w:val="18"/>
              </w:rPr>
            </w:pPr>
            <w:r>
              <w:rPr>
                <w:sz w:val="18"/>
                <w:szCs w:val="18"/>
              </w:rPr>
              <w:t>年径流量</w:t>
            </w:r>
          </w:p>
          <w:p w14:paraId="3DBDBDED">
            <w:pPr>
              <w:jc w:val="center"/>
              <w:rPr>
                <w:bCs/>
                <w:sz w:val="18"/>
                <w:szCs w:val="18"/>
              </w:rPr>
            </w:pPr>
            <w:r>
              <w:rPr>
                <w:sz w:val="18"/>
                <w:szCs w:val="18"/>
              </w:rPr>
              <w:t>10</w:t>
            </w:r>
            <w:r>
              <w:rPr>
                <w:sz w:val="18"/>
                <w:szCs w:val="18"/>
                <w:vertAlign w:val="superscript"/>
              </w:rPr>
              <w:t>8</w:t>
            </w:r>
            <w:r>
              <w:rPr>
                <w:sz w:val="18"/>
                <w:szCs w:val="18"/>
              </w:rPr>
              <w:t>m</w:t>
            </w:r>
            <w:r>
              <w:rPr>
                <w:sz w:val="18"/>
                <w:szCs w:val="18"/>
                <w:vertAlign w:val="superscript"/>
              </w:rPr>
              <w:t>3</w:t>
            </w:r>
          </w:p>
        </w:tc>
      </w:tr>
      <w:tr w14:paraId="75D88E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26" w:hRule="atLeast"/>
          <w:jc w:val="center"/>
        </w:trPr>
        <w:tc>
          <w:tcPr>
            <w:tcW w:w="466" w:type="pct"/>
            <w:vAlign w:val="center"/>
          </w:tcPr>
          <w:p w14:paraId="38D41C30">
            <w:pPr>
              <w:pStyle w:val="63"/>
              <w:snapToGrid/>
              <w:ind w:left="-80" w:right="-69"/>
              <w:rPr>
                <w:bCs/>
                <w:color w:val="000000"/>
                <w:sz w:val="18"/>
                <w:szCs w:val="18"/>
              </w:rPr>
            </w:pPr>
            <w:r>
              <w:rPr>
                <w:bCs/>
                <w:color w:val="000000"/>
                <w:sz w:val="18"/>
                <w:szCs w:val="18"/>
              </w:rPr>
              <w:t>1</w:t>
            </w:r>
          </w:p>
        </w:tc>
        <w:tc>
          <w:tcPr>
            <w:tcW w:w="1152" w:type="pct"/>
            <w:vAlign w:val="center"/>
          </w:tcPr>
          <w:p w14:paraId="3C4A4164">
            <w:pPr>
              <w:jc w:val="center"/>
              <w:rPr>
                <w:b/>
                <w:sz w:val="18"/>
                <w:szCs w:val="18"/>
              </w:rPr>
            </w:pPr>
          </w:p>
        </w:tc>
        <w:tc>
          <w:tcPr>
            <w:tcW w:w="766" w:type="pct"/>
            <w:vAlign w:val="center"/>
          </w:tcPr>
          <w:p w14:paraId="07BB7F02">
            <w:pPr>
              <w:jc w:val="center"/>
              <w:rPr>
                <w:b/>
                <w:sz w:val="18"/>
                <w:szCs w:val="18"/>
              </w:rPr>
            </w:pPr>
          </w:p>
        </w:tc>
        <w:tc>
          <w:tcPr>
            <w:tcW w:w="986" w:type="pct"/>
            <w:vAlign w:val="center"/>
          </w:tcPr>
          <w:p w14:paraId="3F0435DC">
            <w:pPr>
              <w:jc w:val="center"/>
              <w:rPr>
                <w:b/>
                <w:sz w:val="18"/>
                <w:szCs w:val="18"/>
              </w:rPr>
            </w:pPr>
          </w:p>
        </w:tc>
        <w:tc>
          <w:tcPr>
            <w:tcW w:w="766" w:type="pct"/>
            <w:vAlign w:val="center"/>
          </w:tcPr>
          <w:p w14:paraId="1F93135D">
            <w:pPr>
              <w:jc w:val="center"/>
              <w:rPr>
                <w:b/>
                <w:sz w:val="18"/>
                <w:szCs w:val="18"/>
              </w:rPr>
            </w:pPr>
          </w:p>
        </w:tc>
        <w:tc>
          <w:tcPr>
            <w:tcW w:w="864" w:type="pct"/>
            <w:vAlign w:val="center"/>
          </w:tcPr>
          <w:p w14:paraId="685A937A">
            <w:pPr>
              <w:jc w:val="center"/>
              <w:rPr>
                <w:b/>
                <w:sz w:val="18"/>
                <w:szCs w:val="18"/>
              </w:rPr>
            </w:pPr>
          </w:p>
        </w:tc>
      </w:tr>
      <w:tr w14:paraId="5691A9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26" w:hRule="atLeast"/>
          <w:jc w:val="center"/>
        </w:trPr>
        <w:tc>
          <w:tcPr>
            <w:tcW w:w="466" w:type="pct"/>
            <w:vAlign w:val="center"/>
          </w:tcPr>
          <w:p w14:paraId="0FD07309">
            <w:pPr>
              <w:pStyle w:val="63"/>
              <w:snapToGrid/>
              <w:ind w:left="-80" w:right="-69"/>
              <w:rPr>
                <w:bCs/>
                <w:color w:val="000000"/>
                <w:sz w:val="18"/>
                <w:szCs w:val="18"/>
              </w:rPr>
            </w:pPr>
            <w:r>
              <w:rPr>
                <w:bCs/>
                <w:color w:val="000000"/>
                <w:sz w:val="18"/>
                <w:szCs w:val="18"/>
              </w:rPr>
              <w:t>…</w:t>
            </w:r>
          </w:p>
        </w:tc>
        <w:tc>
          <w:tcPr>
            <w:tcW w:w="1152" w:type="pct"/>
            <w:vAlign w:val="center"/>
          </w:tcPr>
          <w:p w14:paraId="4AD9CFD9">
            <w:pPr>
              <w:jc w:val="center"/>
              <w:rPr>
                <w:b/>
                <w:sz w:val="18"/>
                <w:szCs w:val="18"/>
              </w:rPr>
            </w:pPr>
          </w:p>
        </w:tc>
        <w:tc>
          <w:tcPr>
            <w:tcW w:w="766" w:type="pct"/>
            <w:vAlign w:val="center"/>
          </w:tcPr>
          <w:p w14:paraId="21079EC9">
            <w:pPr>
              <w:jc w:val="center"/>
              <w:rPr>
                <w:b/>
                <w:sz w:val="18"/>
                <w:szCs w:val="18"/>
              </w:rPr>
            </w:pPr>
          </w:p>
        </w:tc>
        <w:tc>
          <w:tcPr>
            <w:tcW w:w="986" w:type="pct"/>
            <w:vAlign w:val="center"/>
          </w:tcPr>
          <w:p w14:paraId="3C634E86">
            <w:pPr>
              <w:jc w:val="center"/>
              <w:rPr>
                <w:b/>
                <w:sz w:val="18"/>
                <w:szCs w:val="18"/>
              </w:rPr>
            </w:pPr>
          </w:p>
        </w:tc>
        <w:tc>
          <w:tcPr>
            <w:tcW w:w="766" w:type="pct"/>
            <w:vAlign w:val="center"/>
          </w:tcPr>
          <w:p w14:paraId="48C84BC9">
            <w:pPr>
              <w:jc w:val="center"/>
              <w:rPr>
                <w:b/>
                <w:sz w:val="18"/>
                <w:szCs w:val="18"/>
              </w:rPr>
            </w:pPr>
          </w:p>
        </w:tc>
        <w:tc>
          <w:tcPr>
            <w:tcW w:w="864" w:type="pct"/>
            <w:vAlign w:val="center"/>
          </w:tcPr>
          <w:p w14:paraId="47104772">
            <w:pPr>
              <w:jc w:val="center"/>
              <w:rPr>
                <w:b/>
                <w:sz w:val="18"/>
                <w:szCs w:val="18"/>
              </w:rPr>
            </w:pPr>
          </w:p>
        </w:tc>
      </w:tr>
    </w:tbl>
    <w:p w14:paraId="2D27DDDE">
      <w:pPr>
        <w:adjustRightInd w:val="0"/>
        <w:snapToGrid w:val="0"/>
        <w:spacing w:line="240" w:lineRule="auto"/>
        <w:rPr>
          <w:color w:val="000000" w:themeColor="text1"/>
          <w14:textFill>
            <w14:solidFill>
              <w14:schemeClr w14:val="tx1"/>
            </w14:solidFill>
          </w14:textFill>
        </w:rPr>
      </w:pPr>
    </w:p>
    <w:p w14:paraId="6D775D12">
      <w:pPr>
        <w:adjustRightInd w:val="0"/>
        <w:snapToGrid w:val="0"/>
        <w:spacing w:line="240" w:lineRule="auto"/>
        <w:rPr>
          <w:rFonts w:hint="eastAsia" w:ascii="黑体" w:hAnsi="黑体" w:eastAsia="黑体"/>
          <w:color w:val="000000" w:themeColor="text1"/>
          <w:szCs w:val="21"/>
          <w14:textFill>
            <w14:solidFill>
              <w14:schemeClr w14:val="tx1"/>
            </w14:solidFill>
          </w14:textFill>
        </w:rPr>
      </w:pPr>
      <w:r>
        <w:rPr>
          <w:rFonts w:ascii="黑体" w:eastAsia="黑体"/>
          <w:color w:val="000000" w:themeColor="text1"/>
          <w14:textFill>
            <w14:solidFill>
              <w14:schemeClr w14:val="tx1"/>
            </w14:solidFill>
          </w14:textFill>
        </w:rPr>
        <w:t>5.</w:t>
      </w:r>
      <w:r>
        <w:rPr>
          <w:rFonts w:hint="eastAsia" w:ascii="黑体" w:eastAsia="黑体"/>
          <w:color w:val="000000" w:themeColor="text1"/>
          <w14:textFill>
            <w14:solidFill>
              <w14:schemeClr w14:val="tx1"/>
            </w14:solidFill>
          </w14:textFill>
        </w:rPr>
        <w:t>2</w:t>
      </w:r>
      <w:r>
        <w:rPr>
          <w:rFonts w:ascii="黑体" w:eastAsia="黑体"/>
          <w:color w:val="000000" w:themeColor="text1"/>
          <w14:textFill>
            <w14:solidFill>
              <w14:schemeClr w14:val="tx1"/>
            </w14:solidFill>
          </w14:textFill>
        </w:rPr>
        <w:t xml:space="preserve">.1.3 </w:t>
      </w:r>
      <w:r>
        <w:t>说明建设项目途经行政区划的地形地貌</w:t>
      </w:r>
      <w:r>
        <w:rPr>
          <w:rFonts w:hint="eastAsia"/>
        </w:rPr>
        <w:t>，</w:t>
      </w:r>
      <w:r>
        <w:rPr>
          <w:rFonts w:hint="eastAsia" w:ascii="宋体" w:hAnsi="宋体" w:cs="宋体"/>
        </w:rPr>
        <w:t>列出</w:t>
      </w:r>
      <w:r>
        <w:t>地形地貌统计表（见表12）</w:t>
      </w:r>
      <w:r>
        <w:rPr>
          <w:rFonts w:hint="eastAsia"/>
          <w:color w:val="auto"/>
        </w:rPr>
        <w:t>。</w:t>
      </w:r>
    </w:p>
    <w:p w14:paraId="173A6A10">
      <w:pPr>
        <w:pStyle w:val="5"/>
        <w:rPr>
          <w:rFonts w:hint="eastAsia"/>
        </w:rPr>
      </w:pPr>
      <w:r>
        <w:t>表</w:t>
      </w:r>
      <w:r>
        <w:rPr>
          <w:rFonts w:ascii="Times New Roman" w:hAnsi="Times New Roman"/>
        </w:rPr>
        <w:t>12</w:t>
      </w:r>
      <w:r>
        <w:t xml:space="preserve"> 地形地貌</w:t>
      </w:r>
      <w:r>
        <w:rPr>
          <w:rFonts w:hint="eastAsia"/>
        </w:rPr>
        <w:t>统计表</w:t>
      </w:r>
    </w:p>
    <w:tbl>
      <w:tblPr>
        <w:tblStyle w:val="3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02"/>
        <w:gridCol w:w="953"/>
        <w:gridCol w:w="1114"/>
        <w:gridCol w:w="1271"/>
        <w:gridCol w:w="1120"/>
        <w:gridCol w:w="1271"/>
        <w:gridCol w:w="1114"/>
        <w:gridCol w:w="1114"/>
        <w:gridCol w:w="1011"/>
      </w:tblGrid>
      <w:tr w14:paraId="2CA28B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315" w:type="pct"/>
            <w:vMerge w:val="restart"/>
            <w:vAlign w:val="center"/>
          </w:tcPr>
          <w:p w14:paraId="3703984B">
            <w:pPr>
              <w:pStyle w:val="63"/>
              <w:snapToGrid/>
              <w:ind w:left="-80" w:right="-69"/>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序号</w:t>
            </w:r>
          </w:p>
        </w:tc>
        <w:tc>
          <w:tcPr>
            <w:tcW w:w="498" w:type="pct"/>
            <w:vMerge w:val="restart"/>
            <w:vAlign w:val="center"/>
          </w:tcPr>
          <w:p w14:paraId="1FF63CBB">
            <w:pPr>
              <w:pStyle w:val="63"/>
              <w:snapToGrid/>
              <w:ind w:left="-80" w:right="-69"/>
              <w:rPr>
                <w:color w:val="000000" w:themeColor="text1"/>
                <w:sz w:val="18"/>
                <w:szCs w:val="18"/>
                <w14:textFill>
                  <w14:solidFill>
                    <w14:schemeClr w14:val="tx1"/>
                  </w14:solidFill>
                </w14:textFill>
              </w:rPr>
            </w:pPr>
            <w:r>
              <w:rPr>
                <w:rFonts w:eastAsiaTheme="minorEastAsia"/>
                <w:sz w:val="18"/>
                <w:szCs w:val="18"/>
              </w:rPr>
              <w:t>省（区、市）</w:t>
            </w:r>
          </w:p>
        </w:tc>
        <w:tc>
          <w:tcPr>
            <w:tcW w:w="4188" w:type="pct"/>
            <w:gridSpan w:val="7"/>
            <w:vAlign w:val="center"/>
          </w:tcPr>
          <w:p w14:paraId="44849059">
            <w:pPr>
              <w:pStyle w:val="63"/>
              <w:snapToGrid/>
              <w:ind w:left="-80" w:right="-69"/>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长度</w:t>
            </w:r>
            <w:r>
              <w:rPr>
                <w:color w:val="000000" w:themeColor="text1"/>
                <w:sz w:val="18"/>
                <w:szCs w:val="18"/>
                <w14:textFill>
                  <w14:solidFill>
                    <w14:schemeClr w14:val="tx1"/>
                  </w14:solidFill>
                </w14:textFill>
              </w:rPr>
              <w:t>km</w:t>
            </w:r>
          </w:p>
        </w:tc>
      </w:tr>
      <w:tr w14:paraId="14C550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315" w:type="pct"/>
            <w:vMerge w:val="continue"/>
            <w:vAlign w:val="center"/>
          </w:tcPr>
          <w:p w14:paraId="72DF3559">
            <w:pPr>
              <w:pStyle w:val="63"/>
              <w:snapToGrid/>
              <w:ind w:left="-80" w:right="-69"/>
              <w:rPr>
                <w:color w:val="000000" w:themeColor="text1"/>
                <w:sz w:val="18"/>
                <w:szCs w:val="18"/>
                <w14:textFill>
                  <w14:solidFill>
                    <w14:schemeClr w14:val="tx1"/>
                  </w14:solidFill>
                </w14:textFill>
              </w:rPr>
            </w:pPr>
          </w:p>
        </w:tc>
        <w:tc>
          <w:tcPr>
            <w:tcW w:w="498" w:type="pct"/>
            <w:vMerge w:val="continue"/>
            <w:vAlign w:val="center"/>
          </w:tcPr>
          <w:p w14:paraId="780E9C40">
            <w:pPr>
              <w:jc w:val="center"/>
              <w:rPr>
                <w:color w:val="000000" w:themeColor="text1"/>
                <w:sz w:val="18"/>
                <w:szCs w:val="18"/>
                <w14:textFill>
                  <w14:solidFill>
                    <w14:schemeClr w14:val="tx1"/>
                  </w14:solidFill>
                </w14:textFill>
              </w:rPr>
            </w:pPr>
          </w:p>
        </w:tc>
        <w:tc>
          <w:tcPr>
            <w:tcW w:w="582" w:type="pct"/>
            <w:vAlign w:val="center"/>
          </w:tcPr>
          <w:p w14:paraId="638D4C71">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平原</w:t>
            </w:r>
          </w:p>
        </w:tc>
        <w:tc>
          <w:tcPr>
            <w:tcW w:w="664" w:type="pct"/>
            <w:vAlign w:val="center"/>
          </w:tcPr>
          <w:p w14:paraId="3EBA7B5E">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沟谷</w:t>
            </w:r>
          </w:p>
        </w:tc>
        <w:tc>
          <w:tcPr>
            <w:tcW w:w="585" w:type="pct"/>
            <w:vAlign w:val="center"/>
          </w:tcPr>
          <w:p w14:paraId="131BA9B5">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丘陵</w:t>
            </w:r>
          </w:p>
        </w:tc>
        <w:tc>
          <w:tcPr>
            <w:tcW w:w="664" w:type="pct"/>
            <w:vAlign w:val="center"/>
          </w:tcPr>
          <w:p w14:paraId="274A2F17">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沟壑</w:t>
            </w:r>
          </w:p>
        </w:tc>
        <w:tc>
          <w:tcPr>
            <w:tcW w:w="582" w:type="pct"/>
            <w:vAlign w:val="center"/>
          </w:tcPr>
          <w:p w14:paraId="63FD50E2">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山区</w:t>
            </w:r>
          </w:p>
        </w:tc>
        <w:tc>
          <w:tcPr>
            <w:tcW w:w="582" w:type="pct"/>
            <w:vAlign w:val="center"/>
          </w:tcPr>
          <w:p w14:paraId="0814CB8A">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水网</w:t>
            </w:r>
          </w:p>
        </w:tc>
        <w:tc>
          <w:tcPr>
            <w:tcW w:w="528" w:type="pct"/>
            <w:vAlign w:val="center"/>
          </w:tcPr>
          <w:p w14:paraId="20D13404">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w:t>
            </w:r>
          </w:p>
        </w:tc>
      </w:tr>
      <w:tr w14:paraId="2AD758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15" w:type="pct"/>
            <w:vAlign w:val="center"/>
          </w:tcPr>
          <w:p w14:paraId="70BB750A">
            <w:pPr>
              <w:pStyle w:val="63"/>
              <w:snapToGrid/>
              <w:ind w:left="-80" w:right="-69"/>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498" w:type="pct"/>
            <w:vAlign w:val="center"/>
          </w:tcPr>
          <w:p w14:paraId="6285E329">
            <w:pPr>
              <w:jc w:val="center"/>
              <w:rPr>
                <w:color w:val="000000" w:themeColor="text1"/>
                <w:sz w:val="18"/>
                <w:szCs w:val="18"/>
                <w14:textFill>
                  <w14:solidFill>
                    <w14:schemeClr w14:val="tx1"/>
                  </w14:solidFill>
                </w14:textFill>
              </w:rPr>
            </w:pPr>
          </w:p>
        </w:tc>
        <w:tc>
          <w:tcPr>
            <w:tcW w:w="582" w:type="pct"/>
            <w:vAlign w:val="center"/>
          </w:tcPr>
          <w:p w14:paraId="456896B4">
            <w:pPr>
              <w:jc w:val="center"/>
              <w:rPr>
                <w:color w:val="000000" w:themeColor="text1"/>
                <w:sz w:val="18"/>
                <w:szCs w:val="18"/>
                <w14:textFill>
                  <w14:solidFill>
                    <w14:schemeClr w14:val="tx1"/>
                  </w14:solidFill>
                </w14:textFill>
              </w:rPr>
            </w:pPr>
          </w:p>
        </w:tc>
        <w:tc>
          <w:tcPr>
            <w:tcW w:w="664" w:type="pct"/>
            <w:vAlign w:val="center"/>
          </w:tcPr>
          <w:p w14:paraId="586A4610">
            <w:pPr>
              <w:jc w:val="center"/>
              <w:rPr>
                <w:color w:val="000000" w:themeColor="text1"/>
                <w:sz w:val="18"/>
                <w:szCs w:val="18"/>
                <w14:textFill>
                  <w14:solidFill>
                    <w14:schemeClr w14:val="tx1"/>
                  </w14:solidFill>
                </w14:textFill>
              </w:rPr>
            </w:pPr>
          </w:p>
        </w:tc>
        <w:tc>
          <w:tcPr>
            <w:tcW w:w="585" w:type="pct"/>
            <w:vAlign w:val="center"/>
          </w:tcPr>
          <w:p w14:paraId="000EC961">
            <w:pPr>
              <w:jc w:val="center"/>
              <w:rPr>
                <w:color w:val="000000" w:themeColor="text1"/>
                <w:sz w:val="18"/>
                <w:szCs w:val="18"/>
                <w14:textFill>
                  <w14:solidFill>
                    <w14:schemeClr w14:val="tx1"/>
                  </w14:solidFill>
                </w14:textFill>
              </w:rPr>
            </w:pPr>
          </w:p>
        </w:tc>
        <w:tc>
          <w:tcPr>
            <w:tcW w:w="664" w:type="pct"/>
            <w:vAlign w:val="center"/>
          </w:tcPr>
          <w:p w14:paraId="5250417D">
            <w:pPr>
              <w:jc w:val="center"/>
              <w:rPr>
                <w:color w:val="000000" w:themeColor="text1"/>
                <w:sz w:val="18"/>
                <w:szCs w:val="18"/>
                <w14:textFill>
                  <w14:solidFill>
                    <w14:schemeClr w14:val="tx1"/>
                  </w14:solidFill>
                </w14:textFill>
              </w:rPr>
            </w:pPr>
          </w:p>
        </w:tc>
        <w:tc>
          <w:tcPr>
            <w:tcW w:w="582" w:type="pct"/>
            <w:vAlign w:val="center"/>
          </w:tcPr>
          <w:p w14:paraId="6BED3B8A">
            <w:pPr>
              <w:jc w:val="center"/>
              <w:rPr>
                <w:color w:val="000000" w:themeColor="text1"/>
                <w:sz w:val="18"/>
                <w:szCs w:val="18"/>
                <w14:textFill>
                  <w14:solidFill>
                    <w14:schemeClr w14:val="tx1"/>
                  </w14:solidFill>
                </w14:textFill>
              </w:rPr>
            </w:pPr>
          </w:p>
        </w:tc>
        <w:tc>
          <w:tcPr>
            <w:tcW w:w="582" w:type="pct"/>
            <w:vAlign w:val="center"/>
          </w:tcPr>
          <w:p w14:paraId="07121087">
            <w:pPr>
              <w:jc w:val="center"/>
              <w:rPr>
                <w:color w:val="000000" w:themeColor="text1"/>
                <w:sz w:val="18"/>
                <w:szCs w:val="18"/>
                <w14:textFill>
                  <w14:solidFill>
                    <w14:schemeClr w14:val="tx1"/>
                  </w14:solidFill>
                </w14:textFill>
              </w:rPr>
            </w:pPr>
          </w:p>
        </w:tc>
        <w:tc>
          <w:tcPr>
            <w:tcW w:w="528" w:type="pct"/>
            <w:vAlign w:val="center"/>
          </w:tcPr>
          <w:p w14:paraId="5B10B407">
            <w:pPr>
              <w:jc w:val="center"/>
              <w:rPr>
                <w:color w:val="000000" w:themeColor="text1"/>
                <w:sz w:val="18"/>
                <w:szCs w:val="18"/>
                <w14:textFill>
                  <w14:solidFill>
                    <w14:schemeClr w14:val="tx1"/>
                  </w14:solidFill>
                </w14:textFill>
              </w:rPr>
            </w:pPr>
          </w:p>
        </w:tc>
      </w:tr>
      <w:tr w14:paraId="0A7B9B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15" w:type="pct"/>
            <w:vAlign w:val="center"/>
          </w:tcPr>
          <w:p w14:paraId="225B6B9C">
            <w:pPr>
              <w:pStyle w:val="63"/>
              <w:snapToGrid/>
              <w:ind w:left="-80" w:right="-69"/>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w:t>
            </w:r>
          </w:p>
        </w:tc>
        <w:tc>
          <w:tcPr>
            <w:tcW w:w="498" w:type="pct"/>
            <w:vAlign w:val="center"/>
          </w:tcPr>
          <w:p w14:paraId="283BFFD0">
            <w:pPr>
              <w:pStyle w:val="63"/>
              <w:snapToGrid/>
              <w:ind w:left="-80" w:right="-69"/>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w:t>
            </w:r>
          </w:p>
        </w:tc>
        <w:tc>
          <w:tcPr>
            <w:tcW w:w="582" w:type="pct"/>
            <w:vAlign w:val="center"/>
          </w:tcPr>
          <w:p w14:paraId="20D1949F">
            <w:pPr>
              <w:jc w:val="center"/>
              <w:rPr>
                <w:color w:val="000000" w:themeColor="text1"/>
                <w:sz w:val="18"/>
                <w:szCs w:val="18"/>
                <w14:textFill>
                  <w14:solidFill>
                    <w14:schemeClr w14:val="tx1"/>
                  </w14:solidFill>
                </w14:textFill>
              </w:rPr>
            </w:pPr>
          </w:p>
        </w:tc>
        <w:tc>
          <w:tcPr>
            <w:tcW w:w="664" w:type="pct"/>
            <w:vAlign w:val="center"/>
          </w:tcPr>
          <w:p w14:paraId="233F6B3C">
            <w:pPr>
              <w:jc w:val="center"/>
              <w:rPr>
                <w:color w:val="000000" w:themeColor="text1"/>
                <w:sz w:val="18"/>
                <w:szCs w:val="18"/>
                <w14:textFill>
                  <w14:solidFill>
                    <w14:schemeClr w14:val="tx1"/>
                  </w14:solidFill>
                </w14:textFill>
              </w:rPr>
            </w:pPr>
          </w:p>
        </w:tc>
        <w:tc>
          <w:tcPr>
            <w:tcW w:w="585" w:type="pct"/>
            <w:vAlign w:val="center"/>
          </w:tcPr>
          <w:p w14:paraId="53019D9C">
            <w:pPr>
              <w:jc w:val="center"/>
              <w:rPr>
                <w:color w:val="000000" w:themeColor="text1"/>
                <w:sz w:val="18"/>
                <w:szCs w:val="18"/>
                <w14:textFill>
                  <w14:solidFill>
                    <w14:schemeClr w14:val="tx1"/>
                  </w14:solidFill>
                </w14:textFill>
              </w:rPr>
            </w:pPr>
          </w:p>
        </w:tc>
        <w:tc>
          <w:tcPr>
            <w:tcW w:w="664" w:type="pct"/>
            <w:vAlign w:val="center"/>
          </w:tcPr>
          <w:p w14:paraId="00084816">
            <w:pPr>
              <w:jc w:val="center"/>
              <w:rPr>
                <w:color w:val="000000" w:themeColor="text1"/>
                <w:sz w:val="18"/>
                <w:szCs w:val="18"/>
                <w14:textFill>
                  <w14:solidFill>
                    <w14:schemeClr w14:val="tx1"/>
                  </w14:solidFill>
                </w14:textFill>
              </w:rPr>
            </w:pPr>
          </w:p>
        </w:tc>
        <w:tc>
          <w:tcPr>
            <w:tcW w:w="582" w:type="pct"/>
            <w:vAlign w:val="center"/>
          </w:tcPr>
          <w:p w14:paraId="58C2225F">
            <w:pPr>
              <w:jc w:val="center"/>
              <w:rPr>
                <w:color w:val="000000" w:themeColor="text1"/>
                <w:sz w:val="18"/>
                <w:szCs w:val="18"/>
                <w14:textFill>
                  <w14:solidFill>
                    <w14:schemeClr w14:val="tx1"/>
                  </w14:solidFill>
                </w14:textFill>
              </w:rPr>
            </w:pPr>
          </w:p>
        </w:tc>
        <w:tc>
          <w:tcPr>
            <w:tcW w:w="582" w:type="pct"/>
            <w:vAlign w:val="center"/>
          </w:tcPr>
          <w:p w14:paraId="2AAD8110">
            <w:pPr>
              <w:jc w:val="center"/>
              <w:rPr>
                <w:color w:val="000000" w:themeColor="text1"/>
                <w:sz w:val="18"/>
                <w:szCs w:val="18"/>
                <w14:textFill>
                  <w14:solidFill>
                    <w14:schemeClr w14:val="tx1"/>
                  </w14:solidFill>
                </w14:textFill>
              </w:rPr>
            </w:pPr>
          </w:p>
        </w:tc>
        <w:tc>
          <w:tcPr>
            <w:tcW w:w="528" w:type="pct"/>
            <w:vAlign w:val="center"/>
          </w:tcPr>
          <w:p w14:paraId="5D3D0F2A">
            <w:pPr>
              <w:jc w:val="center"/>
              <w:rPr>
                <w:color w:val="000000" w:themeColor="text1"/>
                <w:sz w:val="18"/>
                <w:szCs w:val="18"/>
                <w14:textFill>
                  <w14:solidFill>
                    <w14:schemeClr w14:val="tx1"/>
                  </w14:solidFill>
                </w14:textFill>
              </w:rPr>
            </w:pPr>
          </w:p>
        </w:tc>
      </w:tr>
      <w:tr w14:paraId="70F3FB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12" w:type="pct"/>
            <w:gridSpan w:val="2"/>
            <w:vAlign w:val="center"/>
          </w:tcPr>
          <w:p w14:paraId="430DE2AD">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总计</w:t>
            </w:r>
          </w:p>
        </w:tc>
        <w:tc>
          <w:tcPr>
            <w:tcW w:w="582" w:type="pct"/>
            <w:vAlign w:val="center"/>
          </w:tcPr>
          <w:p w14:paraId="06BDDE5E">
            <w:pPr>
              <w:jc w:val="center"/>
              <w:rPr>
                <w:color w:val="000000" w:themeColor="text1"/>
                <w:sz w:val="18"/>
                <w:szCs w:val="18"/>
                <w14:textFill>
                  <w14:solidFill>
                    <w14:schemeClr w14:val="tx1"/>
                  </w14:solidFill>
                </w14:textFill>
              </w:rPr>
            </w:pPr>
          </w:p>
        </w:tc>
        <w:tc>
          <w:tcPr>
            <w:tcW w:w="664" w:type="pct"/>
            <w:vAlign w:val="center"/>
          </w:tcPr>
          <w:p w14:paraId="3D08759E">
            <w:pPr>
              <w:jc w:val="center"/>
              <w:rPr>
                <w:color w:val="000000" w:themeColor="text1"/>
                <w:sz w:val="18"/>
                <w:szCs w:val="18"/>
                <w14:textFill>
                  <w14:solidFill>
                    <w14:schemeClr w14:val="tx1"/>
                  </w14:solidFill>
                </w14:textFill>
              </w:rPr>
            </w:pPr>
          </w:p>
        </w:tc>
        <w:tc>
          <w:tcPr>
            <w:tcW w:w="585" w:type="pct"/>
            <w:vAlign w:val="center"/>
          </w:tcPr>
          <w:p w14:paraId="08951474">
            <w:pPr>
              <w:jc w:val="center"/>
              <w:rPr>
                <w:color w:val="000000" w:themeColor="text1"/>
                <w:sz w:val="18"/>
                <w:szCs w:val="18"/>
                <w14:textFill>
                  <w14:solidFill>
                    <w14:schemeClr w14:val="tx1"/>
                  </w14:solidFill>
                </w14:textFill>
              </w:rPr>
            </w:pPr>
          </w:p>
        </w:tc>
        <w:tc>
          <w:tcPr>
            <w:tcW w:w="664" w:type="pct"/>
            <w:vAlign w:val="center"/>
          </w:tcPr>
          <w:p w14:paraId="5A3E68C0">
            <w:pPr>
              <w:jc w:val="center"/>
              <w:rPr>
                <w:color w:val="000000" w:themeColor="text1"/>
                <w:sz w:val="18"/>
                <w:szCs w:val="18"/>
                <w14:textFill>
                  <w14:solidFill>
                    <w14:schemeClr w14:val="tx1"/>
                  </w14:solidFill>
                </w14:textFill>
              </w:rPr>
            </w:pPr>
          </w:p>
        </w:tc>
        <w:tc>
          <w:tcPr>
            <w:tcW w:w="582" w:type="pct"/>
            <w:vAlign w:val="center"/>
          </w:tcPr>
          <w:p w14:paraId="274579F3">
            <w:pPr>
              <w:jc w:val="center"/>
              <w:rPr>
                <w:color w:val="000000" w:themeColor="text1"/>
                <w:sz w:val="18"/>
                <w:szCs w:val="18"/>
                <w14:textFill>
                  <w14:solidFill>
                    <w14:schemeClr w14:val="tx1"/>
                  </w14:solidFill>
                </w14:textFill>
              </w:rPr>
            </w:pPr>
          </w:p>
        </w:tc>
        <w:tc>
          <w:tcPr>
            <w:tcW w:w="582" w:type="pct"/>
            <w:vAlign w:val="center"/>
          </w:tcPr>
          <w:p w14:paraId="2F641DD8">
            <w:pPr>
              <w:jc w:val="center"/>
              <w:rPr>
                <w:color w:val="000000" w:themeColor="text1"/>
                <w:sz w:val="18"/>
                <w:szCs w:val="18"/>
                <w14:textFill>
                  <w14:solidFill>
                    <w14:schemeClr w14:val="tx1"/>
                  </w14:solidFill>
                </w14:textFill>
              </w:rPr>
            </w:pPr>
          </w:p>
        </w:tc>
        <w:tc>
          <w:tcPr>
            <w:tcW w:w="528" w:type="pct"/>
            <w:vAlign w:val="center"/>
          </w:tcPr>
          <w:p w14:paraId="2ED9B4A5">
            <w:pPr>
              <w:jc w:val="center"/>
              <w:rPr>
                <w:color w:val="000000" w:themeColor="text1"/>
                <w:sz w:val="18"/>
                <w:szCs w:val="18"/>
                <w14:textFill>
                  <w14:solidFill>
                    <w14:schemeClr w14:val="tx1"/>
                  </w14:solidFill>
                </w14:textFill>
              </w:rPr>
            </w:pPr>
          </w:p>
        </w:tc>
      </w:tr>
    </w:tbl>
    <w:p w14:paraId="5AF9BF61">
      <w:pPr>
        <w:rPr>
          <w:rFonts w:ascii="宋体"/>
          <w:color w:val="auto"/>
        </w:rPr>
      </w:pPr>
      <w:bookmarkStart w:id="61" w:name="_Toc464326080"/>
    </w:p>
    <w:p w14:paraId="3A2FC7E0">
      <w:pPr>
        <w:pStyle w:val="153"/>
        <w:spacing w:before="156" w:after="156"/>
        <w:rPr>
          <w:rFonts w:hint="eastAsia"/>
        </w:rPr>
      </w:pPr>
      <w:r>
        <w:t>5.</w:t>
      </w:r>
      <w:r>
        <w:rPr>
          <w:rFonts w:hint="eastAsia"/>
          <w:lang w:val="en-US"/>
        </w:rPr>
        <w:t>2</w:t>
      </w:r>
      <w:r>
        <w:t>.2</w:t>
      </w:r>
      <w:r>
        <w:rPr>
          <w:rFonts w:hint="eastAsia"/>
        </w:rPr>
        <w:t xml:space="preserve"> 社会环境</w:t>
      </w:r>
      <w:bookmarkEnd w:id="61"/>
    </w:p>
    <w:p w14:paraId="5613BBD5">
      <w:pPr>
        <w:pStyle w:val="35"/>
        <w:spacing w:after="0" w:line="240" w:lineRule="auto"/>
        <w:ind w:firstLine="424" w:firstLineChars="202"/>
        <w:rPr>
          <w:rFonts w:ascii="Times New Roman" w:hAnsi="Times New Roman"/>
          <w:color w:val="auto"/>
          <w:kern w:val="0"/>
          <w:szCs w:val="20"/>
        </w:rPr>
      </w:pPr>
      <w:r>
        <w:rPr>
          <w:rFonts w:hint="eastAsia" w:ascii="Times New Roman" w:hAnsi="Times New Roman"/>
          <w:color w:val="auto"/>
          <w:kern w:val="0"/>
          <w:szCs w:val="20"/>
        </w:rPr>
        <w:t>说明建设项目沿线人文、经济、交通条件等情况。</w:t>
      </w:r>
    </w:p>
    <w:p w14:paraId="4E19C3F4">
      <w:pPr>
        <w:pStyle w:val="4"/>
        <w:rPr>
          <w:rFonts w:hint="eastAsia"/>
        </w:rPr>
      </w:pPr>
      <w:bookmarkStart w:id="62" w:name="_Toc174117968"/>
      <w:bookmarkStart w:id="63" w:name="_Toc464326081"/>
      <w:r>
        <w:rPr>
          <w:rFonts w:hint="eastAsia"/>
        </w:rPr>
        <w:t>5.</w:t>
      </w:r>
      <w:r>
        <w:rPr>
          <w:rFonts w:hint="eastAsia"/>
          <w:lang w:val="en-US"/>
        </w:rPr>
        <w:t>3</w:t>
      </w:r>
      <w:r>
        <w:t xml:space="preserve"> </w:t>
      </w:r>
      <w:r>
        <w:rPr>
          <w:rFonts w:hint="eastAsia"/>
        </w:rPr>
        <w:t>线路工程</w:t>
      </w:r>
      <w:bookmarkEnd w:id="62"/>
      <w:bookmarkEnd w:id="63"/>
    </w:p>
    <w:p w14:paraId="4D7F3EDB">
      <w:pPr>
        <w:pStyle w:val="153"/>
        <w:spacing w:before="156" w:after="156"/>
        <w:rPr>
          <w:rFonts w:hint="eastAsia"/>
        </w:rPr>
      </w:pPr>
      <w:r>
        <w:t>5.</w:t>
      </w:r>
      <w:r>
        <w:rPr>
          <w:rFonts w:hint="eastAsia"/>
          <w:lang w:val="en-US"/>
        </w:rPr>
        <w:t>3</w:t>
      </w:r>
      <w:r>
        <w:t xml:space="preserve">.1 </w:t>
      </w:r>
      <w:r>
        <w:rPr>
          <w:rFonts w:hint="eastAsia"/>
        </w:rPr>
        <w:t>管道本体</w:t>
      </w:r>
    </w:p>
    <w:p w14:paraId="259B41E2">
      <w:pPr>
        <w:pStyle w:val="35"/>
        <w:spacing w:after="0" w:line="240" w:lineRule="auto"/>
        <w:ind w:firstLine="424" w:firstLineChars="202"/>
        <w:rPr>
          <w:rFonts w:ascii="Times New Roman" w:hAnsi="Times New Roman"/>
          <w:color w:val="auto"/>
          <w:kern w:val="0"/>
          <w:szCs w:val="20"/>
        </w:rPr>
      </w:pPr>
      <w:r>
        <w:rPr>
          <w:rFonts w:hint="eastAsia" w:ascii="Times New Roman" w:hAnsi="Times New Roman"/>
          <w:color w:val="auto"/>
          <w:kern w:val="0"/>
          <w:szCs w:val="20"/>
        </w:rPr>
        <w:t>说明建设项目</w:t>
      </w:r>
      <w:r>
        <w:rPr>
          <w:rFonts w:ascii="Times New Roman" w:hAnsi="Times New Roman"/>
          <w:color w:val="auto"/>
          <w:kern w:val="0"/>
          <w:szCs w:val="20"/>
        </w:rPr>
        <w:t>选用管道</w:t>
      </w:r>
      <w:r>
        <w:rPr>
          <w:rFonts w:hint="eastAsia" w:ascii="Times New Roman" w:hAnsi="Times New Roman"/>
          <w:color w:val="auto"/>
          <w:kern w:val="0"/>
          <w:szCs w:val="20"/>
        </w:rPr>
        <w:t>材质的</w:t>
      </w:r>
      <w:r>
        <w:rPr>
          <w:rFonts w:ascii="Times New Roman" w:hAnsi="Times New Roman"/>
          <w:color w:val="auto"/>
          <w:kern w:val="0"/>
          <w:szCs w:val="20"/>
        </w:rPr>
        <w:t>主要技术参数</w:t>
      </w:r>
      <w:r>
        <w:rPr>
          <w:rFonts w:hint="eastAsia" w:ascii="Times New Roman" w:hAnsi="Times New Roman"/>
          <w:color w:val="auto"/>
          <w:kern w:val="0"/>
          <w:szCs w:val="20"/>
        </w:rPr>
        <w:t>、强度设计系数以及焊接和检验方式。</w:t>
      </w:r>
    </w:p>
    <w:p w14:paraId="503B4B46">
      <w:pPr>
        <w:pStyle w:val="153"/>
        <w:spacing w:before="156" w:after="156"/>
        <w:rPr>
          <w:rFonts w:hint="eastAsia"/>
        </w:rPr>
      </w:pPr>
      <w:bookmarkStart w:id="64" w:name="_Toc464326083"/>
      <w:r>
        <w:t>5.</w:t>
      </w:r>
      <w:r>
        <w:rPr>
          <w:rFonts w:hint="eastAsia"/>
          <w:lang w:val="en-US"/>
        </w:rPr>
        <w:t>3</w:t>
      </w:r>
      <w:r>
        <w:t>.2</w:t>
      </w:r>
      <w:bookmarkEnd w:id="64"/>
      <w:r>
        <w:t xml:space="preserve"> </w:t>
      </w:r>
      <w:r>
        <w:rPr>
          <w:rFonts w:hint="eastAsia"/>
        </w:rPr>
        <w:t>管道敷设</w:t>
      </w:r>
    </w:p>
    <w:p w14:paraId="0DC3A3E9">
      <w:pPr>
        <w:pStyle w:val="65"/>
        <w:ind w:firstLine="0" w:firstLineChars="0"/>
      </w:pPr>
      <w:r>
        <w:rPr>
          <w:rFonts w:ascii="黑体" w:eastAsia="黑体"/>
          <w:color w:val="000000" w:themeColor="text1"/>
          <w14:textFill>
            <w14:solidFill>
              <w14:schemeClr w14:val="tx1"/>
            </w14:solidFill>
          </w14:textFill>
        </w:rPr>
        <w:t>5.</w:t>
      </w:r>
      <w:r>
        <w:rPr>
          <w:rFonts w:hint="eastAsia" w:ascii="黑体" w:eastAsia="黑体"/>
          <w:color w:val="000000" w:themeColor="text1"/>
          <w14:textFill>
            <w14:solidFill>
              <w14:schemeClr w14:val="tx1"/>
            </w14:solidFill>
          </w14:textFill>
        </w:rPr>
        <w:t>3</w:t>
      </w:r>
      <w:r>
        <w:rPr>
          <w:rFonts w:ascii="黑体" w:eastAsia="黑体"/>
          <w:color w:val="000000" w:themeColor="text1"/>
          <w14:textFill>
            <w14:solidFill>
              <w14:schemeClr w14:val="tx1"/>
            </w14:solidFill>
          </w14:textFill>
        </w:rPr>
        <w:t xml:space="preserve">.2.1 </w:t>
      </w:r>
      <w:r>
        <w:rPr>
          <w:rFonts w:hint="eastAsia"/>
        </w:rPr>
        <w:t>说明一般地段管道的敷设方式、管道埋深、管沟开挖、管道下沟及回填等内容。</w:t>
      </w:r>
    </w:p>
    <w:p w14:paraId="2573CF34">
      <w:pPr>
        <w:pStyle w:val="65"/>
        <w:ind w:firstLine="0" w:firstLineChars="0"/>
      </w:pPr>
      <w:r>
        <w:rPr>
          <w:rFonts w:ascii="黑体" w:eastAsia="黑体"/>
          <w:color w:val="000000" w:themeColor="text1"/>
          <w14:textFill>
            <w14:solidFill>
              <w14:schemeClr w14:val="tx1"/>
            </w14:solidFill>
          </w14:textFill>
        </w:rPr>
        <w:t>5.</w:t>
      </w:r>
      <w:r>
        <w:rPr>
          <w:rFonts w:hint="eastAsia" w:ascii="黑体" w:eastAsia="黑体"/>
          <w:color w:val="000000" w:themeColor="text1"/>
          <w14:textFill>
            <w14:solidFill>
              <w14:schemeClr w14:val="tx1"/>
            </w14:solidFill>
          </w14:textFill>
        </w:rPr>
        <w:t>3</w:t>
      </w:r>
      <w:r>
        <w:rPr>
          <w:rFonts w:ascii="黑体" w:eastAsia="黑体"/>
          <w:color w:val="000000" w:themeColor="text1"/>
          <w14:textFill>
            <w14:solidFill>
              <w14:schemeClr w14:val="tx1"/>
            </w14:solidFill>
          </w14:textFill>
        </w:rPr>
        <w:t>.2.2</w:t>
      </w:r>
      <w:r>
        <w:t xml:space="preserve"> </w:t>
      </w:r>
      <w:bookmarkStart w:id="65" w:name="_Hlk173920225"/>
      <w:r>
        <w:rPr>
          <w:rFonts w:hint="eastAsia"/>
        </w:rPr>
        <w:t>说明顺坡敷设，沿沟谷敷设，沿山脊敷设，黄土、冻土地区敷设，石方段、爆破段敷设和定向钻穿越段等特殊地段管道敷设方式、管道埋深、管沟开挖、管道下沟及回填等内容</w:t>
      </w:r>
      <w:bookmarkEnd w:id="65"/>
      <w:r>
        <w:rPr>
          <w:rFonts w:hint="eastAsia"/>
        </w:rPr>
        <w:t>。</w:t>
      </w:r>
    </w:p>
    <w:p w14:paraId="66E0C226">
      <w:pPr>
        <w:pStyle w:val="65"/>
        <w:ind w:firstLine="0" w:firstLineChars="0"/>
        <w:rPr>
          <w:rFonts w:ascii="Times New Roman"/>
        </w:rPr>
      </w:pPr>
      <w:r>
        <w:rPr>
          <w:rFonts w:ascii="黑体" w:eastAsia="黑体"/>
          <w:color w:val="000000" w:themeColor="text1"/>
          <w14:textFill>
            <w14:solidFill>
              <w14:schemeClr w14:val="tx1"/>
            </w14:solidFill>
          </w14:textFill>
        </w:rPr>
        <w:t>5.</w:t>
      </w:r>
      <w:r>
        <w:rPr>
          <w:rFonts w:hint="eastAsia" w:ascii="黑体" w:eastAsia="黑体"/>
          <w:color w:val="000000" w:themeColor="text1"/>
          <w14:textFill>
            <w14:solidFill>
              <w14:schemeClr w14:val="tx1"/>
            </w14:solidFill>
          </w14:textFill>
        </w:rPr>
        <w:t>3</w:t>
      </w:r>
      <w:r>
        <w:rPr>
          <w:rFonts w:ascii="黑体" w:eastAsia="黑体"/>
          <w:color w:val="000000" w:themeColor="text1"/>
          <w14:textFill>
            <w14:solidFill>
              <w14:schemeClr w14:val="tx1"/>
            </w14:solidFill>
          </w14:textFill>
        </w:rPr>
        <w:t>.2.3</w:t>
      </w:r>
      <w:r>
        <w:t xml:space="preserve"> </w:t>
      </w:r>
      <w:r>
        <w:rPr>
          <w:rFonts w:hint="eastAsia"/>
        </w:rPr>
        <w:t>采用</w:t>
      </w:r>
      <w:r>
        <w:rPr>
          <w:rFonts w:hint="eastAsia" w:ascii="Times New Roman"/>
        </w:rPr>
        <w:t>横坡敷设的应说明其合理性，列出</w:t>
      </w:r>
      <w:r>
        <w:rPr>
          <w:rFonts w:hint="eastAsia"/>
        </w:rPr>
        <w:t>横坡敷设统计表</w:t>
      </w:r>
      <w:r>
        <w:rPr>
          <w:rStyle w:val="156"/>
          <w:rFonts w:hint="eastAsia"/>
        </w:rPr>
        <w:t>（见表</w:t>
      </w:r>
      <w:r>
        <w:rPr>
          <w:rStyle w:val="156"/>
          <w:rFonts w:ascii="Times New Roman" w:hAnsi="Times New Roman"/>
        </w:rPr>
        <w:t>13</w:t>
      </w:r>
      <w:r>
        <w:rPr>
          <w:rStyle w:val="156"/>
          <w:rFonts w:hint="eastAsia"/>
        </w:rPr>
        <w:t>）</w:t>
      </w:r>
      <w:r>
        <w:rPr>
          <w:rFonts w:hint="eastAsia" w:ascii="Times New Roman"/>
        </w:rPr>
        <w:t>。</w:t>
      </w:r>
    </w:p>
    <w:p w14:paraId="578517DA">
      <w:pPr>
        <w:pStyle w:val="5"/>
        <w:rPr>
          <w:rFonts w:hint="eastAsia"/>
        </w:rPr>
      </w:pPr>
      <w:r>
        <w:t>表</w:t>
      </w:r>
      <w:r>
        <w:rPr>
          <w:rFonts w:ascii="Times New Roman" w:hAnsi="Times New Roman"/>
        </w:rPr>
        <w:t>13</w:t>
      </w:r>
      <w:r>
        <w:t xml:space="preserve"> </w:t>
      </w:r>
      <w:r>
        <w:rPr>
          <w:rFonts w:hint="eastAsia"/>
        </w:rPr>
        <w:t>横坡敷设统计表</w:t>
      </w:r>
    </w:p>
    <w:tbl>
      <w:tblPr>
        <w:tblStyle w:val="36"/>
        <w:tblW w:w="496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45"/>
        <w:gridCol w:w="2977"/>
        <w:gridCol w:w="2127"/>
        <w:gridCol w:w="1276"/>
        <w:gridCol w:w="1276"/>
        <w:gridCol w:w="1208"/>
      </w:tblGrid>
      <w:tr w14:paraId="708587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339" w:type="pct"/>
            <w:vAlign w:val="center"/>
          </w:tcPr>
          <w:p w14:paraId="27F0DD30">
            <w:pPr>
              <w:spacing w:line="240" w:lineRule="auto"/>
              <w:ind w:left="-105" w:leftChars="-50" w:right="-105" w:rightChars="-50"/>
              <w:jc w:val="center"/>
              <w:rPr>
                <w:sz w:val="18"/>
                <w:szCs w:val="18"/>
              </w:rPr>
            </w:pPr>
            <w:r>
              <w:rPr>
                <w:rFonts w:hint="eastAsia"/>
                <w:sz w:val="18"/>
                <w:szCs w:val="18"/>
              </w:rPr>
              <w:t>序号</w:t>
            </w:r>
          </w:p>
        </w:tc>
        <w:tc>
          <w:tcPr>
            <w:tcW w:w="1565" w:type="pct"/>
            <w:vAlign w:val="center"/>
          </w:tcPr>
          <w:p w14:paraId="5E624FDB">
            <w:pPr>
              <w:spacing w:line="240" w:lineRule="auto"/>
              <w:ind w:left="-105" w:leftChars="-50" w:right="-105" w:rightChars="-50"/>
              <w:jc w:val="center"/>
              <w:rPr>
                <w:sz w:val="18"/>
                <w:szCs w:val="18"/>
              </w:rPr>
            </w:pPr>
            <w:r>
              <w:rPr>
                <w:rFonts w:eastAsiaTheme="minorEastAsia"/>
                <w:sz w:val="18"/>
                <w:szCs w:val="18"/>
              </w:rPr>
              <w:t>省（区、市）</w:t>
            </w:r>
            <w:r>
              <w:rPr>
                <w:rFonts w:hint="eastAsia" w:eastAsiaTheme="minorEastAsia"/>
                <w:sz w:val="18"/>
                <w:szCs w:val="18"/>
              </w:rPr>
              <w:t>、</w:t>
            </w:r>
            <w:r>
              <w:rPr>
                <w:rFonts w:hint="eastAsia"/>
                <w:sz w:val="18"/>
                <w:szCs w:val="18"/>
              </w:rPr>
              <w:t>市（设区）、县</w:t>
            </w:r>
          </w:p>
        </w:tc>
        <w:tc>
          <w:tcPr>
            <w:tcW w:w="1118" w:type="pct"/>
            <w:vAlign w:val="center"/>
          </w:tcPr>
          <w:p w14:paraId="7C9E6117">
            <w:pPr>
              <w:spacing w:line="240" w:lineRule="auto"/>
              <w:ind w:left="-105" w:leftChars="-50" w:right="-105" w:rightChars="-50"/>
              <w:jc w:val="center"/>
              <w:rPr>
                <w:sz w:val="18"/>
                <w:szCs w:val="18"/>
              </w:rPr>
            </w:pPr>
            <w:r>
              <w:rPr>
                <w:rFonts w:hint="eastAsia"/>
                <w:sz w:val="18"/>
                <w:szCs w:val="18"/>
              </w:rPr>
              <w:t>位置</w:t>
            </w:r>
          </w:p>
        </w:tc>
        <w:tc>
          <w:tcPr>
            <w:tcW w:w="671" w:type="pct"/>
            <w:vAlign w:val="center"/>
          </w:tcPr>
          <w:p w14:paraId="62FFBC12">
            <w:pPr>
              <w:spacing w:line="240" w:lineRule="auto"/>
              <w:ind w:left="-105" w:leftChars="-50" w:right="-105" w:rightChars="-50"/>
              <w:jc w:val="center"/>
              <w:rPr>
                <w:sz w:val="18"/>
                <w:szCs w:val="18"/>
              </w:rPr>
            </w:pPr>
            <w:r>
              <w:rPr>
                <w:rFonts w:hint="eastAsia"/>
                <w:sz w:val="18"/>
                <w:szCs w:val="18"/>
              </w:rPr>
              <w:t>长度</w:t>
            </w:r>
            <w:r>
              <w:rPr>
                <w:color w:val="000000" w:themeColor="text1"/>
                <w:sz w:val="18"/>
                <w:szCs w:val="18"/>
                <w14:textFill>
                  <w14:solidFill>
                    <w14:schemeClr w14:val="tx1"/>
                  </w14:solidFill>
                </w14:textFill>
              </w:rPr>
              <w:t>m</w:t>
            </w:r>
          </w:p>
        </w:tc>
        <w:tc>
          <w:tcPr>
            <w:tcW w:w="671" w:type="pct"/>
            <w:vAlign w:val="center"/>
          </w:tcPr>
          <w:p w14:paraId="07DEDD2D">
            <w:pPr>
              <w:spacing w:line="240" w:lineRule="auto"/>
              <w:ind w:left="-105" w:leftChars="-50" w:right="-105" w:rightChars="-50"/>
              <w:jc w:val="center"/>
              <w:rPr>
                <w:sz w:val="18"/>
                <w:szCs w:val="18"/>
              </w:rPr>
            </w:pPr>
            <w:r>
              <w:rPr>
                <w:rFonts w:hint="eastAsia"/>
                <w:sz w:val="18"/>
                <w:szCs w:val="18"/>
              </w:rPr>
              <w:t>敷设方式</w:t>
            </w:r>
          </w:p>
        </w:tc>
        <w:tc>
          <w:tcPr>
            <w:tcW w:w="635" w:type="pct"/>
            <w:vAlign w:val="center"/>
          </w:tcPr>
          <w:p w14:paraId="0BD7CAA3">
            <w:pPr>
              <w:spacing w:line="240" w:lineRule="auto"/>
              <w:ind w:left="-105" w:leftChars="-50" w:right="-105" w:rightChars="-50"/>
              <w:jc w:val="center"/>
              <w:rPr>
                <w:sz w:val="18"/>
                <w:szCs w:val="18"/>
              </w:rPr>
            </w:pPr>
            <w:r>
              <w:rPr>
                <w:rFonts w:hint="eastAsia"/>
                <w:sz w:val="18"/>
                <w:szCs w:val="18"/>
              </w:rPr>
              <w:t>坡度°</w:t>
            </w:r>
          </w:p>
        </w:tc>
      </w:tr>
      <w:tr w14:paraId="7B45B2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339" w:type="pct"/>
            <w:vAlign w:val="center"/>
          </w:tcPr>
          <w:p w14:paraId="4D9A4A79">
            <w:pPr>
              <w:ind w:left="-50" w:right="-50"/>
              <w:jc w:val="center"/>
              <w:rPr>
                <w:sz w:val="18"/>
                <w:szCs w:val="18"/>
              </w:rPr>
            </w:pPr>
            <w:r>
              <w:rPr>
                <w:sz w:val="18"/>
                <w:szCs w:val="18"/>
              </w:rPr>
              <w:t>1</w:t>
            </w:r>
          </w:p>
        </w:tc>
        <w:tc>
          <w:tcPr>
            <w:tcW w:w="1565" w:type="pct"/>
            <w:vAlign w:val="center"/>
          </w:tcPr>
          <w:p w14:paraId="3327D482">
            <w:pPr>
              <w:spacing w:line="240" w:lineRule="auto"/>
              <w:jc w:val="center"/>
              <w:rPr>
                <w:sz w:val="18"/>
                <w:szCs w:val="18"/>
              </w:rPr>
            </w:pPr>
          </w:p>
        </w:tc>
        <w:tc>
          <w:tcPr>
            <w:tcW w:w="1118" w:type="pct"/>
            <w:vAlign w:val="center"/>
          </w:tcPr>
          <w:p w14:paraId="1A103CD2">
            <w:pPr>
              <w:adjustRightInd w:val="0"/>
              <w:snapToGrid w:val="0"/>
              <w:spacing w:line="240" w:lineRule="auto"/>
              <w:jc w:val="center"/>
              <w:rPr>
                <w:sz w:val="18"/>
                <w:szCs w:val="18"/>
              </w:rPr>
            </w:pPr>
          </w:p>
        </w:tc>
        <w:tc>
          <w:tcPr>
            <w:tcW w:w="671" w:type="pct"/>
            <w:vAlign w:val="center"/>
          </w:tcPr>
          <w:p w14:paraId="7BFA039A">
            <w:pPr>
              <w:adjustRightInd w:val="0"/>
              <w:snapToGrid w:val="0"/>
              <w:spacing w:line="240" w:lineRule="auto"/>
              <w:jc w:val="center"/>
              <w:rPr>
                <w:sz w:val="18"/>
                <w:szCs w:val="18"/>
              </w:rPr>
            </w:pPr>
          </w:p>
        </w:tc>
        <w:tc>
          <w:tcPr>
            <w:tcW w:w="671" w:type="pct"/>
            <w:vAlign w:val="center"/>
          </w:tcPr>
          <w:p w14:paraId="41691771">
            <w:pPr>
              <w:adjustRightInd w:val="0"/>
              <w:snapToGrid w:val="0"/>
              <w:spacing w:line="240" w:lineRule="auto"/>
              <w:jc w:val="center"/>
              <w:rPr>
                <w:sz w:val="18"/>
                <w:szCs w:val="18"/>
              </w:rPr>
            </w:pPr>
          </w:p>
        </w:tc>
        <w:tc>
          <w:tcPr>
            <w:tcW w:w="635" w:type="pct"/>
            <w:vAlign w:val="center"/>
          </w:tcPr>
          <w:p w14:paraId="77B5247C">
            <w:pPr>
              <w:adjustRightInd w:val="0"/>
              <w:snapToGrid w:val="0"/>
              <w:spacing w:line="240" w:lineRule="auto"/>
              <w:jc w:val="center"/>
              <w:rPr>
                <w:sz w:val="18"/>
                <w:szCs w:val="18"/>
              </w:rPr>
            </w:pPr>
          </w:p>
        </w:tc>
      </w:tr>
      <w:tr w14:paraId="24F9A8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339" w:type="pct"/>
            <w:vAlign w:val="center"/>
          </w:tcPr>
          <w:p w14:paraId="3BDC5E2A">
            <w:pPr>
              <w:ind w:left="-50" w:right="-50"/>
              <w:jc w:val="center"/>
              <w:rPr>
                <w:sz w:val="18"/>
                <w:szCs w:val="18"/>
              </w:rPr>
            </w:pPr>
            <w:r>
              <w:rPr>
                <w:sz w:val="18"/>
                <w:szCs w:val="18"/>
              </w:rPr>
              <w:t>…</w:t>
            </w:r>
          </w:p>
        </w:tc>
        <w:tc>
          <w:tcPr>
            <w:tcW w:w="1565" w:type="pct"/>
            <w:vAlign w:val="center"/>
          </w:tcPr>
          <w:p w14:paraId="1015507F">
            <w:pPr>
              <w:spacing w:line="240" w:lineRule="auto"/>
              <w:jc w:val="center"/>
              <w:rPr>
                <w:sz w:val="18"/>
                <w:szCs w:val="18"/>
              </w:rPr>
            </w:pPr>
          </w:p>
        </w:tc>
        <w:tc>
          <w:tcPr>
            <w:tcW w:w="1118" w:type="pct"/>
            <w:vAlign w:val="center"/>
          </w:tcPr>
          <w:p w14:paraId="1CBDC672">
            <w:pPr>
              <w:spacing w:line="240" w:lineRule="auto"/>
              <w:jc w:val="center"/>
              <w:rPr>
                <w:sz w:val="18"/>
                <w:szCs w:val="18"/>
              </w:rPr>
            </w:pPr>
          </w:p>
        </w:tc>
        <w:tc>
          <w:tcPr>
            <w:tcW w:w="671" w:type="pct"/>
            <w:vAlign w:val="center"/>
          </w:tcPr>
          <w:p w14:paraId="3772C0A2">
            <w:pPr>
              <w:spacing w:line="240" w:lineRule="auto"/>
              <w:jc w:val="center"/>
              <w:rPr>
                <w:sz w:val="18"/>
                <w:szCs w:val="18"/>
              </w:rPr>
            </w:pPr>
          </w:p>
        </w:tc>
        <w:tc>
          <w:tcPr>
            <w:tcW w:w="671" w:type="pct"/>
            <w:vAlign w:val="center"/>
          </w:tcPr>
          <w:p w14:paraId="4854C9B0">
            <w:pPr>
              <w:spacing w:line="240" w:lineRule="auto"/>
              <w:jc w:val="center"/>
              <w:rPr>
                <w:sz w:val="18"/>
                <w:szCs w:val="18"/>
              </w:rPr>
            </w:pPr>
          </w:p>
        </w:tc>
        <w:tc>
          <w:tcPr>
            <w:tcW w:w="635" w:type="pct"/>
            <w:vAlign w:val="center"/>
          </w:tcPr>
          <w:p w14:paraId="77CA3FAC">
            <w:pPr>
              <w:spacing w:line="240" w:lineRule="auto"/>
              <w:jc w:val="center"/>
              <w:rPr>
                <w:sz w:val="18"/>
                <w:szCs w:val="18"/>
              </w:rPr>
            </w:pPr>
          </w:p>
        </w:tc>
      </w:tr>
    </w:tbl>
    <w:p w14:paraId="18BEB8F6">
      <w:pPr>
        <w:pStyle w:val="65"/>
        <w:ind w:firstLine="0" w:firstLineChars="0"/>
        <w:rPr>
          <w:rFonts w:ascii="Times New Roman"/>
        </w:rPr>
      </w:pPr>
    </w:p>
    <w:p w14:paraId="67CA6FA9">
      <w:pPr>
        <w:pStyle w:val="153"/>
        <w:spacing w:before="156" w:after="156"/>
        <w:rPr>
          <w:rFonts w:hint="eastAsia"/>
        </w:rPr>
      </w:pPr>
      <w:r>
        <w:t>5.</w:t>
      </w:r>
      <w:r>
        <w:rPr>
          <w:rFonts w:hint="eastAsia"/>
          <w:lang w:val="en-US"/>
        </w:rPr>
        <w:t>3</w:t>
      </w:r>
      <w:r>
        <w:t xml:space="preserve">.3 </w:t>
      </w:r>
      <w:r>
        <w:rPr>
          <w:rFonts w:hint="eastAsia"/>
        </w:rPr>
        <w:t>人员密集型</w:t>
      </w:r>
      <w:r>
        <w:t>高后果</w:t>
      </w:r>
      <w:r>
        <w:rPr>
          <w:rFonts w:hint="eastAsia"/>
        </w:rPr>
        <w:t>区</w:t>
      </w:r>
    </w:p>
    <w:p w14:paraId="5C2A8C5F">
      <w:pPr>
        <w:pStyle w:val="65"/>
        <w:ind w:firstLine="0" w:firstLineChars="0"/>
        <w:rPr>
          <w:rFonts w:ascii="Times New Roman"/>
        </w:rPr>
      </w:pPr>
      <w:r>
        <w:rPr>
          <w:rFonts w:ascii="黑体" w:eastAsia="黑体"/>
          <w:color w:val="000000" w:themeColor="text1"/>
          <w14:textFill>
            <w14:solidFill>
              <w14:schemeClr w14:val="tx1"/>
            </w14:solidFill>
          </w14:textFill>
        </w:rPr>
        <w:t>5.</w:t>
      </w:r>
      <w:r>
        <w:rPr>
          <w:rFonts w:hint="eastAsia" w:ascii="黑体" w:eastAsia="黑体"/>
          <w:color w:val="000000" w:themeColor="text1"/>
          <w14:textFill>
            <w14:solidFill>
              <w14:schemeClr w14:val="tx1"/>
            </w14:solidFill>
          </w14:textFill>
        </w:rPr>
        <w:t>3</w:t>
      </w:r>
      <w:r>
        <w:rPr>
          <w:rFonts w:ascii="黑体" w:eastAsia="黑体"/>
          <w:color w:val="000000" w:themeColor="text1"/>
          <w14:textFill>
            <w14:solidFill>
              <w14:schemeClr w14:val="tx1"/>
            </w14:solidFill>
          </w14:textFill>
        </w:rPr>
        <w:t>.</w:t>
      </w:r>
      <w:r>
        <w:rPr>
          <w:rFonts w:hint="eastAsia" w:ascii="黑体" w:eastAsia="黑体"/>
          <w:color w:val="000000" w:themeColor="text1"/>
          <w14:textFill>
            <w14:solidFill>
              <w14:schemeClr w14:val="tx1"/>
            </w14:solidFill>
          </w14:textFill>
        </w:rPr>
        <w:t>3.1</w:t>
      </w:r>
      <w:r>
        <w:rPr>
          <w:rFonts w:hint="eastAsia"/>
          <w:color w:val="000000" w:themeColor="text1"/>
          <w14:textFill>
            <w14:solidFill>
              <w14:schemeClr w14:val="tx1"/>
            </w14:solidFill>
          </w14:textFill>
        </w:rPr>
        <w:t xml:space="preserve"> </w:t>
      </w:r>
      <w:r>
        <w:rPr>
          <w:rStyle w:val="156"/>
          <w:rFonts w:hint="eastAsia" w:ascii="Times New Roman" w:hAnsi="Times New Roman"/>
        </w:rPr>
        <w:t>按</w:t>
      </w:r>
      <w:r>
        <w:rPr>
          <w:rStyle w:val="156"/>
          <w:rFonts w:ascii="Times New Roman" w:hAnsi="Times New Roman"/>
        </w:rPr>
        <w:t>GB 32167</w:t>
      </w:r>
      <w:r>
        <w:rPr>
          <w:rStyle w:val="156"/>
          <w:rFonts w:hint="eastAsia" w:ascii="Times New Roman" w:hAnsi="Times New Roman"/>
        </w:rPr>
        <w:t>等相关</w:t>
      </w:r>
      <w:r>
        <w:rPr>
          <w:rFonts w:hint="eastAsia" w:ascii="Times New Roman"/>
        </w:rPr>
        <w:t>规定，开展人员密集型高后果区识别。说明人员密集型高后果区内的</w:t>
      </w:r>
      <w:r>
        <w:rPr>
          <w:rStyle w:val="156"/>
          <w:rFonts w:hint="eastAsia" w:ascii="Times New Roman" w:hAnsi="Times New Roman"/>
        </w:rPr>
        <w:t>村庄、医院、学校、客运站、城镇规划区、工业园区等分布情况，</w:t>
      </w:r>
      <w:r>
        <w:rPr>
          <w:rStyle w:val="156"/>
          <w:rFonts w:hint="eastAsia" w:ascii="Times New Roman"/>
        </w:rPr>
        <w:t>列出</w:t>
      </w:r>
      <w:r>
        <w:rPr>
          <w:rFonts w:hint="eastAsia"/>
        </w:rPr>
        <w:t>人员密集型高后果区统计表（见表14）</w:t>
      </w:r>
      <w:r>
        <w:rPr>
          <w:rFonts w:hint="eastAsia" w:ascii="Times New Roman"/>
        </w:rPr>
        <w:t>并分别附图，</w:t>
      </w:r>
      <w:r>
        <w:rPr>
          <w:rStyle w:val="156"/>
          <w:rFonts w:hint="eastAsia" w:ascii="Times New Roman" w:hAnsi="Times New Roman"/>
        </w:rPr>
        <w:t>见</w:t>
      </w:r>
      <w:r>
        <w:rPr>
          <w:rStyle w:val="156"/>
          <w:rFonts w:ascii="Times New Roman" w:hAnsi="Times New Roman"/>
        </w:rPr>
        <w:t>12.1</w:t>
      </w:r>
      <w:r>
        <w:rPr>
          <w:rStyle w:val="156"/>
          <w:rFonts w:hint="eastAsia" w:ascii="Times New Roman" w:hAnsi="Times New Roman"/>
        </w:rPr>
        <w:t>的</w:t>
      </w:r>
      <w:r>
        <w:rPr>
          <w:rStyle w:val="156"/>
          <w:rFonts w:hint="eastAsia" w:ascii="Times New Roman"/>
        </w:rPr>
        <w:t>i</w:t>
      </w:r>
      <w:r>
        <w:rPr>
          <w:rFonts w:hint="eastAsia" w:ascii="Times New Roman"/>
        </w:rPr>
        <w:t>）。</w:t>
      </w:r>
    </w:p>
    <w:p w14:paraId="6757FA84">
      <w:pPr>
        <w:pStyle w:val="5"/>
        <w:rPr>
          <w:rFonts w:hint="eastAsia"/>
        </w:rPr>
      </w:pPr>
      <w:r>
        <w:t>表</w:t>
      </w:r>
      <w:r>
        <w:rPr>
          <w:rFonts w:ascii="Times New Roman" w:hAnsi="Times New Roman"/>
        </w:rPr>
        <w:t>14</w:t>
      </w:r>
      <w:r>
        <w:t xml:space="preserve"> </w:t>
      </w:r>
      <w:r>
        <w:rPr>
          <w:rFonts w:hint="eastAsia"/>
        </w:rPr>
        <w:t>人员密集型高后果区统计表</w:t>
      </w:r>
    </w:p>
    <w:tbl>
      <w:tblPr>
        <w:tblStyle w:val="36"/>
        <w:tblW w:w="4994"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1127"/>
        <w:gridCol w:w="740"/>
        <w:gridCol w:w="740"/>
        <w:gridCol w:w="1186"/>
        <w:gridCol w:w="1471"/>
        <w:gridCol w:w="1475"/>
        <w:gridCol w:w="2162"/>
      </w:tblGrid>
      <w:tr w14:paraId="6A8EC8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344" w:type="pct"/>
            <w:vAlign w:val="center"/>
          </w:tcPr>
          <w:p w14:paraId="35328A46">
            <w:pPr>
              <w:spacing w:line="240" w:lineRule="auto"/>
              <w:ind w:left="-105" w:leftChars="-50" w:right="-105" w:rightChars="-50"/>
              <w:jc w:val="center"/>
              <w:rPr>
                <w:sz w:val="18"/>
                <w:szCs w:val="18"/>
              </w:rPr>
            </w:pPr>
            <w:r>
              <w:rPr>
                <w:rFonts w:hint="eastAsia"/>
                <w:sz w:val="18"/>
                <w:szCs w:val="18"/>
              </w:rPr>
              <w:t>序号</w:t>
            </w:r>
          </w:p>
        </w:tc>
        <w:tc>
          <w:tcPr>
            <w:tcW w:w="589" w:type="pct"/>
            <w:vAlign w:val="center"/>
          </w:tcPr>
          <w:p w14:paraId="6EEF5D9E">
            <w:pPr>
              <w:adjustRightInd w:val="0"/>
              <w:snapToGrid w:val="0"/>
              <w:spacing w:line="240" w:lineRule="auto"/>
              <w:jc w:val="center"/>
              <w:rPr>
                <w:sz w:val="18"/>
                <w:szCs w:val="18"/>
              </w:rPr>
            </w:pPr>
            <w:r>
              <w:rPr>
                <w:rFonts w:eastAsiaTheme="minorEastAsia"/>
                <w:sz w:val="18"/>
                <w:szCs w:val="18"/>
              </w:rPr>
              <w:t>省（区、市）</w:t>
            </w:r>
            <w:r>
              <w:rPr>
                <w:rFonts w:hint="eastAsia" w:eastAsiaTheme="minorEastAsia"/>
                <w:sz w:val="18"/>
                <w:szCs w:val="18"/>
              </w:rPr>
              <w:t>、</w:t>
            </w:r>
            <w:r>
              <w:rPr>
                <w:rFonts w:hint="eastAsia"/>
                <w:sz w:val="18"/>
                <w:szCs w:val="18"/>
              </w:rPr>
              <w:t>市</w:t>
            </w:r>
            <w:r>
              <w:rPr>
                <w:sz w:val="18"/>
                <w:szCs w:val="18"/>
              </w:rPr>
              <w:t>（</w:t>
            </w:r>
            <w:r>
              <w:rPr>
                <w:rFonts w:hint="eastAsia"/>
                <w:sz w:val="18"/>
                <w:szCs w:val="18"/>
              </w:rPr>
              <w:t>设</w:t>
            </w:r>
            <w:r>
              <w:rPr>
                <w:sz w:val="18"/>
                <w:szCs w:val="18"/>
              </w:rPr>
              <w:t>区）</w:t>
            </w:r>
            <w:r>
              <w:rPr>
                <w:rFonts w:hint="eastAsia"/>
                <w:sz w:val="18"/>
                <w:szCs w:val="18"/>
              </w:rPr>
              <w:t>、</w:t>
            </w:r>
            <w:r>
              <w:rPr>
                <w:sz w:val="18"/>
                <w:szCs w:val="18"/>
              </w:rPr>
              <w:t>县、乡、村</w:t>
            </w:r>
          </w:p>
        </w:tc>
        <w:tc>
          <w:tcPr>
            <w:tcW w:w="387" w:type="pct"/>
            <w:vAlign w:val="center"/>
          </w:tcPr>
          <w:p w14:paraId="6FE76D75">
            <w:pPr>
              <w:adjustRightInd w:val="0"/>
              <w:snapToGrid w:val="0"/>
              <w:spacing w:line="240" w:lineRule="auto"/>
              <w:jc w:val="center"/>
              <w:rPr>
                <w:sz w:val="18"/>
                <w:szCs w:val="18"/>
              </w:rPr>
            </w:pPr>
            <w:r>
              <w:rPr>
                <w:rFonts w:hint="eastAsia"/>
                <w:sz w:val="18"/>
                <w:szCs w:val="18"/>
              </w:rPr>
              <w:t>长度</w:t>
            </w:r>
            <w:r>
              <w:rPr>
                <w:sz w:val="18"/>
                <w:szCs w:val="18"/>
              </w:rPr>
              <w:t>m</w:t>
            </w:r>
          </w:p>
        </w:tc>
        <w:tc>
          <w:tcPr>
            <w:tcW w:w="387" w:type="pct"/>
            <w:vAlign w:val="center"/>
          </w:tcPr>
          <w:p w14:paraId="1C5F1379">
            <w:pPr>
              <w:spacing w:line="240" w:lineRule="auto"/>
              <w:ind w:left="-105" w:leftChars="-50" w:right="-105" w:rightChars="-50"/>
              <w:jc w:val="center"/>
              <w:rPr>
                <w:sz w:val="18"/>
                <w:szCs w:val="18"/>
              </w:rPr>
            </w:pPr>
            <w:r>
              <w:rPr>
                <w:rFonts w:hint="eastAsia"/>
                <w:sz w:val="18"/>
                <w:szCs w:val="18"/>
              </w:rPr>
              <w:t>级别</w:t>
            </w:r>
          </w:p>
        </w:tc>
        <w:tc>
          <w:tcPr>
            <w:tcW w:w="620" w:type="pct"/>
            <w:vAlign w:val="center"/>
          </w:tcPr>
          <w:p w14:paraId="067AC714">
            <w:pPr>
              <w:adjustRightInd w:val="0"/>
              <w:snapToGrid w:val="0"/>
              <w:spacing w:line="240" w:lineRule="auto"/>
              <w:jc w:val="center"/>
              <w:rPr>
                <w:sz w:val="18"/>
                <w:szCs w:val="18"/>
              </w:rPr>
            </w:pPr>
            <w:r>
              <w:rPr>
                <w:rFonts w:hint="eastAsia"/>
                <w:sz w:val="18"/>
                <w:szCs w:val="18"/>
              </w:rPr>
              <w:t>输气管道</w:t>
            </w:r>
          </w:p>
          <w:p w14:paraId="2F33EDA2">
            <w:pPr>
              <w:adjustRightInd w:val="0"/>
              <w:snapToGrid w:val="0"/>
              <w:spacing w:line="240" w:lineRule="auto"/>
              <w:ind w:left="-105" w:leftChars="-50" w:right="-105" w:rightChars="-50"/>
              <w:jc w:val="center"/>
              <w:rPr>
                <w:sz w:val="18"/>
                <w:szCs w:val="18"/>
              </w:rPr>
            </w:pPr>
            <w:r>
              <w:rPr>
                <w:rFonts w:hint="eastAsia"/>
                <w:sz w:val="18"/>
                <w:szCs w:val="18"/>
              </w:rPr>
              <w:t>地区等级</w:t>
            </w:r>
          </w:p>
        </w:tc>
        <w:tc>
          <w:tcPr>
            <w:tcW w:w="769" w:type="pct"/>
            <w:vAlign w:val="center"/>
          </w:tcPr>
          <w:p w14:paraId="76302F7F">
            <w:pPr>
              <w:adjustRightInd w:val="0"/>
              <w:snapToGrid w:val="0"/>
              <w:spacing w:line="240" w:lineRule="auto"/>
              <w:jc w:val="center"/>
              <w:rPr>
                <w:sz w:val="18"/>
                <w:szCs w:val="18"/>
              </w:rPr>
            </w:pPr>
            <w:r>
              <w:rPr>
                <w:rFonts w:hint="eastAsia"/>
                <w:sz w:val="18"/>
                <w:szCs w:val="18"/>
              </w:rPr>
              <w:t>距上游站场</w:t>
            </w:r>
            <w:r>
              <w:rPr>
                <w:sz w:val="18"/>
                <w:szCs w:val="18"/>
              </w:rPr>
              <w:t>/</w:t>
            </w:r>
            <w:r>
              <w:rPr>
                <w:rFonts w:hint="eastAsia"/>
                <w:sz w:val="18"/>
                <w:szCs w:val="18"/>
              </w:rPr>
              <w:t>阀室</w:t>
            </w:r>
            <w:r>
              <w:rPr>
                <w:sz w:val="18"/>
                <w:szCs w:val="18"/>
              </w:rPr>
              <w:t>距离</w:t>
            </w:r>
            <w:r>
              <w:rPr>
                <w:rFonts w:hint="eastAsia"/>
                <w:color w:val="000000" w:themeColor="text1"/>
                <w:sz w:val="18"/>
                <w:szCs w:val="18"/>
                <w14:textFill>
                  <w14:solidFill>
                    <w14:schemeClr w14:val="tx1"/>
                  </w14:solidFill>
                </w14:textFill>
              </w:rPr>
              <w:t>k</w:t>
            </w:r>
            <w:r>
              <w:rPr>
                <w:color w:val="000000" w:themeColor="text1"/>
                <w:sz w:val="18"/>
                <w:szCs w:val="18"/>
                <w14:textFill>
                  <w14:solidFill>
                    <w14:schemeClr w14:val="tx1"/>
                  </w14:solidFill>
                </w14:textFill>
              </w:rPr>
              <w:t>m</w:t>
            </w:r>
          </w:p>
        </w:tc>
        <w:tc>
          <w:tcPr>
            <w:tcW w:w="771" w:type="pct"/>
            <w:vAlign w:val="center"/>
          </w:tcPr>
          <w:p w14:paraId="319B1E90">
            <w:pPr>
              <w:adjustRightInd w:val="0"/>
              <w:snapToGrid w:val="0"/>
              <w:spacing w:line="240" w:lineRule="auto"/>
              <w:jc w:val="center"/>
              <w:rPr>
                <w:sz w:val="18"/>
                <w:szCs w:val="18"/>
              </w:rPr>
            </w:pPr>
            <w:r>
              <w:rPr>
                <w:rFonts w:hint="eastAsia"/>
                <w:sz w:val="18"/>
                <w:szCs w:val="18"/>
              </w:rPr>
              <w:t>距下游站场</w:t>
            </w:r>
            <w:r>
              <w:rPr>
                <w:sz w:val="18"/>
                <w:szCs w:val="18"/>
              </w:rPr>
              <w:t>/阀室距离</w:t>
            </w:r>
            <w:r>
              <w:rPr>
                <w:rFonts w:hint="eastAsia"/>
                <w:color w:val="000000" w:themeColor="text1"/>
                <w:sz w:val="18"/>
                <w:szCs w:val="18"/>
                <w14:textFill>
                  <w14:solidFill>
                    <w14:schemeClr w14:val="tx1"/>
                  </w14:solidFill>
                </w14:textFill>
              </w:rPr>
              <w:t>k</w:t>
            </w:r>
            <w:r>
              <w:rPr>
                <w:color w:val="000000" w:themeColor="text1"/>
                <w:sz w:val="18"/>
                <w:szCs w:val="18"/>
                <w14:textFill>
                  <w14:solidFill>
                    <w14:schemeClr w14:val="tx1"/>
                  </w14:solidFill>
                </w14:textFill>
              </w:rPr>
              <w:t>m</w:t>
            </w:r>
          </w:p>
        </w:tc>
        <w:tc>
          <w:tcPr>
            <w:tcW w:w="1130" w:type="pct"/>
            <w:vAlign w:val="center"/>
          </w:tcPr>
          <w:p w14:paraId="26F044DE">
            <w:pPr>
              <w:spacing w:line="240" w:lineRule="auto"/>
              <w:ind w:left="-105" w:leftChars="-50" w:right="-105" w:rightChars="-50"/>
              <w:jc w:val="center"/>
              <w:rPr>
                <w:sz w:val="18"/>
                <w:szCs w:val="18"/>
              </w:rPr>
            </w:pPr>
            <w:r>
              <w:rPr>
                <w:rFonts w:hint="eastAsia"/>
                <w:sz w:val="18"/>
                <w:szCs w:val="18"/>
              </w:rPr>
              <w:t>识别描述</w:t>
            </w:r>
          </w:p>
        </w:tc>
      </w:tr>
      <w:tr w14:paraId="513F6C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344" w:type="pct"/>
            <w:vAlign w:val="center"/>
          </w:tcPr>
          <w:p w14:paraId="02A408CE">
            <w:pPr>
              <w:ind w:left="-50" w:right="-50"/>
              <w:jc w:val="center"/>
              <w:rPr>
                <w:sz w:val="18"/>
                <w:szCs w:val="18"/>
              </w:rPr>
            </w:pPr>
            <w:r>
              <w:rPr>
                <w:sz w:val="18"/>
                <w:szCs w:val="18"/>
              </w:rPr>
              <w:t>1</w:t>
            </w:r>
          </w:p>
        </w:tc>
        <w:tc>
          <w:tcPr>
            <w:tcW w:w="589" w:type="pct"/>
            <w:vAlign w:val="center"/>
          </w:tcPr>
          <w:p w14:paraId="69F26EFF">
            <w:pPr>
              <w:adjustRightInd w:val="0"/>
              <w:snapToGrid w:val="0"/>
              <w:spacing w:line="240" w:lineRule="exact"/>
              <w:jc w:val="center"/>
              <w:rPr>
                <w:sz w:val="18"/>
                <w:szCs w:val="18"/>
              </w:rPr>
            </w:pPr>
          </w:p>
        </w:tc>
        <w:tc>
          <w:tcPr>
            <w:tcW w:w="387" w:type="pct"/>
            <w:vAlign w:val="center"/>
          </w:tcPr>
          <w:p w14:paraId="14991445">
            <w:pPr>
              <w:adjustRightInd w:val="0"/>
              <w:snapToGrid w:val="0"/>
              <w:spacing w:line="240" w:lineRule="exact"/>
              <w:jc w:val="center"/>
              <w:rPr>
                <w:sz w:val="18"/>
                <w:szCs w:val="18"/>
              </w:rPr>
            </w:pPr>
          </w:p>
        </w:tc>
        <w:tc>
          <w:tcPr>
            <w:tcW w:w="387" w:type="pct"/>
            <w:vAlign w:val="center"/>
          </w:tcPr>
          <w:p w14:paraId="4FAB4733">
            <w:pPr>
              <w:adjustRightInd w:val="0"/>
              <w:snapToGrid w:val="0"/>
              <w:spacing w:line="240" w:lineRule="exact"/>
              <w:jc w:val="center"/>
              <w:rPr>
                <w:sz w:val="18"/>
                <w:szCs w:val="18"/>
              </w:rPr>
            </w:pPr>
          </w:p>
        </w:tc>
        <w:tc>
          <w:tcPr>
            <w:tcW w:w="620" w:type="pct"/>
            <w:vAlign w:val="center"/>
          </w:tcPr>
          <w:p w14:paraId="78D748D7">
            <w:pPr>
              <w:adjustRightInd w:val="0"/>
              <w:snapToGrid w:val="0"/>
              <w:spacing w:line="240" w:lineRule="exact"/>
              <w:jc w:val="center"/>
              <w:rPr>
                <w:sz w:val="18"/>
                <w:szCs w:val="18"/>
              </w:rPr>
            </w:pPr>
          </w:p>
        </w:tc>
        <w:tc>
          <w:tcPr>
            <w:tcW w:w="769" w:type="pct"/>
            <w:vAlign w:val="center"/>
          </w:tcPr>
          <w:p w14:paraId="76124DB9">
            <w:pPr>
              <w:adjustRightInd w:val="0"/>
              <w:snapToGrid w:val="0"/>
              <w:spacing w:line="240" w:lineRule="exact"/>
              <w:jc w:val="center"/>
              <w:rPr>
                <w:sz w:val="18"/>
                <w:szCs w:val="18"/>
                <w:highlight w:val="yellow"/>
              </w:rPr>
            </w:pPr>
          </w:p>
        </w:tc>
        <w:tc>
          <w:tcPr>
            <w:tcW w:w="771" w:type="pct"/>
            <w:vAlign w:val="center"/>
          </w:tcPr>
          <w:p w14:paraId="373CA885">
            <w:pPr>
              <w:adjustRightInd w:val="0"/>
              <w:snapToGrid w:val="0"/>
              <w:spacing w:line="240" w:lineRule="exact"/>
              <w:jc w:val="center"/>
              <w:rPr>
                <w:sz w:val="18"/>
                <w:szCs w:val="18"/>
                <w:highlight w:val="yellow"/>
              </w:rPr>
            </w:pPr>
          </w:p>
        </w:tc>
        <w:tc>
          <w:tcPr>
            <w:tcW w:w="1130" w:type="pct"/>
            <w:vAlign w:val="center"/>
          </w:tcPr>
          <w:p w14:paraId="2D19C8F7">
            <w:pPr>
              <w:adjustRightInd w:val="0"/>
              <w:snapToGrid w:val="0"/>
              <w:spacing w:line="240" w:lineRule="exact"/>
              <w:jc w:val="center"/>
              <w:rPr>
                <w:sz w:val="18"/>
                <w:szCs w:val="18"/>
              </w:rPr>
            </w:pPr>
          </w:p>
        </w:tc>
      </w:tr>
      <w:tr w14:paraId="594E42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344" w:type="pct"/>
            <w:vAlign w:val="center"/>
          </w:tcPr>
          <w:p w14:paraId="0936CEC8">
            <w:pPr>
              <w:ind w:left="-50" w:right="-50"/>
              <w:jc w:val="center"/>
              <w:rPr>
                <w:sz w:val="18"/>
                <w:szCs w:val="18"/>
              </w:rPr>
            </w:pPr>
            <w:r>
              <w:rPr>
                <w:sz w:val="18"/>
                <w:szCs w:val="18"/>
              </w:rPr>
              <w:t>…</w:t>
            </w:r>
          </w:p>
        </w:tc>
        <w:tc>
          <w:tcPr>
            <w:tcW w:w="589" w:type="pct"/>
            <w:vAlign w:val="center"/>
          </w:tcPr>
          <w:p w14:paraId="16A778EB">
            <w:pPr>
              <w:adjustRightInd w:val="0"/>
              <w:snapToGrid w:val="0"/>
              <w:spacing w:line="240" w:lineRule="exact"/>
              <w:jc w:val="center"/>
              <w:rPr>
                <w:sz w:val="18"/>
                <w:szCs w:val="18"/>
              </w:rPr>
            </w:pPr>
          </w:p>
        </w:tc>
        <w:tc>
          <w:tcPr>
            <w:tcW w:w="387" w:type="pct"/>
            <w:vAlign w:val="center"/>
          </w:tcPr>
          <w:p w14:paraId="31D693EF">
            <w:pPr>
              <w:adjustRightInd w:val="0"/>
              <w:snapToGrid w:val="0"/>
              <w:spacing w:line="240" w:lineRule="exact"/>
              <w:jc w:val="center"/>
              <w:rPr>
                <w:sz w:val="18"/>
                <w:szCs w:val="18"/>
              </w:rPr>
            </w:pPr>
          </w:p>
        </w:tc>
        <w:tc>
          <w:tcPr>
            <w:tcW w:w="387" w:type="pct"/>
            <w:vAlign w:val="center"/>
          </w:tcPr>
          <w:p w14:paraId="0FF5F305">
            <w:pPr>
              <w:adjustRightInd w:val="0"/>
              <w:snapToGrid w:val="0"/>
              <w:spacing w:line="240" w:lineRule="exact"/>
              <w:jc w:val="center"/>
              <w:rPr>
                <w:sz w:val="18"/>
                <w:szCs w:val="18"/>
              </w:rPr>
            </w:pPr>
          </w:p>
        </w:tc>
        <w:tc>
          <w:tcPr>
            <w:tcW w:w="620" w:type="pct"/>
            <w:vAlign w:val="center"/>
          </w:tcPr>
          <w:p w14:paraId="6978CD52">
            <w:pPr>
              <w:adjustRightInd w:val="0"/>
              <w:snapToGrid w:val="0"/>
              <w:spacing w:line="240" w:lineRule="exact"/>
              <w:jc w:val="center"/>
              <w:rPr>
                <w:sz w:val="18"/>
                <w:szCs w:val="18"/>
              </w:rPr>
            </w:pPr>
          </w:p>
        </w:tc>
        <w:tc>
          <w:tcPr>
            <w:tcW w:w="769" w:type="pct"/>
            <w:vAlign w:val="center"/>
          </w:tcPr>
          <w:p w14:paraId="5A69C011">
            <w:pPr>
              <w:adjustRightInd w:val="0"/>
              <w:snapToGrid w:val="0"/>
              <w:spacing w:line="240" w:lineRule="exact"/>
              <w:jc w:val="center"/>
              <w:rPr>
                <w:sz w:val="18"/>
                <w:szCs w:val="18"/>
                <w:highlight w:val="yellow"/>
              </w:rPr>
            </w:pPr>
          </w:p>
        </w:tc>
        <w:tc>
          <w:tcPr>
            <w:tcW w:w="771" w:type="pct"/>
            <w:vAlign w:val="center"/>
          </w:tcPr>
          <w:p w14:paraId="25FA40FE">
            <w:pPr>
              <w:adjustRightInd w:val="0"/>
              <w:snapToGrid w:val="0"/>
              <w:spacing w:line="240" w:lineRule="exact"/>
              <w:jc w:val="center"/>
              <w:rPr>
                <w:sz w:val="18"/>
                <w:szCs w:val="18"/>
                <w:highlight w:val="yellow"/>
              </w:rPr>
            </w:pPr>
          </w:p>
        </w:tc>
        <w:tc>
          <w:tcPr>
            <w:tcW w:w="1130" w:type="pct"/>
            <w:vAlign w:val="center"/>
          </w:tcPr>
          <w:p w14:paraId="0C9C0A92">
            <w:pPr>
              <w:adjustRightInd w:val="0"/>
              <w:snapToGrid w:val="0"/>
              <w:spacing w:line="240" w:lineRule="exact"/>
              <w:jc w:val="center"/>
              <w:rPr>
                <w:sz w:val="18"/>
                <w:szCs w:val="18"/>
              </w:rPr>
            </w:pPr>
          </w:p>
        </w:tc>
      </w:tr>
    </w:tbl>
    <w:p w14:paraId="2A5FE2AD">
      <w:pPr>
        <w:pStyle w:val="65"/>
        <w:ind w:firstLine="0" w:firstLineChars="0"/>
        <w:jc w:val="left"/>
        <w:rPr>
          <w:color w:val="000000" w:themeColor="text1"/>
          <w14:textFill>
            <w14:solidFill>
              <w14:schemeClr w14:val="tx1"/>
            </w14:solidFill>
          </w14:textFill>
        </w:rPr>
      </w:pPr>
    </w:p>
    <w:p w14:paraId="3B87D0CD">
      <w:pPr>
        <w:pStyle w:val="65"/>
        <w:ind w:firstLine="0" w:firstLineChars="0"/>
        <w:rPr>
          <w:color w:val="000000" w:themeColor="text1"/>
          <w14:textFill>
            <w14:solidFill>
              <w14:schemeClr w14:val="tx1"/>
            </w14:solidFill>
          </w14:textFill>
        </w:rPr>
      </w:pPr>
      <w:r>
        <w:rPr>
          <w:rFonts w:ascii="黑体" w:eastAsia="黑体"/>
          <w:color w:val="000000" w:themeColor="text1"/>
          <w14:textFill>
            <w14:solidFill>
              <w14:schemeClr w14:val="tx1"/>
            </w14:solidFill>
          </w14:textFill>
        </w:rPr>
        <w:t>5.</w:t>
      </w:r>
      <w:r>
        <w:rPr>
          <w:rFonts w:hint="eastAsia" w:ascii="黑体" w:eastAsia="黑体"/>
          <w:color w:val="000000" w:themeColor="text1"/>
          <w14:textFill>
            <w14:solidFill>
              <w14:schemeClr w14:val="tx1"/>
            </w14:solidFill>
          </w14:textFill>
        </w:rPr>
        <w:t>3</w:t>
      </w:r>
      <w:r>
        <w:rPr>
          <w:rFonts w:ascii="黑体" w:eastAsia="黑体"/>
          <w:color w:val="000000" w:themeColor="text1"/>
          <w14:textFill>
            <w14:solidFill>
              <w14:schemeClr w14:val="tx1"/>
            </w14:solidFill>
          </w14:textFill>
        </w:rPr>
        <w:t>.</w:t>
      </w:r>
      <w:r>
        <w:rPr>
          <w:rFonts w:hint="eastAsia" w:ascii="黑体" w:eastAsia="黑体"/>
          <w:color w:val="000000" w:themeColor="text1"/>
          <w14:textFill>
            <w14:solidFill>
              <w14:schemeClr w14:val="tx1"/>
            </w14:solidFill>
          </w14:textFill>
        </w:rPr>
        <w:t>3.2</w:t>
      </w:r>
      <w:r>
        <w:rPr>
          <w:rFonts w:hint="eastAsia"/>
          <w:color w:val="000000" w:themeColor="text1"/>
          <w14:textFill>
            <w14:solidFill>
              <w14:schemeClr w14:val="tx1"/>
            </w14:solidFill>
          </w14:textFill>
        </w:rPr>
        <w:t xml:space="preserve"> </w:t>
      </w:r>
      <w:r>
        <w:rPr>
          <w:rFonts w:hint="eastAsia"/>
        </w:rPr>
        <w:t>说明建设项目与港口、飞机场、军事区、炸药库等设施的相互影响情况。</w:t>
      </w:r>
    </w:p>
    <w:p w14:paraId="64622D06">
      <w:pPr>
        <w:pStyle w:val="153"/>
        <w:spacing w:before="156" w:after="156"/>
        <w:rPr>
          <w:rFonts w:hint="eastAsia"/>
        </w:rPr>
      </w:pPr>
      <w:r>
        <w:t>5.</w:t>
      </w:r>
      <w:r>
        <w:rPr>
          <w:rFonts w:hint="eastAsia"/>
          <w:lang w:val="en-US"/>
        </w:rPr>
        <w:t>3</w:t>
      </w:r>
      <w:r>
        <w:t>.4</w:t>
      </w:r>
      <w:r>
        <w:rPr>
          <w:rFonts w:hint="eastAsia"/>
        </w:rPr>
        <w:t xml:space="preserve"> 地质灾害</w:t>
      </w:r>
    </w:p>
    <w:p w14:paraId="2566363E">
      <w:pPr>
        <w:pStyle w:val="35"/>
        <w:spacing w:after="0" w:line="240" w:lineRule="auto"/>
        <w:ind w:firstLine="424" w:firstLineChars="202"/>
        <w:rPr>
          <w:rFonts w:ascii="Times New Roman" w:hAnsi="Times New Roman"/>
          <w:color w:val="auto"/>
          <w:kern w:val="0"/>
          <w:szCs w:val="20"/>
        </w:rPr>
      </w:pPr>
      <w:r>
        <w:rPr>
          <w:rFonts w:hint="eastAsia" w:ascii="Times New Roman" w:hAnsi="Times New Roman"/>
          <w:color w:val="auto"/>
          <w:kern w:val="0"/>
          <w:szCs w:val="20"/>
        </w:rPr>
        <w:t>结合地质灾害危险性评估报告，说明</w:t>
      </w:r>
      <w:r>
        <w:rPr>
          <w:rFonts w:ascii="Times New Roman" w:hAnsi="Times New Roman"/>
        </w:rPr>
        <w:t>建设项目沿线地质灾害分布情况和危险性等级划分，</w:t>
      </w:r>
      <w:r>
        <w:rPr>
          <w:rFonts w:ascii="Times New Roman" w:hAnsi="Times New Roman"/>
          <w:szCs w:val="24"/>
        </w:rPr>
        <w:t>按照GB/T 40112确定地质灾害危险性等级，并</w:t>
      </w:r>
      <w:r>
        <w:rPr>
          <w:rFonts w:ascii="Times New Roman" w:hAnsi="Times New Roman"/>
        </w:rPr>
        <w:t>列</w:t>
      </w:r>
      <w:r>
        <w:rPr>
          <w:rFonts w:hint="eastAsia" w:ascii="Times New Roman" w:hAnsi="Times New Roman"/>
        </w:rPr>
        <w:t>出</w:t>
      </w:r>
      <w:r>
        <w:t>主要地质灾害统计表</w:t>
      </w:r>
      <w:r>
        <w:rPr>
          <w:rFonts w:hint="eastAsia" w:ascii="Times New Roman" w:hAnsi="Times New Roman"/>
        </w:rPr>
        <w:t>（</w:t>
      </w:r>
      <w:r>
        <w:rPr>
          <w:rFonts w:ascii="Times New Roman" w:hAnsi="Times New Roman"/>
        </w:rPr>
        <w:t>见表1</w:t>
      </w:r>
      <w:r>
        <w:rPr>
          <w:rFonts w:hint="eastAsia" w:ascii="Times New Roman" w:hAnsi="Times New Roman"/>
        </w:rPr>
        <w:t>5</w:t>
      </w:r>
      <w:r>
        <w:rPr>
          <w:rFonts w:ascii="Times New Roman" w:hAnsi="Times New Roman"/>
        </w:rPr>
        <w:t>）</w:t>
      </w:r>
      <w:r>
        <w:rPr>
          <w:rFonts w:hint="eastAsia" w:ascii="Times New Roman" w:hAnsi="Times New Roman"/>
          <w:color w:val="auto"/>
          <w:kern w:val="0"/>
          <w:szCs w:val="20"/>
        </w:rPr>
        <w:t>。</w:t>
      </w:r>
    </w:p>
    <w:p w14:paraId="5D3BB40D">
      <w:pPr>
        <w:pStyle w:val="5"/>
        <w:rPr>
          <w:rFonts w:hint="eastAsia"/>
        </w:rPr>
      </w:pPr>
      <w:r>
        <w:t>表</w:t>
      </w:r>
      <w:r>
        <w:rPr>
          <w:rFonts w:ascii="Times New Roman" w:hAnsi="Times New Roman"/>
        </w:rPr>
        <w:t>15</w:t>
      </w:r>
      <w:r>
        <w:t xml:space="preserve"> 主要地质灾害</w:t>
      </w:r>
      <w:r>
        <w:rPr>
          <w:rFonts w:hint="eastAsia"/>
        </w:rPr>
        <w:t>统计表</w:t>
      </w:r>
    </w:p>
    <w:tbl>
      <w:tblPr>
        <w:tblStyle w:val="3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74"/>
        <w:gridCol w:w="3547"/>
        <w:gridCol w:w="1986"/>
        <w:gridCol w:w="1132"/>
        <w:gridCol w:w="1174"/>
        <w:gridCol w:w="1057"/>
      </w:tblGrid>
      <w:tr w14:paraId="24A405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blHeader/>
          <w:jc w:val="center"/>
        </w:trPr>
        <w:tc>
          <w:tcPr>
            <w:tcW w:w="352" w:type="pct"/>
            <w:tcBorders>
              <w:tl2br w:val="nil"/>
              <w:tr2bl w:val="nil"/>
            </w:tcBorders>
            <w:vAlign w:val="center"/>
          </w:tcPr>
          <w:p w14:paraId="56773428">
            <w:pPr>
              <w:spacing w:line="240" w:lineRule="atLeast"/>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序号</w:t>
            </w:r>
          </w:p>
        </w:tc>
        <w:tc>
          <w:tcPr>
            <w:tcW w:w="1852" w:type="pct"/>
            <w:tcBorders>
              <w:tl2br w:val="nil"/>
              <w:tr2bl w:val="nil"/>
            </w:tcBorders>
            <w:vAlign w:val="center"/>
          </w:tcPr>
          <w:p w14:paraId="3618CFC7">
            <w:pPr>
              <w:spacing w:line="240" w:lineRule="atLeast"/>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地质灾害类型</w:t>
            </w:r>
          </w:p>
        </w:tc>
        <w:tc>
          <w:tcPr>
            <w:tcW w:w="1037" w:type="pct"/>
            <w:tcBorders>
              <w:tl2br w:val="nil"/>
              <w:tr2bl w:val="nil"/>
            </w:tcBorders>
            <w:vAlign w:val="center"/>
          </w:tcPr>
          <w:p w14:paraId="70E7D8AF">
            <w:pPr>
              <w:spacing w:line="240" w:lineRule="atLeast"/>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市（设区）、县</w:t>
            </w:r>
          </w:p>
        </w:tc>
        <w:tc>
          <w:tcPr>
            <w:tcW w:w="591" w:type="pct"/>
            <w:tcBorders>
              <w:tl2br w:val="nil"/>
              <w:tr2bl w:val="nil"/>
            </w:tcBorders>
            <w:vAlign w:val="center"/>
          </w:tcPr>
          <w:p w14:paraId="0970B826">
            <w:pPr>
              <w:spacing w:line="240" w:lineRule="atLeast"/>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影响长度</w:t>
            </w:r>
          </w:p>
          <w:p w14:paraId="445545F9">
            <w:pPr>
              <w:spacing w:line="240" w:lineRule="atLeast"/>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km</w:t>
            </w:r>
          </w:p>
        </w:tc>
        <w:tc>
          <w:tcPr>
            <w:tcW w:w="613" w:type="pct"/>
            <w:tcBorders>
              <w:tl2br w:val="nil"/>
              <w:tr2bl w:val="nil"/>
            </w:tcBorders>
            <w:vAlign w:val="center"/>
          </w:tcPr>
          <w:p w14:paraId="166A35D4">
            <w:pPr>
              <w:spacing w:line="240" w:lineRule="atLeast"/>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危险性等级</w:t>
            </w:r>
          </w:p>
        </w:tc>
        <w:tc>
          <w:tcPr>
            <w:tcW w:w="552" w:type="pct"/>
            <w:tcBorders>
              <w:tl2br w:val="nil"/>
              <w:tr2bl w:val="nil"/>
            </w:tcBorders>
            <w:vAlign w:val="center"/>
          </w:tcPr>
          <w:p w14:paraId="039FCDBA">
            <w:pPr>
              <w:spacing w:line="240" w:lineRule="atLeast"/>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备注</w:t>
            </w:r>
          </w:p>
        </w:tc>
      </w:tr>
      <w:tr w14:paraId="6E156A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352" w:type="pct"/>
            <w:tcBorders>
              <w:tl2br w:val="nil"/>
              <w:tr2bl w:val="nil"/>
            </w:tcBorders>
            <w:vAlign w:val="center"/>
          </w:tcPr>
          <w:p w14:paraId="4374E548">
            <w:pPr>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w:t>
            </w:r>
          </w:p>
        </w:tc>
        <w:tc>
          <w:tcPr>
            <w:tcW w:w="3545" w:type="dxa"/>
            <w:tcBorders>
              <w:tl2br w:val="nil"/>
              <w:tr2bl w:val="nil"/>
            </w:tcBorders>
            <w:vAlign w:val="center"/>
          </w:tcPr>
          <w:p w14:paraId="768CE1CE">
            <w:pPr>
              <w:jc w:val="center"/>
              <w:rPr>
                <w:bCs/>
                <w:color w:val="000000" w:themeColor="text1"/>
                <w:sz w:val="18"/>
                <w:szCs w:val="18"/>
                <w14:textFill>
                  <w14:solidFill>
                    <w14:schemeClr w14:val="tx1"/>
                  </w14:solidFill>
                </w14:textFill>
              </w:rPr>
            </w:pPr>
            <w:r>
              <w:rPr>
                <w:bCs/>
                <w:sz w:val="18"/>
                <w:szCs w:val="18"/>
              </w:rPr>
              <w:t>滑坡</w:t>
            </w:r>
          </w:p>
        </w:tc>
        <w:tc>
          <w:tcPr>
            <w:tcW w:w="1037" w:type="pct"/>
            <w:tcBorders>
              <w:tl2br w:val="nil"/>
              <w:tr2bl w:val="nil"/>
            </w:tcBorders>
            <w:vAlign w:val="center"/>
          </w:tcPr>
          <w:p w14:paraId="15BF9632">
            <w:pPr>
              <w:jc w:val="center"/>
              <w:rPr>
                <w:bCs/>
                <w:color w:val="000000" w:themeColor="text1"/>
                <w:sz w:val="18"/>
                <w:szCs w:val="18"/>
                <w14:textFill>
                  <w14:solidFill>
                    <w14:schemeClr w14:val="tx1"/>
                  </w14:solidFill>
                </w14:textFill>
              </w:rPr>
            </w:pPr>
          </w:p>
        </w:tc>
        <w:tc>
          <w:tcPr>
            <w:tcW w:w="591" w:type="pct"/>
            <w:tcBorders>
              <w:tl2br w:val="nil"/>
              <w:tr2bl w:val="nil"/>
            </w:tcBorders>
            <w:vAlign w:val="center"/>
          </w:tcPr>
          <w:p w14:paraId="71F1C777">
            <w:pPr>
              <w:jc w:val="center"/>
              <w:rPr>
                <w:bCs/>
                <w:color w:val="000000" w:themeColor="text1"/>
                <w:sz w:val="18"/>
                <w:szCs w:val="18"/>
                <w14:textFill>
                  <w14:solidFill>
                    <w14:schemeClr w14:val="tx1"/>
                  </w14:solidFill>
                </w14:textFill>
              </w:rPr>
            </w:pPr>
          </w:p>
        </w:tc>
        <w:tc>
          <w:tcPr>
            <w:tcW w:w="613" w:type="pct"/>
            <w:tcBorders>
              <w:tl2br w:val="nil"/>
              <w:tr2bl w:val="nil"/>
            </w:tcBorders>
            <w:vAlign w:val="center"/>
          </w:tcPr>
          <w:p w14:paraId="637E0F1F">
            <w:pPr>
              <w:jc w:val="center"/>
              <w:rPr>
                <w:bCs/>
                <w:color w:val="000000" w:themeColor="text1"/>
                <w:sz w:val="18"/>
                <w:szCs w:val="18"/>
                <w:highlight w:val="yellow"/>
                <w14:textFill>
                  <w14:solidFill>
                    <w14:schemeClr w14:val="tx1"/>
                  </w14:solidFill>
                </w14:textFill>
              </w:rPr>
            </w:pPr>
          </w:p>
        </w:tc>
        <w:tc>
          <w:tcPr>
            <w:tcW w:w="552" w:type="pct"/>
            <w:tcBorders>
              <w:tl2br w:val="nil"/>
              <w:tr2bl w:val="nil"/>
            </w:tcBorders>
            <w:vAlign w:val="center"/>
          </w:tcPr>
          <w:p w14:paraId="761711DE">
            <w:pPr>
              <w:jc w:val="center"/>
              <w:rPr>
                <w:bCs/>
                <w:color w:val="000000" w:themeColor="text1"/>
                <w:sz w:val="18"/>
                <w:szCs w:val="18"/>
                <w14:textFill>
                  <w14:solidFill>
                    <w14:schemeClr w14:val="tx1"/>
                  </w14:solidFill>
                </w14:textFill>
              </w:rPr>
            </w:pPr>
          </w:p>
        </w:tc>
      </w:tr>
      <w:tr w14:paraId="783554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352" w:type="pct"/>
            <w:tcBorders>
              <w:tl2br w:val="nil"/>
              <w:tr2bl w:val="nil"/>
            </w:tcBorders>
            <w:vAlign w:val="center"/>
          </w:tcPr>
          <w:p w14:paraId="469B3714">
            <w:pPr>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w:t>
            </w:r>
          </w:p>
        </w:tc>
        <w:tc>
          <w:tcPr>
            <w:tcW w:w="3545" w:type="dxa"/>
            <w:tcBorders>
              <w:tl2br w:val="nil"/>
              <w:tr2bl w:val="nil"/>
            </w:tcBorders>
            <w:vAlign w:val="center"/>
          </w:tcPr>
          <w:p w14:paraId="4B9CDBE6">
            <w:pPr>
              <w:jc w:val="center"/>
              <w:rPr>
                <w:bCs/>
                <w:color w:val="000000" w:themeColor="text1"/>
                <w:sz w:val="18"/>
                <w:szCs w:val="18"/>
                <w14:textFill>
                  <w14:solidFill>
                    <w14:schemeClr w14:val="tx1"/>
                  </w14:solidFill>
                </w14:textFill>
              </w:rPr>
            </w:pPr>
            <w:r>
              <w:rPr>
                <w:bCs/>
                <w:sz w:val="18"/>
                <w:szCs w:val="18"/>
              </w:rPr>
              <w:t>崩塌</w:t>
            </w:r>
          </w:p>
        </w:tc>
        <w:tc>
          <w:tcPr>
            <w:tcW w:w="1037" w:type="pct"/>
            <w:tcBorders>
              <w:tl2br w:val="nil"/>
              <w:tr2bl w:val="nil"/>
            </w:tcBorders>
            <w:vAlign w:val="center"/>
          </w:tcPr>
          <w:p w14:paraId="5BACD407">
            <w:pPr>
              <w:jc w:val="center"/>
              <w:rPr>
                <w:bCs/>
                <w:color w:val="000000" w:themeColor="text1"/>
                <w:sz w:val="18"/>
                <w:szCs w:val="18"/>
                <w14:textFill>
                  <w14:solidFill>
                    <w14:schemeClr w14:val="tx1"/>
                  </w14:solidFill>
                </w14:textFill>
              </w:rPr>
            </w:pPr>
          </w:p>
        </w:tc>
        <w:tc>
          <w:tcPr>
            <w:tcW w:w="591" w:type="pct"/>
            <w:tcBorders>
              <w:tl2br w:val="nil"/>
              <w:tr2bl w:val="nil"/>
            </w:tcBorders>
            <w:vAlign w:val="center"/>
          </w:tcPr>
          <w:p w14:paraId="104F09B5">
            <w:pPr>
              <w:jc w:val="center"/>
              <w:rPr>
                <w:bCs/>
                <w:color w:val="000000" w:themeColor="text1"/>
                <w:sz w:val="18"/>
                <w:szCs w:val="18"/>
                <w14:textFill>
                  <w14:solidFill>
                    <w14:schemeClr w14:val="tx1"/>
                  </w14:solidFill>
                </w14:textFill>
              </w:rPr>
            </w:pPr>
          </w:p>
        </w:tc>
        <w:tc>
          <w:tcPr>
            <w:tcW w:w="613" w:type="pct"/>
            <w:tcBorders>
              <w:tl2br w:val="nil"/>
              <w:tr2bl w:val="nil"/>
            </w:tcBorders>
            <w:vAlign w:val="center"/>
          </w:tcPr>
          <w:p w14:paraId="43340D37">
            <w:pPr>
              <w:jc w:val="center"/>
              <w:rPr>
                <w:bCs/>
                <w:color w:val="000000" w:themeColor="text1"/>
                <w:sz w:val="18"/>
                <w:szCs w:val="18"/>
                <w:highlight w:val="yellow"/>
                <w14:textFill>
                  <w14:solidFill>
                    <w14:schemeClr w14:val="tx1"/>
                  </w14:solidFill>
                </w14:textFill>
              </w:rPr>
            </w:pPr>
          </w:p>
        </w:tc>
        <w:tc>
          <w:tcPr>
            <w:tcW w:w="552" w:type="pct"/>
            <w:tcBorders>
              <w:tl2br w:val="nil"/>
              <w:tr2bl w:val="nil"/>
            </w:tcBorders>
            <w:vAlign w:val="center"/>
          </w:tcPr>
          <w:p w14:paraId="3EEBD41E">
            <w:pPr>
              <w:jc w:val="center"/>
              <w:rPr>
                <w:bCs/>
                <w:color w:val="000000" w:themeColor="text1"/>
                <w:sz w:val="18"/>
                <w:szCs w:val="18"/>
                <w14:textFill>
                  <w14:solidFill>
                    <w14:schemeClr w14:val="tx1"/>
                  </w14:solidFill>
                </w14:textFill>
              </w:rPr>
            </w:pPr>
          </w:p>
        </w:tc>
      </w:tr>
      <w:tr w14:paraId="77EFCA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352" w:type="pct"/>
            <w:tcBorders>
              <w:tl2br w:val="nil"/>
              <w:tr2bl w:val="nil"/>
            </w:tcBorders>
            <w:vAlign w:val="center"/>
          </w:tcPr>
          <w:p w14:paraId="30EEBEF2">
            <w:pPr>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3</w:t>
            </w:r>
          </w:p>
        </w:tc>
        <w:tc>
          <w:tcPr>
            <w:tcW w:w="3545" w:type="dxa"/>
            <w:tcBorders>
              <w:tl2br w:val="nil"/>
              <w:tr2bl w:val="nil"/>
            </w:tcBorders>
            <w:vAlign w:val="center"/>
          </w:tcPr>
          <w:p w14:paraId="522028B3">
            <w:pPr>
              <w:jc w:val="center"/>
              <w:rPr>
                <w:bCs/>
                <w:color w:val="000000" w:themeColor="text1"/>
                <w:sz w:val="18"/>
                <w:szCs w:val="18"/>
                <w14:textFill>
                  <w14:solidFill>
                    <w14:schemeClr w14:val="tx1"/>
                  </w14:solidFill>
                </w14:textFill>
              </w:rPr>
            </w:pPr>
            <w:r>
              <w:rPr>
                <w:bCs/>
                <w:sz w:val="18"/>
                <w:szCs w:val="18"/>
              </w:rPr>
              <w:t>泥石流</w:t>
            </w:r>
          </w:p>
        </w:tc>
        <w:tc>
          <w:tcPr>
            <w:tcW w:w="1037" w:type="pct"/>
            <w:tcBorders>
              <w:tl2br w:val="nil"/>
              <w:tr2bl w:val="nil"/>
            </w:tcBorders>
            <w:vAlign w:val="center"/>
          </w:tcPr>
          <w:p w14:paraId="36C62C40">
            <w:pPr>
              <w:jc w:val="center"/>
              <w:rPr>
                <w:bCs/>
                <w:color w:val="000000" w:themeColor="text1"/>
                <w:sz w:val="18"/>
                <w:szCs w:val="18"/>
                <w14:textFill>
                  <w14:solidFill>
                    <w14:schemeClr w14:val="tx1"/>
                  </w14:solidFill>
                </w14:textFill>
              </w:rPr>
            </w:pPr>
          </w:p>
        </w:tc>
        <w:tc>
          <w:tcPr>
            <w:tcW w:w="591" w:type="pct"/>
            <w:tcBorders>
              <w:tl2br w:val="nil"/>
              <w:tr2bl w:val="nil"/>
            </w:tcBorders>
            <w:vAlign w:val="center"/>
          </w:tcPr>
          <w:p w14:paraId="6B9C6931">
            <w:pPr>
              <w:jc w:val="center"/>
              <w:rPr>
                <w:bCs/>
                <w:color w:val="000000" w:themeColor="text1"/>
                <w:sz w:val="18"/>
                <w:szCs w:val="18"/>
                <w14:textFill>
                  <w14:solidFill>
                    <w14:schemeClr w14:val="tx1"/>
                  </w14:solidFill>
                </w14:textFill>
              </w:rPr>
            </w:pPr>
          </w:p>
        </w:tc>
        <w:tc>
          <w:tcPr>
            <w:tcW w:w="613" w:type="pct"/>
            <w:tcBorders>
              <w:tl2br w:val="nil"/>
              <w:tr2bl w:val="nil"/>
            </w:tcBorders>
            <w:vAlign w:val="center"/>
          </w:tcPr>
          <w:p w14:paraId="6A7C63C0">
            <w:pPr>
              <w:jc w:val="center"/>
              <w:rPr>
                <w:bCs/>
                <w:color w:val="000000" w:themeColor="text1"/>
                <w:sz w:val="18"/>
                <w:szCs w:val="18"/>
                <w:highlight w:val="yellow"/>
                <w14:textFill>
                  <w14:solidFill>
                    <w14:schemeClr w14:val="tx1"/>
                  </w14:solidFill>
                </w14:textFill>
              </w:rPr>
            </w:pPr>
          </w:p>
        </w:tc>
        <w:tc>
          <w:tcPr>
            <w:tcW w:w="552" w:type="pct"/>
            <w:tcBorders>
              <w:tl2br w:val="nil"/>
              <w:tr2bl w:val="nil"/>
            </w:tcBorders>
            <w:vAlign w:val="center"/>
          </w:tcPr>
          <w:p w14:paraId="410BACC5">
            <w:pPr>
              <w:jc w:val="center"/>
              <w:rPr>
                <w:bCs/>
                <w:color w:val="000000" w:themeColor="text1"/>
                <w:sz w:val="18"/>
                <w:szCs w:val="18"/>
                <w14:textFill>
                  <w14:solidFill>
                    <w14:schemeClr w14:val="tx1"/>
                  </w14:solidFill>
                </w14:textFill>
              </w:rPr>
            </w:pPr>
          </w:p>
        </w:tc>
      </w:tr>
      <w:tr w14:paraId="34B898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352" w:type="pct"/>
            <w:tcBorders>
              <w:tl2br w:val="nil"/>
              <w:tr2bl w:val="nil"/>
            </w:tcBorders>
            <w:vAlign w:val="center"/>
          </w:tcPr>
          <w:p w14:paraId="452EB412">
            <w:pPr>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4</w:t>
            </w:r>
          </w:p>
        </w:tc>
        <w:tc>
          <w:tcPr>
            <w:tcW w:w="3545" w:type="dxa"/>
            <w:tcBorders>
              <w:tl2br w:val="nil"/>
              <w:tr2bl w:val="nil"/>
            </w:tcBorders>
            <w:vAlign w:val="center"/>
          </w:tcPr>
          <w:p w14:paraId="2BBEE0A5">
            <w:pPr>
              <w:jc w:val="center"/>
              <w:rPr>
                <w:bCs/>
                <w:color w:val="000000" w:themeColor="text1"/>
                <w:sz w:val="18"/>
                <w:szCs w:val="18"/>
                <w14:textFill>
                  <w14:solidFill>
                    <w14:schemeClr w14:val="tx1"/>
                  </w14:solidFill>
                </w14:textFill>
              </w:rPr>
            </w:pPr>
            <w:r>
              <w:rPr>
                <w:bCs/>
                <w:sz w:val="18"/>
                <w:szCs w:val="18"/>
              </w:rPr>
              <w:t>岩溶塌陷</w:t>
            </w:r>
          </w:p>
        </w:tc>
        <w:tc>
          <w:tcPr>
            <w:tcW w:w="1037" w:type="pct"/>
            <w:tcBorders>
              <w:tl2br w:val="nil"/>
              <w:tr2bl w:val="nil"/>
            </w:tcBorders>
            <w:vAlign w:val="center"/>
          </w:tcPr>
          <w:p w14:paraId="54BCE611">
            <w:pPr>
              <w:jc w:val="center"/>
              <w:rPr>
                <w:bCs/>
                <w:color w:val="000000" w:themeColor="text1"/>
                <w:sz w:val="18"/>
                <w:szCs w:val="18"/>
                <w14:textFill>
                  <w14:solidFill>
                    <w14:schemeClr w14:val="tx1"/>
                  </w14:solidFill>
                </w14:textFill>
              </w:rPr>
            </w:pPr>
          </w:p>
        </w:tc>
        <w:tc>
          <w:tcPr>
            <w:tcW w:w="591" w:type="pct"/>
            <w:tcBorders>
              <w:tl2br w:val="nil"/>
              <w:tr2bl w:val="nil"/>
            </w:tcBorders>
            <w:vAlign w:val="center"/>
          </w:tcPr>
          <w:p w14:paraId="6DD308FE">
            <w:pPr>
              <w:jc w:val="center"/>
              <w:rPr>
                <w:bCs/>
                <w:color w:val="000000" w:themeColor="text1"/>
                <w:sz w:val="18"/>
                <w:szCs w:val="18"/>
                <w14:textFill>
                  <w14:solidFill>
                    <w14:schemeClr w14:val="tx1"/>
                  </w14:solidFill>
                </w14:textFill>
              </w:rPr>
            </w:pPr>
          </w:p>
        </w:tc>
        <w:tc>
          <w:tcPr>
            <w:tcW w:w="613" w:type="pct"/>
            <w:tcBorders>
              <w:tl2br w:val="nil"/>
              <w:tr2bl w:val="nil"/>
            </w:tcBorders>
            <w:vAlign w:val="center"/>
          </w:tcPr>
          <w:p w14:paraId="540CEAEA">
            <w:pPr>
              <w:jc w:val="center"/>
              <w:rPr>
                <w:bCs/>
                <w:color w:val="000000" w:themeColor="text1"/>
                <w:sz w:val="18"/>
                <w:szCs w:val="18"/>
                <w:highlight w:val="yellow"/>
                <w14:textFill>
                  <w14:solidFill>
                    <w14:schemeClr w14:val="tx1"/>
                  </w14:solidFill>
                </w14:textFill>
              </w:rPr>
            </w:pPr>
          </w:p>
        </w:tc>
        <w:tc>
          <w:tcPr>
            <w:tcW w:w="552" w:type="pct"/>
            <w:tcBorders>
              <w:tl2br w:val="nil"/>
              <w:tr2bl w:val="nil"/>
            </w:tcBorders>
            <w:vAlign w:val="center"/>
          </w:tcPr>
          <w:p w14:paraId="0E9CE98E">
            <w:pPr>
              <w:jc w:val="center"/>
              <w:rPr>
                <w:bCs/>
                <w:color w:val="000000" w:themeColor="text1"/>
                <w:sz w:val="18"/>
                <w:szCs w:val="18"/>
                <w14:textFill>
                  <w14:solidFill>
                    <w14:schemeClr w14:val="tx1"/>
                  </w14:solidFill>
                </w14:textFill>
              </w:rPr>
            </w:pPr>
          </w:p>
        </w:tc>
      </w:tr>
      <w:tr w14:paraId="519925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352" w:type="pct"/>
            <w:tcBorders>
              <w:tl2br w:val="nil"/>
              <w:tr2bl w:val="nil"/>
            </w:tcBorders>
            <w:vAlign w:val="center"/>
          </w:tcPr>
          <w:p w14:paraId="28B38511">
            <w:pPr>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5</w:t>
            </w:r>
          </w:p>
        </w:tc>
        <w:tc>
          <w:tcPr>
            <w:tcW w:w="3545" w:type="dxa"/>
            <w:tcBorders>
              <w:tl2br w:val="nil"/>
              <w:tr2bl w:val="nil"/>
            </w:tcBorders>
            <w:vAlign w:val="center"/>
          </w:tcPr>
          <w:p w14:paraId="0A049AEC">
            <w:pPr>
              <w:jc w:val="center"/>
              <w:rPr>
                <w:bCs/>
                <w:color w:val="000000" w:themeColor="text1"/>
                <w:sz w:val="18"/>
                <w:szCs w:val="18"/>
                <w14:textFill>
                  <w14:solidFill>
                    <w14:schemeClr w14:val="tx1"/>
                  </w14:solidFill>
                </w14:textFill>
              </w:rPr>
            </w:pPr>
            <w:r>
              <w:rPr>
                <w:bCs/>
                <w:sz w:val="18"/>
                <w:szCs w:val="18"/>
              </w:rPr>
              <w:t>采空塌陷</w:t>
            </w:r>
          </w:p>
        </w:tc>
        <w:tc>
          <w:tcPr>
            <w:tcW w:w="1037" w:type="pct"/>
            <w:tcBorders>
              <w:tl2br w:val="nil"/>
              <w:tr2bl w:val="nil"/>
            </w:tcBorders>
            <w:vAlign w:val="center"/>
          </w:tcPr>
          <w:p w14:paraId="6DB7F69F">
            <w:pPr>
              <w:jc w:val="center"/>
              <w:rPr>
                <w:bCs/>
                <w:color w:val="000000" w:themeColor="text1"/>
                <w:sz w:val="18"/>
                <w:szCs w:val="18"/>
                <w14:textFill>
                  <w14:solidFill>
                    <w14:schemeClr w14:val="tx1"/>
                  </w14:solidFill>
                </w14:textFill>
              </w:rPr>
            </w:pPr>
          </w:p>
        </w:tc>
        <w:tc>
          <w:tcPr>
            <w:tcW w:w="591" w:type="pct"/>
            <w:tcBorders>
              <w:tl2br w:val="nil"/>
              <w:tr2bl w:val="nil"/>
            </w:tcBorders>
            <w:vAlign w:val="center"/>
          </w:tcPr>
          <w:p w14:paraId="457D1604">
            <w:pPr>
              <w:jc w:val="center"/>
              <w:rPr>
                <w:bCs/>
                <w:color w:val="000000" w:themeColor="text1"/>
                <w:sz w:val="18"/>
                <w:szCs w:val="18"/>
                <w14:textFill>
                  <w14:solidFill>
                    <w14:schemeClr w14:val="tx1"/>
                  </w14:solidFill>
                </w14:textFill>
              </w:rPr>
            </w:pPr>
          </w:p>
        </w:tc>
        <w:tc>
          <w:tcPr>
            <w:tcW w:w="613" w:type="pct"/>
            <w:tcBorders>
              <w:tl2br w:val="nil"/>
              <w:tr2bl w:val="nil"/>
            </w:tcBorders>
            <w:vAlign w:val="center"/>
          </w:tcPr>
          <w:p w14:paraId="6AC272CA">
            <w:pPr>
              <w:jc w:val="center"/>
              <w:rPr>
                <w:bCs/>
                <w:color w:val="000000" w:themeColor="text1"/>
                <w:sz w:val="18"/>
                <w:szCs w:val="18"/>
                <w:highlight w:val="yellow"/>
                <w14:textFill>
                  <w14:solidFill>
                    <w14:schemeClr w14:val="tx1"/>
                  </w14:solidFill>
                </w14:textFill>
              </w:rPr>
            </w:pPr>
          </w:p>
        </w:tc>
        <w:tc>
          <w:tcPr>
            <w:tcW w:w="552" w:type="pct"/>
            <w:tcBorders>
              <w:tl2br w:val="nil"/>
              <w:tr2bl w:val="nil"/>
            </w:tcBorders>
            <w:vAlign w:val="center"/>
          </w:tcPr>
          <w:p w14:paraId="40BA9955">
            <w:pPr>
              <w:jc w:val="center"/>
              <w:rPr>
                <w:bCs/>
                <w:color w:val="000000" w:themeColor="text1"/>
                <w:sz w:val="18"/>
                <w:szCs w:val="18"/>
                <w14:textFill>
                  <w14:solidFill>
                    <w14:schemeClr w14:val="tx1"/>
                  </w14:solidFill>
                </w14:textFill>
              </w:rPr>
            </w:pPr>
          </w:p>
        </w:tc>
      </w:tr>
      <w:tr w14:paraId="1F99FF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352" w:type="pct"/>
            <w:tcBorders>
              <w:tl2br w:val="nil"/>
              <w:tr2bl w:val="nil"/>
            </w:tcBorders>
            <w:vAlign w:val="center"/>
          </w:tcPr>
          <w:p w14:paraId="7B434E1E">
            <w:pPr>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6</w:t>
            </w:r>
          </w:p>
        </w:tc>
        <w:tc>
          <w:tcPr>
            <w:tcW w:w="3545" w:type="dxa"/>
            <w:tcBorders>
              <w:tl2br w:val="nil"/>
              <w:tr2bl w:val="nil"/>
            </w:tcBorders>
            <w:vAlign w:val="center"/>
          </w:tcPr>
          <w:p w14:paraId="6018CD4E">
            <w:pPr>
              <w:jc w:val="center"/>
              <w:rPr>
                <w:bCs/>
                <w:color w:val="000000" w:themeColor="text1"/>
                <w:sz w:val="18"/>
                <w:szCs w:val="18"/>
                <w14:textFill>
                  <w14:solidFill>
                    <w14:schemeClr w14:val="tx1"/>
                  </w14:solidFill>
                </w14:textFill>
              </w:rPr>
            </w:pPr>
            <w:r>
              <w:rPr>
                <w:bCs/>
                <w:sz w:val="18"/>
                <w:szCs w:val="18"/>
              </w:rPr>
              <w:t>地裂缝</w:t>
            </w:r>
          </w:p>
        </w:tc>
        <w:tc>
          <w:tcPr>
            <w:tcW w:w="1037" w:type="pct"/>
            <w:tcBorders>
              <w:tl2br w:val="nil"/>
              <w:tr2bl w:val="nil"/>
            </w:tcBorders>
            <w:vAlign w:val="center"/>
          </w:tcPr>
          <w:p w14:paraId="328925A5">
            <w:pPr>
              <w:jc w:val="center"/>
              <w:rPr>
                <w:bCs/>
                <w:color w:val="000000" w:themeColor="text1"/>
                <w:sz w:val="18"/>
                <w:szCs w:val="18"/>
                <w14:textFill>
                  <w14:solidFill>
                    <w14:schemeClr w14:val="tx1"/>
                  </w14:solidFill>
                </w14:textFill>
              </w:rPr>
            </w:pPr>
          </w:p>
        </w:tc>
        <w:tc>
          <w:tcPr>
            <w:tcW w:w="591" w:type="pct"/>
            <w:tcBorders>
              <w:tl2br w:val="nil"/>
              <w:tr2bl w:val="nil"/>
            </w:tcBorders>
            <w:vAlign w:val="center"/>
          </w:tcPr>
          <w:p w14:paraId="5275EB87">
            <w:pPr>
              <w:jc w:val="center"/>
              <w:rPr>
                <w:bCs/>
                <w:color w:val="000000" w:themeColor="text1"/>
                <w:sz w:val="18"/>
                <w:szCs w:val="18"/>
                <w14:textFill>
                  <w14:solidFill>
                    <w14:schemeClr w14:val="tx1"/>
                  </w14:solidFill>
                </w14:textFill>
              </w:rPr>
            </w:pPr>
          </w:p>
        </w:tc>
        <w:tc>
          <w:tcPr>
            <w:tcW w:w="613" w:type="pct"/>
            <w:tcBorders>
              <w:tl2br w:val="nil"/>
              <w:tr2bl w:val="nil"/>
            </w:tcBorders>
            <w:vAlign w:val="center"/>
          </w:tcPr>
          <w:p w14:paraId="10D989EA">
            <w:pPr>
              <w:jc w:val="center"/>
              <w:rPr>
                <w:bCs/>
                <w:color w:val="000000" w:themeColor="text1"/>
                <w:sz w:val="18"/>
                <w:szCs w:val="18"/>
                <w:highlight w:val="yellow"/>
                <w14:textFill>
                  <w14:solidFill>
                    <w14:schemeClr w14:val="tx1"/>
                  </w14:solidFill>
                </w14:textFill>
              </w:rPr>
            </w:pPr>
          </w:p>
        </w:tc>
        <w:tc>
          <w:tcPr>
            <w:tcW w:w="552" w:type="pct"/>
            <w:tcBorders>
              <w:tl2br w:val="nil"/>
              <w:tr2bl w:val="nil"/>
            </w:tcBorders>
            <w:vAlign w:val="center"/>
          </w:tcPr>
          <w:p w14:paraId="048C90C1">
            <w:pPr>
              <w:jc w:val="center"/>
              <w:rPr>
                <w:bCs/>
                <w:color w:val="000000" w:themeColor="text1"/>
                <w:sz w:val="18"/>
                <w:szCs w:val="18"/>
                <w14:textFill>
                  <w14:solidFill>
                    <w14:schemeClr w14:val="tx1"/>
                  </w14:solidFill>
                </w14:textFill>
              </w:rPr>
            </w:pPr>
          </w:p>
        </w:tc>
      </w:tr>
      <w:tr w14:paraId="705DC5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352" w:type="pct"/>
            <w:tcBorders>
              <w:tl2br w:val="nil"/>
              <w:tr2bl w:val="nil"/>
            </w:tcBorders>
            <w:vAlign w:val="center"/>
          </w:tcPr>
          <w:p w14:paraId="71DF2AA0">
            <w:pPr>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7</w:t>
            </w:r>
          </w:p>
        </w:tc>
        <w:tc>
          <w:tcPr>
            <w:tcW w:w="3545" w:type="dxa"/>
            <w:tcBorders>
              <w:tl2br w:val="nil"/>
              <w:tr2bl w:val="nil"/>
            </w:tcBorders>
            <w:vAlign w:val="center"/>
          </w:tcPr>
          <w:p w14:paraId="19732EB1">
            <w:pPr>
              <w:jc w:val="center"/>
              <w:rPr>
                <w:bCs/>
                <w:color w:val="000000" w:themeColor="text1"/>
                <w:sz w:val="18"/>
                <w:szCs w:val="18"/>
                <w14:textFill>
                  <w14:solidFill>
                    <w14:schemeClr w14:val="tx1"/>
                  </w14:solidFill>
                </w14:textFill>
              </w:rPr>
            </w:pPr>
            <w:r>
              <w:rPr>
                <w:bCs/>
                <w:sz w:val="18"/>
                <w:szCs w:val="18"/>
              </w:rPr>
              <w:t>地面沉降</w:t>
            </w:r>
          </w:p>
        </w:tc>
        <w:tc>
          <w:tcPr>
            <w:tcW w:w="1037" w:type="pct"/>
            <w:tcBorders>
              <w:tl2br w:val="nil"/>
              <w:tr2bl w:val="nil"/>
            </w:tcBorders>
            <w:vAlign w:val="center"/>
          </w:tcPr>
          <w:p w14:paraId="72D30BCC">
            <w:pPr>
              <w:jc w:val="center"/>
              <w:rPr>
                <w:bCs/>
                <w:color w:val="000000" w:themeColor="text1"/>
                <w:sz w:val="18"/>
                <w:szCs w:val="18"/>
                <w14:textFill>
                  <w14:solidFill>
                    <w14:schemeClr w14:val="tx1"/>
                  </w14:solidFill>
                </w14:textFill>
              </w:rPr>
            </w:pPr>
          </w:p>
        </w:tc>
        <w:tc>
          <w:tcPr>
            <w:tcW w:w="591" w:type="pct"/>
            <w:tcBorders>
              <w:tl2br w:val="nil"/>
              <w:tr2bl w:val="nil"/>
            </w:tcBorders>
            <w:vAlign w:val="center"/>
          </w:tcPr>
          <w:p w14:paraId="25788699">
            <w:pPr>
              <w:jc w:val="center"/>
              <w:rPr>
                <w:bCs/>
                <w:color w:val="000000" w:themeColor="text1"/>
                <w:sz w:val="18"/>
                <w:szCs w:val="18"/>
                <w14:textFill>
                  <w14:solidFill>
                    <w14:schemeClr w14:val="tx1"/>
                  </w14:solidFill>
                </w14:textFill>
              </w:rPr>
            </w:pPr>
          </w:p>
        </w:tc>
        <w:tc>
          <w:tcPr>
            <w:tcW w:w="613" w:type="pct"/>
            <w:tcBorders>
              <w:tl2br w:val="nil"/>
              <w:tr2bl w:val="nil"/>
            </w:tcBorders>
            <w:vAlign w:val="center"/>
          </w:tcPr>
          <w:p w14:paraId="1BD06E3B">
            <w:pPr>
              <w:jc w:val="center"/>
              <w:rPr>
                <w:bCs/>
                <w:color w:val="000000" w:themeColor="text1"/>
                <w:sz w:val="18"/>
                <w:szCs w:val="18"/>
                <w:highlight w:val="yellow"/>
                <w14:textFill>
                  <w14:solidFill>
                    <w14:schemeClr w14:val="tx1"/>
                  </w14:solidFill>
                </w14:textFill>
              </w:rPr>
            </w:pPr>
          </w:p>
        </w:tc>
        <w:tc>
          <w:tcPr>
            <w:tcW w:w="552" w:type="pct"/>
            <w:tcBorders>
              <w:tl2br w:val="nil"/>
              <w:tr2bl w:val="nil"/>
            </w:tcBorders>
            <w:vAlign w:val="center"/>
          </w:tcPr>
          <w:p w14:paraId="26218E53">
            <w:pPr>
              <w:jc w:val="center"/>
              <w:rPr>
                <w:bCs/>
                <w:color w:val="000000" w:themeColor="text1"/>
                <w:sz w:val="18"/>
                <w:szCs w:val="18"/>
                <w14:textFill>
                  <w14:solidFill>
                    <w14:schemeClr w14:val="tx1"/>
                  </w14:solidFill>
                </w14:textFill>
              </w:rPr>
            </w:pPr>
          </w:p>
        </w:tc>
      </w:tr>
      <w:tr w14:paraId="3ED71C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352" w:type="pct"/>
            <w:tcBorders>
              <w:tl2br w:val="nil"/>
              <w:tr2bl w:val="nil"/>
            </w:tcBorders>
            <w:vAlign w:val="center"/>
          </w:tcPr>
          <w:p w14:paraId="5861D33E">
            <w:pPr>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8</w:t>
            </w:r>
          </w:p>
        </w:tc>
        <w:tc>
          <w:tcPr>
            <w:tcW w:w="3545" w:type="dxa"/>
            <w:tcBorders>
              <w:tl2br w:val="nil"/>
              <w:tr2bl w:val="nil"/>
            </w:tcBorders>
            <w:vAlign w:val="center"/>
          </w:tcPr>
          <w:p w14:paraId="3BF1DC72">
            <w:pPr>
              <w:jc w:val="center"/>
              <w:rPr>
                <w:bCs/>
                <w:color w:val="000000" w:themeColor="text1"/>
                <w:sz w:val="18"/>
                <w:szCs w:val="18"/>
                <w14:textFill>
                  <w14:solidFill>
                    <w14:schemeClr w14:val="tx1"/>
                  </w14:solidFill>
                </w14:textFill>
              </w:rPr>
            </w:pPr>
            <w:r>
              <w:rPr>
                <w:bCs/>
                <w:sz w:val="18"/>
                <w:szCs w:val="18"/>
              </w:rPr>
              <w:t>不稳定斜坡</w:t>
            </w:r>
          </w:p>
        </w:tc>
        <w:tc>
          <w:tcPr>
            <w:tcW w:w="1037" w:type="pct"/>
            <w:tcBorders>
              <w:tl2br w:val="nil"/>
              <w:tr2bl w:val="nil"/>
            </w:tcBorders>
            <w:vAlign w:val="center"/>
          </w:tcPr>
          <w:p w14:paraId="48A2E2F8">
            <w:pPr>
              <w:jc w:val="center"/>
              <w:rPr>
                <w:bCs/>
                <w:color w:val="000000" w:themeColor="text1"/>
                <w:sz w:val="18"/>
                <w:szCs w:val="18"/>
                <w14:textFill>
                  <w14:solidFill>
                    <w14:schemeClr w14:val="tx1"/>
                  </w14:solidFill>
                </w14:textFill>
              </w:rPr>
            </w:pPr>
          </w:p>
        </w:tc>
        <w:tc>
          <w:tcPr>
            <w:tcW w:w="591" w:type="pct"/>
            <w:tcBorders>
              <w:tl2br w:val="nil"/>
              <w:tr2bl w:val="nil"/>
            </w:tcBorders>
            <w:vAlign w:val="center"/>
          </w:tcPr>
          <w:p w14:paraId="2BEA30F7">
            <w:pPr>
              <w:jc w:val="center"/>
              <w:rPr>
                <w:bCs/>
                <w:color w:val="000000" w:themeColor="text1"/>
                <w:sz w:val="18"/>
                <w:szCs w:val="18"/>
                <w14:textFill>
                  <w14:solidFill>
                    <w14:schemeClr w14:val="tx1"/>
                  </w14:solidFill>
                </w14:textFill>
              </w:rPr>
            </w:pPr>
          </w:p>
        </w:tc>
        <w:tc>
          <w:tcPr>
            <w:tcW w:w="613" w:type="pct"/>
            <w:tcBorders>
              <w:tl2br w:val="nil"/>
              <w:tr2bl w:val="nil"/>
            </w:tcBorders>
            <w:vAlign w:val="center"/>
          </w:tcPr>
          <w:p w14:paraId="52654AA6">
            <w:pPr>
              <w:jc w:val="center"/>
              <w:rPr>
                <w:bCs/>
                <w:color w:val="000000" w:themeColor="text1"/>
                <w:sz w:val="18"/>
                <w:szCs w:val="18"/>
                <w:highlight w:val="yellow"/>
                <w14:textFill>
                  <w14:solidFill>
                    <w14:schemeClr w14:val="tx1"/>
                  </w14:solidFill>
                </w14:textFill>
              </w:rPr>
            </w:pPr>
          </w:p>
        </w:tc>
        <w:tc>
          <w:tcPr>
            <w:tcW w:w="552" w:type="pct"/>
            <w:tcBorders>
              <w:tl2br w:val="nil"/>
              <w:tr2bl w:val="nil"/>
            </w:tcBorders>
            <w:vAlign w:val="center"/>
          </w:tcPr>
          <w:p w14:paraId="12ED90C2">
            <w:pPr>
              <w:jc w:val="center"/>
              <w:rPr>
                <w:bCs/>
                <w:color w:val="000000" w:themeColor="text1"/>
                <w:sz w:val="18"/>
                <w:szCs w:val="18"/>
                <w14:textFill>
                  <w14:solidFill>
                    <w14:schemeClr w14:val="tx1"/>
                  </w14:solidFill>
                </w14:textFill>
              </w:rPr>
            </w:pPr>
          </w:p>
        </w:tc>
      </w:tr>
      <w:tr w14:paraId="1DF09E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352" w:type="pct"/>
            <w:tcBorders>
              <w:tl2br w:val="nil"/>
              <w:tr2bl w:val="nil"/>
            </w:tcBorders>
            <w:vAlign w:val="center"/>
          </w:tcPr>
          <w:p w14:paraId="5D77978B">
            <w:pPr>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w:t>
            </w:r>
          </w:p>
        </w:tc>
        <w:tc>
          <w:tcPr>
            <w:tcW w:w="1852" w:type="pct"/>
            <w:tcBorders>
              <w:tl2br w:val="nil"/>
              <w:tr2bl w:val="nil"/>
            </w:tcBorders>
            <w:vAlign w:val="center"/>
          </w:tcPr>
          <w:p w14:paraId="4FFD9180">
            <w:pPr>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w:t>
            </w:r>
          </w:p>
        </w:tc>
        <w:tc>
          <w:tcPr>
            <w:tcW w:w="1037" w:type="pct"/>
            <w:tcBorders>
              <w:tl2br w:val="nil"/>
              <w:tr2bl w:val="nil"/>
            </w:tcBorders>
            <w:vAlign w:val="center"/>
          </w:tcPr>
          <w:p w14:paraId="4DC3CBD1">
            <w:pPr>
              <w:jc w:val="center"/>
              <w:rPr>
                <w:bCs/>
                <w:color w:val="000000" w:themeColor="text1"/>
                <w:sz w:val="18"/>
                <w:szCs w:val="18"/>
                <w14:textFill>
                  <w14:solidFill>
                    <w14:schemeClr w14:val="tx1"/>
                  </w14:solidFill>
                </w14:textFill>
              </w:rPr>
            </w:pPr>
          </w:p>
        </w:tc>
        <w:tc>
          <w:tcPr>
            <w:tcW w:w="591" w:type="pct"/>
            <w:tcBorders>
              <w:tl2br w:val="nil"/>
              <w:tr2bl w:val="nil"/>
            </w:tcBorders>
            <w:vAlign w:val="center"/>
          </w:tcPr>
          <w:p w14:paraId="6B6EF57A">
            <w:pPr>
              <w:jc w:val="center"/>
              <w:rPr>
                <w:bCs/>
                <w:color w:val="000000" w:themeColor="text1"/>
                <w:sz w:val="18"/>
                <w:szCs w:val="18"/>
                <w14:textFill>
                  <w14:solidFill>
                    <w14:schemeClr w14:val="tx1"/>
                  </w14:solidFill>
                </w14:textFill>
              </w:rPr>
            </w:pPr>
          </w:p>
        </w:tc>
        <w:tc>
          <w:tcPr>
            <w:tcW w:w="613" w:type="pct"/>
            <w:tcBorders>
              <w:tl2br w:val="nil"/>
              <w:tr2bl w:val="nil"/>
            </w:tcBorders>
            <w:vAlign w:val="center"/>
          </w:tcPr>
          <w:p w14:paraId="1ACC4062">
            <w:pPr>
              <w:jc w:val="center"/>
              <w:rPr>
                <w:bCs/>
                <w:color w:val="000000" w:themeColor="text1"/>
                <w:sz w:val="18"/>
                <w:szCs w:val="18"/>
                <w:highlight w:val="yellow"/>
                <w14:textFill>
                  <w14:solidFill>
                    <w14:schemeClr w14:val="tx1"/>
                  </w14:solidFill>
                </w14:textFill>
              </w:rPr>
            </w:pPr>
          </w:p>
        </w:tc>
        <w:tc>
          <w:tcPr>
            <w:tcW w:w="552" w:type="pct"/>
            <w:tcBorders>
              <w:tl2br w:val="nil"/>
              <w:tr2bl w:val="nil"/>
            </w:tcBorders>
            <w:vAlign w:val="center"/>
          </w:tcPr>
          <w:p w14:paraId="28CEBB35">
            <w:pPr>
              <w:jc w:val="center"/>
              <w:rPr>
                <w:bCs/>
                <w:color w:val="000000" w:themeColor="text1"/>
                <w:sz w:val="18"/>
                <w:szCs w:val="18"/>
                <w14:textFill>
                  <w14:solidFill>
                    <w14:schemeClr w14:val="tx1"/>
                  </w14:solidFill>
                </w14:textFill>
              </w:rPr>
            </w:pPr>
          </w:p>
        </w:tc>
      </w:tr>
    </w:tbl>
    <w:p w14:paraId="32F58C5F">
      <w:pPr>
        <w:rPr>
          <w:lang w:val="zh-CN"/>
        </w:rPr>
      </w:pPr>
    </w:p>
    <w:p w14:paraId="1116EC49">
      <w:pPr>
        <w:pStyle w:val="153"/>
        <w:spacing w:before="156" w:after="156"/>
        <w:rPr>
          <w:rFonts w:hint="eastAsia"/>
        </w:rPr>
      </w:pPr>
      <w:r>
        <w:t>5.</w:t>
      </w:r>
      <w:r>
        <w:rPr>
          <w:rFonts w:hint="eastAsia"/>
          <w:lang w:val="en-US"/>
        </w:rPr>
        <w:t>3</w:t>
      </w:r>
      <w:r>
        <w:t>.5</w:t>
      </w:r>
      <w:r>
        <w:rPr>
          <w:rFonts w:hint="eastAsia"/>
        </w:rPr>
        <w:t xml:space="preserve"> 地震</w:t>
      </w:r>
    </w:p>
    <w:p w14:paraId="377362D8">
      <w:pPr>
        <w:pStyle w:val="35"/>
        <w:spacing w:after="0" w:line="240" w:lineRule="auto"/>
        <w:ind w:firstLine="424" w:firstLineChars="202"/>
        <w:rPr>
          <w:rFonts w:ascii="Times New Roman" w:hAnsi="Times New Roman"/>
          <w:color w:val="auto"/>
          <w:kern w:val="0"/>
          <w:szCs w:val="20"/>
        </w:rPr>
      </w:pPr>
      <w:r>
        <w:rPr>
          <w:rStyle w:val="156"/>
          <w:rFonts w:hint="eastAsia" w:ascii="Times New Roman" w:hAnsi="Times New Roman"/>
        </w:rPr>
        <w:t>结合地震安全性评价报告，</w:t>
      </w:r>
      <w:r>
        <w:rPr>
          <w:rFonts w:hint="eastAsia" w:ascii="Times New Roman" w:hAnsi="Times New Roman"/>
          <w:color w:val="auto"/>
          <w:kern w:val="0"/>
          <w:szCs w:val="20"/>
        </w:rPr>
        <w:t>说明建设项目沿</w:t>
      </w:r>
      <w:r>
        <w:rPr>
          <w:rStyle w:val="156"/>
          <w:rFonts w:hint="eastAsia"/>
        </w:rPr>
        <w:t>线的地震参数和</w:t>
      </w:r>
      <w:r>
        <w:rPr>
          <w:rFonts w:hint="eastAsia"/>
        </w:rPr>
        <w:t>活动断层</w:t>
      </w:r>
      <w:r>
        <w:rPr>
          <w:rStyle w:val="156"/>
          <w:rFonts w:hint="eastAsia" w:ascii="Times New Roman" w:hAnsi="Times New Roman"/>
        </w:rPr>
        <w:t>的情况</w:t>
      </w:r>
      <w:r>
        <w:rPr>
          <w:rFonts w:hint="eastAsia" w:ascii="宋体" w:hAnsi="宋体" w:cs="宋体"/>
        </w:rPr>
        <w:t>，列出</w:t>
      </w:r>
      <w:r>
        <w:t>地震参数</w:t>
      </w:r>
      <w:r>
        <w:rPr>
          <w:rFonts w:hint="eastAsia"/>
        </w:rPr>
        <w:t>统计</w:t>
      </w:r>
      <w:r>
        <w:t>表</w:t>
      </w:r>
      <w:r>
        <w:rPr>
          <w:rFonts w:hint="eastAsia"/>
        </w:rPr>
        <w:t>和</w:t>
      </w:r>
      <w:r>
        <w:t>活动断层统计表</w:t>
      </w:r>
      <w:r>
        <w:rPr>
          <w:rFonts w:hint="eastAsia" w:ascii="宋体" w:hAnsi="宋体" w:cs="宋体"/>
        </w:rPr>
        <w:t>（见</w:t>
      </w:r>
      <w:r>
        <w:rPr>
          <w:rFonts w:hint="eastAsia" w:ascii="Times New Roman" w:hAnsi="Times New Roman"/>
        </w:rPr>
        <w:t>表</w:t>
      </w:r>
      <w:r>
        <w:rPr>
          <w:rFonts w:ascii="Times New Roman" w:hAnsi="Times New Roman"/>
        </w:rPr>
        <w:t>1</w:t>
      </w:r>
      <w:r>
        <w:rPr>
          <w:rFonts w:hint="eastAsia" w:ascii="Times New Roman" w:hAnsi="Times New Roman"/>
        </w:rPr>
        <w:t>6</w:t>
      </w:r>
      <w:r>
        <w:rPr>
          <w:rFonts w:ascii="Times New Roman" w:hAnsi="Times New Roman"/>
        </w:rPr>
        <w:t>和表1</w:t>
      </w:r>
      <w:r>
        <w:rPr>
          <w:rFonts w:hint="eastAsia" w:ascii="Times New Roman" w:hAnsi="Times New Roman"/>
        </w:rPr>
        <w:t>7</w:t>
      </w:r>
      <w:r>
        <w:rPr>
          <w:rFonts w:hint="eastAsia" w:ascii="宋体" w:hAnsi="宋体" w:cs="宋体"/>
        </w:rPr>
        <w:t>）</w:t>
      </w:r>
      <w:r>
        <w:rPr>
          <w:rStyle w:val="156"/>
          <w:rFonts w:hint="eastAsia" w:ascii="Times New Roman" w:hAnsi="Times New Roman"/>
        </w:rPr>
        <w:t>。</w:t>
      </w:r>
    </w:p>
    <w:p w14:paraId="60A3C664">
      <w:pPr>
        <w:pStyle w:val="5"/>
        <w:rPr>
          <w:rFonts w:hint="eastAsia"/>
        </w:rPr>
      </w:pPr>
      <w:r>
        <w:t>表</w:t>
      </w:r>
      <w:r>
        <w:rPr>
          <w:rFonts w:ascii="Times New Roman" w:hAnsi="Times New Roman"/>
        </w:rPr>
        <w:t>16</w:t>
      </w:r>
      <w:r>
        <w:t xml:space="preserve"> 地震</w:t>
      </w:r>
      <w:r>
        <w:rPr>
          <w:rFonts w:hint="eastAsia"/>
        </w:rPr>
        <w:t>参数统计表</w:t>
      </w:r>
    </w:p>
    <w:tbl>
      <w:tblPr>
        <w:tblStyle w:val="3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2551"/>
        <w:gridCol w:w="2017"/>
        <w:gridCol w:w="2092"/>
        <w:gridCol w:w="2093"/>
      </w:tblGrid>
      <w:tr w14:paraId="7B48F6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tblHeader/>
          <w:jc w:val="center"/>
        </w:trPr>
        <w:tc>
          <w:tcPr>
            <w:tcW w:w="427" w:type="pct"/>
            <w:vAlign w:val="center"/>
          </w:tcPr>
          <w:p w14:paraId="05FEE6F0">
            <w:pPr>
              <w:pStyle w:val="63"/>
              <w:snapToGrid/>
              <w:ind w:left="-80" w:right="-69"/>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序号</w:t>
            </w:r>
          </w:p>
        </w:tc>
        <w:tc>
          <w:tcPr>
            <w:tcW w:w="1333" w:type="pct"/>
            <w:vAlign w:val="center"/>
          </w:tcPr>
          <w:p w14:paraId="1EEE3B4A">
            <w:pPr>
              <w:pStyle w:val="63"/>
              <w:snapToGrid/>
              <w:ind w:left="-80" w:right="-69"/>
              <w:rPr>
                <w:color w:val="000000" w:themeColor="text1"/>
                <w:sz w:val="18"/>
                <w:szCs w:val="18"/>
                <w14:textFill>
                  <w14:solidFill>
                    <w14:schemeClr w14:val="tx1"/>
                  </w14:solidFill>
                </w14:textFill>
              </w:rPr>
            </w:pPr>
            <w:r>
              <w:rPr>
                <w:rFonts w:eastAsiaTheme="minorEastAsia"/>
                <w:sz w:val="18"/>
                <w:szCs w:val="18"/>
              </w:rPr>
              <w:t>省（区、市）</w:t>
            </w:r>
            <w:r>
              <w:rPr>
                <w:rFonts w:hint="eastAsia" w:eastAsiaTheme="minorEastAsia"/>
                <w:sz w:val="18"/>
                <w:szCs w:val="18"/>
              </w:rPr>
              <w:t>、</w:t>
            </w:r>
            <w:r>
              <w:rPr>
                <w:rFonts w:hint="eastAsia"/>
                <w:color w:val="000000" w:themeColor="text1"/>
                <w:sz w:val="18"/>
                <w:szCs w:val="18"/>
                <w14:textFill>
                  <w14:solidFill>
                    <w14:schemeClr w14:val="tx1"/>
                  </w14:solidFill>
                </w14:textFill>
              </w:rPr>
              <w:t>市（设区）、县</w:t>
            </w:r>
          </w:p>
        </w:tc>
        <w:tc>
          <w:tcPr>
            <w:tcW w:w="1054" w:type="pct"/>
            <w:vAlign w:val="center"/>
          </w:tcPr>
          <w:p w14:paraId="34653EE7">
            <w:pPr>
              <w:pStyle w:val="63"/>
              <w:snapToGrid/>
              <w:ind w:left="-80" w:right="-69"/>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影响长度</w:t>
            </w:r>
          </w:p>
          <w:p w14:paraId="2B2B0686">
            <w:pPr>
              <w:pStyle w:val="63"/>
              <w:snapToGrid/>
              <w:ind w:left="-80" w:right="-69"/>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w:t>
            </w:r>
            <w:r>
              <w:rPr>
                <w:color w:val="000000" w:themeColor="text1"/>
                <w:sz w:val="18"/>
                <w:szCs w:val="18"/>
                <w14:textFill>
                  <w14:solidFill>
                    <w14:schemeClr w14:val="tx1"/>
                  </w14:solidFill>
                </w14:textFill>
              </w:rPr>
              <w:t>km</w:t>
            </w:r>
            <w:r>
              <w:rPr>
                <w:rFonts w:hint="eastAsia"/>
                <w:color w:val="000000" w:themeColor="text1"/>
                <w:sz w:val="18"/>
                <w:szCs w:val="18"/>
                <w14:textFill>
                  <w14:solidFill>
                    <w14:schemeClr w14:val="tx1"/>
                  </w14:solidFill>
                </w14:textFill>
              </w:rPr>
              <w:t>）</w:t>
            </w:r>
          </w:p>
        </w:tc>
        <w:tc>
          <w:tcPr>
            <w:tcW w:w="1093" w:type="pct"/>
            <w:vAlign w:val="center"/>
          </w:tcPr>
          <w:p w14:paraId="2CA61E05">
            <w:pPr>
              <w:pStyle w:val="63"/>
              <w:snapToGrid/>
              <w:ind w:left="0" w:leftChars="0" w:right="-69"/>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地震烈度</w:t>
            </w:r>
          </w:p>
        </w:tc>
        <w:tc>
          <w:tcPr>
            <w:tcW w:w="1093" w:type="pct"/>
            <w:vAlign w:val="center"/>
          </w:tcPr>
          <w:p w14:paraId="7BDA6966">
            <w:pPr>
              <w:pStyle w:val="63"/>
              <w:snapToGrid/>
              <w:ind w:left="0" w:leftChars="0" w:right="-69"/>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地震动峰值加速度</w:t>
            </w:r>
          </w:p>
          <w:p w14:paraId="050A681E">
            <w:pPr>
              <w:pStyle w:val="63"/>
              <w:snapToGrid/>
              <w:ind w:left="0" w:leftChars="0" w:right="-69"/>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w:t>
            </w:r>
            <w:r>
              <w:rPr>
                <w:color w:val="000000" w:themeColor="text1"/>
                <w:sz w:val="18"/>
                <w:szCs w:val="18"/>
                <w14:textFill>
                  <w14:solidFill>
                    <w14:schemeClr w14:val="tx1"/>
                  </w14:solidFill>
                </w14:textFill>
              </w:rPr>
              <w:t>g</w:t>
            </w:r>
            <w:r>
              <w:rPr>
                <w:rFonts w:hint="eastAsia"/>
                <w:color w:val="000000" w:themeColor="text1"/>
                <w:sz w:val="18"/>
                <w:szCs w:val="18"/>
                <w14:textFill>
                  <w14:solidFill>
                    <w14:schemeClr w14:val="tx1"/>
                  </w14:solidFill>
                </w14:textFill>
              </w:rPr>
              <w:t>）</w:t>
            </w:r>
          </w:p>
        </w:tc>
      </w:tr>
      <w:tr w14:paraId="7B70A6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27" w:type="pct"/>
            <w:vAlign w:val="center"/>
          </w:tcPr>
          <w:p w14:paraId="391ECD88">
            <w:pPr>
              <w:pStyle w:val="63"/>
              <w:snapToGrid/>
              <w:ind w:left="-80" w:right="-69"/>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1333" w:type="pct"/>
            <w:vAlign w:val="center"/>
          </w:tcPr>
          <w:p w14:paraId="6DBFAC27">
            <w:pPr>
              <w:jc w:val="center"/>
              <w:rPr>
                <w:color w:val="000000" w:themeColor="text1"/>
                <w:sz w:val="18"/>
                <w:szCs w:val="18"/>
                <w14:textFill>
                  <w14:solidFill>
                    <w14:schemeClr w14:val="tx1"/>
                  </w14:solidFill>
                </w14:textFill>
              </w:rPr>
            </w:pPr>
          </w:p>
        </w:tc>
        <w:tc>
          <w:tcPr>
            <w:tcW w:w="1054" w:type="pct"/>
            <w:vAlign w:val="center"/>
          </w:tcPr>
          <w:p w14:paraId="6D3C3486">
            <w:pPr>
              <w:jc w:val="center"/>
              <w:rPr>
                <w:color w:val="000000" w:themeColor="text1"/>
                <w:sz w:val="18"/>
                <w:szCs w:val="18"/>
                <w14:textFill>
                  <w14:solidFill>
                    <w14:schemeClr w14:val="tx1"/>
                  </w14:solidFill>
                </w14:textFill>
              </w:rPr>
            </w:pPr>
          </w:p>
        </w:tc>
        <w:tc>
          <w:tcPr>
            <w:tcW w:w="1093" w:type="pct"/>
            <w:vAlign w:val="center"/>
          </w:tcPr>
          <w:p w14:paraId="39B7E94C">
            <w:pPr>
              <w:jc w:val="center"/>
              <w:rPr>
                <w:color w:val="000000" w:themeColor="text1"/>
                <w:sz w:val="18"/>
                <w:szCs w:val="18"/>
                <w14:textFill>
                  <w14:solidFill>
                    <w14:schemeClr w14:val="tx1"/>
                  </w14:solidFill>
                </w14:textFill>
              </w:rPr>
            </w:pPr>
          </w:p>
        </w:tc>
        <w:tc>
          <w:tcPr>
            <w:tcW w:w="1093" w:type="pct"/>
            <w:vAlign w:val="center"/>
          </w:tcPr>
          <w:p w14:paraId="5F7DE2BF">
            <w:pPr>
              <w:jc w:val="center"/>
              <w:rPr>
                <w:color w:val="000000" w:themeColor="text1"/>
                <w:sz w:val="18"/>
                <w:szCs w:val="18"/>
                <w14:textFill>
                  <w14:solidFill>
                    <w14:schemeClr w14:val="tx1"/>
                  </w14:solidFill>
                </w14:textFill>
              </w:rPr>
            </w:pPr>
          </w:p>
        </w:tc>
      </w:tr>
      <w:tr w14:paraId="5F84C8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27" w:type="pct"/>
            <w:vAlign w:val="center"/>
          </w:tcPr>
          <w:p w14:paraId="2BC0E7BB">
            <w:pPr>
              <w:pStyle w:val="63"/>
              <w:snapToGrid/>
              <w:ind w:left="-80" w:right="-69"/>
              <w:rPr>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w:t>
            </w:r>
          </w:p>
        </w:tc>
        <w:tc>
          <w:tcPr>
            <w:tcW w:w="1333" w:type="pct"/>
            <w:vAlign w:val="center"/>
          </w:tcPr>
          <w:p w14:paraId="2286C0BC">
            <w:pPr>
              <w:jc w:val="center"/>
              <w:rPr>
                <w:color w:val="000000" w:themeColor="text1"/>
                <w:sz w:val="18"/>
                <w:szCs w:val="18"/>
                <w14:textFill>
                  <w14:solidFill>
                    <w14:schemeClr w14:val="tx1"/>
                  </w14:solidFill>
                </w14:textFill>
              </w:rPr>
            </w:pPr>
          </w:p>
        </w:tc>
        <w:tc>
          <w:tcPr>
            <w:tcW w:w="1054" w:type="pct"/>
            <w:vAlign w:val="center"/>
          </w:tcPr>
          <w:p w14:paraId="269CB0EF">
            <w:pPr>
              <w:jc w:val="center"/>
              <w:rPr>
                <w:color w:val="000000" w:themeColor="text1"/>
                <w:sz w:val="18"/>
                <w:szCs w:val="18"/>
                <w14:textFill>
                  <w14:solidFill>
                    <w14:schemeClr w14:val="tx1"/>
                  </w14:solidFill>
                </w14:textFill>
              </w:rPr>
            </w:pPr>
          </w:p>
        </w:tc>
        <w:tc>
          <w:tcPr>
            <w:tcW w:w="1093" w:type="pct"/>
            <w:vAlign w:val="center"/>
          </w:tcPr>
          <w:p w14:paraId="643C82FC">
            <w:pPr>
              <w:jc w:val="center"/>
              <w:rPr>
                <w:color w:val="000000" w:themeColor="text1"/>
                <w:sz w:val="18"/>
                <w:szCs w:val="18"/>
                <w14:textFill>
                  <w14:solidFill>
                    <w14:schemeClr w14:val="tx1"/>
                  </w14:solidFill>
                </w14:textFill>
              </w:rPr>
            </w:pPr>
          </w:p>
        </w:tc>
        <w:tc>
          <w:tcPr>
            <w:tcW w:w="1093" w:type="pct"/>
            <w:vAlign w:val="center"/>
          </w:tcPr>
          <w:p w14:paraId="0079E64D">
            <w:pPr>
              <w:jc w:val="center"/>
              <w:rPr>
                <w:color w:val="000000" w:themeColor="text1"/>
                <w:sz w:val="18"/>
                <w:szCs w:val="18"/>
                <w14:textFill>
                  <w14:solidFill>
                    <w14:schemeClr w14:val="tx1"/>
                  </w14:solidFill>
                </w14:textFill>
              </w:rPr>
            </w:pPr>
          </w:p>
        </w:tc>
      </w:tr>
    </w:tbl>
    <w:p w14:paraId="041C10DA">
      <w:pPr>
        <w:pStyle w:val="5"/>
        <w:rPr>
          <w:rFonts w:hint="eastAsia"/>
        </w:rPr>
      </w:pPr>
      <w:r>
        <w:t>表</w:t>
      </w:r>
      <w:r>
        <w:rPr>
          <w:rFonts w:ascii="Times New Roman" w:hAnsi="Times New Roman"/>
        </w:rPr>
        <w:t>17</w:t>
      </w:r>
      <w:r>
        <w:t xml:space="preserve"> </w:t>
      </w:r>
      <w:r>
        <w:rPr>
          <w:rFonts w:hint="eastAsia"/>
        </w:rPr>
        <w:t>活动断层统计表</w:t>
      </w:r>
    </w:p>
    <w:tbl>
      <w:tblPr>
        <w:tblStyle w:val="3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206"/>
        <w:gridCol w:w="2092"/>
        <w:gridCol w:w="2092"/>
        <w:gridCol w:w="1663"/>
        <w:gridCol w:w="2517"/>
      </w:tblGrid>
      <w:tr w14:paraId="096AF9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630" w:type="pct"/>
            <w:vAlign w:val="center"/>
          </w:tcPr>
          <w:p w14:paraId="43BF2C59">
            <w:pPr>
              <w:adjustRightIn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序号</w:t>
            </w:r>
          </w:p>
        </w:tc>
        <w:tc>
          <w:tcPr>
            <w:tcW w:w="1093" w:type="pct"/>
            <w:vAlign w:val="center"/>
          </w:tcPr>
          <w:p w14:paraId="1815322B">
            <w:pPr>
              <w:adjustRightIn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断裂带名称</w:t>
            </w:r>
          </w:p>
        </w:tc>
        <w:tc>
          <w:tcPr>
            <w:tcW w:w="1093" w:type="pct"/>
            <w:vAlign w:val="center"/>
          </w:tcPr>
          <w:p w14:paraId="00325B50">
            <w:pPr>
              <w:adjustRightIn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性质</w:t>
            </w:r>
          </w:p>
        </w:tc>
        <w:tc>
          <w:tcPr>
            <w:tcW w:w="869" w:type="pct"/>
            <w:vAlign w:val="center"/>
          </w:tcPr>
          <w:p w14:paraId="26E5CEAD">
            <w:pPr>
              <w:adjustRightIn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与管道交角</w:t>
            </w:r>
          </w:p>
          <w:p w14:paraId="593688AE">
            <w:pPr>
              <w:adjustRightIn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w:t>
            </w:r>
            <w:r>
              <w:rPr>
                <w:color w:val="000000" w:themeColor="text1"/>
                <w:sz w:val="18"/>
                <w:szCs w:val="18"/>
                <w14:textFill>
                  <w14:solidFill>
                    <w14:schemeClr w14:val="tx1"/>
                  </w14:solidFill>
                </w14:textFill>
              </w:rPr>
              <w:t>°</w:t>
            </w:r>
            <w:r>
              <w:rPr>
                <w:rFonts w:hint="eastAsia"/>
                <w:color w:val="000000" w:themeColor="text1"/>
                <w:sz w:val="18"/>
                <w:szCs w:val="18"/>
                <w14:textFill>
                  <w14:solidFill>
                    <w14:schemeClr w14:val="tx1"/>
                  </w14:solidFill>
                </w14:textFill>
              </w:rPr>
              <w:t>）</w:t>
            </w:r>
          </w:p>
        </w:tc>
        <w:tc>
          <w:tcPr>
            <w:tcW w:w="1315" w:type="pct"/>
            <w:vAlign w:val="center"/>
          </w:tcPr>
          <w:p w14:paraId="1C266E87">
            <w:pPr>
              <w:adjustRightInd w:val="0"/>
              <w:jc w:val="center"/>
              <w:rPr>
                <w:color w:val="000000" w:themeColor="text1"/>
                <w:sz w:val="18"/>
                <w:szCs w:val="18"/>
                <w14:textFill>
                  <w14:solidFill>
                    <w14:schemeClr w14:val="tx1"/>
                  </w14:solidFill>
                </w14:textFill>
              </w:rPr>
            </w:pPr>
            <w:r>
              <w:rPr>
                <w:rFonts w:eastAsiaTheme="minorEastAsia"/>
                <w:sz w:val="18"/>
                <w:szCs w:val="18"/>
              </w:rPr>
              <w:t>省（区、市）</w:t>
            </w:r>
            <w:r>
              <w:rPr>
                <w:rFonts w:hint="eastAsia"/>
                <w:color w:val="000000" w:themeColor="text1"/>
                <w:sz w:val="18"/>
                <w:szCs w:val="18"/>
                <w14:textFill>
                  <w14:solidFill>
                    <w14:schemeClr w14:val="tx1"/>
                  </w14:solidFill>
                </w14:textFill>
              </w:rPr>
              <w:t>市（设区）、县</w:t>
            </w:r>
          </w:p>
        </w:tc>
      </w:tr>
      <w:tr w14:paraId="37EC3E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0" w:type="pct"/>
            <w:vAlign w:val="center"/>
          </w:tcPr>
          <w:p w14:paraId="67EF8FE7">
            <w:pPr>
              <w:pStyle w:val="63"/>
              <w:snapToGrid/>
              <w:ind w:left="-80" w:right="-69"/>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1093" w:type="pct"/>
            <w:vAlign w:val="center"/>
          </w:tcPr>
          <w:p w14:paraId="6C7091CB">
            <w:pPr>
              <w:adjustRightInd w:val="0"/>
              <w:jc w:val="center"/>
              <w:rPr>
                <w:color w:val="000000" w:themeColor="text1"/>
                <w:sz w:val="18"/>
                <w:szCs w:val="18"/>
                <w14:textFill>
                  <w14:solidFill>
                    <w14:schemeClr w14:val="tx1"/>
                  </w14:solidFill>
                </w14:textFill>
              </w:rPr>
            </w:pPr>
          </w:p>
        </w:tc>
        <w:tc>
          <w:tcPr>
            <w:tcW w:w="1093" w:type="pct"/>
            <w:vAlign w:val="center"/>
          </w:tcPr>
          <w:p w14:paraId="359602C5">
            <w:pPr>
              <w:adjustRightInd w:val="0"/>
              <w:ind w:firstLine="18" w:firstLineChars="10"/>
              <w:jc w:val="center"/>
              <w:rPr>
                <w:color w:val="000000" w:themeColor="text1"/>
                <w:sz w:val="18"/>
                <w:szCs w:val="18"/>
                <w14:textFill>
                  <w14:solidFill>
                    <w14:schemeClr w14:val="tx1"/>
                  </w14:solidFill>
                </w14:textFill>
              </w:rPr>
            </w:pPr>
          </w:p>
        </w:tc>
        <w:tc>
          <w:tcPr>
            <w:tcW w:w="869" w:type="pct"/>
            <w:vAlign w:val="center"/>
          </w:tcPr>
          <w:p w14:paraId="56F51A4E">
            <w:pPr>
              <w:adjustRightInd w:val="0"/>
              <w:jc w:val="center"/>
              <w:rPr>
                <w:color w:val="000000" w:themeColor="text1"/>
                <w:sz w:val="18"/>
                <w:szCs w:val="18"/>
                <w14:textFill>
                  <w14:solidFill>
                    <w14:schemeClr w14:val="tx1"/>
                  </w14:solidFill>
                </w14:textFill>
              </w:rPr>
            </w:pPr>
          </w:p>
        </w:tc>
        <w:tc>
          <w:tcPr>
            <w:tcW w:w="1315" w:type="pct"/>
            <w:vAlign w:val="center"/>
          </w:tcPr>
          <w:p w14:paraId="13FEFAE7">
            <w:pPr>
              <w:adjustRightInd w:val="0"/>
              <w:jc w:val="center"/>
              <w:rPr>
                <w:color w:val="000000" w:themeColor="text1"/>
                <w:sz w:val="18"/>
                <w:szCs w:val="18"/>
                <w14:textFill>
                  <w14:solidFill>
                    <w14:schemeClr w14:val="tx1"/>
                  </w14:solidFill>
                </w14:textFill>
              </w:rPr>
            </w:pPr>
          </w:p>
        </w:tc>
      </w:tr>
      <w:tr w14:paraId="007454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0" w:type="pct"/>
            <w:vAlign w:val="center"/>
          </w:tcPr>
          <w:p w14:paraId="7D1BBD10">
            <w:pPr>
              <w:pStyle w:val="63"/>
              <w:snapToGrid/>
              <w:ind w:left="-80" w:right="-69"/>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w:t>
            </w:r>
          </w:p>
        </w:tc>
        <w:tc>
          <w:tcPr>
            <w:tcW w:w="1093" w:type="pct"/>
            <w:vAlign w:val="center"/>
          </w:tcPr>
          <w:p w14:paraId="2C30FD09">
            <w:pPr>
              <w:adjustRightInd w:val="0"/>
              <w:jc w:val="center"/>
              <w:rPr>
                <w:color w:val="000000" w:themeColor="text1"/>
                <w:sz w:val="18"/>
                <w:szCs w:val="18"/>
                <w:lang w:val="zh-CN"/>
                <w14:textFill>
                  <w14:solidFill>
                    <w14:schemeClr w14:val="tx1"/>
                  </w14:solidFill>
                </w14:textFill>
              </w:rPr>
            </w:pPr>
          </w:p>
        </w:tc>
        <w:tc>
          <w:tcPr>
            <w:tcW w:w="1093" w:type="pct"/>
            <w:vAlign w:val="center"/>
          </w:tcPr>
          <w:p w14:paraId="6E67FD3C">
            <w:pPr>
              <w:adjustRightInd w:val="0"/>
              <w:ind w:firstLine="18" w:firstLineChars="10"/>
              <w:jc w:val="center"/>
              <w:rPr>
                <w:color w:val="000000" w:themeColor="text1"/>
                <w:sz w:val="18"/>
                <w:szCs w:val="18"/>
                <w14:textFill>
                  <w14:solidFill>
                    <w14:schemeClr w14:val="tx1"/>
                  </w14:solidFill>
                </w14:textFill>
              </w:rPr>
            </w:pPr>
          </w:p>
        </w:tc>
        <w:tc>
          <w:tcPr>
            <w:tcW w:w="869" w:type="pct"/>
            <w:vAlign w:val="center"/>
          </w:tcPr>
          <w:p w14:paraId="266AE521">
            <w:pPr>
              <w:adjustRightInd w:val="0"/>
              <w:jc w:val="center"/>
              <w:rPr>
                <w:color w:val="000000" w:themeColor="text1"/>
                <w:sz w:val="18"/>
                <w:szCs w:val="18"/>
                <w14:textFill>
                  <w14:solidFill>
                    <w14:schemeClr w14:val="tx1"/>
                  </w14:solidFill>
                </w14:textFill>
              </w:rPr>
            </w:pPr>
          </w:p>
        </w:tc>
        <w:tc>
          <w:tcPr>
            <w:tcW w:w="1315" w:type="pct"/>
            <w:vAlign w:val="center"/>
          </w:tcPr>
          <w:p w14:paraId="6DE4E00D">
            <w:pPr>
              <w:adjustRightInd w:val="0"/>
              <w:jc w:val="center"/>
              <w:rPr>
                <w:color w:val="000000" w:themeColor="text1"/>
                <w:sz w:val="18"/>
                <w:szCs w:val="18"/>
                <w14:textFill>
                  <w14:solidFill>
                    <w14:schemeClr w14:val="tx1"/>
                  </w14:solidFill>
                </w14:textFill>
              </w:rPr>
            </w:pPr>
          </w:p>
        </w:tc>
      </w:tr>
    </w:tbl>
    <w:p w14:paraId="09D4BD77"/>
    <w:p w14:paraId="41753D9F">
      <w:pPr>
        <w:pStyle w:val="153"/>
        <w:spacing w:before="156" w:after="156"/>
        <w:rPr>
          <w:rFonts w:hint="eastAsia"/>
        </w:rPr>
      </w:pPr>
      <w:r>
        <w:t>5.</w:t>
      </w:r>
      <w:r>
        <w:rPr>
          <w:rFonts w:hint="eastAsia"/>
          <w:lang w:val="en-US"/>
        </w:rPr>
        <w:t>3</w:t>
      </w:r>
      <w:r>
        <w:t>.6</w:t>
      </w:r>
      <w:r>
        <w:rPr>
          <w:rFonts w:hint="eastAsia"/>
        </w:rPr>
        <w:t xml:space="preserve"> 山岭穿越</w:t>
      </w:r>
    </w:p>
    <w:p w14:paraId="49C9D55D">
      <w:pPr>
        <w:pStyle w:val="35"/>
        <w:spacing w:after="0" w:line="240" w:lineRule="auto"/>
        <w:ind w:firstLine="424" w:firstLineChars="202"/>
        <w:rPr>
          <w:rFonts w:ascii="Times New Roman" w:hAnsi="Times New Roman"/>
          <w:color w:val="auto"/>
          <w:kern w:val="0"/>
          <w:szCs w:val="20"/>
        </w:rPr>
      </w:pPr>
      <w:r>
        <w:rPr>
          <w:rFonts w:hint="eastAsia" w:ascii="Times New Roman" w:hAnsi="Times New Roman"/>
          <w:color w:val="auto"/>
          <w:kern w:val="0"/>
          <w:szCs w:val="20"/>
        </w:rPr>
        <w:t>说明建设项目山岭穿越情况，列出</w:t>
      </w:r>
      <w:r>
        <w:t>山岭</w:t>
      </w:r>
      <w:r>
        <w:rPr>
          <w:rFonts w:hint="eastAsia"/>
        </w:rPr>
        <w:t>穿越统计表（</w:t>
      </w:r>
      <w:r>
        <w:rPr>
          <w:rStyle w:val="156"/>
          <w:rFonts w:hint="eastAsia"/>
        </w:rPr>
        <w:t>见表</w:t>
      </w:r>
      <w:r>
        <w:rPr>
          <w:rStyle w:val="156"/>
          <w:rFonts w:ascii="Times New Roman" w:hAnsi="Times New Roman"/>
        </w:rPr>
        <w:t>18</w:t>
      </w:r>
      <w:r>
        <w:rPr>
          <w:rStyle w:val="156"/>
          <w:rFonts w:hint="eastAsia"/>
        </w:rPr>
        <w:t>）</w:t>
      </w:r>
      <w:r>
        <w:rPr>
          <w:rFonts w:hint="eastAsia" w:ascii="Times New Roman" w:hAnsi="Times New Roman"/>
          <w:color w:val="auto"/>
          <w:kern w:val="0"/>
          <w:szCs w:val="20"/>
        </w:rPr>
        <w:t>。</w:t>
      </w:r>
    </w:p>
    <w:p w14:paraId="5F0B35C9">
      <w:pPr>
        <w:pStyle w:val="5"/>
        <w:rPr>
          <w:rFonts w:hint="eastAsia"/>
        </w:rPr>
      </w:pPr>
      <w:r>
        <w:t>表</w:t>
      </w:r>
      <w:r>
        <w:rPr>
          <w:rFonts w:ascii="Times New Roman" w:hAnsi="Times New Roman"/>
        </w:rPr>
        <w:t>18</w:t>
      </w:r>
      <w:r>
        <w:t xml:space="preserve"> 山岭</w:t>
      </w:r>
      <w:r>
        <w:rPr>
          <w:rFonts w:hint="eastAsia"/>
        </w:rPr>
        <w:t>穿越统计表</w:t>
      </w:r>
    </w:p>
    <w:tbl>
      <w:tblPr>
        <w:tblStyle w:val="3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94"/>
        <w:gridCol w:w="1239"/>
        <w:gridCol w:w="1392"/>
        <w:gridCol w:w="1844"/>
        <w:gridCol w:w="1417"/>
        <w:gridCol w:w="1702"/>
        <w:gridCol w:w="1382"/>
      </w:tblGrid>
      <w:tr w14:paraId="03AF27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11" w:type="pct"/>
            <w:vAlign w:val="center"/>
          </w:tcPr>
          <w:p w14:paraId="4C1B5A87">
            <w:pPr>
              <w:ind w:left="-105" w:leftChars="-50" w:right="-105" w:rightChars="-5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序号</w:t>
            </w:r>
          </w:p>
        </w:tc>
        <w:tc>
          <w:tcPr>
            <w:tcW w:w="647" w:type="pct"/>
            <w:vAlign w:val="center"/>
          </w:tcPr>
          <w:p w14:paraId="506CC635">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名称</w:t>
            </w:r>
          </w:p>
        </w:tc>
        <w:tc>
          <w:tcPr>
            <w:tcW w:w="727" w:type="pct"/>
            <w:vAlign w:val="center"/>
          </w:tcPr>
          <w:p w14:paraId="77FCBEEF">
            <w:pPr>
              <w:ind w:left="-50" w:right="-50"/>
              <w:jc w:val="center"/>
              <w:rPr>
                <w:color w:val="000000" w:themeColor="text1"/>
                <w:sz w:val="18"/>
                <w:szCs w:val="18"/>
                <w14:textFill>
                  <w14:solidFill>
                    <w14:schemeClr w14:val="tx1"/>
                  </w14:solidFill>
                </w14:textFill>
              </w:rPr>
            </w:pPr>
            <w:r>
              <w:rPr>
                <w:rFonts w:eastAsiaTheme="minorEastAsia"/>
                <w:sz w:val="18"/>
                <w:szCs w:val="18"/>
              </w:rPr>
              <w:t>省（区、市）</w:t>
            </w:r>
            <w:r>
              <w:rPr>
                <w:rFonts w:hint="eastAsia" w:eastAsiaTheme="minorEastAsia"/>
                <w:sz w:val="18"/>
                <w:szCs w:val="18"/>
              </w:rPr>
              <w:t>、</w:t>
            </w:r>
            <w:r>
              <w:rPr>
                <w:rFonts w:hint="eastAsia"/>
                <w:color w:val="000000" w:themeColor="text1"/>
                <w:sz w:val="18"/>
                <w:szCs w:val="18"/>
                <w14:textFill>
                  <w14:solidFill>
                    <w14:schemeClr w14:val="tx1"/>
                  </w14:solidFill>
                </w14:textFill>
              </w:rPr>
              <w:t>市（设区）、县</w:t>
            </w:r>
          </w:p>
        </w:tc>
        <w:tc>
          <w:tcPr>
            <w:tcW w:w="963" w:type="pct"/>
            <w:vAlign w:val="center"/>
          </w:tcPr>
          <w:p w14:paraId="3635D54E">
            <w:pPr>
              <w:ind w:left="-105" w:leftChars="-50" w:right="-105" w:rightChars="-5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穿越方式</w:t>
            </w:r>
          </w:p>
        </w:tc>
        <w:tc>
          <w:tcPr>
            <w:tcW w:w="740" w:type="pct"/>
            <w:vAlign w:val="center"/>
          </w:tcPr>
          <w:p w14:paraId="4A44DC30">
            <w:pPr>
              <w:ind w:left="-105" w:leftChars="-50" w:right="-105" w:rightChars="-5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穿越长度</w:t>
            </w:r>
            <w:r>
              <w:rPr>
                <w:color w:val="000000" w:themeColor="text1"/>
                <w:sz w:val="18"/>
                <w:szCs w:val="18"/>
                <w14:textFill>
                  <w14:solidFill>
                    <w14:schemeClr w14:val="tx1"/>
                  </w14:solidFill>
                </w14:textFill>
              </w:rPr>
              <w:t>m</w:t>
            </w:r>
          </w:p>
        </w:tc>
        <w:tc>
          <w:tcPr>
            <w:tcW w:w="889" w:type="pct"/>
            <w:vAlign w:val="center"/>
          </w:tcPr>
          <w:p w14:paraId="4EC008E2">
            <w:pPr>
              <w:ind w:left="-105" w:leftChars="-50" w:right="-105" w:rightChars="-5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地区等级（输气）</w:t>
            </w:r>
          </w:p>
        </w:tc>
        <w:tc>
          <w:tcPr>
            <w:tcW w:w="722" w:type="pct"/>
            <w:vAlign w:val="center"/>
          </w:tcPr>
          <w:p w14:paraId="3821B213">
            <w:pPr>
              <w:spacing w:line="240" w:lineRule="exact"/>
              <w:jc w:val="center"/>
              <w:rPr>
                <w:rFonts w:hint="eastAsia" w:asciiTheme="minorEastAsia" w:hAnsiTheme="minorEastAsia" w:eastAsiaTheme="minorEastAsia"/>
                <w:bCs/>
                <w:color w:val="000000" w:themeColor="text1"/>
                <w:sz w:val="18"/>
                <w:szCs w:val="18"/>
                <w14:textFill>
                  <w14:solidFill>
                    <w14:schemeClr w14:val="tx1"/>
                  </w14:solidFill>
                </w14:textFill>
              </w:rPr>
            </w:pPr>
            <w:r>
              <w:rPr>
                <w:rFonts w:hint="eastAsia" w:asciiTheme="minorEastAsia" w:hAnsiTheme="minorEastAsia" w:eastAsiaTheme="minorEastAsia"/>
                <w:bCs/>
                <w:color w:val="000000" w:themeColor="text1"/>
                <w:sz w:val="18"/>
                <w:szCs w:val="18"/>
                <w14:textFill>
                  <w14:solidFill>
                    <w14:schemeClr w14:val="tx1"/>
                  </w14:solidFill>
                </w14:textFill>
              </w:rPr>
              <w:t>管径</w:t>
            </w:r>
            <w:r>
              <w:rPr>
                <w:rFonts w:asciiTheme="minorEastAsia" w:hAnsiTheme="minorEastAsia" w:eastAsiaTheme="minorEastAsia"/>
                <w:bCs/>
                <w:color w:val="000000" w:themeColor="text1"/>
                <w:sz w:val="18"/>
                <w:szCs w:val="18"/>
                <w14:textFill>
                  <w14:solidFill>
                    <w14:schemeClr w14:val="tx1"/>
                  </w14:solidFill>
                </w14:textFill>
              </w:rPr>
              <w:t>×</w:t>
            </w:r>
            <w:r>
              <w:rPr>
                <w:rFonts w:hint="eastAsia" w:asciiTheme="minorEastAsia" w:hAnsiTheme="minorEastAsia" w:eastAsiaTheme="minorEastAsia"/>
                <w:bCs/>
                <w:color w:val="000000" w:themeColor="text1"/>
                <w:sz w:val="18"/>
                <w:szCs w:val="18"/>
                <w14:textFill>
                  <w14:solidFill>
                    <w14:schemeClr w14:val="tx1"/>
                  </w14:solidFill>
                </w14:textFill>
              </w:rPr>
              <w:t>壁厚</w:t>
            </w:r>
          </w:p>
          <w:p w14:paraId="7FB952EC">
            <w:pPr>
              <w:spacing w:line="240" w:lineRule="exact"/>
              <w:ind w:left="-105" w:leftChars="-50" w:right="-105" w:rightChars="-50"/>
              <w:jc w:val="center"/>
              <w:rPr>
                <w:color w:val="000000" w:themeColor="text1"/>
                <w:sz w:val="18"/>
                <w:szCs w:val="18"/>
                <w14:textFill>
                  <w14:solidFill>
                    <w14:schemeClr w14:val="tx1"/>
                  </w14:solidFill>
                </w14:textFill>
              </w:rPr>
            </w:pPr>
            <w:r>
              <w:rPr>
                <w:rFonts w:eastAsiaTheme="minorEastAsia"/>
                <w:bCs/>
                <w:color w:val="000000" w:themeColor="text1"/>
                <w:sz w:val="18"/>
                <w:szCs w:val="18"/>
                <w14:textFill>
                  <w14:solidFill>
                    <w14:schemeClr w14:val="tx1"/>
                  </w14:solidFill>
                </w14:textFill>
              </w:rPr>
              <w:t>mm×mm</w:t>
            </w:r>
          </w:p>
        </w:tc>
      </w:tr>
      <w:tr w14:paraId="640467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11" w:type="pct"/>
            <w:vAlign w:val="center"/>
          </w:tcPr>
          <w:p w14:paraId="71907473">
            <w:pPr>
              <w:pStyle w:val="63"/>
              <w:snapToGrid/>
              <w:ind w:left="-80" w:right="-69"/>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647" w:type="pct"/>
            <w:vAlign w:val="center"/>
          </w:tcPr>
          <w:p w14:paraId="4DD0509E">
            <w:pPr>
              <w:jc w:val="center"/>
              <w:rPr>
                <w:color w:val="000000" w:themeColor="text1"/>
                <w:sz w:val="18"/>
                <w:szCs w:val="18"/>
                <w14:textFill>
                  <w14:solidFill>
                    <w14:schemeClr w14:val="tx1"/>
                  </w14:solidFill>
                </w14:textFill>
              </w:rPr>
            </w:pPr>
          </w:p>
        </w:tc>
        <w:tc>
          <w:tcPr>
            <w:tcW w:w="727" w:type="pct"/>
            <w:vAlign w:val="center"/>
          </w:tcPr>
          <w:p w14:paraId="4BB1AC84">
            <w:pPr>
              <w:ind w:left="-50" w:right="-50"/>
              <w:jc w:val="center"/>
              <w:rPr>
                <w:color w:val="000000" w:themeColor="text1"/>
                <w:sz w:val="18"/>
                <w:szCs w:val="18"/>
                <w14:textFill>
                  <w14:solidFill>
                    <w14:schemeClr w14:val="tx1"/>
                  </w14:solidFill>
                </w14:textFill>
              </w:rPr>
            </w:pPr>
          </w:p>
        </w:tc>
        <w:tc>
          <w:tcPr>
            <w:tcW w:w="963" w:type="pct"/>
            <w:vAlign w:val="center"/>
          </w:tcPr>
          <w:p w14:paraId="7A342C1A">
            <w:pPr>
              <w:ind w:left="-50" w:right="-50"/>
              <w:jc w:val="center"/>
              <w:rPr>
                <w:color w:val="000000" w:themeColor="text1"/>
                <w:sz w:val="18"/>
                <w:szCs w:val="18"/>
                <w14:textFill>
                  <w14:solidFill>
                    <w14:schemeClr w14:val="tx1"/>
                  </w14:solidFill>
                </w14:textFill>
              </w:rPr>
            </w:pPr>
          </w:p>
        </w:tc>
        <w:tc>
          <w:tcPr>
            <w:tcW w:w="740" w:type="pct"/>
            <w:vAlign w:val="center"/>
          </w:tcPr>
          <w:p w14:paraId="3E8CCDB8">
            <w:pPr>
              <w:ind w:left="-50" w:right="-50"/>
              <w:jc w:val="center"/>
              <w:rPr>
                <w:color w:val="000000" w:themeColor="text1"/>
                <w:sz w:val="18"/>
                <w:szCs w:val="18"/>
                <w14:textFill>
                  <w14:solidFill>
                    <w14:schemeClr w14:val="tx1"/>
                  </w14:solidFill>
                </w14:textFill>
              </w:rPr>
            </w:pPr>
          </w:p>
        </w:tc>
        <w:tc>
          <w:tcPr>
            <w:tcW w:w="889" w:type="pct"/>
            <w:vAlign w:val="center"/>
          </w:tcPr>
          <w:p w14:paraId="3ABCD174">
            <w:pPr>
              <w:ind w:left="-105" w:leftChars="-50" w:right="-105" w:rightChars="-50"/>
              <w:jc w:val="center"/>
              <w:rPr>
                <w:color w:val="000000" w:themeColor="text1"/>
                <w:sz w:val="18"/>
                <w:szCs w:val="18"/>
                <w14:textFill>
                  <w14:solidFill>
                    <w14:schemeClr w14:val="tx1"/>
                  </w14:solidFill>
                </w14:textFill>
              </w:rPr>
            </w:pPr>
          </w:p>
        </w:tc>
        <w:tc>
          <w:tcPr>
            <w:tcW w:w="722" w:type="pct"/>
            <w:vAlign w:val="center"/>
          </w:tcPr>
          <w:p w14:paraId="78BC1F29">
            <w:pPr>
              <w:ind w:left="-105" w:leftChars="-50" w:right="-105" w:rightChars="-50"/>
              <w:jc w:val="center"/>
              <w:rPr>
                <w:color w:val="000000" w:themeColor="text1"/>
                <w:sz w:val="18"/>
                <w:szCs w:val="18"/>
                <w14:textFill>
                  <w14:solidFill>
                    <w14:schemeClr w14:val="tx1"/>
                  </w14:solidFill>
                </w14:textFill>
              </w:rPr>
            </w:pPr>
          </w:p>
        </w:tc>
      </w:tr>
      <w:tr w14:paraId="2DF269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11" w:type="pct"/>
            <w:vAlign w:val="center"/>
          </w:tcPr>
          <w:p w14:paraId="180ED959">
            <w:pPr>
              <w:pStyle w:val="63"/>
              <w:snapToGrid/>
              <w:ind w:left="-80" w:right="-69"/>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w:t>
            </w:r>
          </w:p>
        </w:tc>
        <w:tc>
          <w:tcPr>
            <w:tcW w:w="647" w:type="pct"/>
            <w:vAlign w:val="center"/>
          </w:tcPr>
          <w:p w14:paraId="0CB4F5D0">
            <w:pPr>
              <w:jc w:val="center"/>
              <w:rPr>
                <w:color w:val="000000" w:themeColor="text1"/>
                <w:sz w:val="18"/>
                <w:szCs w:val="18"/>
                <w14:textFill>
                  <w14:solidFill>
                    <w14:schemeClr w14:val="tx1"/>
                  </w14:solidFill>
                </w14:textFill>
              </w:rPr>
            </w:pPr>
          </w:p>
        </w:tc>
        <w:tc>
          <w:tcPr>
            <w:tcW w:w="727" w:type="pct"/>
            <w:vAlign w:val="center"/>
          </w:tcPr>
          <w:p w14:paraId="1546F52C">
            <w:pPr>
              <w:ind w:left="-50" w:right="-50"/>
              <w:jc w:val="center"/>
              <w:rPr>
                <w:color w:val="000000" w:themeColor="text1"/>
                <w:sz w:val="18"/>
                <w:szCs w:val="18"/>
                <w14:textFill>
                  <w14:solidFill>
                    <w14:schemeClr w14:val="tx1"/>
                  </w14:solidFill>
                </w14:textFill>
              </w:rPr>
            </w:pPr>
          </w:p>
        </w:tc>
        <w:tc>
          <w:tcPr>
            <w:tcW w:w="963" w:type="pct"/>
            <w:vAlign w:val="center"/>
          </w:tcPr>
          <w:p w14:paraId="5E384CD5">
            <w:pPr>
              <w:ind w:left="-50" w:right="-50"/>
              <w:jc w:val="center"/>
              <w:rPr>
                <w:color w:val="000000" w:themeColor="text1"/>
                <w:sz w:val="18"/>
                <w:szCs w:val="18"/>
                <w14:textFill>
                  <w14:solidFill>
                    <w14:schemeClr w14:val="tx1"/>
                  </w14:solidFill>
                </w14:textFill>
              </w:rPr>
            </w:pPr>
          </w:p>
        </w:tc>
        <w:tc>
          <w:tcPr>
            <w:tcW w:w="740" w:type="pct"/>
            <w:vAlign w:val="center"/>
          </w:tcPr>
          <w:p w14:paraId="30E87BE5">
            <w:pPr>
              <w:ind w:left="-50" w:right="-50"/>
              <w:jc w:val="center"/>
              <w:rPr>
                <w:color w:val="000000" w:themeColor="text1"/>
                <w:sz w:val="18"/>
                <w:szCs w:val="18"/>
                <w14:textFill>
                  <w14:solidFill>
                    <w14:schemeClr w14:val="tx1"/>
                  </w14:solidFill>
                </w14:textFill>
              </w:rPr>
            </w:pPr>
          </w:p>
        </w:tc>
        <w:tc>
          <w:tcPr>
            <w:tcW w:w="889" w:type="pct"/>
            <w:vAlign w:val="center"/>
          </w:tcPr>
          <w:p w14:paraId="61E5C4F9">
            <w:pPr>
              <w:ind w:left="-105" w:leftChars="-50" w:right="-105" w:rightChars="-50"/>
              <w:jc w:val="center"/>
              <w:rPr>
                <w:color w:val="000000" w:themeColor="text1"/>
                <w:sz w:val="18"/>
                <w:szCs w:val="18"/>
                <w14:textFill>
                  <w14:solidFill>
                    <w14:schemeClr w14:val="tx1"/>
                  </w14:solidFill>
                </w14:textFill>
              </w:rPr>
            </w:pPr>
          </w:p>
        </w:tc>
        <w:tc>
          <w:tcPr>
            <w:tcW w:w="722" w:type="pct"/>
            <w:vAlign w:val="center"/>
          </w:tcPr>
          <w:p w14:paraId="46C27AEB">
            <w:pPr>
              <w:ind w:left="-105" w:leftChars="-50" w:right="-105" w:rightChars="-50"/>
              <w:jc w:val="center"/>
              <w:rPr>
                <w:color w:val="000000" w:themeColor="text1"/>
                <w:sz w:val="18"/>
                <w:szCs w:val="18"/>
                <w14:textFill>
                  <w14:solidFill>
                    <w14:schemeClr w14:val="tx1"/>
                  </w14:solidFill>
                </w14:textFill>
              </w:rPr>
            </w:pPr>
          </w:p>
        </w:tc>
      </w:tr>
    </w:tbl>
    <w:p w14:paraId="47D4B4C7"/>
    <w:p w14:paraId="4628208B">
      <w:pPr>
        <w:pStyle w:val="153"/>
        <w:spacing w:before="156" w:after="156"/>
        <w:rPr>
          <w:rFonts w:hint="eastAsia"/>
        </w:rPr>
      </w:pPr>
      <w:r>
        <w:t>5.</w:t>
      </w:r>
      <w:r>
        <w:rPr>
          <w:rFonts w:hint="eastAsia"/>
          <w:lang w:val="en-US"/>
        </w:rPr>
        <w:t>3</w:t>
      </w:r>
      <w:r>
        <w:t>.7</w:t>
      </w:r>
      <w:r>
        <w:rPr>
          <w:rFonts w:hint="eastAsia"/>
        </w:rPr>
        <w:t xml:space="preserve"> 采矿区</w:t>
      </w:r>
    </w:p>
    <w:p w14:paraId="0C753DB4">
      <w:pPr>
        <w:pStyle w:val="35"/>
        <w:spacing w:after="0" w:line="240" w:lineRule="auto"/>
        <w:ind w:firstLine="424" w:firstLineChars="202"/>
        <w:rPr>
          <w:rFonts w:ascii="Times New Roman" w:hAnsi="Times New Roman"/>
          <w:color w:val="auto"/>
          <w:kern w:val="0"/>
          <w:szCs w:val="20"/>
        </w:rPr>
      </w:pPr>
      <w:r>
        <w:rPr>
          <w:rFonts w:hint="eastAsia" w:ascii="Times New Roman" w:hAnsi="Times New Roman"/>
          <w:color w:val="auto"/>
          <w:kern w:val="0"/>
          <w:szCs w:val="20"/>
        </w:rPr>
        <w:t>结合压覆矿产资源评估报告，说明建设项目经过采矿区（含固体、液体、气体采矿区）情况，</w:t>
      </w:r>
      <w:r>
        <w:rPr>
          <w:rFonts w:hint="eastAsia" w:ascii="Times New Roman" w:hAnsi="Times New Roman"/>
        </w:rPr>
        <w:t>列出</w:t>
      </w:r>
      <w:r>
        <w:t>采矿区统计表</w:t>
      </w:r>
      <w:r>
        <w:rPr>
          <w:rFonts w:hint="eastAsia"/>
        </w:rPr>
        <w:t>（见</w:t>
      </w:r>
      <w:r>
        <w:rPr>
          <w:rFonts w:ascii="Times New Roman" w:hAnsi="Times New Roman"/>
        </w:rPr>
        <w:t>表</w:t>
      </w:r>
      <w:r>
        <w:rPr>
          <w:rFonts w:hint="eastAsia" w:ascii="Times New Roman" w:hAnsi="Times New Roman"/>
        </w:rPr>
        <w:t>19</w:t>
      </w:r>
      <w:r>
        <w:rPr>
          <w:rFonts w:hint="eastAsia"/>
        </w:rPr>
        <w:t>）</w:t>
      </w:r>
      <w:r>
        <w:rPr>
          <w:rFonts w:hint="eastAsia" w:ascii="Times New Roman" w:hAnsi="Times New Roman"/>
          <w:color w:val="auto"/>
          <w:kern w:val="0"/>
          <w:szCs w:val="20"/>
        </w:rPr>
        <w:t>，并说明建设项目沿线与采空区的距离以及采空区稳定性。</w:t>
      </w:r>
    </w:p>
    <w:p w14:paraId="08CCE7A1">
      <w:pPr>
        <w:pStyle w:val="5"/>
        <w:rPr>
          <w:rFonts w:hint="eastAsia"/>
        </w:rPr>
      </w:pPr>
      <w:r>
        <w:t>表</w:t>
      </w:r>
      <w:r>
        <w:rPr>
          <w:rFonts w:ascii="Times New Roman" w:hAnsi="Times New Roman"/>
        </w:rPr>
        <w:t>19</w:t>
      </w:r>
      <w:r>
        <w:t xml:space="preserve"> 采矿区</w:t>
      </w:r>
      <w:r>
        <w:rPr>
          <w:rFonts w:hint="eastAsia"/>
        </w:rPr>
        <w:t>统计表</w:t>
      </w:r>
    </w:p>
    <w:tbl>
      <w:tblPr>
        <w:tblStyle w:val="3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19"/>
        <w:gridCol w:w="2164"/>
        <w:gridCol w:w="2554"/>
        <w:gridCol w:w="1769"/>
        <w:gridCol w:w="2164"/>
      </w:tblGrid>
      <w:tr w14:paraId="5A6A99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480" w:type="pct"/>
            <w:vAlign w:val="center"/>
          </w:tcPr>
          <w:p w14:paraId="37DEB8AC">
            <w:pPr>
              <w:ind w:left="-105" w:leftChars="-50" w:right="-105" w:rightChars="-5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序号</w:t>
            </w:r>
          </w:p>
        </w:tc>
        <w:tc>
          <w:tcPr>
            <w:tcW w:w="1130" w:type="pct"/>
            <w:vAlign w:val="center"/>
          </w:tcPr>
          <w:p w14:paraId="765F6643">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名称</w:t>
            </w:r>
          </w:p>
        </w:tc>
        <w:tc>
          <w:tcPr>
            <w:tcW w:w="1334" w:type="pct"/>
            <w:vAlign w:val="center"/>
          </w:tcPr>
          <w:p w14:paraId="44E318FE">
            <w:pPr>
              <w:ind w:left="-50" w:right="-50"/>
              <w:jc w:val="center"/>
              <w:rPr>
                <w:color w:val="000000" w:themeColor="text1"/>
                <w:sz w:val="18"/>
                <w:szCs w:val="18"/>
                <w14:textFill>
                  <w14:solidFill>
                    <w14:schemeClr w14:val="tx1"/>
                  </w14:solidFill>
                </w14:textFill>
              </w:rPr>
            </w:pPr>
            <w:r>
              <w:rPr>
                <w:rFonts w:eastAsiaTheme="minorEastAsia"/>
                <w:sz w:val="18"/>
                <w:szCs w:val="18"/>
              </w:rPr>
              <w:t>省（区、市）</w:t>
            </w:r>
            <w:r>
              <w:rPr>
                <w:rFonts w:hint="eastAsia" w:eastAsiaTheme="minorEastAsia"/>
                <w:sz w:val="18"/>
                <w:szCs w:val="18"/>
              </w:rPr>
              <w:t>、</w:t>
            </w:r>
            <w:r>
              <w:rPr>
                <w:rFonts w:hint="eastAsia"/>
                <w:color w:val="000000" w:themeColor="text1"/>
                <w:sz w:val="18"/>
                <w:szCs w:val="18"/>
                <w14:textFill>
                  <w14:solidFill>
                    <w14:schemeClr w14:val="tx1"/>
                  </w14:solidFill>
                </w14:textFill>
              </w:rPr>
              <w:t>市（设区）、县</w:t>
            </w:r>
          </w:p>
        </w:tc>
        <w:tc>
          <w:tcPr>
            <w:tcW w:w="924" w:type="pct"/>
            <w:vAlign w:val="center"/>
          </w:tcPr>
          <w:p w14:paraId="57429D77">
            <w:pPr>
              <w:ind w:left="-105" w:leftChars="-50" w:right="-105" w:rightChars="-5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经过长度</w:t>
            </w:r>
            <w:r>
              <w:rPr>
                <w:color w:val="000000" w:themeColor="text1"/>
                <w:sz w:val="18"/>
                <w:szCs w:val="18"/>
                <w14:textFill>
                  <w14:solidFill>
                    <w14:schemeClr w14:val="tx1"/>
                  </w14:solidFill>
                </w14:textFill>
              </w:rPr>
              <w:t>m</w:t>
            </w:r>
          </w:p>
        </w:tc>
        <w:tc>
          <w:tcPr>
            <w:tcW w:w="1130" w:type="pct"/>
            <w:vAlign w:val="center"/>
          </w:tcPr>
          <w:p w14:paraId="319FCC3A">
            <w:pPr>
              <w:ind w:left="-105" w:leftChars="-50" w:right="-105" w:rightChars="-5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经过情况描述</w:t>
            </w:r>
          </w:p>
        </w:tc>
      </w:tr>
      <w:tr w14:paraId="005089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480" w:type="pct"/>
            <w:vAlign w:val="center"/>
          </w:tcPr>
          <w:p w14:paraId="468CA198">
            <w:pPr>
              <w:pStyle w:val="63"/>
              <w:snapToGrid/>
              <w:ind w:left="-80" w:right="-69"/>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1130" w:type="pct"/>
            <w:vAlign w:val="center"/>
          </w:tcPr>
          <w:p w14:paraId="1C202A80">
            <w:pPr>
              <w:jc w:val="center"/>
              <w:rPr>
                <w:color w:val="000000" w:themeColor="text1"/>
                <w:sz w:val="18"/>
                <w:szCs w:val="18"/>
                <w14:textFill>
                  <w14:solidFill>
                    <w14:schemeClr w14:val="tx1"/>
                  </w14:solidFill>
                </w14:textFill>
              </w:rPr>
            </w:pPr>
          </w:p>
        </w:tc>
        <w:tc>
          <w:tcPr>
            <w:tcW w:w="1334" w:type="pct"/>
            <w:vAlign w:val="center"/>
          </w:tcPr>
          <w:p w14:paraId="190B21A8">
            <w:pPr>
              <w:ind w:left="-50" w:right="-50"/>
              <w:jc w:val="center"/>
              <w:rPr>
                <w:color w:val="000000" w:themeColor="text1"/>
                <w:sz w:val="18"/>
                <w:szCs w:val="18"/>
                <w14:textFill>
                  <w14:solidFill>
                    <w14:schemeClr w14:val="tx1"/>
                  </w14:solidFill>
                </w14:textFill>
              </w:rPr>
            </w:pPr>
          </w:p>
        </w:tc>
        <w:tc>
          <w:tcPr>
            <w:tcW w:w="924" w:type="pct"/>
            <w:vAlign w:val="center"/>
          </w:tcPr>
          <w:p w14:paraId="5B16E380">
            <w:pPr>
              <w:ind w:left="-50" w:right="-50"/>
              <w:jc w:val="center"/>
              <w:rPr>
                <w:color w:val="000000" w:themeColor="text1"/>
                <w:sz w:val="18"/>
                <w:szCs w:val="18"/>
                <w14:textFill>
                  <w14:solidFill>
                    <w14:schemeClr w14:val="tx1"/>
                  </w14:solidFill>
                </w14:textFill>
              </w:rPr>
            </w:pPr>
          </w:p>
        </w:tc>
        <w:tc>
          <w:tcPr>
            <w:tcW w:w="1130" w:type="pct"/>
            <w:vAlign w:val="center"/>
          </w:tcPr>
          <w:p w14:paraId="18228B8E">
            <w:pPr>
              <w:ind w:left="-105" w:leftChars="-50" w:right="-105" w:rightChars="-50"/>
              <w:jc w:val="center"/>
              <w:rPr>
                <w:color w:val="000000" w:themeColor="text1"/>
                <w:sz w:val="18"/>
                <w:szCs w:val="18"/>
                <w14:textFill>
                  <w14:solidFill>
                    <w14:schemeClr w14:val="tx1"/>
                  </w14:solidFill>
                </w14:textFill>
              </w:rPr>
            </w:pPr>
          </w:p>
        </w:tc>
      </w:tr>
      <w:tr w14:paraId="58C7B9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480" w:type="pct"/>
            <w:vAlign w:val="center"/>
          </w:tcPr>
          <w:p w14:paraId="2CAC2F5D">
            <w:pPr>
              <w:pStyle w:val="63"/>
              <w:snapToGrid/>
              <w:ind w:left="-80" w:right="-69"/>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w:t>
            </w:r>
          </w:p>
        </w:tc>
        <w:tc>
          <w:tcPr>
            <w:tcW w:w="1130" w:type="pct"/>
            <w:vAlign w:val="center"/>
          </w:tcPr>
          <w:p w14:paraId="64A1C15A">
            <w:pPr>
              <w:jc w:val="center"/>
              <w:rPr>
                <w:color w:val="000000" w:themeColor="text1"/>
                <w:sz w:val="18"/>
                <w:szCs w:val="18"/>
                <w14:textFill>
                  <w14:solidFill>
                    <w14:schemeClr w14:val="tx1"/>
                  </w14:solidFill>
                </w14:textFill>
              </w:rPr>
            </w:pPr>
          </w:p>
        </w:tc>
        <w:tc>
          <w:tcPr>
            <w:tcW w:w="1334" w:type="pct"/>
            <w:vAlign w:val="center"/>
          </w:tcPr>
          <w:p w14:paraId="2C837542">
            <w:pPr>
              <w:ind w:left="-50" w:right="-50"/>
              <w:jc w:val="center"/>
              <w:rPr>
                <w:color w:val="000000" w:themeColor="text1"/>
                <w:sz w:val="18"/>
                <w:szCs w:val="18"/>
                <w14:textFill>
                  <w14:solidFill>
                    <w14:schemeClr w14:val="tx1"/>
                  </w14:solidFill>
                </w14:textFill>
              </w:rPr>
            </w:pPr>
          </w:p>
        </w:tc>
        <w:tc>
          <w:tcPr>
            <w:tcW w:w="924" w:type="pct"/>
            <w:vAlign w:val="center"/>
          </w:tcPr>
          <w:p w14:paraId="4A363D77">
            <w:pPr>
              <w:ind w:left="-50" w:right="-50"/>
              <w:jc w:val="center"/>
              <w:rPr>
                <w:color w:val="000000" w:themeColor="text1"/>
                <w:sz w:val="18"/>
                <w:szCs w:val="18"/>
                <w14:textFill>
                  <w14:solidFill>
                    <w14:schemeClr w14:val="tx1"/>
                  </w14:solidFill>
                </w14:textFill>
              </w:rPr>
            </w:pPr>
          </w:p>
        </w:tc>
        <w:tc>
          <w:tcPr>
            <w:tcW w:w="1130" w:type="pct"/>
            <w:vAlign w:val="center"/>
          </w:tcPr>
          <w:p w14:paraId="1DE0EBEE">
            <w:pPr>
              <w:ind w:left="-105" w:leftChars="-50" w:right="-105" w:rightChars="-50"/>
              <w:jc w:val="center"/>
              <w:rPr>
                <w:color w:val="000000" w:themeColor="text1"/>
                <w:sz w:val="18"/>
                <w:szCs w:val="18"/>
                <w14:textFill>
                  <w14:solidFill>
                    <w14:schemeClr w14:val="tx1"/>
                  </w14:solidFill>
                </w14:textFill>
              </w:rPr>
            </w:pPr>
          </w:p>
        </w:tc>
      </w:tr>
    </w:tbl>
    <w:p w14:paraId="01351A09"/>
    <w:p w14:paraId="6D3489AF">
      <w:pPr>
        <w:pStyle w:val="153"/>
        <w:spacing w:before="156" w:after="156"/>
        <w:rPr>
          <w:rFonts w:hint="eastAsia"/>
          <w:lang w:val="en-US"/>
        </w:rPr>
      </w:pPr>
      <w:r>
        <w:rPr>
          <w:lang w:val="en-US"/>
        </w:rPr>
        <w:t>5.</w:t>
      </w:r>
      <w:r>
        <w:rPr>
          <w:rFonts w:hint="eastAsia"/>
          <w:lang w:val="en-US"/>
        </w:rPr>
        <w:t>3</w:t>
      </w:r>
      <w:r>
        <w:rPr>
          <w:lang w:val="en-US"/>
        </w:rPr>
        <w:t xml:space="preserve">.8 </w:t>
      </w:r>
      <w:r>
        <w:rPr>
          <w:rFonts w:hint="eastAsia"/>
        </w:rPr>
        <w:t>水域大、中型穿</w:t>
      </w:r>
      <w:r>
        <w:rPr>
          <w:rFonts w:hint="eastAsia"/>
          <w:lang w:val="en-US"/>
        </w:rPr>
        <w:t>（</w:t>
      </w:r>
      <w:r>
        <w:rPr>
          <w:rFonts w:hint="eastAsia"/>
        </w:rPr>
        <w:t>跨</w:t>
      </w:r>
      <w:r>
        <w:rPr>
          <w:rFonts w:hint="eastAsia"/>
          <w:lang w:val="en-US"/>
        </w:rPr>
        <w:t>）</w:t>
      </w:r>
      <w:r>
        <w:rPr>
          <w:rFonts w:hint="eastAsia"/>
        </w:rPr>
        <w:t>越</w:t>
      </w:r>
    </w:p>
    <w:p w14:paraId="1392E42E">
      <w:pPr>
        <w:pStyle w:val="65"/>
        <w:ind w:firstLine="0" w:firstLineChars="0"/>
        <w:rPr>
          <w:rFonts w:ascii="Times New Roman"/>
          <w:u w:color="000000"/>
        </w:rPr>
      </w:pPr>
      <w:r>
        <w:rPr>
          <w:rFonts w:ascii="黑体" w:eastAsia="黑体"/>
          <w:color w:val="000000" w:themeColor="text1"/>
          <w14:textFill>
            <w14:solidFill>
              <w14:schemeClr w14:val="tx1"/>
            </w14:solidFill>
          </w14:textFill>
        </w:rPr>
        <w:t>5.</w:t>
      </w:r>
      <w:r>
        <w:rPr>
          <w:rFonts w:hint="eastAsia" w:ascii="黑体" w:eastAsia="黑体"/>
          <w:color w:val="000000" w:themeColor="text1"/>
          <w14:textFill>
            <w14:solidFill>
              <w14:schemeClr w14:val="tx1"/>
            </w14:solidFill>
          </w14:textFill>
        </w:rPr>
        <w:t>3</w:t>
      </w:r>
      <w:r>
        <w:rPr>
          <w:rFonts w:ascii="黑体" w:eastAsia="黑体"/>
          <w:color w:val="000000" w:themeColor="text1"/>
          <w14:textFill>
            <w14:solidFill>
              <w14:schemeClr w14:val="tx1"/>
            </w14:solidFill>
          </w14:textFill>
        </w:rPr>
        <w:t xml:space="preserve">.8.1 </w:t>
      </w:r>
      <w:r>
        <w:rPr>
          <w:rFonts w:hint="eastAsia" w:ascii="Times New Roman"/>
          <w:u w:color="000000"/>
        </w:rPr>
        <w:t>对建设项目水域大、中型穿（跨）越情况进行统</w:t>
      </w:r>
      <w:r>
        <w:rPr>
          <w:rFonts w:hint="eastAsia" w:ascii="Times New Roman"/>
        </w:rPr>
        <w:t>计，列出</w:t>
      </w:r>
      <w:r>
        <w:rPr>
          <w:rFonts w:hint="eastAsia"/>
        </w:rPr>
        <w:t>水域</w:t>
      </w:r>
      <w:r>
        <w:t>大、中型穿（跨）越工程</w:t>
      </w:r>
      <w:r>
        <w:rPr>
          <w:rFonts w:hint="eastAsia"/>
        </w:rPr>
        <w:t>统计表</w:t>
      </w:r>
      <w:r>
        <w:rPr>
          <w:rFonts w:hint="eastAsia" w:ascii="Times New Roman"/>
        </w:rPr>
        <w:t>（见表</w:t>
      </w:r>
      <w:r>
        <w:rPr>
          <w:rFonts w:ascii="Times New Roman"/>
        </w:rPr>
        <w:t>20</w:t>
      </w:r>
      <w:r>
        <w:rPr>
          <w:rFonts w:hint="eastAsia" w:ascii="Times New Roman"/>
        </w:rPr>
        <w:t>）</w:t>
      </w:r>
      <w:r>
        <w:rPr>
          <w:rFonts w:hint="eastAsia" w:ascii="Times New Roman"/>
          <w:u w:color="000000"/>
        </w:rPr>
        <w:t>。</w:t>
      </w:r>
    </w:p>
    <w:p w14:paraId="0548836B">
      <w:pPr>
        <w:pStyle w:val="65"/>
        <w:ind w:firstLine="0" w:firstLineChars="0"/>
        <w:rPr>
          <w:rFonts w:ascii="Times New Roman"/>
        </w:rPr>
      </w:pPr>
      <w:r>
        <w:rPr>
          <w:rFonts w:ascii="黑体" w:hAnsi="黑体" w:eastAsia="黑体"/>
        </w:rPr>
        <w:t>5.</w:t>
      </w:r>
      <w:r>
        <w:rPr>
          <w:rFonts w:hint="eastAsia" w:ascii="黑体" w:hAnsi="黑体" w:eastAsia="黑体"/>
        </w:rPr>
        <w:t>3</w:t>
      </w:r>
      <w:r>
        <w:rPr>
          <w:rFonts w:ascii="黑体" w:hAnsi="黑体" w:eastAsia="黑体"/>
        </w:rPr>
        <w:t>.8.2</w:t>
      </w:r>
      <w:r>
        <w:t xml:space="preserve"> </w:t>
      </w:r>
      <w:r>
        <w:rPr>
          <w:rFonts w:hint="eastAsia" w:ascii="Times New Roman"/>
        </w:rPr>
        <w:t>对于通航河流，结合通航条件评价报告，说明通航对建设项目的影响。</w:t>
      </w:r>
    </w:p>
    <w:p w14:paraId="49E65705">
      <w:pPr>
        <w:pStyle w:val="5"/>
        <w:rPr>
          <w:rFonts w:hint="eastAsia"/>
        </w:rPr>
      </w:pPr>
      <w:r>
        <w:t>表</w:t>
      </w:r>
      <w:r>
        <w:rPr>
          <w:rFonts w:ascii="Times New Roman" w:hAnsi="Times New Roman"/>
        </w:rPr>
        <w:t>20</w:t>
      </w:r>
      <w:r>
        <w:t xml:space="preserve"> </w:t>
      </w:r>
      <w:r>
        <w:rPr>
          <w:rFonts w:hint="eastAsia"/>
        </w:rPr>
        <w:t>水域</w:t>
      </w:r>
      <w:r>
        <w:t>大、中型穿（跨）越工程</w:t>
      </w:r>
      <w:r>
        <w:rPr>
          <w:rFonts w:hint="eastAsia"/>
        </w:rPr>
        <w:t>统计表</w:t>
      </w:r>
    </w:p>
    <w:tbl>
      <w:tblPr>
        <w:tblStyle w:val="3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39"/>
        <w:gridCol w:w="1522"/>
        <w:gridCol w:w="1615"/>
        <w:gridCol w:w="1292"/>
        <w:gridCol w:w="1164"/>
        <w:gridCol w:w="1478"/>
        <w:gridCol w:w="1560"/>
      </w:tblGrid>
      <w:tr w14:paraId="5C1967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3" w:hRule="atLeast"/>
          <w:tblHeader/>
          <w:jc w:val="center"/>
        </w:trPr>
        <w:tc>
          <w:tcPr>
            <w:tcW w:w="491" w:type="pct"/>
            <w:vAlign w:val="center"/>
          </w:tcPr>
          <w:p w14:paraId="24A528AB">
            <w:pPr>
              <w:spacing w:line="240" w:lineRule="auto"/>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序号</w:t>
            </w:r>
          </w:p>
        </w:tc>
        <w:tc>
          <w:tcPr>
            <w:tcW w:w="795" w:type="pct"/>
            <w:vAlign w:val="center"/>
          </w:tcPr>
          <w:p w14:paraId="6F15F765">
            <w:pPr>
              <w:spacing w:line="240" w:lineRule="auto"/>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名称</w:t>
            </w:r>
          </w:p>
        </w:tc>
        <w:tc>
          <w:tcPr>
            <w:tcW w:w="844" w:type="pct"/>
            <w:vAlign w:val="center"/>
          </w:tcPr>
          <w:p w14:paraId="38C0BE46">
            <w:pPr>
              <w:spacing w:line="240" w:lineRule="auto"/>
              <w:jc w:val="center"/>
              <w:rPr>
                <w:bCs/>
                <w:color w:val="000000" w:themeColor="text1"/>
                <w:sz w:val="18"/>
                <w:szCs w:val="18"/>
                <w14:textFill>
                  <w14:solidFill>
                    <w14:schemeClr w14:val="tx1"/>
                  </w14:solidFill>
                </w14:textFill>
              </w:rPr>
            </w:pPr>
            <w:r>
              <w:rPr>
                <w:rFonts w:eastAsiaTheme="minorEastAsia"/>
                <w:sz w:val="18"/>
                <w:szCs w:val="18"/>
              </w:rPr>
              <w:t>省（区、市）</w:t>
            </w:r>
            <w:r>
              <w:rPr>
                <w:rFonts w:hint="eastAsia" w:eastAsiaTheme="minorEastAsia"/>
                <w:sz w:val="18"/>
                <w:szCs w:val="18"/>
              </w:rPr>
              <w:t>、</w:t>
            </w:r>
            <w:r>
              <w:rPr>
                <w:rFonts w:hint="eastAsia"/>
                <w:bCs/>
                <w:color w:val="000000" w:themeColor="text1"/>
                <w:sz w:val="18"/>
                <w:szCs w:val="18"/>
                <w14:textFill>
                  <w14:solidFill>
                    <w14:schemeClr w14:val="tx1"/>
                  </w14:solidFill>
                </w14:textFill>
              </w:rPr>
              <w:t>市（设区）、县</w:t>
            </w:r>
          </w:p>
        </w:tc>
        <w:tc>
          <w:tcPr>
            <w:tcW w:w="675" w:type="pct"/>
            <w:vAlign w:val="center"/>
          </w:tcPr>
          <w:p w14:paraId="55506283">
            <w:pPr>
              <w:spacing w:line="240" w:lineRule="auto"/>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方式</w:t>
            </w:r>
          </w:p>
        </w:tc>
        <w:tc>
          <w:tcPr>
            <w:tcW w:w="608" w:type="pct"/>
            <w:vAlign w:val="center"/>
          </w:tcPr>
          <w:p w14:paraId="07E028B0">
            <w:pPr>
              <w:spacing w:line="240" w:lineRule="auto"/>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长度</w:t>
            </w:r>
          </w:p>
          <w:p w14:paraId="3D85AD66">
            <w:pPr>
              <w:spacing w:line="24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m</w:t>
            </w:r>
          </w:p>
        </w:tc>
        <w:tc>
          <w:tcPr>
            <w:tcW w:w="772" w:type="pct"/>
            <w:vAlign w:val="center"/>
          </w:tcPr>
          <w:p w14:paraId="4C59E424">
            <w:pPr>
              <w:spacing w:line="240" w:lineRule="auto"/>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管径</w:t>
            </w:r>
            <w:r>
              <w:rPr>
                <w:bCs/>
                <w:color w:val="000000" w:themeColor="text1"/>
                <w:sz w:val="18"/>
                <w:szCs w:val="18"/>
                <w14:textFill>
                  <w14:solidFill>
                    <w14:schemeClr w14:val="tx1"/>
                  </w14:solidFill>
                </w14:textFill>
              </w:rPr>
              <w:t>×</w:t>
            </w:r>
            <w:r>
              <w:rPr>
                <w:rFonts w:hint="eastAsia"/>
                <w:bCs/>
                <w:color w:val="000000" w:themeColor="text1"/>
                <w:sz w:val="18"/>
                <w:szCs w:val="18"/>
                <w14:textFill>
                  <w14:solidFill>
                    <w14:schemeClr w14:val="tx1"/>
                  </w14:solidFill>
                </w14:textFill>
              </w:rPr>
              <w:t>壁厚</w:t>
            </w:r>
          </w:p>
          <w:p w14:paraId="2F921ADC">
            <w:pPr>
              <w:spacing w:line="24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mm×mm</w:t>
            </w:r>
          </w:p>
        </w:tc>
        <w:tc>
          <w:tcPr>
            <w:tcW w:w="815" w:type="pct"/>
            <w:vAlign w:val="center"/>
          </w:tcPr>
          <w:p w14:paraId="131D4556">
            <w:pPr>
              <w:spacing w:line="240" w:lineRule="auto"/>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穿跨越</w:t>
            </w:r>
          </w:p>
          <w:p w14:paraId="64F9BECB">
            <w:pPr>
              <w:spacing w:line="240" w:lineRule="auto"/>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工程等级</w:t>
            </w:r>
          </w:p>
        </w:tc>
      </w:tr>
      <w:tr w14:paraId="5666F4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491" w:type="pct"/>
            <w:vAlign w:val="center"/>
          </w:tcPr>
          <w:p w14:paraId="55AB7AAA">
            <w:pPr>
              <w:pStyle w:val="63"/>
              <w:snapToGrid/>
              <w:ind w:left="-80" w:right="-69"/>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795" w:type="pct"/>
            <w:vAlign w:val="center"/>
          </w:tcPr>
          <w:p w14:paraId="2E8DC0A6">
            <w:pPr>
              <w:jc w:val="center"/>
              <w:rPr>
                <w:bCs/>
                <w:color w:val="000000" w:themeColor="text1"/>
                <w:sz w:val="18"/>
                <w:szCs w:val="18"/>
                <w14:textFill>
                  <w14:solidFill>
                    <w14:schemeClr w14:val="tx1"/>
                  </w14:solidFill>
                </w14:textFill>
              </w:rPr>
            </w:pPr>
          </w:p>
        </w:tc>
        <w:tc>
          <w:tcPr>
            <w:tcW w:w="844" w:type="pct"/>
            <w:vAlign w:val="center"/>
          </w:tcPr>
          <w:p w14:paraId="0F246192">
            <w:pPr>
              <w:jc w:val="center"/>
              <w:rPr>
                <w:bCs/>
                <w:color w:val="000000" w:themeColor="text1"/>
                <w:sz w:val="18"/>
                <w:szCs w:val="18"/>
                <w14:textFill>
                  <w14:solidFill>
                    <w14:schemeClr w14:val="tx1"/>
                  </w14:solidFill>
                </w14:textFill>
              </w:rPr>
            </w:pPr>
          </w:p>
        </w:tc>
        <w:tc>
          <w:tcPr>
            <w:tcW w:w="675" w:type="pct"/>
            <w:vAlign w:val="center"/>
          </w:tcPr>
          <w:p w14:paraId="01BFD989">
            <w:pPr>
              <w:jc w:val="center"/>
              <w:rPr>
                <w:bCs/>
                <w:color w:val="000000" w:themeColor="text1"/>
                <w:sz w:val="18"/>
                <w:szCs w:val="18"/>
                <w14:textFill>
                  <w14:solidFill>
                    <w14:schemeClr w14:val="tx1"/>
                  </w14:solidFill>
                </w14:textFill>
              </w:rPr>
            </w:pPr>
          </w:p>
        </w:tc>
        <w:tc>
          <w:tcPr>
            <w:tcW w:w="608" w:type="pct"/>
            <w:vAlign w:val="center"/>
          </w:tcPr>
          <w:p w14:paraId="380918CA">
            <w:pPr>
              <w:jc w:val="center"/>
              <w:rPr>
                <w:bCs/>
                <w:color w:val="000000" w:themeColor="text1"/>
                <w:sz w:val="18"/>
                <w:szCs w:val="18"/>
                <w14:textFill>
                  <w14:solidFill>
                    <w14:schemeClr w14:val="tx1"/>
                  </w14:solidFill>
                </w14:textFill>
              </w:rPr>
            </w:pPr>
          </w:p>
        </w:tc>
        <w:tc>
          <w:tcPr>
            <w:tcW w:w="772" w:type="pct"/>
            <w:vAlign w:val="center"/>
          </w:tcPr>
          <w:p w14:paraId="5008C3D1">
            <w:pPr>
              <w:jc w:val="center"/>
              <w:rPr>
                <w:bCs/>
                <w:color w:val="000000" w:themeColor="text1"/>
                <w:sz w:val="18"/>
                <w:szCs w:val="18"/>
                <w14:textFill>
                  <w14:solidFill>
                    <w14:schemeClr w14:val="tx1"/>
                  </w14:solidFill>
                </w14:textFill>
              </w:rPr>
            </w:pPr>
          </w:p>
        </w:tc>
        <w:tc>
          <w:tcPr>
            <w:tcW w:w="815" w:type="pct"/>
            <w:vAlign w:val="center"/>
          </w:tcPr>
          <w:p w14:paraId="7B4D0FE0">
            <w:pPr>
              <w:jc w:val="center"/>
              <w:rPr>
                <w:bCs/>
                <w:color w:val="000000" w:themeColor="text1"/>
                <w:sz w:val="18"/>
                <w:szCs w:val="18"/>
                <w14:textFill>
                  <w14:solidFill>
                    <w14:schemeClr w14:val="tx1"/>
                  </w14:solidFill>
                </w14:textFill>
              </w:rPr>
            </w:pPr>
          </w:p>
        </w:tc>
      </w:tr>
      <w:tr w14:paraId="401982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491" w:type="pct"/>
            <w:vAlign w:val="center"/>
          </w:tcPr>
          <w:p w14:paraId="46B4CFB5">
            <w:pPr>
              <w:pStyle w:val="63"/>
              <w:snapToGrid/>
              <w:ind w:left="-80" w:right="-69"/>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w:t>
            </w:r>
          </w:p>
        </w:tc>
        <w:tc>
          <w:tcPr>
            <w:tcW w:w="795" w:type="pct"/>
            <w:vAlign w:val="center"/>
          </w:tcPr>
          <w:p w14:paraId="21911CC9">
            <w:pPr>
              <w:jc w:val="center"/>
              <w:rPr>
                <w:bCs/>
                <w:color w:val="000000" w:themeColor="text1"/>
                <w:sz w:val="18"/>
                <w:szCs w:val="18"/>
                <w14:textFill>
                  <w14:solidFill>
                    <w14:schemeClr w14:val="tx1"/>
                  </w14:solidFill>
                </w14:textFill>
              </w:rPr>
            </w:pPr>
          </w:p>
        </w:tc>
        <w:tc>
          <w:tcPr>
            <w:tcW w:w="844" w:type="pct"/>
            <w:vAlign w:val="center"/>
          </w:tcPr>
          <w:p w14:paraId="570A102D">
            <w:pPr>
              <w:jc w:val="center"/>
              <w:rPr>
                <w:bCs/>
                <w:color w:val="000000" w:themeColor="text1"/>
                <w:sz w:val="18"/>
                <w:szCs w:val="18"/>
                <w14:textFill>
                  <w14:solidFill>
                    <w14:schemeClr w14:val="tx1"/>
                  </w14:solidFill>
                </w14:textFill>
              </w:rPr>
            </w:pPr>
          </w:p>
        </w:tc>
        <w:tc>
          <w:tcPr>
            <w:tcW w:w="675" w:type="pct"/>
            <w:vAlign w:val="center"/>
          </w:tcPr>
          <w:p w14:paraId="381B814A">
            <w:pPr>
              <w:jc w:val="center"/>
              <w:rPr>
                <w:bCs/>
                <w:color w:val="000000" w:themeColor="text1"/>
                <w:sz w:val="18"/>
                <w:szCs w:val="18"/>
                <w14:textFill>
                  <w14:solidFill>
                    <w14:schemeClr w14:val="tx1"/>
                  </w14:solidFill>
                </w14:textFill>
              </w:rPr>
            </w:pPr>
          </w:p>
        </w:tc>
        <w:tc>
          <w:tcPr>
            <w:tcW w:w="608" w:type="pct"/>
            <w:vAlign w:val="center"/>
          </w:tcPr>
          <w:p w14:paraId="123BBFCA">
            <w:pPr>
              <w:jc w:val="center"/>
              <w:rPr>
                <w:bCs/>
                <w:color w:val="000000" w:themeColor="text1"/>
                <w:sz w:val="18"/>
                <w:szCs w:val="18"/>
                <w14:textFill>
                  <w14:solidFill>
                    <w14:schemeClr w14:val="tx1"/>
                  </w14:solidFill>
                </w14:textFill>
              </w:rPr>
            </w:pPr>
          </w:p>
        </w:tc>
        <w:tc>
          <w:tcPr>
            <w:tcW w:w="772" w:type="pct"/>
            <w:vAlign w:val="center"/>
          </w:tcPr>
          <w:p w14:paraId="19395BF0">
            <w:pPr>
              <w:jc w:val="center"/>
              <w:rPr>
                <w:bCs/>
                <w:color w:val="000000" w:themeColor="text1"/>
                <w:sz w:val="18"/>
                <w:szCs w:val="18"/>
                <w14:textFill>
                  <w14:solidFill>
                    <w14:schemeClr w14:val="tx1"/>
                  </w14:solidFill>
                </w14:textFill>
              </w:rPr>
            </w:pPr>
          </w:p>
        </w:tc>
        <w:tc>
          <w:tcPr>
            <w:tcW w:w="815" w:type="pct"/>
            <w:vAlign w:val="center"/>
          </w:tcPr>
          <w:p w14:paraId="4888B877">
            <w:pPr>
              <w:jc w:val="center"/>
              <w:rPr>
                <w:bCs/>
                <w:color w:val="000000" w:themeColor="text1"/>
                <w:sz w:val="18"/>
                <w:szCs w:val="18"/>
                <w14:textFill>
                  <w14:solidFill>
                    <w14:schemeClr w14:val="tx1"/>
                  </w14:solidFill>
                </w14:textFill>
              </w:rPr>
            </w:pPr>
          </w:p>
        </w:tc>
      </w:tr>
    </w:tbl>
    <w:p w14:paraId="2DB0371A"/>
    <w:p w14:paraId="5C3EA8AD">
      <w:pPr>
        <w:pStyle w:val="153"/>
        <w:spacing w:before="156" w:after="156"/>
        <w:rPr>
          <w:rFonts w:hint="eastAsia"/>
        </w:rPr>
      </w:pPr>
      <w:r>
        <w:t>5.</w:t>
      </w:r>
      <w:r>
        <w:rPr>
          <w:rFonts w:hint="eastAsia"/>
          <w:lang w:val="en-US"/>
        </w:rPr>
        <w:t>3</w:t>
      </w:r>
      <w:r>
        <w:t>.9</w:t>
      </w:r>
      <w:r>
        <w:rPr>
          <w:rFonts w:hint="eastAsia"/>
        </w:rPr>
        <w:t xml:space="preserve"> 与架空输电线路并行交叉</w:t>
      </w:r>
    </w:p>
    <w:p w14:paraId="6AD9D295">
      <w:pPr>
        <w:pStyle w:val="35"/>
        <w:spacing w:after="0" w:line="240" w:lineRule="auto"/>
        <w:ind w:firstLine="424" w:firstLineChars="202"/>
        <w:rPr>
          <w:rFonts w:ascii="Times New Roman" w:hAnsi="Times New Roman"/>
          <w:color w:val="auto"/>
          <w:kern w:val="0"/>
          <w:szCs w:val="20"/>
        </w:rPr>
      </w:pPr>
      <w:r>
        <w:rPr>
          <w:rFonts w:hint="eastAsia" w:ascii="Times New Roman" w:hAnsi="Times New Roman"/>
          <w:color w:val="auto"/>
          <w:kern w:val="0"/>
          <w:szCs w:val="20"/>
        </w:rPr>
        <w:t>说明建设项目与</w:t>
      </w:r>
      <w:r>
        <w:rPr>
          <w:rFonts w:ascii="Times New Roman" w:hAnsi="Times New Roman"/>
          <w:color w:val="auto"/>
          <w:kern w:val="0"/>
          <w:szCs w:val="20"/>
        </w:rPr>
        <w:t>35kV</w:t>
      </w:r>
      <w:r>
        <w:rPr>
          <w:rFonts w:hint="eastAsia" w:ascii="Times New Roman" w:hAnsi="Times New Roman"/>
          <w:color w:val="auto"/>
          <w:kern w:val="0"/>
          <w:szCs w:val="20"/>
        </w:rPr>
        <w:t>及以上架空输电线路并行、交叉情况，</w:t>
      </w:r>
      <w:r>
        <w:rPr>
          <w:rFonts w:hint="eastAsia" w:ascii="Times New Roman" w:hAnsi="Times New Roman"/>
        </w:rPr>
        <w:t>列出</w:t>
      </w:r>
      <w:r>
        <w:t>与架空输电线路并行段统计表</w:t>
      </w:r>
      <w:r>
        <w:rPr>
          <w:rFonts w:hint="eastAsia"/>
        </w:rPr>
        <w:t>和</w:t>
      </w:r>
      <w:r>
        <w:t>与架空输电线路交叉段统计表</w:t>
      </w:r>
      <w:r>
        <w:rPr>
          <w:rFonts w:hint="eastAsia" w:ascii="Times New Roman" w:hAnsi="Times New Roman"/>
          <w:color w:val="auto"/>
          <w:kern w:val="0"/>
          <w:szCs w:val="20"/>
        </w:rPr>
        <w:t>（见表</w:t>
      </w:r>
      <w:r>
        <w:rPr>
          <w:rFonts w:ascii="Times New Roman" w:hAnsi="Times New Roman"/>
          <w:color w:val="auto"/>
          <w:kern w:val="0"/>
          <w:szCs w:val="20"/>
        </w:rPr>
        <w:t>21</w:t>
      </w:r>
      <w:r>
        <w:rPr>
          <w:rFonts w:hint="eastAsia" w:ascii="Times New Roman" w:hAnsi="Times New Roman"/>
          <w:color w:val="auto"/>
          <w:kern w:val="0"/>
          <w:szCs w:val="20"/>
        </w:rPr>
        <w:t>和表</w:t>
      </w:r>
      <w:r>
        <w:rPr>
          <w:rFonts w:ascii="Times New Roman" w:hAnsi="Times New Roman"/>
          <w:color w:val="auto"/>
          <w:kern w:val="0"/>
          <w:szCs w:val="20"/>
        </w:rPr>
        <w:t>22</w:t>
      </w:r>
      <w:r>
        <w:rPr>
          <w:rFonts w:hint="eastAsia" w:ascii="Times New Roman" w:hAnsi="Times New Roman"/>
          <w:color w:val="auto"/>
          <w:kern w:val="0"/>
          <w:szCs w:val="20"/>
        </w:rPr>
        <w:t>），说明管道与高压直流输电线路换流站接地极址的间隔距离。</w:t>
      </w:r>
    </w:p>
    <w:p w14:paraId="417080E2">
      <w:pPr>
        <w:pStyle w:val="35"/>
        <w:spacing w:after="0" w:line="240" w:lineRule="auto"/>
        <w:ind w:firstLine="424" w:firstLineChars="202"/>
        <w:rPr>
          <w:rFonts w:ascii="Times New Roman" w:hAnsi="Times New Roman"/>
          <w:color w:val="auto"/>
          <w:kern w:val="0"/>
          <w:szCs w:val="20"/>
        </w:rPr>
      </w:pPr>
    </w:p>
    <w:p w14:paraId="140D4787">
      <w:pPr>
        <w:pStyle w:val="5"/>
        <w:rPr>
          <w:rFonts w:hint="eastAsia"/>
        </w:rPr>
      </w:pPr>
      <w:r>
        <w:t>表</w:t>
      </w:r>
      <w:r>
        <w:rPr>
          <w:rFonts w:ascii="Times New Roman" w:hAnsi="Times New Roman"/>
        </w:rPr>
        <w:t>21</w:t>
      </w:r>
      <w:r>
        <w:t xml:space="preserve"> 与架空输电线路并行</w:t>
      </w:r>
      <w:r>
        <w:rPr>
          <w:rFonts w:hint="eastAsia"/>
        </w:rPr>
        <w:t>段统计表</w:t>
      </w:r>
    </w:p>
    <w:tbl>
      <w:tblPr>
        <w:tblStyle w:val="3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230"/>
        <w:gridCol w:w="2280"/>
        <w:gridCol w:w="2268"/>
        <w:gridCol w:w="1407"/>
        <w:gridCol w:w="1068"/>
        <w:gridCol w:w="1317"/>
      </w:tblGrid>
      <w:tr w14:paraId="1ED200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7" w:hRule="atLeast"/>
          <w:tblHeader/>
          <w:jc w:val="center"/>
        </w:trPr>
        <w:tc>
          <w:tcPr>
            <w:tcW w:w="643" w:type="pct"/>
            <w:vAlign w:val="center"/>
          </w:tcPr>
          <w:p w14:paraId="5C7DCF52">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序号</w:t>
            </w:r>
          </w:p>
        </w:tc>
        <w:tc>
          <w:tcPr>
            <w:tcW w:w="2376" w:type="pct"/>
            <w:gridSpan w:val="2"/>
            <w:vAlign w:val="center"/>
          </w:tcPr>
          <w:p w14:paraId="61876F5A">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电压等级及线路名称</w:t>
            </w:r>
          </w:p>
        </w:tc>
        <w:tc>
          <w:tcPr>
            <w:tcW w:w="735" w:type="pct"/>
            <w:vAlign w:val="center"/>
          </w:tcPr>
          <w:p w14:paraId="23C7C57C">
            <w:pPr>
              <w:jc w:val="center"/>
              <w:rPr>
                <w:color w:val="000000" w:themeColor="text1"/>
                <w:sz w:val="18"/>
                <w:szCs w:val="18"/>
                <w14:textFill>
                  <w14:solidFill>
                    <w14:schemeClr w14:val="tx1"/>
                  </w14:solidFill>
                </w14:textFill>
              </w:rPr>
            </w:pPr>
            <w:r>
              <w:rPr>
                <w:rFonts w:eastAsiaTheme="minorEastAsia"/>
                <w:sz w:val="18"/>
                <w:szCs w:val="18"/>
              </w:rPr>
              <w:t>省（区、市）</w:t>
            </w:r>
            <w:r>
              <w:rPr>
                <w:rFonts w:hint="eastAsia" w:eastAsiaTheme="minorEastAsia"/>
                <w:sz w:val="18"/>
                <w:szCs w:val="18"/>
              </w:rPr>
              <w:t>、</w:t>
            </w:r>
            <w:r>
              <w:rPr>
                <w:rFonts w:hint="eastAsia"/>
                <w:color w:val="000000" w:themeColor="text1"/>
                <w:sz w:val="18"/>
                <w:szCs w:val="18"/>
                <w14:textFill>
                  <w14:solidFill>
                    <w14:schemeClr w14:val="tx1"/>
                  </w14:solidFill>
                </w14:textFill>
              </w:rPr>
              <w:t>市（设区）、县</w:t>
            </w:r>
          </w:p>
        </w:tc>
        <w:tc>
          <w:tcPr>
            <w:tcW w:w="558" w:type="pct"/>
            <w:vAlign w:val="center"/>
          </w:tcPr>
          <w:p w14:paraId="41EFEE34">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并行间距</w:t>
            </w:r>
          </w:p>
          <w:p w14:paraId="2C9217A9">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m</w:t>
            </w:r>
          </w:p>
        </w:tc>
        <w:tc>
          <w:tcPr>
            <w:tcW w:w="688" w:type="pct"/>
            <w:vAlign w:val="center"/>
          </w:tcPr>
          <w:p w14:paraId="7BA26EE8">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并行长度</w:t>
            </w:r>
          </w:p>
          <w:p w14:paraId="2185A32F">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km</w:t>
            </w:r>
          </w:p>
        </w:tc>
      </w:tr>
      <w:tr w14:paraId="10F212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643" w:type="pct"/>
            <w:vAlign w:val="center"/>
          </w:tcPr>
          <w:p w14:paraId="797AE03C">
            <w:pPr>
              <w:pStyle w:val="63"/>
              <w:snapToGrid/>
              <w:ind w:left="-80" w:right="-69"/>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1191" w:type="pct"/>
            <w:vMerge w:val="restart"/>
            <w:vAlign w:val="center"/>
          </w:tcPr>
          <w:p w14:paraId="79F950F5">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直流</w:t>
            </w:r>
            <w:r>
              <w:rPr>
                <w:rFonts w:hint="eastAsia"/>
                <w:bCs/>
                <w:color w:val="000000" w:themeColor="text1"/>
                <w:sz w:val="18"/>
                <w:szCs w:val="18"/>
                <w14:textFill>
                  <w14:solidFill>
                    <w14:schemeClr w14:val="tx1"/>
                  </w14:solidFill>
                </w14:textFill>
              </w:rPr>
              <w:t>架空输电线路</w:t>
            </w:r>
          </w:p>
        </w:tc>
        <w:tc>
          <w:tcPr>
            <w:tcW w:w="1185" w:type="pct"/>
            <w:vAlign w:val="center"/>
          </w:tcPr>
          <w:p w14:paraId="6CA3CE3F">
            <w:pPr>
              <w:jc w:val="center"/>
              <w:rPr>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±xxkV xx</w:t>
            </w:r>
            <w:r>
              <w:rPr>
                <w:rFonts w:hint="eastAsia"/>
                <w:bCs/>
                <w:color w:val="000000" w:themeColor="text1"/>
                <w:sz w:val="18"/>
                <w:szCs w:val="18"/>
                <w14:textFill>
                  <w14:solidFill>
                    <w14:schemeClr w14:val="tx1"/>
                  </w14:solidFill>
                </w14:textFill>
              </w:rPr>
              <w:t>线路</w:t>
            </w:r>
          </w:p>
        </w:tc>
        <w:tc>
          <w:tcPr>
            <w:tcW w:w="735" w:type="pct"/>
            <w:vAlign w:val="center"/>
          </w:tcPr>
          <w:p w14:paraId="632C41D8">
            <w:pPr>
              <w:jc w:val="center"/>
              <w:rPr>
                <w:color w:val="000000" w:themeColor="text1"/>
                <w:sz w:val="18"/>
                <w:szCs w:val="18"/>
                <w14:textFill>
                  <w14:solidFill>
                    <w14:schemeClr w14:val="tx1"/>
                  </w14:solidFill>
                </w14:textFill>
              </w:rPr>
            </w:pPr>
          </w:p>
        </w:tc>
        <w:tc>
          <w:tcPr>
            <w:tcW w:w="558" w:type="pct"/>
            <w:vAlign w:val="center"/>
          </w:tcPr>
          <w:p w14:paraId="33E6D828">
            <w:pPr>
              <w:jc w:val="center"/>
              <w:rPr>
                <w:color w:val="000000" w:themeColor="text1"/>
                <w:sz w:val="18"/>
                <w:szCs w:val="18"/>
                <w14:textFill>
                  <w14:solidFill>
                    <w14:schemeClr w14:val="tx1"/>
                  </w14:solidFill>
                </w14:textFill>
              </w:rPr>
            </w:pPr>
          </w:p>
        </w:tc>
        <w:tc>
          <w:tcPr>
            <w:tcW w:w="688" w:type="pct"/>
            <w:vAlign w:val="center"/>
          </w:tcPr>
          <w:p w14:paraId="39FF4475">
            <w:pPr>
              <w:jc w:val="center"/>
              <w:rPr>
                <w:color w:val="000000" w:themeColor="text1"/>
                <w:sz w:val="18"/>
                <w:szCs w:val="18"/>
                <w14:textFill>
                  <w14:solidFill>
                    <w14:schemeClr w14:val="tx1"/>
                  </w14:solidFill>
                </w14:textFill>
              </w:rPr>
            </w:pPr>
          </w:p>
        </w:tc>
      </w:tr>
      <w:tr w14:paraId="23C0BE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643" w:type="pct"/>
            <w:vAlign w:val="center"/>
          </w:tcPr>
          <w:p w14:paraId="31C605D9">
            <w:pPr>
              <w:pStyle w:val="63"/>
              <w:snapToGrid/>
              <w:ind w:left="-80" w:right="-69"/>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p>
        </w:tc>
        <w:tc>
          <w:tcPr>
            <w:tcW w:w="1191" w:type="pct"/>
            <w:vMerge w:val="continue"/>
            <w:vAlign w:val="center"/>
          </w:tcPr>
          <w:p w14:paraId="14DB3538">
            <w:pPr>
              <w:jc w:val="center"/>
              <w:rPr>
                <w:color w:val="000000" w:themeColor="text1"/>
                <w:sz w:val="18"/>
                <w:szCs w:val="18"/>
                <w14:textFill>
                  <w14:solidFill>
                    <w14:schemeClr w14:val="tx1"/>
                  </w14:solidFill>
                </w14:textFill>
              </w:rPr>
            </w:pPr>
          </w:p>
        </w:tc>
        <w:tc>
          <w:tcPr>
            <w:tcW w:w="1185" w:type="pct"/>
            <w:vAlign w:val="center"/>
          </w:tcPr>
          <w:p w14:paraId="38956196">
            <w:pPr>
              <w:jc w:val="center"/>
              <w:rPr>
                <w:bCs/>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w:t>
            </w:r>
          </w:p>
        </w:tc>
        <w:tc>
          <w:tcPr>
            <w:tcW w:w="735" w:type="pct"/>
            <w:vAlign w:val="center"/>
          </w:tcPr>
          <w:p w14:paraId="55CD92D4">
            <w:pPr>
              <w:jc w:val="center"/>
              <w:rPr>
                <w:color w:val="000000" w:themeColor="text1"/>
                <w:sz w:val="18"/>
                <w:szCs w:val="18"/>
                <w14:textFill>
                  <w14:solidFill>
                    <w14:schemeClr w14:val="tx1"/>
                  </w14:solidFill>
                </w14:textFill>
              </w:rPr>
            </w:pPr>
          </w:p>
        </w:tc>
        <w:tc>
          <w:tcPr>
            <w:tcW w:w="558" w:type="pct"/>
            <w:vAlign w:val="center"/>
          </w:tcPr>
          <w:p w14:paraId="4A86B8F7">
            <w:pPr>
              <w:rPr>
                <w:color w:val="000000" w:themeColor="text1"/>
                <w:sz w:val="18"/>
                <w:szCs w:val="18"/>
                <w14:textFill>
                  <w14:solidFill>
                    <w14:schemeClr w14:val="tx1"/>
                  </w14:solidFill>
                </w14:textFill>
              </w:rPr>
            </w:pPr>
          </w:p>
        </w:tc>
        <w:tc>
          <w:tcPr>
            <w:tcW w:w="688" w:type="pct"/>
            <w:vAlign w:val="center"/>
          </w:tcPr>
          <w:p w14:paraId="2D72AF6D">
            <w:pPr>
              <w:jc w:val="center"/>
              <w:rPr>
                <w:color w:val="000000" w:themeColor="text1"/>
                <w:sz w:val="18"/>
                <w:szCs w:val="18"/>
                <w14:textFill>
                  <w14:solidFill>
                    <w14:schemeClr w14:val="tx1"/>
                  </w14:solidFill>
                </w14:textFill>
              </w:rPr>
            </w:pPr>
          </w:p>
        </w:tc>
      </w:tr>
      <w:tr w14:paraId="4C6569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643" w:type="pct"/>
            <w:vAlign w:val="center"/>
          </w:tcPr>
          <w:p w14:paraId="3451FB79">
            <w:pPr>
              <w:pStyle w:val="63"/>
              <w:snapToGrid/>
              <w:ind w:left="-80" w:right="-69"/>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w:t>
            </w:r>
          </w:p>
        </w:tc>
        <w:tc>
          <w:tcPr>
            <w:tcW w:w="1191" w:type="pct"/>
            <w:vMerge w:val="restart"/>
            <w:vAlign w:val="center"/>
          </w:tcPr>
          <w:p w14:paraId="482926D3">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电气化</w:t>
            </w:r>
            <w:r>
              <w:rPr>
                <w:rFonts w:hint="eastAsia"/>
                <w:bCs/>
                <w:color w:val="000000" w:themeColor="text1"/>
                <w:sz w:val="18"/>
                <w:szCs w:val="18"/>
                <w14:textFill>
                  <w14:solidFill>
                    <w14:schemeClr w14:val="tx1"/>
                  </w14:solidFill>
                </w14:textFill>
              </w:rPr>
              <w:t>铁路</w:t>
            </w:r>
            <w:r>
              <w:rPr>
                <w:rFonts w:hint="eastAsia"/>
                <w:color w:val="000000" w:themeColor="text1"/>
                <w:sz w:val="18"/>
                <w:szCs w:val="18"/>
                <w14:textFill>
                  <w14:solidFill>
                    <w14:schemeClr w14:val="tx1"/>
                  </w14:solidFill>
                </w14:textFill>
              </w:rPr>
              <w:t>线路</w:t>
            </w:r>
          </w:p>
        </w:tc>
        <w:tc>
          <w:tcPr>
            <w:tcW w:w="1185" w:type="pct"/>
            <w:vAlign w:val="center"/>
          </w:tcPr>
          <w:p w14:paraId="6DC34CA2">
            <w:pPr>
              <w:jc w:val="center"/>
              <w:rPr>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xxkV xx</w:t>
            </w:r>
            <w:r>
              <w:rPr>
                <w:rFonts w:hint="eastAsia"/>
                <w:bCs/>
                <w:color w:val="000000" w:themeColor="text1"/>
                <w:sz w:val="18"/>
                <w:szCs w:val="18"/>
                <w14:textFill>
                  <w14:solidFill>
                    <w14:schemeClr w14:val="tx1"/>
                  </w14:solidFill>
                </w14:textFill>
              </w:rPr>
              <w:t>线路</w:t>
            </w:r>
          </w:p>
        </w:tc>
        <w:tc>
          <w:tcPr>
            <w:tcW w:w="735" w:type="pct"/>
            <w:vAlign w:val="center"/>
          </w:tcPr>
          <w:p w14:paraId="785FD6D6">
            <w:pPr>
              <w:jc w:val="center"/>
              <w:rPr>
                <w:color w:val="000000" w:themeColor="text1"/>
                <w:sz w:val="18"/>
                <w:szCs w:val="18"/>
                <w14:textFill>
                  <w14:solidFill>
                    <w14:schemeClr w14:val="tx1"/>
                  </w14:solidFill>
                </w14:textFill>
              </w:rPr>
            </w:pPr>
          </w:p>
        </w:tc>
        <w:tc>
          <w:tcPr>
            <w:tcW w:w="558" w:type="pct"/>
            <w:vAlign w:val="center"/>
          </w:tcPr>
          <w:p w14:paraId="0FC1D6D7">
            <w:pPr>
              <w:jc w:val="center"/>
              <w:rPr>
                <w:color w:val="000000" w:themeColor="text1"/>
                <w:sz w:val="18"/>
                <w:szCs w:val="18"/>
                <w14:textFill>
                  <w14:solidFill>
                    <w14:schemeClr w14:val="tx1"/>
                  </w14:solidFill>
                </w14:textFill>
              </w:rPr>
            </w:pPr>
          </w:p>
        </w:tc>
        <w:tc>
          <w:tcPr>
            <w:tcW w:w="688" w:type="pct"/>
            <w:vAlign w:val="center"/>
          </w:tcPr>
          <w:p w14:paraId="1A5BBCC4">
            <w:pPr>
              <w:jc w:val="center"/>
              <w:rPr>
                <w:color w:val="000000" w:themeColor="text1"/>
                <w:sz w:val="18"/>
                <w:szCs w:val="18"/>
                <w14:textFill>
                  <w14:solidFill>
                    <w14:schemeClr w14:val="tx1"/>
                  </w14:solidFill>
                </w14:textFill>
              </w:rPr>
            </w:pPr>
          </w:p>
        </w:tc>
      </w:tr>
      <w:tr w14:paraId="3578EF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643" w:type="pct"/>
            <w:vAlign w:val="center"/>
          </w:tcPr>
          <w:p w14:paraId="699497DF">
            <w:pPr>
              <w:pStyle w:val="63"/>
              <w:snapToGrid/>
              <w:ind w:left="-80" w:right="-69"/>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w:t>
            </w:r>
          </w:p>
        </w:tc>
        <w:tc>
          <w:tcPr>
            <w:tcW w:w="1191" w:type="pct"/>
            <w:vMerge w:val="continue"/>
            <w:vAlign w:val="center"/>
          </w:tcPr>
          <w:p w14:paraId="0493276C">
            <w:pPr>
              <w:jc w:val="center"/>
              <w:rPr>
                <w:color w:val="000000" w:themeColor="text1"/>
                <w:sz w:val="18"/>
                <w:szCs w:val="18"/>
                <w14:textFill>
                  <w14:solidFill>
                    <w14:schemeClr w14:val="tx1"/>
                  </w14:solidFill>
                </w14:textFill>
              </w:rPr>
            </w:pPr>
          </w:p>
        </w:tc>
        <w:tc>
          <w:tcPr>
            <w:tcW w:w="1185" w:type="pct"/>
            <w:vAlign w:val="center"/>
          </w:tcPr>
          <w:p w14:paraId="1C5C12CF">
            <w:pPr>
              <w:jc w:val="center"/>
              <w:rPr>
                <w:bCs/>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w:t>
            </w:r>
          </w:p>
        </w:tc>
        <w:tc>
          <w:tcPr>
            <w:tcW w:w="735" w:type="pct"/>
            <w:vAlign w:val="center"/>
          </w:tcPr>
          <w:p w14:paraId="134A47FF">
            <w:pPr>
              <w:jc w:val="center"/>
              <w:rPr>
                <w:color w:val="000000" w:themeColor="text1"/>
                <w:sz w:val="18"/>
                <w:szCs w:val="18"/>
                <w14:textFill>
                  <w14:solidFill>
                    <w14:schemeClr w14:val="tx1"/>
                  </w14:solidFill>
                </w14:textFill>
              </w:rPr>
            </w:pPr>
          </w:p>
        </w:tc>
        <w:tc>
          <w:tcPr>
            <w:tcW w:w="558" w:type="pct"/>
            <w:vAlign w:val="center"/>
          </w:tcPr>
          <w:p w14:paraId="23B8CF57">
            <w:pPr>
              <w:jc w:val="center"/>
              <w:rPr>
                <w:color w:val="000000" w:themeColor="text1"/>
                <w:sz w:val="18"/>
                <w:szCs w:val="18"/>
                <w14:textFill>
                  <w14:solidFill>
                    <w14:schemeClr w14:val="tx1"/>
                  </w14:solidFill>
                </w14:textFill>
              </w:rPr>
            </w:pPr>
          </w:p>
        </w:tc>
        <w:tc>
          <w:tcPr>
            <w:tcW w:w="688" w:type="pct"/>
            <w:vAlign w:val="center"/>
          </w:tcPr>
          <w:p w14:paraId="03F6FDF2">
            <w:pPr>
              <w:jc w:val="center"/>
              <w:rPr>
                <w:color w:val="000000" w:themeColor="text1"/>
                <w:sz w:val="18"/>
                <w:szCs w:val="18"/>
                <w14:textFill>
                  <w14:solidFill>
                    <w14:schemeClr w14:val="tx1"/>
                  </w14:solidFill>
                </w14:textFill>
              </w:rPr>
            </w:pPr>
          </w:p>
        </w:tc>
      </w:tr>
      <w:tr w14:paraId="6AF961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643" w:type="pct"/>
            <w:vAlign w:val="center"/>
          </w:tcPr>
          <w:p w14:paraId="7B841422">
            <w:pPr>
              <w:pStyle w:val="63"/>
              <w:snapToGrid/>
              <w:ind w:left="-80" w:right="-69"/>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w:t>
            </w:r>
          </w:p>
        </w:tc>
        <w:tc>
          <w:tcPr>
            <w:tcW w:w="1191" w:type="pct"/>
            <w:vMerge w:val="restart"/>
            <w:vAlign w:val="center"/>
          </w:tcPr>
          <w:p w14:paraId="15054986">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交流</w:t>
            </w:r>
            <w:r>
              <w:rPr>
                <w:rFonts w:hint="eastAsia"/>
                <w:bCs/>
                <w:color w:val="000000" w:themeColor="text1"/>
                <w:sz w:val="18"/>
                <w:szCs w:val="18"/>
                <w14:textFill>
                  <w14:solidFill>
                    <w14:schemeClr w14:val="tx1"/>
                  </w14:solidFill>
                </w14:textFill>
              </w:rPr>
              <w:t>架空输电线路</w:t>
            </w:r>
          </w:p>
        </w:tc>
        <w:tc>
          <w:tcPr>
            <w:tcW w:w="1185" w:type="pct"/>
            <w:vAlign w:val="center"/>
          </w:tcPr>
          <w:p w14:paraId="06E2662F">
            <w:pPr>
              <w:jc w:val="center"/>
              <w:rPr>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xxkV xx</w:t>
            </w:r>
            <w:r>
              <w:rPr>
                <w:rFonts w:hint="eastAsia"/>
                <w:bCs/>
                <w:color w:val="000000" w:themeColor="text1"/>
                <w:sz w:val="18"/>
                <w:szCs w:val="18"/>
                <w14:textFill>
                  <w14:solidFill>
                    <w14:schemeClr w14:val="tx1"/>
                  </w14:solidFill>
                </w14:textFill>
              </w:rPr>
              <w:t>线路</w:t>
            </w:r>
            <w:r>
              <w:rPr>
                <w:bCs/>
                <w:color w:val="000000" w:themeColor="text1"/>
                <w:sz w:val="18"/>
                <w:szCs w:val="18"/>
                <w14:textFill>
                  <w14:solidFill>
                    <w14:schemeClr w14:val="tx1"/>
                  </w14:solidFill>
                </w14:textFill>
              </w:rPr>
              <w:t>（</w:t>
            </w:r>
            <w:r>
              <w:rPr>
                <w:rFonts w:hint="eastAsia"/>
                <w:bCs/>
                <w:color w:val="000000" w:themeColor="text1"/>
                <w:sz w:val="18"/>
                <w:szCs w:val="18"/>
                <w14:textFill>
                  <w14:solidFill>
                    <w14:schemeClr w14:val="tx1"/>
                  </w14:solidFill>
                </w14:textFill>
              </w:rPr>
              <w:t>铁路</w:t>
            </w:r>
            <w:r>
              <w:rPr>
                <w:bCs/>
                <w:color w:val="000000" w:themeColor="text1"/>
                <w:sz w:val="18"/>
                <w:szCs w:val="18"/>
                <w14:textFill>
                  <w14:solidFill>
                    <w14:schemeClr w14:val="tx1"/>
                  </w14:solidFill>
                </w14:textFill>
              </w:rPr>
              <w:t>）</w:t>
            </w:r>
          </w:p>
        </w:tc>
        <w:tc>
          <w:tcPr>
            <w:tcW w:w="735" w:type="pct"/>
            <w:vAlign w:val="center"/>
          </w:tcPr>
          <w:p w14:paraId="3676DE02">
            <w:pPr>
              <w:jc w:val="center"/>
              <w:rPr>
                <w:color w:val="000000" w:themeColor="text1"/>
                <w:sz w:val="18"/>
                <w:szCs w:val="18"/>
                <w14:textFill>
                  <w14:solidFill>
                    <w14:schemeClr w14:val="tx1"/>
                  </w14:solidFill>
                </w14:textFill>
              </w:rPr>
            </w:pPr>
          </w:p>
        </w:tc>
        <w:tc>
          <w:tcPr>
            <w:tcW w:w="558" w:type="pct"/>
            <w:vAlign w:val="center"/>
          </w:tcPr>
          <w:p w14:paraId="092FD0C4">
            <w:pPr>
              <w:jc w:val="center"/>
              <w:rPr>
                <w:color w:val="000000" w:themeColor="text1"/>
                <w:sz w:val="18"/>
                <w:szCs w:val="18"/>
                <w14:textFill>
                  <w14:solidFill>
                    <w14:schemeClr w14:val="tx1"/>
                  </w14:solidFill>
                </w14:textFill>
              </w:rPr>
            </w:pPr>
          </w:p>
        </w:tc>
        <w:tc>
          <w:tcPr>
            <w:tcW w:w="688" w:type="pct"/>
            <w:vAlign w:val="center"/>
          </w:tcPr>
          <w:p w14:paraId="0A68A11C">
            <w:pPr>
              <w:jc w:val="center"/>
              <w:rPr>
                <w:color w:val="000000" w:themeColor="text1"/>
                <w:sz w:val="18"/>
                <w:szCs w:val="18"/>
                <w14:textFill>
                  <w14:solidFill>
                    <w14:schemeClr w14:val="tx1"/>
                  </w14:solidFill>
                </w14:textFill>
              </w:rPr>
            </w:pPr>
          </w:p>
        </w:tc>
      </w:tr>
      <w:tr w14:paraId="6A9BE1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643" w:type="pct"/>
            <w:vAlign w:val="center"/>
          </w:tcPr>
          <w:p w14:paraId="7C220DC9">
            <w:pPr>
              <w:pStyle w:val="63"/>
              <w:snapToGrid/>
              <w:ind w:left="-80" w:right="-69"/>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6</w:t>
            </w:r>
          </w:p>
        </w:tc>
        <w:tc>
          <w:tcPr>
            <w:tcW w:w="1191" w:type="pct"/>
            <w:vMerge w:val="continue"/>
            <w:vAlign w:val="center"/>
          </w:tcPr>
          <w:p w14:paraId="4177C4BE">
            <w:pPr>
              <w:jc w:val="center"/>
              <w:rPr>
                <w:color w:val="000000" w:themeColor="text1"/>
                <w:sz w:val="18"/>
                <w:szCs w:val="18"/>
                <w14:textFill>
                  <w14:solidFill>
                    <w14:schemeClr w14:val="tx1"/>
                  </w14:solidFill>
                </w14:textFill>
              </w:rPr>
            </w:pPr>
          </w:p>
        </w:tc>
        <w:tc>
          <w:tcPr>
            <w:tcW w:w="1185" w:type="pct"/>
            <w:vAlign w:val="center"/>
          </w:tcPr>
          <w:p w14:paraId="2AC37615">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w:t>
            </w:r>
          </w:p>
        </w:tc>
        <w:tc>
          <w:tcPr>
            <w:tcW w:w="735" w:type="pct"/>
            <w:vAlign w:val="center"/>
          </w:tcPr>
          <w:p w14:paraId="2795BAEE">
            <w:pPr>
              <w:jc w:val="center"/>
              <w:rPr>
                <w:color w:val="000000" w:themeColor="text1"/>
                <w:sz w:val="18"/>
                <w:szCs w:val="18"/>
                <w14:textFill>
                  <w14:solidFill>
                    <w14:schemeClr w14:val="tx1"/>
                  </w14:solidFill>
                </w14:textFill>
              </w:rPr>
            </w:pPr>
          </w:p>
        </w:tc>
        <w:tc>
          <w:tcPr>
            <w:tcW w:w="558" w:type="pct"/>
            <w:vAlign w:val="center"/>
          </w:tcPr>
          <w:p w14:paraId="3630F1E3">
            <w:pPr>
              <w:jc w:val="center"/>
              <w:rPr>
                <w:color w:val="000000" w:themeColor="text1"/>
                <w:sz w:val="18"/>
                <w:szCs w:val="18"/>
                <w14:textFill>
                  <w14:solidFill>
                    <w14:schemeClr w14:val="tx1"/>
                  </w14:solidFill>
                </w14:textFill>
              </w:rPr>
            </w:pPr>
          </w:p>
        </w:tc>
        <w:tc>
          <w:tcPr>
            <w:tcW w:w="688" w:type="pct"/>
            <w:vAlign w:val="center"/>
          </w:tcPr>
          <w:p w14:paraId="0EBC5880">
            <w:pPr>
              <w:jc w:val="center"/>
              <w:rPr>
                <w:color w:val="000000" w:themeColor="text1"/>
                <w:sz w:val="18"/>
                <w:szCs w:val="18"/>
                <w14:textFill>
                  <w14:solidFill>
                    <w14:schemeClr w14:val="tx1"/>
                  </w14:solidFill>
                </w14:textFill>
              </w:rPr>
            </w:pPr>
          </w:p>
        </w:tc>
      </w:tr>
      <w:tr w14:paraId="10BD98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643" w:type="pct"/>
            <w:vAlign w:val="center"/>
          </w:tcPr>
          <w:p w14:paraId="7925908E">
            <w:pPr>
              <w:pStyle w:val="63"/>
              <w:snapToGrid/>
              <w:ind w:left="-80" w:right="-69"/>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w:t>
            </w:r>
          </w:p>
        </w:tc>
        <w:tc>
          <w:tcPr>
            <w:tcW w:w="1191" w:type="pct"/>
            <w:vAlign w:val="center"/>
          </w:tcPr>
          <w:p w14:paraId="3127A13B">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w:t>
            </w:r>
          </w:p>
        </w:tc>
        <w:tc>
          <w:tcPr>
            <w:tcW w:w="1185" w:type="pct"/>
            <w:vAlign w:val="center"/>
          </w:tcPr>
          <w:p w14:paraId="586121D5">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w:t>
            </w:r>
          </w:p>
        </w:tc>
        <w:tc>
          <w:tcPr>
            <w:tcW w:w="735" w:type="pct"/>
            <w:vAlign w:val="center"/>
          </w:tcPr>
          <w:p w14:paraId="215BDA92">
            <w:pPr>
              <w:jc w:val="center"/>
              <w:rPr>
                <w:color w:val="000000" w:themeColor="text1"/>
                <w:sz w:val="18"/>
                <w:szCs w:val="18"/>
                <w14:textFill>
                  <w14:solidFill>
                    <w14:schemeClr w14:val="tx1"/>
                  </w14:solidFill>
                </w14:textFill>
              </w:rPr>
            </w:pPr>
          </w:p>
        </w:tc>
        <w:tc>
          <w:tcPr>
            <w:tcW w:w="558" w:type="pct"/>
            <w:vAlign w:val="center"/>
          </w:tcPr>
          <w:p w14:paraId="5BDCE5FC">
            <w:pPr>
              <w:jc w:val="center"/>
              <w:rPr>
                <w:color w:val="000000" w:themeColor="text1"/>
                <w:sz w:val="18"/>
                <w:szCs w:val="18"/>
                <w14:textFill>
                  <w14:solidFill>
                    <w14:schemeClr w14:val="tx1"/>
                  </w14:solidFill>
                </w14:textFill>
              </w:rPr>
            </w:pPr>
          </w:p>
        </w:tc>
        <w:tc>
          <w:tcPr>
            <w:tcW w:w="688" w:type="pct"/>
            <w:vAlign w:val="center"/>
          </w:tcPr>
          <w:p w14:paraId="446FD14F">
            <w:pPr>
              <w:jc w:val="center"/>
              <w:rPr>
                <w:color w:val="000000" w:themeColor="text1"/>
                <w:sz w:val="18"/>
                <w:szCs w:val="18"/>
                <w14:textFill>
                  <w14:solidFill>
                    <w14:schemeClr w14:val="tx1"/>
                  </w14:solidFill>
                </w14:textFill>
              </w:rPr>
            </w:pPr>
          </w:p>
        </w:tc>
      </w:tr>
      <w:tr w14:paraId="464CEC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5000" w:type="pct"/>
            <w:gridSpan w:val="6"/>
            <w:vAlign w:val="center"/>
          </w:tcPr>
          <w:p w14:paraId="5493D157">
            <w:pPr>
              <w:adjustRightInd w:val="0"/>
              <w:ind w:firstLine="360" w:firstLineChars="200"/>
              <w:jc w:val="left"/>
              <w:rPr>
                <w:bCs/>
                <w:sz w:val="18"/>
                <w:szCs w:val="18"/>
              </w:rPr>
            </w:pPr>
            <w:r>
              <w:rPr>
                <w:bCs/>
                <w:sz w:val="18"/>
                <w:szCs w:val="18"/>
              </w:rPr>
              <w:t>注</w:t>
            </w:r>
            <w:r>
              <w:rPr>
                <w:rFonts w:hint="eastAsia"/>
                <w:bCs/>
                <w:sz w:val="18"/>
                <w:szCs w:val="18"/>
              </w:rPr>
              <w:t>1</w:t>
            </w:r>
            <w:r>
              <w:rPr>
                <w:bCs/>
                <w:sz w:val="18"/>
                <w:szCs w:val="18"/>
              </w:rPr>
              <w:t>：直流架空输电线路</w:t>
            </w:r>
            <w:r>
              <w:rPr>
                <w:rFonts w:hint="eastAsia"/>
                <w:bCs/>
                <w:sz w:val="18"/>
                <w:szCs w:val="18"/>
              </w:rPr>
              <w:t>，</w:t>
            </w:r>
            <w:r>
              <w:rPr>
                <w:bCs/>
                <w:sz w:val="18"/>
                <w:szCs w:val="18"/>
              </w:rPr>
              <w:t>±xxkV xx线路（如±800kV东胜Ⅰ线）；</w:t>
            </w:r>
          </w:p>
          <w:p w14:paraId="45D2D371">
            <w:pPr>
              <w:adjustRightInd w:val="0"/>
              <w:ind w:firstLine="360" w:firstLineChars="200"/>
              <w:jc w:val="left"/>
              <w:rPr>
                <w:bCs/>
                <w:sz w:val="18"/>
                <w:szCs w:val="18"/>
              </w:rPr>
            </w:pPr>
            <w:r>
              <w:rPr>
                <w:rFonts w:hint="eastAsia"/>
                <w:bCs/>
                <w:sz w:val="18"/>
                <w:szCs w:val="18"/>
              </w:rPr>
              <w:t>注2：</w:t>
            </w:r>
            <w:r>
              <w:rPr>
                <w:bCs/>
                <w:sz w:val="18"/>
                <w:szCs w:val="18"/>
              </w:rPr>
              <w:t>电气化铁路线路</w:t>
            </w:r>
            <w:r>
              <w:rPr>
                <w:rFonts w:hint="eastAsia"/>
                <w:bCs/>
                <w:sz w:val="18"/>
                <w:szCs w:val="18"/>
              </w:rPr>
              <w:t>，</w:t>
            </w:r>
            <w:r>
              <w:rPr>
                <w:bCs/>
                <w:sz w:val="18"/>
                <w:szCs w:val="18"/>
              </w:rPr>
              <w:t>xxkV xx线路(铁路)（如27.5kV京沪线（铁路））</w:t>
            </w:r>
            <w:r>
              <w:rPr>
                <w:rFonts w:hint="eastAsia"/>
                <w:bCs/>
                <w:sz w:val="18"/>
                <w:szCs w:val="18"/>
              </w:rPr>
              <w:t>；</w:t>
            </w:r>
          </w:p>
          <w:p w14:paraId="440671EA">
            <w:pPr>
              <w:spacing w:line="240" w:lineRule="auto"/>
              <w:ind w:firstLine="360" w:firstLineChars="200"/>
              <w:jc w:val="left"/>
              <w:rPr>
                <w:color w:val="000000" w:themeColor="text1"/>
                <w:sz w:val="18"/>
                <w:szCs w:val="18"/>
                <w14:textFill>
                  <w14:solidFill>
                    <w14:schemeClr w14:val="tx1"/>
                  </w14:solidFill>
                </w14:textFill>
              </w:rPr>
            </w:pPr>
            <w:r>
              <w:rPr>
                <w:rFonts w:hint="eastAsia"/>
                <w:bCs/>
                <w:sz w:val="18"/>
                <w:szCs w:val="18"/>
              </w:rPr>
              <w:t>注3：</w:t>
            </w:r>
            <w:r>
              <w:rPr>
                <w:bCs/>
                <w:sz w:val="18"/>
                <w:szCs w:val="18"/>
              </w:rPr>
              <w:t>交流架空输电线路</w:t>
            </w:r>
            <w:r>
              <w:rPr>
                <w:rFonts w:hint="eastAsia"/>
                <w:bCs/>
                <w:sz w:val="18"/>
                <w:szCs w:val="18"/>
              </w:rPr>
              <w:t>，</w:t>
            </w:r>
            <w:r>
              <w:rPr>
                <w:bCs/>
                <w:sz w:val="18"/>
                <w:szCs w:val="18"/>
              </w:rPr>
              <w:t>xxkV xx线路（如220kV东胜Ⅰ线）</w:t>
            </w:r>
            <w:r>
              <w:rPr>
                <w:rFonts w:hint="eastAsia"/>
                <w:bCs/>
                <w:sz w:val="18"/>
                <w:szCs w:val="18"/>
              </w:rPr>
              <w:t>。</w:t>
            </w:r>
          </w:p>
        </w:tc>
      </w:tr>
    </w:tbl>
    <w:p w14:paraId="1006E5F1">
      <w:pPr>
        <w:pStyle w:val="5"/>
        <w:rPr>
          <w:rFonts w:hint="eastAsia"/>
        </w:rPr>
      </w:pPr>
      <w:r>
        <w:t>表</w:t>
      </w:r>
      <w:r>
        <w:rPr>
          <w:rFonts w:ascii="Times New Roman" w:hAnsi="Times New Roman"/>
        </w:rPr>
        <w:t>22</w:t>
      </w:r>
      <w:r>
        <w:t xml:space="preserve"> 与架空输电线路交叉</w:t>
      </w:r>
      <w:r>
        <w:rPr>
          <w:rFonts w:hint="eastAsia"/>
        </w:rPr>
        <w:t>段统计表</w:t>
      </w:r>
    </w:p>
    <w:tbl>
      <w:tblPr>
        <w:tblStyle w:val="3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227"/>
        <w:gridCol w:w="2283"/>
        <w:gridCol w:w="2262"/>
        <w:gridCol w:w="1897"/>
        <w:gridCol w:w="1901"/>
      </w:tblGrid>
      <w:tr w14:paraId="3F285F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641" w:type="pct"/>
            <w:vAlign w:val="center"/>
          </w:tcPr>
          <w:p w14:paraId="73B00086">
            <w:pPr>
              <w:spacing w:line="240" w:lineRule="auto"/>
              <w:jc w:val="center"/>
              <w:rPr>
                <w:rFonts w:eastAsiaTheme="minorEastAsia"/>
                <w:color w:val="000000" w:themeColor="text1"/>
                <w:sz w:val="18"/>
                <w:szCs w:val="18"/>
                <w14:textFill>
                  <w14:solidFill>
                    <w14:schemeClr w14:val="tx1"/>
                  </w14:solidFill>
                </w14:textFill>
              </w:rPr>
            </w:pPr>
            <w:r>
              <w:rPr>
                <w:rFonts w:hint="eastAsia" w:eastAsiaTheme="minorEastAsia"/>
                <w:color w:val="000000" w:themeColor="text1"/>
                <w:sz w:val="18"/>
                <w:szCs w:val="18"/>
                <w14:textFill>
                  <w14:solidFill>
                    <w14:schemeClr w14:val="tx1"/>
                  </w14:solidFill>
                </w14:textFill>
              </w:rPr>
              <w:t>序号</w:t>
            </w:r>
          </w:p>
        </w:tc>
        <w:tc>
          <w:tcPr>
            <w:tcW w:w="2375" w:type="pct"/>
            <w:gridSpan w:val="2"/>
            <w:vAlign w:val="center"/>
          </w:tcPr>
          <w:p w14:paraId="42111ACD">
            <w:pPr>
              <w:spacing w:line="240" w:lineRule="auto"/>
              <w:jc w:val="center"/>
              <w:rPr>
                <w:rFonts w:eastAsiaTheme="minorEastAsia"/>
                <w:color w:val="000000" w:themeColor="text1"/>
                <w:sz w:val="18"/>
                <w:szCs w:val="18"/>
                <w14:textFill>
                  <w14:solidFill>
                    <w14:schemeClr w14:val="tx1"/>
                  </w14:solidFill>
                </w14:textFill>
              </w:rPr>
            </w:pPr>
            <w:r>
              <w:rPr>
                <w:rFonts w:hint="eastAsia" w:eastAsiaTheme="minorEastAsia"/>
                <w:color w:val="000000" w:themeColor="text1"/>
                <w:sz w:val="18"/>
                <w:szCs w:val="18"/>
                <w14:textFill>
                  <w14:solidFill>
                    <w14:schemeClr w14:val="tx1"/>
                  </w14:solidFill>
                </w14:textFill>
              </w:rPr>
              <w:t>电压等级及线路名称</w:t>
            </w:r>
          </w:p>
        </w:tc>
        <w:tc>
          <w:tcPr>
            <w:tcW w:w="991" w:type="pct"/>
            <w:vAlign w:val="center"/>
          </w:tcPr>
          <w:p w14:paraId="253E09B5">
            <w:pPr>
              <w:spacing w:line="240" w:lineRule="auto"/>
              <w:jc w:val="center"/>
              <w:rPr>
                <w:rFonts w:eastAsiaTheme="minorEastAsia"/>
                <w:color w:val="000000" w:themeColor="text1"/>
                <w:sz w:val="18"/>
                <w:szCs w:val="18"/>
                <w14:textFill>
                  <w14:solidFill>
                    <w14:schemeClr w14:val="tx1"/>
                  </w14:solidFill>
                </w14:textFill>
              </w:rPr>
            </w:pPr>
            <w:r>
              <w:rPr>
                <w:rFonts w:eastAsiaTheme="minorEastAsia"/>
                <w:sz w:val="18"/>
                <w:szCs w:val="18"/>
              </w:rPr>
              <w:t>省（区、市）</w:t>
            </w:r>
            <w:r>
              <w:rPr>
                <w:rFonts w:hint="eastAsia" w:eastAsiaTheme="minorEastAsia"/>
                <w:sz w:val="18"/>
                <w:szCs w:val="18"/>
              </w:rPr>
              <w:t>、</w:t>
            </w:r>
            <w:r>
              <w:rPr>
                <w:rFonts w:hint="eastAsia" w:eastAsiaTheme="minorEastAsia"/>
                <w:color w:val="000000" w:themeColor="text1"/>
                <w:sz w:val="18"/>
                <w:szCs w:val="18"/>
                <w14:textFill>
                  <w14:solidFill>
                    <w14:schemeClr w14:val="tx1"/>
                  </w14:solidFill>
                </w14:textFill>
              </w:rPr>
              <w:t>市（设区）、县</w:t>
            </w:r>
          </w:p>
        </w:tc>
        <w:tc>
          <w:tcPr>
            <w:tcW w:w="991" w:type="pct"/>
            <w:vAlign w:val="center"/>
          </w:tcPr>
          <w:p w14:paraId="5807396C">
            <w:pPr>
              <w:spacing w:line="240" w:lineRule="auto"/>
              <w:jc w:val="center"/>
              <w:rPr>
                <w:rFonts w:eastAsiaTheme="minorEastAsia"/>
                <w:color w:val="000000" w:themeColor="text1"/>
                <w:sz w:val="18"/>
                <w:szCs w:val="18"/>
                <w14:textFill>
                  <w14:solidFill>
                    <w14:schemeClr w14:val="tx1"/>
                  </w14:solidFill>
                </w14:textFill>
              </w:rPr>
            </w:pPr>
            <w:r>
              <w:rPr>
                <w:rFonts w:hint="eastAsia" w:eastAsiaTheme="minorEastAsia"/>
                <w:color w:val="000000" w:themeColor="text1"/>
                <w:sz w:val="18"/>
                <w:szCs w:val="18"/>
                <w14:textFill>
                  <w14:solidFill>
                    <w14:schemeClr w14:val="tx1"/>
                  </w14:solidFill>
                </w14:textFill>
              </w:rPr>
              <w:t>交叉角度</w:t>
            </w:r>
          </w:p>
          <w:p w14:paraId="2832C7D1">
            <w:pPr>
              <w:spacing w:line="240" w:lineRule="auto"/>
              <w:jc w:val="center"/>
              <w:rPr>
                <w:rFonts w:eastAsiaTheme="minorEastAsia"/>
                <w:color w:val="000000" w:themeColor="text1"/>
                <w:sz w:val="18"/>
                <w:szCs w:val="18"/>
                <w14:textFill>
                  <w14:solidFill>
                    <w14:schemeClr w14:val="tx1"/>
                  </w14:solidFill>
                </w14:textFill>
              </w:rPr>
            </w:pPr>
            <w:r>
              <w:rPr>
                <w:rFonts w:eastAsiaTheme="minorEastAsia"/>
                <w:color w:val="000000" w:themeColor="text1"/>
                <w:sz w:val="18"/>
                <w:szCs w:val="18"/>
                <w14:textFill>
                  <w14:solidFill>
                    <w14:schemeClr w14:val="tx1"/>
                  </w14:solidFill>
                </w14:textFill>
              </w:rPr>
              <w:t>°</w:t>
            </w:r>
          </w:p>
        </w:tc>
      </w:tr>
      <w:tr w14:paraId="6F7DDB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41" w:type="pct"/>
            <w:vAlign w:val="center"/>
          </w:tcPr>
          <w:p w14:paraId="0AEE9695">
            <w:pPr>
              <w:pStyle w:val="63"/>
              <w:snapToGrid/>
              <w:ind w:left="-80" w:right="-69"/>
              <w:rPr>
                <w:rFonts w:eastAsiaTheme="minorEastAsia"/>
                <w:color w:val="000000" w:themeColor="text1"/>
                <w:sz w:val="18"/>
                <w:szCs w:val="18"/>
                <w14:textFill>
                  <w14:solidFill>
                    <w14:schemeClr w14:val="tx1"/>
                  </w14:solidFill>
                </w14:textFill>
              </w:rPr>
            </w:pPr>
            <w:r>
              <w:rPr>
                <w:rFonts w:eastAsiaTheme="minorEastAsia"/>
                <w:color w:val="000000" w:themeColor="text1"/>
                <w:sz w:val="18"/>
                <w:szCs w:val="18"/>
                <w14:textFill>
                  <w14:solidFill>
                    <w14:schemeClr w14:val="tx1"/>
                  </w14:solidFill>
                </w14:textFill>
              </w:rPr>
              <w:t>1</w:t>
            </w:r>
          </w:p>
        </w:tc>
        <w:tc>
          <w:tcPr>
            <w:tcW w:w="1193" w:type="pct"/>
            <w:vMerge w:val="restart"/>
            <w:vAlign w:val="center"/>
          </w:tcPr>
          <w:p w14:paraId="7E138454">
            <w:pPr>
              <w:jc w:val="center"/>
              <w:rPr>
                <w:rFonts w:eastAsiaTheme="minorEastAsia"/>
                <w:color w:val="000000" w:themeColor="text1"/>
                <w:sz w:val="18"/>
                <w:szCs w:val="18"/>
                <w14:textFill>
                  <w14:solidFill>
                    <w14:schemeClr w14:val="tx1"/>
                  </w14:solidFill>
                </w14:textFill>
              </w:rPr>
            </w:pPr>
            <w:r>
              <w:rPr>
                <w:rFonts w:hint="eastAsia" w:eastAsiaTheme="minorEastAsia"/>
                <w:color w:val="000000" w:themeColor="text1"/>
                <w:sz w:val="18"/>
                <w:szCs w:val="18"/>
                <w14:textFill>
                  <w14:solidFill>
                    <w14:schemeClr w14:val="tx1"/>
                  </w14:solidFill>
                </w14:textFill>
              </w:rPr>
              <w:t>直流</w:t>
            </w:r>
            <w:r>
              <w:rPr>
                <w:rFonts w:hint="eastAsia" w:eastAsiaTheme="minorEastAsia"/>
                <w:bCs/>
                <w:color w:val="000000" w:themeColor="text1"/>
                <w:sz w:val="18"/>
                <w:szCs w:val="18"/>
                <w14:textFill>
                  <w14:solidFill>
                    <w14:schemeClr w14:val="tx1"/>
                  </w14:solidFill>
                </w14:textFill>
              </w:rPr>
              <w:t>架空输电线路</w:t>
            </w:r>
          </w:p>
        </w:tc>
        <w:tc>
          <w:tcPr>
            <w:tcW w:w="1181" w:type="pct"/>
            <w:vAlign w:val="center"/>
          </w:tcPr>
          <w:p w14:paraId="4DC87F2E">
            <w:pPr>
              <w:jc w:val="center"/>
              <w:rPr>
                <w:rFonts w:eastAsiaTheme="minorEastAsia"/>
                <w:color w:val="000000" w:themeColor="text1"/>
                <w:sz w:val="18"/>
                <w:szCs w:val="18"/>
                <w14:textFill>
                  <w14:solidFill>
                    <w14:schemeClr w14:val="tx1"/>
                  </w14:solidFill>
                </w14:textFill>
              </w:rPr>
            </w:pPr>
            <w:r>
              <w:rPr>
                <w:rFonts w:eastAsiaTheme="minorEastAsia"/>
                <w:bCs/>
                <w:color w:val="000000" w:themeColor="text1"/>
                <w:sz w:val="18"/>
                <w:szCs w:val="18"/>
                <w14:textFill>
                  <w14:solidFill>
                    <w14:schemeClr w14:val="tx1"/>
                  </w14:solidFill>
                </w14:textFill>
              </w:rPr>
              <w:t>±xxkV xx</w:t>
            </w:r>
            <w:r>
              <w:rPr>
                <w:rFonts w:hint="eastAsia" w:eastAsiaTheme="minorEastAsia"/>
                <w:bCs/>
                <w:color w:val="000000" w:themeColor="text1"/>
                <w:sz w:val="18"/>
                <w:szCs w:val="18"/>
                <w14:textFill>
                  <w14:solidFill>
                    <w14:schemeClr w14:val="tx1"/>
                  </w14:solidFill>
                </w14:textFill>
              </w:rPr>
              <w:t>线路</w:t>
            </w:r>
          </w:p>
        </w:tc>
        <w:tc>
          <w:tcPr>
            <w:tcW w:w="991" w:type="pct"/>
            <w:vAlign w:val="center"/>
          </w:tcPr>
          <w:p w14:paraId="1FC3DA82">
            <w:pPr>
              <w:jc w:val="center"/>
              <w:rPr>
                <w:rFonts w:eastAsiaTheme="minorEastAsia"/>
                <w:color w:val="000000" w:themeColor="text1"/>
                <w:sz w:val="18"/>
                <w:szCs w:val="18"/>
                <w14:textFill>
                  <w14:solidFill>
                    <w14:schemeClr w14:val="tx1"/>
                  </w14:solidFill>
                </w14:textFill>
              </w:rPr>
            </w:pPr>
          </w:p>
        </w:tc>
        <w:tc>
          <w:tcPr>
            <w:tcW w:w="991" w:type="pct"/>
            <w:vAlign w:val="center"/>
          </w:tcPr>
          <w:p w14:paraId="37A27C0D">
            <w:pPr>
              <w:jc w:val="center"/>
              <w:rPr>
                <w:rFonts w:eastAsiaTheme="minorEastAsia"/>
                <w:color w:val="000000" w:themeColor="text1"/>
                <w:sz w:val="18"/>
                <w:szCs w:val="18"/>
                <w14:textFill>
                  <w14:solidFill>
                    <w14:schemeClr w14:val="tx1"/>
                  </w14:solidFill>
                </w14:textFill>
              </w:rPr>
            </w:pPr>
          </w:p>
        </w:tc>
      </w:tr>
      <w:tr w14:paraId="46B4E3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641" w:type="pct"/>
            <w:vAlign w:val="center"/>
          </w:tcPr>
          <w:p w14:paraId="4A68584B">
            <w:pPr>
              <w:pStyle w:val="63"/>
              <w:snapToGrid/>
              <w:ind w:left="-80" w:right="-69"/>
              <w:rPr>
                <w:rFonts w:eastAsiaTheme="minorEastAsia"/>
                <w:color w:val="000000" w:themeColor="text1"/>
                <w:sz w:val="18"/>
                <w:szCs w:val="18"/>
                <w14:textFill>
                  <w14:solidFill>
                    <w14:schemeClr w14:val="tx1"/>
                  </w14:solidFill>
                </w14:textFill>
              </w:rPr>
            </w:pPr>
            <w:r>
              <w:rPr>
                <w:rFonts w:eastAsiaTheme="minorEastAsia"/>
                <w:color w:val="000000" w:themeColor="text1"/>
                <w:sz w:val="18"/>
                <w:szCs w:val="18"/>
                <w14:textFill>
                  <w14:solidFill>
                    <w14:schemeClr w14:val="tx1"/>
                  </w14:solidFill>
                </w14:textFill>
              </w:rPr>
              <w:t>2</w:t>
            </w:r>
          </w:p>
        </w:tc>
        <w:tc>
          <w:tcPr>
            <w:tcW w:w="1193" w:type="pct"/>
            <w:vMerge w:val="continue"/>
            <w:vAlign w:val="center"/>
          </w:tcPr>
          <w:p w14:paraId="20101947">
            <w:pPr>
              <w:jc w:val="center"/>
              <w:rPr>
                <w:rFonts w:eastAsiaTheme="minorEastAsia"/>
                <w:color w:val="000000" w:themeColor="text1"/>
                <w:sz w:val="18"/>
                <w:szCs w:val="18"/>
                <w14:textFill>
                  <w14:solidFill>
                    <w14:schemeClr w14:val="tx1"/>
                  </w14:solidFill>
                </w14:textFill>
              </w:rPr>
            </w:pPr>
          </w:p>
        </w:tc>
        <w:tc>
          <w:tcPr>
            <w:tcW w:w="1181" w:type="pct"/>
            <w:vAlign w:val="center"/>
          </w:tcPr>
          <w:p w14:paraId="24A67F14">
            <w:pPr>
              <w:jc w:val="center"/>
              <w:rPr>
                <w:rFonts w:eastAsiaTheme="minorEastAsia"/>
                <w:bCs/>
                <w:color w:val="000000" w:themeColor="text1"/>
                <w:sz w:val="18"/>
                <w:szCs w:val="18"/>
                <w14:textFill>
                  <w14:solidFill>
                    <w14:schemeClr w14:val="tx1"/>
                  </w14:solidFill>
                </w14:textFill>
              </w:rPr>
            </w:pPr>
            <w:r>
              <w:rPr>
                <w:rFonts w:eastAsiaTheme="minorEastAsia"/>
                <w:color w:val="000000" w:themeColor="text1"/>
                <w:sz w:val="18"/>
                <w:szCs w:val="18"/>
                <w14:textFill>
                  <w14:solidFill>
                    <w14:schemeClr w14:val="tx1"/>
                  </w14:solidFill>
                </w14:textFill>
              </w:rPr>
              <w:t>…</w:t>
            </w:r>
          </w:p>
        </w:tc>
        <w:tc>
          <w:tcPr>
            <w:tcW w:w="991" w:type="pct"/>
            <w:vAlign w:val="center"/>
          </w:tcPr>
          <w:p w14:paraId="2265E448">
            <w:pPr>
              <w:jc w:val="center"/>
              <w:rPr>
                <w:rFonts w:eastAsiaTheme="minorEastAsia"/>
                <w:color w:val="000000" w:themeColor="text1"/>
                <w:sz w:val="18"/>
                <w:szCs w:val="18"/>
                <w14:textFill>
                  <w14:solidFill>
                    <w14:schemeClr w14:val="tx1"/>
                  </w14:solidFill>
                </w14:textFill>
              </w:rPr>
            </w:pPr>
          </w:p>
        </w:tc>
        <w:tc>
          <w:tcPr>
            <w:tcW w:w="991" w:type="pct"/>
            <w:vAlign w:val="center"/>
          </w:tcPr>
          <w:p w14:paraId="39F3529B">
            <w:pPr>
              <w:jc w:val="center"/>
              <w:rPr>
                <w:rFonts w:eastAsiaTheme="minorEastAsia"/>
                <w:color w:val="000000" w:themeColor="text1"/>
                <w:sz w:val="18"/>
                <w:szCs w:val="18"/>
                <w14:textFill>
                  <w14:solidFill>
                    <w14:schemeClr w14:val="tx1"/>
                  </w14:solidFill>
                </w14:textFill>
              </w:rPr>
            </w:pPr>
          </w:p>
        </w:tc>
      </w:tr>
      <w:tr w14:paraId="43E2A5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641" w:type="pct"/>
            <w:vAlign w:val="center"/>
          </w:tcPr>
          <w:p w14:paraId="24959FA6">
            <w:pPr>
              <w:pStyle w:val="63"/>
              <w:snapToGrid/>
              <w:ind w:left="-80" w:right="-69"/>
              <w:rPr>
                <w:rFonts w:eastAsiaTheme="minorEastAsia"/>
                <w:color w:val="000000" w:themeColor="text1"/>
                <w:sz w:val="18"/>
                <w:szCs w:val="18"/>
                <w14:textFill>
                  <w14:solidFill>
                    <w14:schemeClr w14:val="tx1"/>
                  </w14:solidFill>
                </w14:textFill>
              </w:rPr>
            </w:pPr>
            <w:r>
              <w:rPr>
                <w:rFonts w:eastAsiaTheme="minorEastAsia"/>
                <w:color w:val="000000" w:themeColor="text1"/>
                <w:sz w:val="18"/>
                <w:szCs w:val="18"/>
                <w14:textFill>
                  <w14:solidFill>
                    <w14:schemeClr w14:val="tx1"/>
                  </w14:solidFill>
                </w14:textFill>
              </w:rPr>
              <w:t>3</w:t>
            </w:r>
          </w:p>
        </w:tc>
        <w:tc>
          <w:tcPr>
            <w:tcW w:w="1193" w:type="pct"/>
            <w:vMerge w:val="restart"/>
            <w:vAlign w:val="center"/>
          </w:tcPr>
          <w:p w14:paraId="1B1A7667">
            <w:pPr>
              <w:jc w:val="center"/>
              <w:rPr>
                <w:rFonts w:eastAsiaTheme="minorEastAsia"/>
                <w:color w:val="000000" w:themeColor="text1"/>
                <w:sz w:val="18"/>
                <w:szCs w:val="18"/>
                <w14:textFill>
                  <w14:solidFill>
                    <w14:schemeClr w14:val="tx1"/>
                  </w14:solidFill>
                </w14:textFill>
              </w:rPr>
            </w:pPr>
            <w:r>
              <w:rPr>
                <w:rFonts w:hint="eastAsia" w:eastAsiaTheme="minorEastAsia"/>
                <w:color w:val="000000" w:themeColor="text1"/>
                <w:sz w:val="18"/>
                <w:szCs w:val="18"/>
                <w14:textFill>
                  <w14:solidFill>
                    <w14:schemeClr w14:val="tx1"/>
                  </w14:solidFill>
                </w14:textFill>
              </w:rPr>
              <w:t>电气化</w:t>
            </w:r>
            <w:r>
              <w:rPr>
                <w:rFonts w:hint="eastAsia" w:eastAsiaTheme="minorEastAsia"/>
                <w:bCs/>
                <w:color w:val="000000" w:themeColor="text1"/>
                <w:sz w:val="18"/>
                <w:szCs w:val="18"/>
                <w14:textFill>
                  <w14:solidFill>
                    <w14:schemeClr w14:val="tx1"/>
                  </w14:solidFill>
                </w14:textFill>
              </w:rPr>
              <w:t>铁路</w:t>
            </w:r>
            <w:r>
              <w:rPr>
                <w:rFonts w:hint="eastAsia" w:eastAsiaTheme="minorEastAsia"/>
                <w:color w:val="000000" w:themeColor="text1"/>
                <w:sz w:val="18"/>
                <w:szCs w:val="18"/>
                <w14:textFill>
                  <w14:solidFill>
                    <w14:schemeClr w14:val="tx1"/>
                  </w14:solidFill>
                </w14:textFill>
              </w:rPr>
              <w:t>线路（交流、直流）</w:t>
            </w:r>
          </w:p>
        </w:tc>
        <w:tc>
          <w:tcPr>
            <w:tcW w:w="1181" w:type="pct"/>
            <w:vAlign w:val="center"/>
          </w:tcPr>
          <w:p w14:paraId="613D11C0">
            <w:pPr>
              <w:jc w:val="center"/>
              <w:rPr>
                <w:rFonts w:eastAsiaTheme="minorEastAsia"/>
                <w:color w:val="000000" w:themeColor="text1"/>
                <w:sz w:val="18"/>
                <w:szCs w:val="18"/>
                <w14:textFill>
                  <w14:solidFill>
                    <w14:schemeClr w14:val="tx1"/>
                  </w14:solidFill>
                </w14:textFill>
              </w:rPr>
            </w:pPr>
            <w:r>
              <w:rPr>
                <w:rFonts w:eastAsiaTheme="minorEastAsia"/>
                <w:bCs/>
                <w:color w:val="000000" w:themeColor="text1"/>
                <w:sz w:val="18"/>
                <w:szCs w:val="18"/>
                <w14:textFill>
                  <w14:solidFill>
                    <w14:schemeClr w14:val="tx1"/>
                  </w14:solidFill>
                </w14:textFill>
              </w:rPr>
              <w:t>xxkV xx</w:t>
            </w:r>
            <w:r>
              <w:rPr>
                <w:rFonts w:hint="eastAsia" w:eastAsiaTheme="minorEastAsia"/>
                <w:bCs/>
                <w:color w:val="000000" w:themeColor="text1"/>
                <w:sz w:val="18"/>
                <w:szCs w:val="18"/>
                <w14:textFill>
                  <w14:solidFill>
                    <w14:schemeClr w14:val="tx1"/>
                  </w14:solidFill>
                </w14:textFill>
              </w:rPr>
              <w:t>线路</w:t>
            </w:r>
          </w:p>
        </w:tc>
        <w:tc>
          <w:tcPr>
            <w:tcW w:w="991" w:type="pct"/>
            <w:vAlign w:val="center"/>
          </w:tcPr>
          <w:p w14:paraId="7EDEE5C3">
            <w:pPr>
              <w:jc w:val="center"/>
              <w:rPr>
                <w:rFonts w:eastAsiaTheme="minorEastAsia"/>
                <w:color w:val="000000" w:themeColor="text1"/>
                <w:sz w:val="18"/>
                <w:szCs w:val="18"/>
                <w14:textFill>
                  <w14:solidFill>
                    <w14:schemeClr w14:val="tx1"/>
                  </w14:solidFill>
                </w14:textFill>
              </w:rPr>
            </w:pPr>
          </w:p>
        </w:tc>
        <w:tc>
          <w:tcPr>
            <w:tcW w:w="991" w:type="pct"/>
            <w:vAlign w:val="center"/>
          </w:tcPr>
          <w:p w14:paraId="48216313">
            <w:pPr>
              <w:jc w:val="center"/>
              <w:rPr>
                <w:rFonts w:eastAsiaTheme="minorEastAsia"/>
                <w:color w:val="000000" w:themeColor="text1"/>
                <w:sz w:val="18"/>
                <w:szCs w:val="18"/>
                <w14:textFill>
                  <w14:solidFill>
                    <w14:schemeClr w14:val="tx1"/>
                  </w14:solidFill>
                </w14:textFill>
              </w:rPr>
            </w:pPr>
          </w:p>
        </w:tc>
      </w:tr>
      <w:tr w14:paraId="0E5EF3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2" w:hRule="atLeast"/>
          <w:jc w:val="center"/>
        </w:trPr>
        <w:tc>
          <w:tcPr>
            <w:tcW w:w="641" w:type="pct"/>
            <w:vAlign w:val="center"/>
          </w:tcPr>
          <w:p w14:paraId="6901366B">
            <w:pPr>
              <w:pStyle w:val="63"/>
              <w:snapToGrid/>
              <w:ind w:left="-80" w:right="-69"/>
              <w:rPr>
                <w:rFonts w:eastAsiaTheme="minorEastAsia"/>
                <w:color w:val="000000" w:themeColor="text1"/>
                <w:sz w:val="18"/>
                <w:szCs w:val="18"/>
                <w14:textFill>
                  <w14:solidFill>
                    <w14:schemeClr w14:val="tx1"/>
                  </w14:solidFill>
                </w14:textFill>
              </w:rPr>
            </w:pPr>
            <w:r>
              <w:rPr>
                <w:rFonts w:eastAsiaTheme="minorEastAsia"/>
                <w:color w:val="000000" w:themeColor="text1"/>
                <w:sz w:val="18"/>
                <w:szCs w:val="18"/>
                <w14:textFill>
                  <w14:solidFill>
                    <w14:schemeClr w14:val="tx1"/>
                  </w14:solidFill>
                </w14:textFill>
              </w:rPr>
              <w:t>4</w:t>
            </w:r>
          </w:p>
        </w:tc>
        <w:tc>
          <w:tcPr>
            <w:tcW w:w="1193" w:type="pct"/>
            <w:vMerge w:val="continue"/>
            <w:vAlign w:val="center"/>
          </w:tcPr>
          <w:p w14:paraId="6E9196BD">
            <w:pPr>
              <w:jc w:val="center"/>
              <w:rPr>
                <w:rFonts w:eastAsiaTheme="minorEastAsia"/>
                <w:color w:val="000000" w:themeColor="text1"/>
                <w:sz w:val="18"/>
                <w:szCs w:val="18"/>
                <w14:textFill>
                  <w14:solidFill>
                    <w14:schemeClr w14:val="tx1"/>
                  </w14:solidFill>
                </w14:textFill>
              </w:rPr>
            </w:pPr>
          </w:p>
        </w:tc>
        <w:tc>
          <w:tcPr>
            <w:tcW w:w="1181" w:type="pct"/>
            <w:vAlign w:val="center"/>
          </w:tcPr>
          <w:p w14:paraId="6250B1C4">
            <w:pPr>
              <w:jc w:val="center"/>
              <w:rPr>
                <w:rFonts w:eastAsiaTheme="minorEastAsia"/>
                <w:bCs/>
                <w:color w:val="000000" w:themeColor="text1"/>
                <w:sz w:val="18"/>
                <w:szCs w:val="18"/>
                <w14:textFill>
                  <w14:solidFill>
                    <w14:schemeClr w14:val="tx1"/>
                  </w14:solidFill>
                </w14:textFill>
              </w:rPr>
            </w:pPr>
            <w:r>
              <w:rPr>
                <w:rFonts w:eastAsiaTheme="minorEastAsia"/>
                <w:color w:val="000000" w:themeColor="text1"/>
                <w:sz w:val="18"/>
                <w:szCs w:val="18"/>
                <w14:textFill>
                  <w14:solidFill>
                    <w14:schemeClr w14:val="tx1"/>
                  </w14:solidFill>
                </w14:textFill>
              </w:rPr>
              <w:t>…</w:t>
            </w:r>
          </w:p>
        </w:tc>
        <w:tc>
          <w:tcPr>
            <w:tcW w:w="991" w:type="pct"/>
            <w:vAlign w:val="center"/>
          </w:tcPr>
          <w:p w14:paraId="4CC095A0">
            <w:pPr>
              <w:jc w:val="center"/>
              <w:rPr>
                <w:rFonts w:eastAsiaTheme="minorEastAsia"/>
                <w:color w:val="000000" w:themeColor="text1"/>
                <w:sz w:val="18"/>
                <w:szCs w:val="18"/>
                <w14:textFill>
                  <w14:solidFill>
                    <w14:schemeClr w14:val="tx1"/>
                  </w14:solidFill>
                </w14:textFill>
              </w:rPr>
            </w:pPr>
          </w:p>
        </w:tc>
        <w:tc>
          <w:tcPr>
            <w:tcW w:w="991" w:type="pct"/>
            <w:vAlign w:val="center"/>
          </w:tcPr>
          <w:p w14:paraId="13390AC5">
            <w:pPr>
              <w:jc w:val="center"/>
              <w:rPr>
                <w:rFonts w:eastAsiaTheme="minorEastAsia"/>
                <w:color w:val="000000" w:themeColor="text1"/>
                <w:sz w:val="18"/>
                <w:szCs w:val="18"/>
                <w14:textFill>
                  <w14:solidFill>
                    <w14:schemeClr w14:val="tx1"/>
                  </w14:solidFill>
                </w14:textFill>
              </w:rPr>
            </w:pPr>
          </w:p>
        </w:tc>
      </w:tr>
      <w:tr w14:paraId="5018C9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2" w:hRule="atLeast"/>
          <w:jc w:val="center"/>
        </w:trPr>
        <w:tc>
          <w:tcPr>
            <w:tcW w:w="641" w:type="pct"/>
            <w:vAlign w:val="center"/>
          </w:tcPr>
          <w:p w14:paraId="6BBA9BFD">
            <w:pPr>
              <w:pStyle w:val="63"/>
              <w:snapToGrid/>
              <w:ind w:left="-80" w:right="-69"/>
              <w:rPr>
                <w:rFonts w:eastAsiaTheme="minorEastAsia"/>
                <w:color w:val="000000" w:themeColor="text1"/>
                <w:sz w:val="18"/>
                <w:szCs w:val="18"/>
                <w14:textFill>
                  <w14:solidFill>
                    <w14:schemeClr w14:val="tx1"/>
                  </w14:solidFill>
                </w14:textFill>
              </w:rPr>
            </w:pPr>
            <w:r>
              <w:rPr>
                <w:rFonts w:eastAsiaTheme="minorEastAsia"/>
                <w:color w:val="000000" w:themeColor="text1"/>
                <w:sz w:val="18"/>
                <w:szCs w:val="18"/>
                <w14:textFill>
                  <w14:solidFill>
                    <w14:schemeClr w14:val="tx1"/>
                  </w14:solidFill>
                </w14:textFill>
              </w:rPr>
              <w:t>5</w:t>
            </w:r>
          </w:p>
        </w:tc>
        <w:tc>
          <w:tcPr>
            <w:tcW w:w="1193" w:type="pct"/>
            <w:vMerge w:val="restart"/>
            <w:vAlign w:val="center"/>
          </w:tcPr>
          <w:p w14:paraId="70FF276D">
            <w:pPr>
              <w:jc w:val="center"/>
              <w:rPr>
                <w:rFonts w:eastAsiaTheme="minorEastAsia"/>
                <w:color w:val="000000" w:themeColor="text1"/>
                <w:sz w:val="18"/>
                <w:szCs w:val="18"/>
                <w14:textFill>
                  <w14:solidFill>
                    <w14:schemeClr w14:val="tx1"/>
                  </w14:solidFill>
                </w14:textFill>
              </w:rPr>
            </w:pPr>
            <w:r>
              <w:rPr>
                <w:rFonts w:hint="eastAsia" w:eastAsiaTheme="minorEastAsia"/>
                <w:color w:val="000000" w:themeColor="text1"/>
                <w:sz w:val="18"/>
                <w:szCs w:val="18"/>
                <w14:textFill>
                  <w14:solidFill>
                    <w14:schemeClr w14:val="tx1"/>
                  </w14:solidFill>
                </w14:textFill>
              </w:rPr>
              <w:t>交流</w:t>
            </w:r>
            <w:r>
              <w:rPr>
                <w:rFonts w:hint="eastAsia" w:eastAsiaTheme="minorEastAsia"/>
                <w:bCs/>
                <w:color w:val="000000" w:themeColor="text1"/>
                <w:sz w:val="18"/>
                <w:szCs w:val="18"/>
                <w14:textFill>
                  <w14:solidFill>
                    <w14:schemeClr w14:val="tx1"/>
                  </w14:solidFill>
                </w14:textFill>
              </w:rPr>
              <w:t>架空输电线路</w:t>
            </w:r>
          </w:p>
        </w:tc>
        <w:tc>
          <w:tcPr>
            <w:tcW w:w="1181" w:type="pct"/>
            <w:vAlign w:val="center"/>
          </w:tcPr>
          <w:p w14:paraId="07987DCE">
            <w:pPr>
              <w:jc w:val="center"/>
              <w:rPr>
                <w:rFonts w:eastAsiaTheme="minorEastAsia"/>
                <w:color w:val="000000" w:themeColor="text1"/>
                <w:sz w:val="18"/>
                <w:szCs w:val="18"/>
                <w14:textFill>
                  <w14:solidFill>
                    <w14:schemeClr w14:val="tx1"/>
                  </w14:solidFill>
                </w14:textFill>
              </w:rPr>
            </w:pPr>
            <w:r>
              <w:rPr>
                <w:rFonts w:eastAsiaTheme="minorEastAsia"/>
                <w:bCs/>
                <w:color w:val="000000" w:themeColor="text1"/>
                <w:sz w:val="18"/>
                <w:szCs w:val="18"/>
                <w14:textFill>
                  <w14:solidFill>
                    <w14:schemeClr w14:val="tx1"/>
                  </w14:solidFill>
                </w14:textFill>
              </w:rPr>
              <w:t>xxkV xx</w:t>
            </w:r>
            <w:r>
              <w:rPr>
                <w:rFonts w:hint="eastAsia" w:eastAsiaTheme="minorEastAsia"/>
                <w:bCs/>
                <w:color w:val="000000" w:themeColor="text1"/>
                <w:sz w:val="18"/>
                <w:szCs w:val="18"/>
                <w14:textFill>
                  <w14:solidFill>
                    <w14:schemeClr w14:val="tx1"/>
                  </w14:solidFill>
                </w14:textFill>
              </w:rPr>
              <w:t>线路</w:t>
            </w:r>
          </w:p>
        </w:tc>
        <w:tc>
          <w:tcPr>
            <w:tcW w:w="991" w:type="pct"/>
            <w:vAlign w:val="center"/>
          </w:tcPr>
          <w:p w14:paraId="001F0F66">
            <w:pPr>
              <w:jc w:val="center"/>
              <w:rPr>
                <w:rFonts w:eastAsiaTheme="minorEastAsia"/>
                <w:color w:val="000000" w:themeColor="text1"/>
                <w:sz w:val="18"/>
                <w:szCs w:val="18"/>
                <w14:textFill>
                  <w14:solidFill>
                    <w14:schemeClr w14:val="tx1"/>
                  </w14:solidFill>
                </w14:textFill>
              </w:rPr>
            </w:pPr>
          </w:p>
        </w:tc>
        <w:tc>
          <w:tcPr>
            <w:tcW w:w="991" w:type="pct"/>
            <w:vAlign w:val="center"/>
          </w:tcPr>
          <w:p w14:paraId="429E5B13">
            <w:pPr>
              <w:jc w:val="center"/>
              <w:rPr>
                <w:rFonts w:eastAsiaTheme="minorEastAsia"/>
                <w:color w:val="000000" w:themeColor="text1"/>
                <w:sz w:val="18"/>
                <w:szCs w:val="18"/>
                <w14:textFill>
                  <w14:solidFill>
                    <w14:schemeClr w14:val="tx1"/>
                  </w14:solidFill>
                </w14:textFill>
              </w:rPr>
            </w:pPr>
          </w:p>
        </w:tc>
      </w:tr>
      <w:tr w14:paraId="025511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2" w:hRule="atLeast"/>
          <w:jc w:val="center"/>
        </w:trPr>
        <w:tc>
          <w:tcPr>
            <w:tcW w:w="641" w:type="pct"/>
            <w:vAlign w:val="center"/>
          </w:tcPr>
          <w:p w14:paraId="61F2A8E3">
            <w:pPr>
              <w:pStyle w:val="63"/>
              <w:snapToGrid/>
              <w:ind w:left="-80" w:right="-69"/>
              <w:rPr>
                <w:rFonts w:eastAsiaTheme="minorEastAsia"/>
                <w:color w:val="000000" w:themeColor="text1"/>
                <w:sz w:val="18"/>
                <w:szCs w:val="18"/>
                <w14:textFill>
                  <w14:solidFill>
                    <w14:schemeClr w14:val="tx1"/>
                  </w14:solidFill>
                </w14:textFill>
              </w:rPr>
            </w:pPr>
            <w:r>
              <w:rPr>
                <w:rFonts w:eastAsiaTheme="minorEastAsia"/>
                <w:color w:val="000000" w:themeColor="text1"/>
                <w:sz w:val="18"/>
                <w:szCs w:val="18"/>
                <w14:textFill>
                  <w14:solidFill>
                    <w14:schemeClr w14:val="tx1"/>
                  </w14:solidFill>
                </w14:textFill>
              </w:rPr>
              <w:t>6</w:t>
            </w:r>
          </w:p>
        </w:tc>
        <w:tc>
          <w:tcPr>
            <w:tcW w:w="1193" w:type="pct"/>
            <w:vMerge w:val="continue"/>
            <w:vAlign w:val="center"/>
          </w:tcPr>
          <w:p w14:paraId="35460912">
            <w:pPr>
              <w:jc w:val="center"/>
              <w:rPr>
                <w:rFonts w:eastAsiaTheme="minorEastAsia"/>
                <w:color w:val="000000" w:themeColor="text1"/>
                <w:sz w:val="18"/>
                <w:szCs w:val="18"/>
                <w14:textFill>
                  <w14:solidFill>
                    <w14:schemeClr w14:val="tx1"/>
                  </w14:solidFill>
                </w14:textFill>
              </w:rPr>
            </w:pPr>
          </w:p>
        </w:tc>
        <w:tc>
          <w:tcPr>
            <w:tcW w:w="1181" w:type="pct"/>
            <w:vAlign w:val="center"/>
          </w:tcPr>
          <w:p w14:paraId="5AD6D400">
            <w:pPr>
              <w:jc w:val="center"/>
              <w:rPr>
                <w:rFonts w:eastAsiaTheme="minorEastAsia"/>
                <w:color w:val="000000" w:themeColor="text1"/>
                <w:sz w:val="18"/>
                <w:szCs w:val="18"/>
                <w14:textFill>
                  <w14:solidFill>
                    <w14:schemeClr w14:val="tx1"/>
                  </w14:solidFill>
                </w14:textFill>
              </w:rPr>
            </w:pPr>
            <w:r>
              <w:rPr>
                <w:rFonts w:eastAsiaTheme="minorEastAsia"/>
                <w:color w:val="000000" w:themeColor="text1"/>
                <w:sz w:val="18"/>
                <w:szCs w:val="18"/>
                <w14:textFill>
                  <w14:solidFill>
                    <w14:schemeClr w14:val="tx1"/>
                  </w14:solidFill>
                </w14:textFill>
              </w:rPr>
              <w:t>…</w:t>
            </w:r>
          </w:p>
        </w:tc>
        <w:tc>
          <w:tcPr>
            <w:tcW w:w="991" w:type="pct"/>
            <w:vAlign w:val="center"/>
          </w:tcPr>
          <w:p w14:paraId="7E8FE361">
            <w:pPr>
              <w:jc w:val="center"/>
              <w:rPr>
                <w:rFonts w:eastAsiaTheme="minorEastAsia"/>
                <w:color w:val="000000" w:themeColor="text1"/>
                <w:sz w:val="18"/>
                <w:szCs w:val="18"/>
                <w14:textFill>
                  <w14:solidFill>
                    <w14:schemeClr w14:val="tx1"/>
                  </w14:solidFill>
                </w14:textFill>
              </w:rPr>
            </w:pPr>
          </w:p>
        </w:tc>
        <w:tc>
          <w:tcPr>
            <w:tcW w:w="991" w:type="pct"/>
            <w:vAlign w:val="center"/>
          </w:tcPr>
          <w:p w14:paraId="71130934">
            <w:pPr>
              <w:jc w:val="center"/>
              <w:rPr>
                <w:rFonts w:eastAsiaTheme="minorEastAsia"/>
                <w:color w:val="000000" w:themeColor="text1"/>
                <w:sz w:val="18"/>
                <w:szCs w:val="18"/>
                <w14:textFill>
                  <w14:solidFill>
                    <w14:schemeClr w14:val="tx1"/>
                  </w14:solidFill>
                </w14:textFill>
              </w:rPr>
            </w:pPr>
          </w:p>
        </w:tc>
      </w:tr>
      <w:tr w14:paraId="5A368E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2" w:hRule="atLeast"/>
          <w:jc w:val="center"/>
        </w:trPr>
        <w:tc>
          <w:tcPr>
            <w:tcW w:w="641" w:type="pct"/>
            <w:vAlign w:val="center"/>
          </w:tcPr>
          <w:p w14:paraId="1490B7E2">
            <w:pPr>
              <w:pStyle w:val="63"/>
              <w:snapToGrid/>
              <w:ind w:left="-80" w:right="-69"/>
              <w:rPr>
                <w:rFonts w:eastAsiaTheme="minorEastAsia"/>
                <w:color w:val="000000" w:themeColor="text1"/>
                <w:sz w:val="18"/>
                <w:szCs w:val="18"/>
                <w14:textFill>
                  <w14:solidFill>
                    <w14:schemeClr w14:val="tx1"/>
                  </w14:solidFill>
                </w14:textFill>
              </w:rPr>
            </w:pPr>
            <w:r>
              <w:rPr>
                <w:rFonts w:eastAsiaTheme="minorEastAsia"/>
                <w:color w:val="000000" w:themeColor="text1"/>
                <w:sz w:val="18"/>
                <w:szCs w:val="18"/>
                <w14:textFill>
                  <w14:solidFill>
                    <w14:schemeClr w14:val="tx1"/>
                  </w14:solidFill>
                </w14:textFill>
              </w:rPr>
              <w:t>…</w:t>
            </w:r>
          </w:p>
        </w:tc>
        <w:tc>
          <w:tcPr>
            <w:tcW w:w="1193" w:type="pct"/>
            <w:vAlign w:val="center"/>
          </w:tcPr>
          <w:p w14:paraId="0EEB0D68">
            <w:pPr>
              <w:jc w:val="center"/>
              <w:rPr>
                <w:rFonts w:eastAsiaTheme="minorEastAsia"/>
                <w:color w:val="000000" w:themeColor="text1"/>
                <w:sz w:val="18"/>
                <w:szCs w:val="18"/>
                <w14:textFill>
                  <w14:solidFill>
                    <w14:schemeClr w14:val="tx1"/>
                  </w14:solidFill>
                </w14:textFill>
              </w:rPr>
            </w:pPr>
            <w:r>
              <w:rPr>
                <w:rFonts w:eastAsiaTheme="minorEastAsia"/>
                <w:color w:val="000000" w:themeColor="text1"/>
                <w:sz w:val="18"/>
                <w:szCs w:val="18"/>
                <w14:textFill>
                  <w14:solidFill>
                    <w14:schemeClr w14:val="tx1"/>
                  </w14:solidFill>
                </w14:textFill>
              </w:rPr>
              <w:t>…</w:t>
            </w:r>
          </w:p>
        </w:tc>
        <w:tc>
          <w:tcPr>
            <w:tcW w:w="1181" w:type="pct"/>
            <w:vAlign w:val="center"/>
          </w:tcPr>
          <w:p w14:paraId="6A6E1104">
            <w:pPr>
              <w:jc w:val="center"/>
              <w:rPr>
                <w:rFonts w:eastAsiaTheme="minorEastAsia"/>
                <w:color w:val="000000" w:themeColor="text1"/>
                <w:sz w:val="18"/>
                <w:szCs w:val="18"/>
                <w14:textFill>
                  <w14:solidFill>
                    <w14:schemeClr w14:val="tx1"/>
                  </w14:solidFill>
                </w14:textFill>
              </w:rPr>
            </w:pPr>
            <w:r>
              <w:rPr>
                <w:rFonts w:eastAsiaTheme="minorEastAsia"/>
                <w:color w:val="000000" w:themeColor="text1"/>
                <w:sz w:val="18"/>
                <w:szCs w:val="18"/>
                <w14:textFill>
                  <w14:solidFill>
                    <w14:schemeClr w14:val="tx1"/>
                  </w14:solidFill>
                </w14:textFill>
              </w:rPr>
              <w:t>…</w:t>
            </w:r>
          </w:p>
        </w:tc>
        <w:tc>
          <w:tcPr>
            <w:tcW w:w="991" w:type="pct"/>
            <w:vAlign w:val="center"/>
          </w:tcPr>
          <w:p w14:paraId="1B8FB62C">
            <w:pPr>
              <w:jc w:val="center"/>
              <w:rPr>
                <w:rFonts w:eastAsiaTheme="minorEastAsia"/>
                <w:color w:val="000000" w:themeColor="text1"/>
                <w:sz w:val="18"/>
                <w:szCs w:val="18"/>
                <w14:textFill>
                  <w14:solidFill>
                    <w14:schemeClr w14:val="tx1"/>
                  </w14:solidFill>
                </w14:textFill>
              </w:rPr>
            </w:pPr>
          </w:p>
        </w:tc>
        <w:tc>
          <w:tcPr>
            <w:tcW w:w="991" w:type="pct"/>
            <w:vAlign w:val="center"/>
          </w:tcPr>
          <w:p w14:paraId="734C8927">
            <w:pPr>
              <w:jc w:val="center"/>
              <w:rPr>
                <w:rFonts w:eastAsiaTheme="minorEastAsia"/>
                <w:color w:val="000000" w:themeColor="text1"/>
                <w:sz w:val="18"/>
                <w:szCs w:val="18"/>
                <w14:textFill>
                  <w14:solidFill>
                    <w14:schemeClr w14:val="tx1"/>
                  </w14:solidFill>
                </w14:textFill>
              </w:rPr>
            </w:pPr>
          </w:p>
        </w:tc>
      </w:tr>
      <w:tr w14:paraId="01051C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2" w:hRule="atLeast"/>
          <w:jc w:val="center"/>
        </w:trPr>
        <w:tc>
          <w:tcPr>
            <w:tcW w:w="5000" w:type="pct"/>
            <w:gridSpan w:val="5"/>
            <w:vAlign w:val="center"/>
          </w:tcPr>
          <w:p w14:paraId="7A127058">
            <w:pPr>
              <w:adjustRightInd w:val="0"/>
              <w:ind w:firstLine="360" w:firstLineChars="200"/>
              <w:jc w:val="left"/>
              <w:rPr>
                <w:bCs/>
                <w:sz w:val="18"/>
                <w:szCs w:val="18"/>
              </w:rPr>
            </w:pPr>
            <w:r>
              <w:rPr>
                <w:bCs/>
                <w:sz w:val="18"/>
                <w:szCs w:val="18"/>
              </w:rPr>
              <w:t>注</w:t>
            </w:r>
            <w:r>
              <w:rPr>
                <w:rFonts w:hint="eastAsia"/>
                <w:bCs/>
                <w:sz w:val="18"/>
                <w:szCs w:val="18"/>
              </w:rPr>
              <w:t>1</w:t>
            </w:r>
            <w:r>
              <w:rPr>
                <w:bCs/>
                <w:sz w:val="18"/>
                <w:szCs w:val="18"/>
              </w:rPr>
              <w:t>：直流架空输电线路</w:t>
            </w:r>
            <w:r>
              <w:rPr>
                <w:rFonts w:hint="eastAsia"/>
                <w:bCs/>
                <w:sz w:val="18"/>
                <w:szCs w:val="18"/>
              </w:rPr>
              <w:t>，</w:t>
            </w:r>
            <w:r>
              <w:rPr>
                <w:bCs/>
                <w:sz w:val="18"/>
                <w:szCs w:val="18"/>
              </w:rPr>
              <w:t xml:space="preserve">±xxkV xx线路（如±800kV东胜Ⅰ线）； </w:t>
            </w:r>
          </w:p>
          <w:p w14:paraId="306CE08C">
            <w:pPr>
              <w:adjustRightInd w:val="0"/>
              <w:ind w:firstLine="360" w:firstLineChars="200"/>
              <w:jc w:val="left"/>
              <w:rPr>
                <w:bCs/>
                <w:sz w:val="18"/>
                <w:szCs w:val="18"/>
              </w:rPr>
            </w:pPr>
            <w:r>
              <w:rPr>
                <w:rFonts w:hint="eastAsia"/>
                <w:bCs/>
                <w:sz w:val="18"/>
                <w:szCs w:val="18"/>
              </w:rPr>
              <w:t>注2：</w:t>
            </w:r>
            <w:r>
              <w:rPr>
                <w:bCs/>
                <w:sz w:val="18"/>
                <w:szCs w:val="18"/>
              </w:rPr>
              <w:t>电气化铁路线路</w:t>
            </w:r>
            <w:r>
              <w:rPr>
                <w:rFonts w:hint="eastAsia"/>
                <w:bCs/>
                <w:sz w:val="18"/>
                <w:szCs w:val="18"/>
              </w:rPr>
              <w:t>，</w:t>
            </w:r>
            <w:r>
              <w:rPr>
                <w:bCs/>
                <w:sz w:val="18"/>
                <w:szCs w:val="18"/>
              </w:rPr>
              <w:t>xxkV xx线路(铁路)（如27.5kV京沪线（铁路））</w:t>
            </w:r>
            <w:r>
              <w:rPr>
                <w:rFonts w:hint="eastAsia"/>
                <w:bCs/>
                <w:sz w:val="18"/>
                <w:szCs w:val="18"/>
              </w:rPr>
              <w:t>；</w:t>
            </w:r>
          </w:p>
          <w:p w14:paraId="5BEF2902">
            <w:pPr>
              <w:spacing w:line="240" w:lineRule="auto"/>
              <w:ind w:firstLine="360" w:firstLineChars="200"/>
              <w:jc w:val="left"/>
              <w:rPr>
                <w:bCs/>
                <w:sz w:val="18"/>
                <w:szCs w:val="18"/>
              </w:rPr>
            </w:pPr>
            <w:r>
              <w:rPr>
                <w:rFonts w:hint="eastAsia"/>
                <w:bCs/>
                <w:sz w:val="18"/>
                <w:szCs w:val="18"/>
              </w:rPr>
              <w:t>注3：</w:t>
            </w:r>
            <w:r>
              <w:rPr>
                <w:bCs/>
                <w:sz w:val="18"/>
                <w:szCs w:val="18"/>
              </w:rPr>
              <w:t>.交流架空输电线路</w:t>
            </w:r>
            <w:r>
              <w:rPr>
                <w:rFonts w:hint="eastAsia"/>
                <w:bCs/>
                <w:sz w:val="18"/>
                <w:szCs w:val="18"/>
              </w:rPr>
              <w:t>，</w:t>
            </w:r>
            <w:r>
              <w:rPr>
                <w:bCs/>
                <w:sz w:val="18"/>
                <w:szCs w:val="18"/>
              </w:rPr>
              <w:t>xxkV xx线路（如220kV东胜Ⅰ线）</w:t>
            </w:r>
            <w:r>
              <w:rPr>
                <w:rFonts w:hint="eastAsia"/>
                <w:bCs/>
                <w:sz w:val="18"/>
                <w:szCs w:val="18"/>
              </w:rPr>
              <w:t>。</w:t>
            </w:r>
          </w:p>
        </w:tc>
      </w:tr>
    </w:tbl>
    <w:p w14:paraId="3C318D79"/>
    <w:p w14:paraId="540D3B77">
      <w:pPr>
        <w:pStyle w:val="153"/>
        <w:spacing w:before="156" w:after="156"/>
        <w:rPr>
          <w:rFonts w:hint="eastAsia"/>
        </w:rPr>
      </w:pPr>
      <w:r>
        <w:t>5.</w:t>
      </w:r>
      <w:r>
        <w:rPr>
          <w:rFonts w:hint="eastAsia"/>
          <w:lang w:val="en-US"/>
        </w:rPr>
        <w:t>3</w:t>
      </w:r>
      <w:r>
        <w:t xml:space="preserve">.10 </w:t>
      </w:r>
      <w:r>
        <w:rPr>
          <w:rFonts w:hint="eastAsia"/>
        </w:rPr>
        <w:t>与铁路并行交叉</w:t>
      </w:r>
    </w:p>
    <w:p w14:paraId="1AAF27BD">
      <w:pPr>
        <w:pStyle w:val="35"/>
        <w:spacing w:after="0" w:line="240" w:lineRule="auto"/>
        <w:ind w:firstLine="424" w:firstLineChars="202"/>
        <w:rPr>
          <w:rStyle w:val="156"/>
          <w:color w:val="auto"/>
        </w:rPr>
      </w:pPr>
      <w:r>
        <w:rPr>
          <w:rFonts w:hint="eastAsia" w:ascii="Times New Roman" w:hAnsi="Times New Roman"/>
          <w:color w:val="auto"/>
          <w:kern w:val="0"/>
          <w:szCs w:val="20"/>
        </w:rPr>
        <w:t>说明建设项目与铁路并行、交</w:t>
      </w:r>
      <w:r>
        <w:rPr>
          <w:rStyle w:val="156"/>
          <w:rFonts w:hint="eastAsia"/>
        </w:rPr>
        <w:t>叉情况</w:t>
      </w:r>
      <w:r>
        <w:rPr>
          <w:rStyle w:val="156"/>
          <w:rFonts w:hint="eastAsia"/>
          <w:color w:val="auto"/>
        </w:rPr>
        <w:t>，</w:t>
      </w:r>
      <w:r>
        <w:rPr>
          <w:rFonts w:hint="eastAsia" w:ascii="Times New Roman" w:hAnsi="Times New Roman"/>
          <w:color w:val="auto"/>
        </w:rPr>
        <w:t>列出</w:t>
      </w:r>
      <w:r>
        <w:rPr>
          <w:color w:val="auto"/>
        </w:rPr>
        <w:t>与铁路并行段统计表</w:t>
      </w:r>
      <w:r>
        <w:rPr>
          <w:rFonts w:hint="eastAsia"/>
          <w:color w:val="auto"/>
        </w:rPr>
        <w:t>和</w:t>
      </w:r>
      <w:r>
        <w:rPr>
          <w:color w:val="auto"/>
        </w:rPr>
        <w:t>与铁路交叉段统计表</w:t>
      </w:r>
      <w:r>
        <w:rPr>
          <w:rStyle w:val="156"/>
          <w:rFonts w:hint="eastAsia"/>
          <w:color w:val="auto"/>
        </w:rPr>
        <w:t>（</w:t>
      </w:r>
      <w:r>
        <w:rPr>
          <w:rFonts w:hint="eastAsia" w:ascii="Times New Roman" w:hAnsi="Times New Roman"/>
          <w:color w:val="auto"/>
          <w:kern w:val="0"/>
          <w:szCs w:val="20"/>
        </w:rPr>
        <w:t>见表</w:t>
      </w:r>
      <w:r>
        <w:rPr>
          <w:rFonts w:ascii="Times New Roman" w:hAnsi="Times New Roman"/>
          <w:color w:val="auto"/>
          <w:kern w:val="0"/>
          <w:szCs w:val="20"/>
        </w:rPr>
        <w:t>23</w:t>
      </w:r>
      <w:r>
        <w:rPr>
          <w:rFonts w:hint="eastAsia" w:ascii="Times New Roman" w:hAnsi="Times New Roman"/>
          <w:color w:val="auto"/>
          <w:kern w:val="0"/>
          <w:szCs w:val="20"/>
        </w:rPr>
        <w:t>和表</w:t>
      </w:r>
      <w:r>
        <w:rPr>
          <w:rFonts w:ascii="Times New Roman" w:hAnsi="Times New Roman"/>
          <w:color w:val="auto"/>
          <w:kern w:val="0"/>
          <w:szCs w:val="20"/>
        </w:rPr>
        <w:t>24</w:t>
      </w:r>
      <w:r>
        <w:rPr>
          <w:rFonts w:hint="eastAsia" w:ascii="Times New Roman" w:hAnsi="Times New Roman"/>
          <w:color w:val="auto"/>
          <w:kern w:val="0"/>
          <w:szCs w:val="20"/>
        </w:rPr>
        <w:t>）</w:t>
      </w:r>
      <w:r>
        <w:rPr>
          <w:rStyle w:val="156"/>
          <w:rFonts w:hint="eastAsia"/>
          <w:color w:val="auto"/>
        </w:rPr>
        <w:t>。</w:t>
      </w:r>
    </w:p>
    <w:p w14:paraId="4C943987">
      <w:pPr>
        <w:pStyle w:val="5"/>
        <w:rPr>
          <w:rFonts w:hint="eastAsia"/>
        </w:rPr>
      </w:pPr>
      <w:r>
        <w:t>表</w:t>
      </w:r>
      <w:r>
        <w:rPr>
          <w:rFonts w:ascii="Times New Roman" w:hAnsi="Times New Roman"/>
        </w:rPr>
        <w:t>23</w:t>
      </w:r>
      <w:r>
        <w:t xml:space="preserve"> 与铁路并行</w:t>
      </w:r>
      <w:r>
        <w:rPr>
          <w:rFonts w:hint="eastAsia"/>
        </w:rPr>
        <w:t>段统计表</w:t>
      </w:r>
    </w:p>
    <w:tbl>
      <w:tblPr>
        <w:tblStyle w:val="3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95"/>
        <w:gridCol w:w="1675"/>
        <w:gridCol w:w="1491"/>
        <w:gridCol w:w="1859"/>
        <w:gridCol w:w="1675"/>
        <w:gridCol w:w="1675"/>
      </w:tblGrid>
      <w:tr w14:paraId="3352FC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4" w:type="pct"/>
            <w:vAlign w:val="center"/>
          </w:tcPr>
          <w:p w14:paraId="6D6FCEE6">
            <w:pPr>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序号</w:t>
            </w:r>
          </w:p>
        </w:tc>
        <w:tc>
          <w:tcPr>
            <w:tcW w:w="875" w:type="pct"/>
            <w:vAlign w:val="center"/>
          </w:tcPr>
          <w:p w14:paraId="75614C1B">
            <w:pPr>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名称</w:t>
            </w:r>
          </w:p>
        </w:tc>
        <w:tc>
          <w:tcPr>
            <w:tcW w:w="779" w:type="pct"/>
            <w:vAlign w:val="center"/>
          </w:tcPr>
          <w:p w14:paraId="30B1A012">
            <w:pPr>
              <w:jc w:val="center"/>
              <w:rPr>
                <w:bCs/>
                <w:color w:val="000000" w:themeColor="text1"/>
                <w:sz w:val="18"/>
                <w:szCs w:val="18"/>
                <w14:textFill>
                  <w14:solidFill>
                    <w14:schemeClr w14:val="tx1"/>
                  </w14:solidFill>
                </w14:textFill>
              </w:rPr>
            </w:pPr>
            <w:r>
              <w:rPr>
                <w:rFonts w:eastAsiaTheme="minorEastAsia"/>
                <w:sz w:val="18"/>
                <w:szCs w:val="18"/>
              </w:rPr>
              <w:t>省（区、市）</w:t>
            </w:r>
            <w:r>
              <w:rPr>
                <w:rFonts w:hint="eastAsia" w:eastAsiaTheme="minorEastAsia"/>
                <w:sz w:val="18"/>
                <w:szCs w:val="18"/>
              </w:rPr>
              <w:t>、</w:t>
            </w:r>
            <w:r>
              <w:rPr>
                <w:rFonts w:hint="eastAsia"/>
                <w:bCs/>
                <w:color w:val="000000" w:themeColor="text1"/>
                <w:sz w:val="18"/>
                <w:szCs w:val="18"/>
                <w14:textFill>
                  <w14:solidFill>
                    <w14:schemeClr w14:val="tx1"/>
                  </w14:solidFill>
                </w14:textFill>
              </w:rPr>
              <w:t>市（设区）、县</w:t>
            </w:r>
          </w:p>
        </w:tc>
        <w:tc>
          <w:tcPr>
            <w:tcW w:w="971" w:type="pct"/>
            <w:vAlign w:val="center"/>
          </w:tcPr>
          <w:p w14:paraId="29569A8C">
            <w:pPr>
              <w:jc w:val="center"/>
              <w:rPr>
                <w:bCs/>
                <w:color w:val="000000" w:themeColor="text1"/>
                <w:sz w:val="18"/>
                <w:szCs w:val="18"/>
                <w14:textFill>
                  <w14:solidFill>
                    <w14:schemeClr w14:val="tx1"/>
                  </w14:solidFill>
                </w14:textFill>
              </w:rPr>
            </w:pPr>
            <w:r>
              <w:rPr>
                <w:rFonts w:hint="eastAsia"/>
                <w:bCs/>
                <w:sz w:val="18"/>
                <w:szCs w:val="18"/>
              </w:rPr>
              <w:t>类型</w:t>
            </w:r>
          </w:p>
        </w:tc>
        <w:tc>
          <w:tcPr>
            <w:tcW w:w="875" w:type="pct"/>
            <w:vAlign w:val="center"/>
          </w:tcPr>
          <w:p w14:paraId="7A73B5B0">
            <w:pPr>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并行长度</w:t>
            </w:r>
          </w:p>
          <w:p w14:paraId="440E100E">
            <w:pPr>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m</w:t>
            </w:r>
          </w:p>
        </w:tc>
        <w:tc>
          <w:tcPr>
            <w:tcW w:w="875" w:type="pct"/>
            <w:vAlign w:val="center"/>
          </w:tcPr>
          <w:p w14:paraId="6A8AD14F">
            <w:pPr>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并行间距</w:t>
            </w:r>
          </w:p>
          <w:p w14:paraId="6A8CB6F0">
            <w:pPr>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m</w:t>
            </w:r>
          </w:p>
        </w:tc>
      </w:tr>
      <w:tr w14:paraId="59FD36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4" w:type="pct"/>
            <w:vAlign w:val="center"/>
          </w:tcPr>
          <w:p w14:paraId="11BF592A">
            <w:pPr>
              <w:pStyle w:val="63"/>
              <w:snapToGrid/>
              <w:ind w:left="-80" w:right="-69"/>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875" w:type="pct"/>
            <w:vAlign w:val="center"/>
          </w:tcPr>
          <w:p w14:paraId="74CC5408">
            <w:pPr>
              <w:jc w:val="center"/>
              <w:rPr>
                <w:bCs/>
                <w:color w:val="000000" w:themeColor="text1"/>
                <w:sz w:val="18"/>
                <w:szCs w:val="18"/>
                <w14:textFill>
                  <w14:solidFill>
                    <w14:schemeClr w14:val="tx1"/>
                  </w14:solidFill>
                </w14:textFill>
              </w:rPr>
            </w:pPr>
          </w:p>
        </w:tc>
        <w:tc>
          <w:tcPr>
            <w:tcW w:w="779" w:type="pct"/>
            <w:vAlign w:val="center"/>
          </w:tcPr>
          <w:p w14:paraId="5DC0A473">
            <w:pPr>
              <w:jc w:val="center"/>
              <w:rPr>
                <w:bCs/>
                <w:color w:val="000000" w:themeColor="text1"/>
                <w:sz w:val="18"/>
                <w:szCs w:val="18"/>
                <w14:textFill>
                  <w14:solidFill>
                    <w14:schemeClr w14:val="tx1"/>
                  </w14:solidFill>
                </w14:textFill>
              </w:rPr>
            </w:pPr>
          </w:p>
        </w:tc>
        <w:tc>
          <w:tcPr>
            <w:tcW w:w="971" w:type="pct"/>
            <w:vAlign w:val="center"/>
          </w:tcPr>
          <w:p w14:paraId="4271BF32">
            <w:pPr>
              <w:jc w:val="center"/>
              <w:rPr>
                <w:bCs/>
                <w:color w:val="000000" w:themeColor="text1"/>
                <w:sz w:val="18"/>
                <w:szCs w:val="18"/>
                <w14:textFill>
                  <w14:solidFill>
                    <w14:schemeClr w14:val="tx1"/>
                  </w14:solidFill>
                </w14:textFill>
              </w:rPr>
            </w:pPr>
          </w:p>
        </w:tc>
        <w:tc>
          <w:tcPr>
            <w:tcW w:w="875" w:type="pct"/>
            <w:vAlign w:val="center"/>
          </w:tcPr>
          <w:p w14:paraId="20C0BED4">
            <w:pPr>
              <w:jc w:val="center"/>
              <w:rPr>
                <w:bCs/>
                <w:color w:val="000000" w:themeColor="text1"/>
                <w:sz w:val="18"/>
                <w:szCs w:val="18"/>
                <w14:textFill>
                  <w14:solidFill>
                    <w14:schemeClr w14:val="tx1"/>
                  </w14:solidFill>
                </w14:textFill>
              </w:rPr>
            </w:pPr>
          </w:p>
        </w:tc>
        <w:tc>
          <w:tcPr>
            <w:tcW w:w="875" w:type="pct"/>
          </w:tcPr>
          <w:p w14:paraId="1D658071">
            <w:pPr>
              <w:jc w:val="center"/>
              <w:rPr>
                <w:bCs/>
                <w:color w:val="000000" w:themeColor="text1"/>
                <w:sz w:val="18"/>
                <w:szCs w:val="18"/>
                <w14:textFill>
                  <w14:solidFill>
                    <w14:schemeClr w14:val="tx1"/>
                  </w14:solidFill>
                </w14:textFill>
              </w:rPr>
            </w:pPr>
          </w:p>
        </w:tc>
      </w:tr>
      <w:tr w14:paraId="449484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4" w:type="pct"/>
            <w:vAlign w:val="center"/>
          </w:tcPr>
          <w:p w14:paraId="6210A4F6">
            <w:pPr>
              <w:pStyle w:val="63"/>
              <w:snapToGrid/>
              <w:ind w:left="-80" w:right="-69"/>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w:t>
            </w:r>
          </w:p>
        </w:tc>
        <w:tc>
          <w:tcPr>
            <w:tcW w:w="875" w:type="pct"/>
            <w:vAlign w:val="center"/>
          </w:tcPr>
          <w:p w14:paraId="33954956">
            <w:pPr>
              <w:jc w:val="center"/>
              <w:rPr>
                <w:bCs/>
                <w:color w:val="000000" w:themeColor="text1"/>
                <w:sz w:val="18"/>
                <w:szCs w:val="18"/>
                <w14:textFill>
                  <w14:solidFill>
                    <w14:schemeClr w14:val="tx1"/>
                  </w14:solidFill>
                </w14:textFill>
              </w:rPr>
            </w:pPr>
          </w:p>
        </w:tc>
        <w:tc>
          <w:tcPr>
            <w:tcW w:w="779" w:type="pct"/>
            <w:vAlign w:val="center"/>
          </w:tcPr>
          <w:p w14:paraId="012B252A">
            <w:pPr>
              <w:jc w:val="center"/>
              <w:rPr>
                <w:bCs/>
                <w:color w:val="000000" w:themeColor="text1"/>
                <w:sz w:val="18"/>
                <w:szCs w:val="18"/>
                <w14:textFill>
                  <w14:solidFill>
                    <w14:schemeClr w14:val="tx1"/>
                  </w14:solidFill>
                </w14:textFill>
              </w:rPr>
            </w:pPr>
          </w:p>
        </w:tc>
        <w:tc>
          <w:tcPr>
            <w:tcW w:w="971" w:type="pct"/>
          </w:tcPr>
          <w:p w14:paraId="6F3D6338">
            <w:pPr>
              <w:jc w:val="center"/>
              <w:rPr>
                <w:bCs/>
                <w:color w:val="000000" w:themeColor="text1"/>
                <w:sz w:val="18"/>
                <w:szCs w:val="18"/>
                <w14:textFill>
                  <w14:solidFill>
                    <w14:schemeClr w14:val="tx1"/>
                  </w14:solidFill>
                </w14:textFill>
              </w:rPr>
            </w:pPr>
          </w:p>
        </w:tc>
        <w:tc>
          <w:tcPr>
            <w:tcW w:w="875" w:type="pct"/>
            <w:vAlign w:val="center"/>
          </w:tcPr>
          <w:p w14:paraId="21144692">
            <w:pPr>
              <w:jc w:val="center"/>
              <w:rPr>
                <w:bCs/>
                <w:color w:val="000000" w:themeColor="text1"/>
                <w:sz w:val="18"/>
                <w:szCs w:val="18"/>
                <w14:textFill>
                  <w14:solidFill>
                    <w14:schemeClr w14:val="tx1"/>
                  </w14:solidFill>
                </w14:textFill>
              </w:rPr>
            </w:pPr>
          </w:p>
        </w:tc>
        <w:tc>
          <w:tcPr>
            <w:tcW w:w="875" w:type="pct"/>
          </w:tcPr>
          <w:p w14:paraId="21E40B5C">
            <w:pPr>
              <w:jc w:val="center"/>
              <w:rPr>
                <w:bCs/>
                <w:color w:val="000000" w:themeColor="text1"/>
                <w:sz w:val="18"/>
                <w:szCs w:val="18"/>
                <w14:textFill>
                  <w14:solidFill>
                    <w14:schemeClr w14:val="tx1"/>
                  </w14:solidFill>
                </w14:textFill>
              </w:rPr>
            </w:pPr>
          </w:p>
        </w:tc>
      </w:tr>
    </w:tbl>
    <w:p w14:paraId="10A6C99E">
      <w:pPr>
        <w:pStyle w:val="35"/>
        <w:spacing w:after="0"/>
        <w:ind w:firstLine="424" w:firstLineChars="202"/>
      </w:pPr>
    </w:p>
    <w:p w14:paraId="6991601A">
      <w:pPr>
        <w:pStyle w:val="5"/>
        <w:rPr>
          <w:rFonts w:hint="eastAsia"/>
        </w:rPr>
      </w:pPr>
      <w:r>
        <w:t>表</w:t>
      </w:r>
      <w:r>
        <w:rPr>
          <w:rFonts w:ascii="Times New Roman" w:hAnsi="Times New Roman"/>
        </w:rPr>
        <w:t>24</w:t>
      </w:r>
      <w:r>
        <w:t xml:space="preserve"> 与铁路</w:t>
      </w:r>
      <w:r>
        <w:rPr>
          <w:rFonts w:hint="eastAsia"/>
        </w:rPr>
        <w:t>交叉段统计表</w:t>
      </w:r>
    </w:p>
    <w:tbl>
      <w:tblPr>
        <w:tblStyle w:val="3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014"/>
        <w:gridCol w:w="1428"/>
        <w:gridCol w:w="1269"/>
        <w:gridCol w:w="1581"/>
        <w:gridCol w:w="1426"/>
        <w:gridCol w:w="1426"/>
        <w:gridCol w:w="1426"/>
      </w:tblGrid>
      <w:tr w14:paraId="7EAB91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pct"/>
            <w:vAlign w:val="center"/>
          </w:tcPr>
          <w:p w14:paraId="0920BE02">
            <w:pPr>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序号</w:t>
            </w:r>
          </w:p>
        </w:tc>
        <w:tc>
          <w:tcPr>
            <w:tcW w:w="746" w:type="pct"/>
            <w:vAlign w:val="center"/>
          </w:tcPr>
          <w:p w14:paraId="4826102B">
            <w:pPr>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名称</w:t>
            </w:r>
          </w:p>
        </w:tc>
        <w:tc>
          <w:tcPr>
            <w:tcW w:w="663" w:type="pct"/>
            <w:vAlign w:val="center"/>
          </w:tcPr>
          <w:p w14:paraId="7747195C">
            <w:pPr>
              <w:jc w:val="center"/>
              <w:rPr>
                <w:bCs/>
                <w:color w:val="000000" w:themeColor="text1"/>
                <w:sz w:val="18"/>
                <w:szCs w:val="18"/>
                <w14:textFill>
                  <w14:solidFill>
                    <w14:schemeClr w14:val="tx1"/>
                  </w14:solidFill>
                </w14:textFill>
              </w:rPr>
            </w:pPr>
            <w:r>
              <w:rPr>
                <w:rFonts w:eastAsiaTheme="minorEastAsia"/>
                <w:sz w:val="18"/>
                <w:szCs w:val="18"/>
              </w:rPr>
              <w:t>省（区、市）</w:t>
            </w:r>
            <w:r>
              <w:rPr>
                <w:rFonts w:hint="eastAsia" w:eastAsiaTheme="minorEastAsia"/>
                <w:sz w:val="18"/>
                <w:szCs w:val="18"/>
              </w:rPr>
              <w:t>、</w:t>
            </w:r>
            <w:r>
              <w:rPr>
                <w:rFonts w:hint="eastAsia"/>
                <w:bCs/>
                <w:color w:val="000000" w:themeColor="text1"/>
                <w:sz w:val="18"/>
                <w:szCs w:val="18"/>
                <w14:textFill>
                  <w14:solidFill>
                    <w14:schemeClr w14:val="tx1"/>
                  </w14:solidFill>
                </w14:textFill>
              </w:rPr>
              <w:t>市（设区）、县</w:t>
            </w:r>
          </w:p>
        </w:tc>
        <w:tc>
          <w:tcPr>
            <w:tcW w:w="826" w:type="pct"/>
            <w:vAlign w:val="center"/>
          </w:tcPr>
          <w:p w14:paraId="7DA4D328">
            <w:pPr>
              <w:jc w:val="center"/>
              <w:rPr>
                <w:bCs/>
                <w:color w:val="000000" w:themeColor="text1"/>
                <w:sz w:val="18"/>
                <w:szCs w:val="18"/>
                <w14:textFill>
                  <w14:solidFill>
                    <w14:schemeClr w14:val="tx1"/>
                  </w14:solidFill>
                </w14:textFill>
              </w:rPr>
            </w:pPr>
            <w:r>
              <w:rPr>
                <w:rFonts w:hint="eastAsia"/>
                <w:bCs/>
                <w:sz w:val="18"/>
                <w:szCs w:val="18"/>
              </w:rPr>
              <w:t>类型</w:t>
            </w:r>
          </w:p>
        </w:tc>
        <w:tc>
          <w:tcPr>
            <w:tcW w:w="745" w:type="pct"/>
            <w:vAlign w:val="center"/>
          </w:tcPr>
          <w:p w14:paraId="3745A5BC">
            <w:pPr>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长度</w:t>
            </w:r>
          </w:p>
          <w:p w14:paraId="05F3EF0C">
            <w:pPr>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m</w:t>
            </w:r>
          </w:p>
        </w:tc>
        <w:tc>
          <w:tcPr>
            <w:tcW w:w="745" w:type="pct"/>
            <w:vAlign w:val="center"/>
          </w:tcPr>
          <w:p w14:paraId="7A26595A">
            <w:pPr>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方式</w:t>
            </w:r>
          </w:p>
        </w:tc>
        <w:tc>
          <w:tcPr>
            <w:tcW w:w="745" w:type="pct"/>
            <w:vAlign w:val="center"/>
          </w:tcPr>
          <w:p w14:paraId="2C3EC22A">
            <w:pPr>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备注</w:t>
            </w:r>
          </w:p>
        </w:tc>
      </w:tr>
      <w:tr w14:paraId="6ADC8B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pct"/>
            <w:vAlign w:val="center"/>
          </w:tcPr>
          <w:p w14:paraId="16F82B4B">
            <w:pPr>
              <w:pStyle w:val="63"/>
              <w:snapToGrid/>
              <w:ind w:left="-80" w:right="-69"/>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746" w:type="pct"/>
            <w:vAlign w:val="center"/>
          </w:tcPr>
          <w:p w14:paraId="49A1A467">
            <w:pPr>
              <w:jc w:val="center"/>
              <w:rPr>
                <w:bCs/>
                <w:color w:val="000000" w:themeColor="text1"/>
                <w:sz w:val="18"/>
                <w:szCs w:val="18"/>
                <w14:textFill>
                  <w14:solidFill>
                    <w14:schemeClr w14:val="tx1"/>
                  </w14:solidFill>
                </w14:textFill>
              </w:rPr>
            </w:pPr>
          </w:p>
        </w:tc>
        <w:tc>
          <w:tcPr>
            <w:tcW w:w="663" w:type="pct"/>
            <w:vAlign w:val="center"/>
          </w:tcPr>
          <w:p w14:paraId="592CDA2F">
            <w:pPr>
              <w:jc w:val="center"/>
              <w:rPr>
                <w:bCs/>
                <w:color w:val="000000" w:themeColor="text1"/>
                <w:sz w:val="18"/>
                <w:szCs w:val="18"/>
                <w14:textFill>
                  <w14:solidFill>
                    <w14:schemeClr w14:val="tx1"/>
                  </w14:solidFill>
                </w14:textFill>
              </w:rPr>
            </w:pPr>
          </w:p>
        </w:tc>
        <w:tc>
          <w:tcPr>
            <w:tcW w:w="826" w:type="pct"/>
            <w:vAlign w:val="center"/>
          </w:tcPr>
          <w:p w14:paraId="28BB23F4">
            <w:pPr>
              <w:jc w:val="center"/>
              <w:rPr>
                <w:bCs/>
                <w:color w:val="000000" w:themeColor="text1"/>
                <w:sz w:val="18"/>
                <w:szCs w:val="18"/>
                <w14:textFill>
                  <w14:solidFill>
                    <w14:schemeClr w14:val="tx1"/>
                  </w14:solidFill>
                </w14:textFill>
              </w:rPr>
            </w:pPr>
          </w:p>
        </w:tc>
        <w:tc>
          <w:tcPr>
            <w:tcW w:w="745" w:type="pct"/>
            <w:vAlign w:val="center"/>
          </w:tcPr>
          <w:p w14:paraId="2E5F0A2E">
            <w:pPr>
              <w:jc w:val="center"/>
              <w:rPr>
                <w:bCs/>
                <w:color w:val="000000" w:themeColor="text1"/>
                <w:sz w:val="18"/>
                <w:szCs w:val="18"/>
                <w14:textFill>
                  <w14:solidFill>
                    <w14:schemeClr w14:val="tx1"/>
                  </w14:solidFill>
                </w14:textFill>
              </w:rPr>
            </w:pPr>
          </w:p>
        </w:tc>
        <w:tc>
          <w:tcPr>
            <w:tcW w:w="745" w:type="pct"/>
            <w:vAlign w:val="center"/>
          </w:tcPr>
          <w:p w14:paraId="0F164594">
            <w:pPr>
              <w:jc w:val="center"/>
              <w:rPr>
                <w:bCs/>
                <w:color w:val="000000" w:themeColor="text1"/>
                <w:sz w:val="18"/>
                <w:szCs w:val="18"/>
                <w14:textFill>
                  <w14:solidFill>
                    <w14:schemeClr w14:val="tx1"/>
                  </w14:solidFill>
                </w14:textFill>
              </w:rPr>
            </w:pPr>
          </w:p>
        </w:tc>
        <w:tc>
          <w:tcPr>
            <w:tcW w:w="745" w:type="pct"/>
          </w:tcPr>
          <w:p w14:paraId="64780173">
            <w:pPr>
              <w:jc w:val="center"/>
              <w:rPr>
                <w:bCs/>
                <w:color w:val="000000" w:themeColor="text1"/>
                <w:sz w:val="18"/>
                <w:szCs w:val="18"/>
                <w14:textFill>
                  <w14:solidFill>
                    <w14:schemeClr w14:val="tx1"/>
                  </w14:solidFill>
                </w14:textFill>
              </w:rPr>
            </w:pPr>
          </w:p>
        </w:tc>
      </w:tr>
      <w:tr w14:paraId="48F991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pct"/>
            <w:vAlign w:val="center"/>
          </w:tcPr>
          <w:p w14:paraId="29F17D5C">
            <w:pPr>
              <w:pStyle w:val="63"/>
              <w:snapToGrid/>
              <w:ind w:left="-80" w:right="-69"/>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w:t>
            </w:r>
          </w:p>
        </w:tc>
        <w:tc>
          <w:tcPr>
            <w:tcW w:w="746" w:type="pct"/>
            <w:vAlign w:val="center"/>
          </w:tcPr>
          <w:p w14:paraId="3062FFF9">
            <w:pPr>
              <w:jc w:val="center"/>
              <w:rPr>
                <w:bCs/>
                <w:color w:val="000000" w:themeColor="text1"/>
                <w:sz w:val="18"/>
                <w:szCs w:val="18"/>
                <w14:textFill>
                  <w14:solidFill>
                    <w14:schemeClr w14:val="tx1"/>
                  </w14:solidFill>
                </w14:textFill>
              </w:rPr>
            </w:pPr>
          </w:p>
        </w:tc>
        <w:tc>
          <w:tcPr>
            <w:tcW w:w="663" w:type="pct"/>
            <w:vAlign w:val="center"/>
          </w:tcPr>
          <w:p w14:paraId="6102CD38">
            <w:pPr>
              <w:jc w:val="center"/>
              <w:rPr>
                <w:bCs/>
                <w:color w:val="000000" w:themeColor="text1"/>
                <w:sz w:val="18"/>
                <w:szCs w:val="18"/>
                <w14:textFill>
                  <w14:solidFill>
                    <w14:schemeClr w14:val="tx1"/>
                  </w14:solidFill>
                </w14:textFill>
              </w:rPr>
            </w:pPr>
          </w:p>
        </w:tc>
        <w:tc>
          <w:tcPr>
            <w:tcW w:w="826" w:type="pct"/>
            <w:vAlign w:val="center"/>
          </w:tcPr>
          <w:p w14:paraId="4387CE69">
            <w:pPr>
              <w:jc w:val="center"/>
              <w:rPr>
                <w:bCs/>
                <w:color w:val="000000" w:themeColor="text1"/>
                <w:sz w:val="18"/>
                <w:szCs w:val="18"/>
                <w14:textFill>
                  <w14:solidFill>
                    <w14:schemeClr w14:val="tx1"/>
                  </w14:solidFill>
                </w14:textFill>
              </w:rPr>
            </w:pPr>
          </w:p>
        </w:tc>
        <w:tc>
          <w:tcPr>
            <w:tcW w:w="745" w:type="pct"/>
            <w:vAlign w:val="center"/>
          </w:tcPr>
          <w:p w14:paraId="4C066FA8">
            <w:pPr>
              <w:jc w:val="center"/>
              <w:rPr>
                <w:bCs/>
                <w:color w:val="000000" w:themeColor="text1"/>
                <w:sz w:val="18"/>
                <w:szCs w:val="18"/>
                <w14:textFill>
                  <w14:solidFill>
                    <w14:schemeClr w14:val="tx1"/>
                  </w14:solidFill>
                </w14:textFill>
              </w:rPr>
            </w:pPr>
          </w:p>
        </w:tc>
        <w:tc>
          <w:tcPr>
            <w:tcW w:w="745" w:type="pct"/>
            <w:vAlign w:val="center"/>
          </w:tcPr>
          <w:p w14:paraId="2DF64DE2">
            <w:pPr>
              <w:jc w:val="center"/>
              <w:rPr>
                <w:bCs/>
                <w:color w:val="000000" w:themeColor="text1"/>
                <w:sz w:val="18"/>
                <w:szCs w:val="18"/>
                <w14:textFill>
                  <w14:solidFill>
                    <w14:schemeClr w14:val="tx1"/>
                  </w14:solidFill>
                </w14:textFill>
              </w:rPr>
            </w:pPr>
          </w:p>
        </w:tc>
        <w:tc>
          <w:tcPr>
            <w:tcW w:w="745" w:type="pct"/>
          </w:tcPr>
          <w:p w14:paraId="5D16A660">
            <w:pPr>
              <w:jc w:val="center"/>
              <w:rPr>
                <w:bCs/>
                <w:color w:val="000000" w:themeColor="text1"/>
                <w:sz w:val="18"/>
                <w:szCs w:val="18"/>
                <w14:textFill>
                  <w14:solidFill>
                    <w14:schemeClr w14:val="tx1"/>
                  </w14:solidFill>
                </w14:textFill>
              </w:rPr>
            </w:pPr>
          </w:p>
        </w:tc>
      </w:tr>
      <w:tr w14:paraId="3375CB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7"/>
            <w:vAlign w:val="center"/>
          </w:tcPr>
          <w:p w14:paraId="294E1484">
            <w:pPr>
              <w:ind w:firstLine="360" w:firstLineChars="200"/>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注：备注中说明路基或桥下穿越及其他情况。</w:t>
            </w:r>
          </w:p>
        </w:tc>
      </w:tr>
    </w:tbl>
    <w:p w14:paraId="49151B6C">
      <w:pPr>
        <w:adjustRightInd w:val="0"/>
        <w:spacing w:line="240" w:lineRule="auto"/>
        <w:jc w:val="left"/>
        <w:rPr>
          <w:rFonts w:hint="eastAsia" w:hAnsi="宋体"/>
          <w:bCs/>
          <w:color w:val="000000" w:themeColor="text1"/>
          <w:szCs w:val="21"/>
          <w14:textFill>
            <w14:solidFill>
              <w14:schemeClr w14:val="tx1"/>
            </w14:solidFill>
          </w14:textFill>
        </w:rPr>
      </w:pPr>
    </w:p>
    <w:p w14:paraId="49C9E64F">
      <w:pPr>
        <w:pStyle w:val="153"/>
        <w:spacing w:before="156" w:after="156"/>
        <w:rPr>
          <w:rFonts w:hint="eastAsia"/>
        </w:rPr>
      </w:pPr>
      <w:r>
        <w:t>5.</w:t>
      </w:r>
      <w:r>
        <w:rPr>
          <w:rFonts w:hint="eastAsia"/>
          <w:lang w:val="en-US"/>
        </w:rPr>
        <w:t>3</w:t>
      </w:r>
      <w:r>
        <w:t xml:space="preserve">.11 </w:t>
      </w:r>
      <w:r>
        <w:rPr>
          <w:rFonts w:hint="eastAsia"/>
        </w:rPr>
        <w:t>与公路并行交叉</w:t>
      </w:r>
    </w:p>
    <w:p w14:paraId="61954A00">
      <w:pPr>
        <w:pStyle w:val="35"/>
        <w:spacing w:after="0" w:line="240" w:lineRule="auto"/>
        <w:ind w:firstLine="424" w:firstLineChars="202"/>
        <w:rPr>
          <w:rFonts w:ascii="Times New Roman" w:hAnsi="Times New Roman"/>
          <w:color w:val="auto"/>
          <w:kern w:val="0"/>
          <w:szCs w:val="20"/>
        </w:rPr>
      </w:pPr>
      <w:r>
        <w:rPr>
          <w:rFonts w:hint="eastAsia" w:ascii="Times New Roman" w:hAnsi="Times New Roman"/>
          <w:color w:val="auto"/>
          <w:kern w:val="0"/>
          <w:szCs w:val="20"/>
        </w:rPr>
        <w:t>说明建设项目与公路并行、交叉情</w:t>
      </w:r>
      <w:r>
        <w:rPr>
          <w:rStyle w:val="156"/>
          <w:rFonts w:hint="eastAsia"/>
          <w:color w:val="auto"/>
        </w:rPr>
        <w:t>况，</w:t>
      </w:r>
      <w:r>
        <w:rPr>
          <w:rFonts w:hint="eastAsia" w:ascii="Times New Roman" w:hAnsi="Times New Roman"/>
          <w:color w:val="auto"/>
        </w:rPr>
        <w:t>列出</w:t>
      </w:r>
      <w:r>
        <w:rPr>
          <w:color w:val="auto"/>
        </w:rPr>
        <w:t>与公</w:t>
      </w:r>
      <w:r>
        <w:t>路并行段统计表</w:t>
      </w:r>
      <w:r>
        <w:rPr>
          <w:rFonts w:hint="eastAsia"/>
        </w:rPr>
        <w:t>和</w:t>
      </w:r>
      <w:r>
        <w:t>与公路交叉段统计表</w:t>
      </w:r>
      <w:r>
        <w:rPr>
          <w:rStyle w:val="156"/>
          <w:rFonts w:hint="eastAsia"/>
        </w:rPr>
        <w:t>（</w:t>
      </w:r>
      <w:r>
        <w:rPr>
          <w:rFonts w:hint="eastAsia" w:ascii="Times New Roman" w:hAnsi="Times New Roman"/>
          <w:color w:val="auto"/>
          <w:kern w:val="0"/>
          <w:szCs w:val="20"/>
        </w:rPr>
        <w:t>见表</w:t>
      </w:r>
      <w:r>
        <w:rPr>
          <w:rFonts w:ascii="Times New Roman" w:hAnsi="Times New Roman"/>
          <w:color w:val="auto"/>
          <w:kern w:val="0"/>
          <w:szCs w:val="20"/>
        </w:rPr>
        <w:t>25</w:t>
      </w:r>
      <w:r>
        <w:rPr>
          <w:rFonts w:hint="eastAsia" w:ascii="Times New Roman" w:hAnsi="Times New Roman"/>
          <w:color w:val="auto"/>
          <w:kern w:val="0"/>
          <w:szCs w:val="20"/>
        </w:rPr>
        <w:t>和表</w:t>
      </w:r>
      <w:r>
        <w:rPr>
          <w:rFonts w:ascii="Times New Roman" w:hAnsi="Times New Roman"/>
          <w:color w:val="auto"/>
          <w:kern w:val="0"/>
          <w:szCs w:val="20"/>
        </w:rPr>
        <w:t>26</w:t>
      </w:r>
      <w:r>
        <w:rPr>
          <w:rFonts w:hint="eastAsia" w:ascii="Times New Roman" w:hAnsi="Times New Roman"/>
          <w:color w:val="auto"/>
          <w:kern w:val="0"/>
          <w:szCs w:val="20"/>
        </w:rPr>
        <w:t>）。</w:t>
      </w:r>
    </w:p>
    <w:p w14:paraId="3744D205">
      <w:pPr>
        <w:pStyle w:val="5"/>
        <w:rPr>
          <w:rFonts w:hint="eastAsia"/>
        </w:rPr>
      </w:pPr>
      <w:r>
        <w:t>表</w:t>
      </w:r>
      <w:r>
        <w:rPr>
          <w:rFonts w:ascii="Times New Roman" w:hAnsi="Times New Roman"/>
        </w:rPr>
        <w:t>25</w:t>
      </w:r>
      <w:r>
        <w:t xml:space="preserve"> 与公路并行</w:t>
      </w:r>
      <w:r>
        <w:rPr>
          <w:rFonts w:hint="eastAsia"/>
        </w:rPr>
        <w:t>段统计表</w:t>
      </w:r>
    </w:p>
    <w:tbl>
      <w:tblPr>
        <w:tblStyle w:val="3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50"/>
        <w:gridCol w:w="1746"/>
        <w:gridCol w:w="1465"/>
        <w:gridCol w:w="1734"/>
        <w:gridCol w:w="1746"/>
        <w:gridCol w:w="1729"/>
      </w:tblGrid>
      <w:tr w14:paraId="311D8B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601" w:type="pct"/>
            <w:vAlign w:val="center"/>
          </w:tcPr>
          <w:p w14:paraId="6639D27F">
            <w:pPr>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序号</w:t>
            </w:r>
          </w:p>
        </w:tc>
        <w:tc>
          <w:tcPr>
            <w:tcW w:w="912" w:type="pct"/>
            <w:vAlign w:val="center"/>
          </w:tcPr>
          <w:p w14:paraId="534D3351">
            <w:pPr>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名称</w:t>
            </w:r>
          </w:p>
        </w:tc>
        <w:tc>
          <w:tcPr>
            <w:tcW w:w="765" w:type="pct"/>
            <w:vAlign w:val="center"/>
          </w:tcPr>
          <w:p w14:paraId="53B69AD1">
            <w:pPr>
              <w:jc w:val="center"/>
              <w:rPr>
                <w:bCs/>
                <w:color w:val="000000" w:themeColor="text1"/>
                <w:sz w:val="18"/>
                <w:szCs w:val="18"/>
                <w14:textFill>
                  <w14:solidFill>
                    <w14:schemeClr w14:val="tx1"/>
                  </w14:solidFill>
                </w14:textFill>
              </w:rPr>
            </w:pPr>
            <w:r>
              <w:rPr>
                <w:rFonts w:eastAsiaTheme="minorEastAsia"/>
                <w:sz w:val="18"/>
                <w:szCs w:val="18"/>
              </w:rPr>
              <w:t>省（区、市）</w:t>
            </w:r>
            <w:r>
              <w:rPr>
                <w:rFonts w:hint="eastAsia" w:eastAsiaTheme="minorEastAsia"/>
                <w:sz w:val="18"/>
                <w:szCs w:val="18"/>
              </w:rPr>
              <w:t>、</w:t>
            </w:r>
            <w:r>
              <w:rPr>
                <w:rFonts w:hint="eastAsia"/>
                <w:bCs/>
                <w:color w:val="000000" w:themeColor="text1"/>
                <w:sz w:val="18"/>
                <w:szCs w:val="18"/>
                <w14:textFill>
                  <w14:solidFill>
                    <w14:schemeClr w14:val="tx1"/>
                  </w14:solidFill>
                </w14:textFill>
              </w:rPr>
              <w:t>市（设区）、县</w:t>
            </w:r>
          </w:p>
        </w:tc>
        <w:tc>
          <w:tcPr>
            <w:tcW w:w="906" w:type="pct"/>
            <w:vAlign w:val="center"/>
          </w:tcPr>
          <w:p w14:paraId="1F5E2F73">
            <w:pPr>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公路等级</w:t>
            </w:r>
          </w:p>
        </w:tc>
        <w:tc>
          <w:tcPr>
            <w:tcW w:w="912" w:type="pct"/>
            <w:vAlign w:val="center"/>
          </w:tcPr>
          <w:p w14:paraId="7B4F1B5A">
            <w:pPr>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并行长度</w:t>
            </w:r>
          </w:p>
          <w:p w14:paraId="24D93DF7">
            <w:pPr>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m</w:t>
            </w:r>
          </w:p>
        </w:tc>
        <w:tc>
          <w:tcPr>
            <w:tcW w:w="903" w:type="pct"/>
            <w:vAlign w:val="center"/>
          </w:tcPr>
          <w:p w14:paraId="3D2AE05B">
            <w:pPr>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并行间距</w:t>
            </w:r>
          </w:p>
          <w:p w14:paraId="30EDE2AB">
            <w:pPr>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m</w:t>
            </w:r>
          </w:p>
        </w:tc>
      </w:tr>
      <w:tr w14:paraId="5FEBDF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601" w:type="pct"/>
            <w:vAlign w:val="center"/>
          </w:tcPr>
          <w:p w14:paraId="5574A50A">
            <w:pPr>
              <w:pStyle w:val="63"/>
              <w:snapToGrid/>
              <w:ind w:left="-80" w:right="-69"/>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912" w:type="pct"/>
            <w:vAlign w:val="center"/>
          </w:tcPr>
          <w:p w14:paraId="76EC5BB4">
            <w:pPr>
              <w:jc w:val="center"/>
              <w:rPr>
                <w:bCs/>
                <w:color w:val="000000" w:themeColor="text1"/>
                <w:sz w:val="18"/>
                <w:szCs w:val="18"/>
                <w14:textFill>
                  <w14:solidFill>
                    <w14:schemeClr w14:val="tx1"/>
                  </w14:solidFill>
                </w14:textFill>
              </w:rPr>
            </w:pPr>
          </w:p>
        </w:tc>
        <w:tc>
          <w:tcPr>
            <w:tcW w:w="765" w:type="pct"/>
            <w:vAlign w:val="center"/>
          </w:tcPr>
          <w:p w14:paraId="6486F7E2">
            <w:pPr>
              <w:jc w:val="center"/>
              <w:rPr>
                <w:bCs/>
                <w:color w:val="000000" w:themeColor="text1"/>
                <w:sz w:val="18"/>
                <w:szCs w:val="18"/>
                <w14:textFill>
                  <w14:solidFill>
                    <w14:schemeClr w14:val="tx1"/>
                  </w14:solidFill>
                </w14:textFill>
              </w:rPr>
            </w:pPr>
          </w:p>
        </w:tc>
        <w:tc>
          <w:tcPr>
            <w:tcW w:w="906" w:type="pct"/>
            <w:vAlign w:val="center"/>
          </w:tcPr>
          <w:p w14:paraId="28E07DBB">
            <w:pPr>
              <w:jc w:val="center"/>
              <w:rPr>
                <w:bCs/>
                <w:color w:val="000000" w:themeColor="text1"/>
                <w:sz w:val="18"/>
                <w:szCs w:val="18"/>
                <w14:textFill>
                  <w14:solidFill>
                    <w14:schemeClr w14:val="tx1"/>
                  </w14:solidFill>
                </w14:textFill>
              </w:rPr>
            </w:pPr>
          </w:p>
        </w:tc>
        <w:tc>
          <w:tcPr>
            <w:tcW w:w="912" w:type="pct"/>
            <w:vAlign w:val="center"/>
          </w:tcPr>
          <w:p w14:paraId="47444699">
            <w:pPr>
              <w:jc w:val="center"/>
              <w:rPr>
                <w:bCs/>
                <w:color w:val="000000" w:themeColor="text1"/>
                <w:sz w:val="18"/>
                <w:szCs w:val="18"/>
                <w14:textFill>
                  <w14:solidFill>
                    <w14:schemeClr w14:val="tx1"/>
                  </w14:solidFill>
                </w14:textFill>
              </w:rPr>
            </w:pPr>
          </w:p>
        </w:tc>
        <w:tc>
          <w:tcPr>
            <w:tcW w:w="903" w:type="pct"/>
            <w:vAlign w:val="center"/>
          </w:tcPr>
          <w:p w14:paraId="2155495B">
            <w:pPr>
              <w:jc w:val="center"/>
              <w:rPr>
                <w:bCs/>
                <w:color w:val="000000" w:themeColor="text1"/>
                <w:sz w:val="18"/>
                <w:szCs w:val="18"/>
                <w14:textFill>
                  <w14:solidFill>
                    <w14:schemeClr w14:val="tx1"/>
                  </w14:solidFill>
                </w14:textFill>
              </w:rPr>
            </w:pPr>
          </w:p>
        </w:tc>
      </w:tr>
      <w:tr w14:paraId="4E08F2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601" w:type="pct"/>
            <w:vAlign w:val="center"/>
          </w:tcPr>
          <w:p w14:paraId="76EA4196">
            <w:pPr>
              <w:pStyle w:val="63"/>
              <w:snapToGrid/>
              <w:ind w:left="-80" w:right="-69"/>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w:t>
            </w:r>
          </w:p>
        </w:tc>
        <w:tc>
          <w:tcPr>
            <w:tcW w:w="912" w:type="pct"/>
            <w:vAlign w:val="center"/>
          </w:tcPr>
          <w:p w14:paraId="13E2FCA6">
            <w:pPr>
              <w:jc w:val="center"/>
              <w:rPr>
                <w:bCs/>
                <w:color w:val="000000" w:themeColor="text1"/>
                <w:sz w:val="18"/>
                <w:szCs w:val="18"/>
                <w14:textFill>
                  <w14:solidFill>
                    <w14:schemeClr w14:val="tx1"/>
                  </w14:solidFill>
                </w14:textFill>
              </w:rPr>
            </w:pPr>
          </w:p>
        </w:tc>
        <w:tc>
          <w:tcPr>
            <w:tcW w:w="765" w:type="pct"/>
            <w:vAlign w:val="center"/>
          </w:tcPr>
          <w:p w14:paraId="0603282D">
            <w:pPr>
              <w:jc w:val="center"/>
              <w:rPr>
                <w:bCs/>
                <w:color w:val="000000" w:themeColor="text1"/>
                <w:sz w:val="18"/>
                <w:szCs w:val="18"/>
                <w14:textFill>
                  <w14:solidFill>
                    <w14:schemeClr w14:val="tx1"/>
                  </w14:solidFill>
                </w14:textFill>
              </w:rPr>
            </w:pPr>
          </w:p>
        </w:tc>
        <w:tc>
          <w:tcPr>
            <w:tcW w:w="906" w:type="pct"/>
            <w:vAlign w:val="center"/>
          </w:tcPr>
          <w:p w14:paraId="4228FED8">
            <w:pPr>
              <w:jc w:val="center"/>
              <w:rPr>
                <w:bCs/>
                <w:color w:val="000000" w:themeColor="text1"/>
                <w:sz w:val="18"/>
                <w:szCs w:val="18"/>
                <w14:textFill>
                  <w14:solidFill>
                    <w14:schemeClr w14:val="tx1"/>
                  </w14:solidFill>
                </w14:textFill>
              </w:rPr>
            </w:pPr>
          </w:p>
        </w:tc>
        <w:tc>
          <w:tcPr>
            <w:tcW w:w="912" w:type="pct"/>
            <w:vAlign w:val="center"/>
          </w:tcPr>
          <w:p w14:paraId="39C57CA9">
            <w:pPr>
              <w:jc w:val="center"/>
              <w:rPr>
                <w:bCs/>
                <w:color w:val="000000" w:themeColor="text1"/>
                <w:sz w:val="18"/>
                <w:szCs w:val="18"/>
                <w14:textFill>
                  <w14:solidFill>
                    <w14:schemeClr w14:val="tx1"/>
                  </w14:solidFill>
                </w14:textFill>
              </w:rPr>
            </w:pPr>
          </w:p>
        </w:tc>
        <w:tc>
          <w:tcPr>
            <w:tcW w:w="903" w:type="pct"/>
            <w:vAlign w:val="center"/>
          </w:tcPr>
          <w:p w14:paraId="684C3137">
            <w:pPr>
              <w:jc w:val="center"/>
              <w:rPr>
                <w:bCs/>
                <w:color w:val="000000" w:themeColor="text1"/>
                <w:sz w:val="18"/>
                <w:szCs w:val="18"/>
                <w14:textFill>
                  <w14:solidFill>
                    <w14:schemeClr w14:val="tx1"/>
                  </w14:solidFill>
                </w14:textFill>
              </w:rPr>
            </w:pPr>
          </w:p>
        </w:tc>
      </w:tr>
    </w:tbl>
    <w:p w14:paraId="484486AF">
      <w:pPr>
        <w:pStyle w:val="35"/>
        <w:spacing w:after="0"/>
        <w:ind w:firstLine="424" w:firstLineChars="202"/>
      </w:pPr>
    </w:p>
    <w:p w14:paraId="07EFB414">
      <w:pPr>
        <w:pStyle w:val="5"/>
        <w:rPr>
          <w:rFonts w:hint="eastAsia"/>
        </w:rPr>
      </w:pPr>
      <w:r>
        <w:t>表</w:t>
      </w:r>
      <w:r>
        <w:rPr>
          <w:rFonts w:ascii="Times New Roman" w:hAnsi="Times New Roman"/>
        </w:rPr>
        <w:t>26</w:t>
      </w:r>
      <w:r>
        <w:t xml:space="preserve"> 与公路</w:t>
      </w:r>
      <w:r>
        <w:rPr>
          <w:rFonts w:hint="eastAsia"/>
        </w:rPr>
        <w:t>交叉段统计表</w:t>
      </w:r>
    </w:p>
    <w:tbl>
      <w:tblPr>
        <w:tblStyle w:val="3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1146"/>
        <w:gridCol w:w="1194"/>
        <w:gridCol w:w="1669"/>
        <w:gridCol w:w="1577"/>
        <w:gridCol w:w="1577"/>
        <w:gridCol w:w="1574"/>
      </w:tblGrid>
      <w:tr w14:paraId="0DD03A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435" w:type="pct"/>
            <w:vAlign w:val="center"/>
          </w:tcPr>
          <w:p w14:paraId="11DC2834">
            <w:pPr>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序号</w:t>
            </w:r>
          </w:p>
        </w:tc>
        <w:tc>
          <w:tcPr>
            <w:tcW w:w="599" w:type="pct"/>
            <w:vAlign w:val="center"/>
          </w:tcPr>
          <w:p w14:paraId="45FF0A90">
            <w:pPr>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名称</w:t>
            </w:r>
          </w:p>
        </w:tc>
        <w:tc>
          <w:tcPr>
            <w:tcW w:w="624" w:type="pct"/>
            <w:vAlign w:val="center"/>
          </w:tcPr>
          <w:p w14:paraId="64450E93">
            <w:pPr>
              <w:jc w:val="center"/>
              <w:rPr>
                <w:bCs/>
                <w:color w:val="000000" w:themeColor="text1"/>
                <w:sz w:val="18"/>
                <w:szCs w:val="18"/>
                <w14:textFill>
                  <w14:solidFill>
                    <w14:schemeClr w14:val="tx1"/>
                  </w14:solidFill>
                </w14:textFill>
              </w:rPr>
            </w:pPr>
            <w:r>
              <w:rPr>
                <w:rFonts w:eastAsiaTheme="minorEastAsia"/>
                <w:sz w:val="18"/>
                <w:szCs w:val="18"/>
              </w:rPr>
              <w:t>省（区、市）</w:t>
            </w:r>
            <w:r>
              <w:rPr>
                <w:rFonts w:hint="eastAsia" w:eastAsiaTheme="minorEastAsia"/>
                <w:sz w:val="18"/>
                <w:szCs w:val="18"/>
              </w:rPr>
              <w:t>、</w:t>
            </w:r>
            <w:r>
              <w:rPr>
                <w:rFonts w:hint="eastAsia"/>
                <w:bCs/>
                <w:color w:val="000000" w:themeColor="text1"/>
                <w:sz w:val="18"/>
                <w:szCs w:val="18"/>
                <w14:textFill>
                  <w14:solidFill>
                    <w14:schemeClr w14:val="tx1"/>
                  </w14:solidFill>
                </w14:textFill>
              </w:rPr>
              <w:t>市（设区）、县</w:t>
            </w:r>
          </w:p>
        </w:tc>
        <w:tc>
          <w:tcPr>
            <w:tcW w:w="872" w:type="pct"/>
            <w:vAlign w:val="center"/>
          </w:tcPr>
          <w:p w14:paraId="484D1C8E">
            <w:pPr>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长度</w:t>
            </w:r>
          </w:p>
          <w:p w14:paraId="514D56CA">
            <w:pPr>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m</w:t>
            </w:r>
          </w:p>
        </w:tc>
        <w:tc>
          <w:tcPr>
            <w:tcW w:w="824" w:type="pct"/>
            <w:vAlign w:val="center"/>
          </w:tcPr>
          <w:p w14:paraId="1F07701B">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交叉角度</w:t>
            </w:r>
          </w:p>
          <w:p w14:paraId="7B6484C9">
            <w:pPr>
              <w:jc w:val="center"/>
              <w:rPr>
                <w:bCs/>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w:t>
            </w:r>
          </w:p>
        </w:tc>
        <w:tc>
          <w:tcPr>
            <w:tcW w:w="824" w:type="pct"/>
            <w:vAlign w:val="center"/>
          </w:tcPr>
          <w:p w14:paraId="5A471013">
            <w:pPr>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方式</w:t>
            </w:r>
          </w:p>
        </w:tc>
        <w:tc>
          <w:tcPr>
            <w:tcW w:w="823" w:type="pct"/>
            <w:vAlign w:val="center"/>
          </w:tcPr>
          <w:p w14:paraId="734088E2">
            <w:pPr>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备注</w:t>
            </w:r>
          </w:p>
        </w:tc>
      </w:tr>
      <w:tr w14:paraId="39507A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435" w:type="pct"/>
            <w:vAlign w:val="center"/>
          </w:tcPr>
          <w:p w14:paraId="08516517">
            <w:pPr>
              <w:pStyle w:val="63"/>
              <w:snapToGrid/>
              <w:ind w:left="-80" w:right="-69"/>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599" w:type="pct"/>
            <w:vAlign w:val="center"/>
          </w:tcPr>
          <w:p w14:paraId="359FE9F0">
            <w:pPr>
              <w:jc w:val="center"/>
              <w:rPr>
                <w:bCs/>
                <w:color w:val="000000" w:themeColor="text1"/>
                <w:sz w:val="18"/>
                <w:szCs w:val="18"/>
                <w14:textFill>
                  <w14:solidFill>
                    <w14:schemeClr w14:val="tx1"/>
                  </w14:solidFill>
                </w14:textFill>
              </w:rPr>
            </w:pPr>
          </w:p>
        </w:tc>
        <w:tc>
          <w:tcPr>
            <w:tcW w:w="624" w:type="pct"/>
            <w:vAlign w:val="center"/>
          </w:tcPr>
          <w:p w14:paraId="52DE7A12">
            <w:pPr>
              <w:jc w:val="center"/>
              <w:rPr>
                <w:bCs/>
                <w:color w:val="000000" w:themeColor="text1"/>
                <w:sz w:val="18"/>
                <w:szCs w:val="18"/>
                <w14:textFill>
                  <w14:solidFill>
                    <w14:schemeClr w14:val="tx1"/>
                  </w14:solidFill>
                </w14:textFill>
              </w:rPr>
            </w:pPr>
          </w:p>
        </w:tc>
        <w:tc>
          <w:tcPr>
            <w:tcW w:w="872" w:type="pct"/>
            <w:vAlign w:val="center"/>
          </w:tcPr>
          <w:p w14:paraId="3BFDF53B">
            <w:pPr>
              <w:jc w:val="center"/>
              <w:rPr>
                <w:bCs/>
                <w:color w:val="000000" w:themeColor="text1"/>
                <w:sz w:val="18"/>
                <w:szCs w:val="18"/>
                <w14:textFill>
                  <w14:solidFill>
                    <w14:schemeClr w14:val="tx1"/>
                  </w14:solidFill>
                </w14:textFill>
              </w:rPr>
            </w:pPr>
          </w:p>
        </w:tc>
        <w:tc>
          <w:tcPr>
            <w:tcW w:w="824" w:type="pct"/>
            <w:vAlign w:val="center"/>
          </w:tcPr>
          <w:p w14:paraId="18B5B978">
            <w:pPr>
              <w:jc w:val="center"/>
              <w:rPr>
                <w:bCs/>
                <w:color w:val="000000" w:themeColor="text1"/>
                <w:sz w:val="18"/>
                <w:szCs w:val="18"/>
                <w14:textFill>
                  <w14:solidFill>
                    <w14:schemeClr w14:val="tx1"/>
                  </w14:solidFill>
                </w14:textFill>
              </w:rPr>
            </w:pPr>
          </w:p>
        </w:tc>
        <w:tc>
          <w:tcPr>
            <w:tcW w:w="824" w:type="pct"/>
            <w:vAlign w:val="center"/>
          </w:tcPr>
          <w:p w14:paraId="0E98ECB1">
            <w:pPr>
              <w:jc w:val="center"/>
              <w:rPr>
                <w:bCs/>
                <w:color w:val="000000" w:themeColor="text1"/>
                <w:sz w:val="18"/>
                <w:szCs w:val="18"/>
                <w14:textFill>
                  <w14:solidFill>
                    <w14:schemeClr w14:val="tx1"/>
                  </w14:solidFill>
                </w14:textFill>
              </w:rPr>
            </w:pPr>
          </w:p>
        </w:tc>
        <w:tc>
          <w:tcPr>
            <w:tcW w:w="823" w:type="pct"/>
          </w:tcPr>
          <w:p w14:paraId="1BBCE957">
            <w:pPr>
              <w:jc w:val="center"/>
              <w:rPr>
                <w:bCs/>
                <w:color w:val="000000" w:themeColor="text1"/>
                <w:sz w:val="18"/>
                <w:szCs w:val="18"/>
                <w14:textFill>
                  <w14:solidFill>
                    <w14:schemeClr w14:val="tx1"/>
                  </w14:solidFill>
                </w14:textFill>
              </w:rPr>
            </w:pPr>
          </w:p>
        </w:tc>
      </w:tr>
      <w:tr w14:paraId="4CDD51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435" w:type="pct"/>
            <w:vAlign w:val="center"/>
          </w:tcPr>
          <w:p w14:paraId="5F75C745">
            <w:pPr>
              <w:pStyle w:val="63"/>
              <w:snapToGrid/>
              <w:ind w:left="-80" w:right="-69"/>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w:t>
            </w:r>
          </w:p>
        </w:tc>
        <w:tc>
          <w:tcPr>
            <w:tcW w:w="599" w:type="pct"/>
            <w:vAlign w:val="center"/>
          </w:tcPr>
          <w:p w14:paraId="446A7ED4">
            <w:pPr>
              <w:jc w:val="center"/>
              <w:rPr>
                <w:bCs/>
                <w:color w:val="000000" w:themeColor="text1"/>
                <w:sz w:val="18"/>
                <w:szCs w:val="18"/>
                <w14:textFill>
                  <w14:solidFill>
                    <w14:schemeClr w14:val="tx1"/>
                  </w14:solidFill>
                </w14:textFill>
              </w:rPr>
            </w:pPr>
          </w:p>
        </w:tc>
        <w:tc>
          <w:tcPr>
            <w:tcW w:w="624" w:type="pct"/>
            <w:vAlign w:val="center"/>
          </w:tcPr>
          <w:p w14:paraId="44905FE9">
            <w:pPr>
              <w:jc w:val="center"/>
              <w:rPr>
                <w:bCs/>
                <w:color w:val="000000" w:themeColor="text1"/>
                <w:sz w:val="18"/>
                <w:szCs w:val="18"/>
                <w14:textFill>
                  <w14:solidFill>
                    <w14:schemeClr w14:val="tx1"/>
                  </w14:solidFill>
                </w14:textFill>
              </w:rPr>
            </w:pPr>
          </w:p>
        </w:tc>
        <w:tc>
          <w:tcPr>
            <w:tcW w:w="872" w:type="pct"/>
            <w:vAlign w:val="center"/>
          </w:tcPr>
          <w:p w14:paraId="71BC3FC3">
            <w:pPr>
              <w:jc w:val="center"/>
              <w:rPr>
                <w:bCs/>
                <w:color w:val="000000" w:themeColor="text1"/>
                <w:sz w:val="18"/>
                <w:szCs w:val="18"/>
                <w14:textFill>
                  <w14:solidFill>
                    <w14:schemeClr w14:val="tx1"/>
                  </w14:solidFill>
                </w14:textFill>
              </w:rPr>
            </w:pPr>
          </w:p>
        </w:tc>
        <w:tc>
          <w:tcPr>
            <w:tcW w:w="824" w:type="pct"/>
            <w:vAlign w:val="center"/>
          </w:tcPr>
          <w:p w14:paraId="5DE71F0A">
            <w:pPr>
              <w:jc w:val="center"/>
              <w:rPr>
                <w:bCs/>
                <w:color w:val="000000" w:themeColor="text1"/>
                <w:sz w:val="18"/>
                <w:szCs w:val="18"/>
                <w14:textFill>
                  <w14:solidFill>
                    <w14:schemeClr w14:val="tx1"/>
                  </w14:solidFill>
                </w14:textFill>
              </w:rPr>
            </w:pPr>
          </w:p>
        </w:tc>
        <w:tc>
          <w:tcPr>
            <w:tcW w:w="824" w:type="pct"/>
            <w:vAlign w:val="center"/>
          </w:tcPr>
          <w:p w14:paraId="069E9E93">
            <w:pPr>
              <w:jc w:val="center"/>
              <w:rPr>
                <w:bCs/>
                <w:color w:val="000000" w:themeColor="text1"/>
                <w:sz w:val="18"/>
                <w:szCs w:val="18"/>
                <w14:textFill>
                  <w14:solidFill>
                    <w14:schemeClr w14:val="tx1"/>
                  </w14:solidFill>
                </w14:textFill>
              </w:rPr>
            </w:pPr>
          </w:p>
        </w:tc>
        <w:tc>
          <w:tcPr>
            <w:tcW w:w="823" w:type="pct"/>
          </w:tcPr>
          <w:p w14:paraId="0E361C03">
            <w:pPr>
              <w:jc w:val="center"/>
              <w:rPr>
                <w:bCs/>
                <w:color w:val="000000" w:themeColor="text1"/>
                <w:sz w:val="18"/>
                <w:szCs w:val="18"/>
                <w14:textFill>
                  <w14:solidFill>
                    <w14:schemeClr w14:val="tx1"/>
                  </w14:solidFill>
                </w14:textFill>
              </w:rPr>
            </w:pPr>
          </w:p>
        </w:tc>
      </w:tr>
      <w:tr w14:paraId="35FE4A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5000" w:type="pct"/>
            <w:gridSpan w:val="7"/>
            <w:vAlign w:val="center"/>
          </w:tcPr>
          <w:p w14:paraId="619897A4">
            <w:pPr>
              <w:ind w:firstLine="360" w:firstLineChars="200"/>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注：备注中说明路基或桥下穿越及其他情况。</w:t>
            </w:r>
          </w:p>
        </w:tc>
      </w:tr>
    </w:tbl>
    <w:p w14:paraId="7788FE67">
      <w:pPr>
        <w:pStyle w:val="65"/>
        <w:ind w:firstLine="0" w:firstLineChars="0"/>
        <w:rPr>
          <w:rFonts w:ascii="黑体" w:eastAsia="黑体"/>
          <w:color w:val="000000" w:themeColor="text1"/>
          <w14:textFill>
            <w14:solidFill>
              <w14:schemeClr w14:val="tx1"/>
            </w14:solidFill>
          </w14:textFill>
        </w:rPr>
      </w:pPr>
    </w:p>
    <w:p w14:paraId="5D94A463">
      <w:pPr>
        <w:pStyle w:val="153"/>
        <w:spacing w:before="156" w:after="156"/>
        <w:rPr>
          <w:rFonts w:hint="eastAsia"/>
        </w:rPr>
      </w:pPr>
      <w:r>
        <w:t>5.</w:t>
      </w:r>
      <w:r>
        <w:rPr>
          <w:rFonts w:hint="eastAsia"/>
          <w:lang w:val="en-US"/>
        </w:rPr>
        <w:t>3</w:t>
      </w:r>
      <w:r>
        <w:t>.12</w:t>
      </w:r>
      <w:r>
        <w:rPr>
          <w:rFonts w:hint="eastAsia"/>
        </w:rPr>
        <w:t xml:space="preserve"> 与其他管道并行交叉</w:t>
      </w:r>
    </w:p>
    <w:p w14:paraId="2A734441">
      <w:pPr>
        <w:pStyle w:val="155"/>
      </w:pPr>
      <w:r>
        <w:rPr>
          <w:rFonts w:hint="eastAsia"/>
        </w:rPr>
        <w:t>说明建设项目两</w:t>
      </w:r>
      <w:r>
        <w:rPr>
          <w:rFonts w:hint="eastAsia" w:ascii="Times New Roman"/>
        </w:rPr>
        <w:t>侧</w:t>
      </w:r>
      <w:r>
        <w:rPr>
          <w:rFonts w:ascii="Times New Roman"/>
        </w:rPr>
        <w:t>50m</w:t>
      </w:r>
      <w:r>
        <w:rPr>
          <w:rFonts w:hint="eastAsia" w:ascii="Times New Roman"/>
        </w:rPr>
        <w:t>范围内与其他管道并行、交叉情况，列出</w:t>
      </w:r>
      <w:r>
        <w:t>与其它管道并行段统计表</w:t>
      </w:r>
      <w:r>
        <w:rPr>
          <w:rFonts w:hint="eastAsia"/>
        </w:rPr>
        <w:t>和</w:t>
      </w:r>
      <w:r>
        <w:t>与其它管道交叉段统计表</w:t>
      </w:r>
      <w:r>
        <w:rPr>
          <w:rFonts w:hint="eastAsia" w:ascii="Times New Roman"/>
        </w:rPr>
        <w:t>（见表</w:t>
      </w:r>
      <w:r>
        <w:rPr>
          <w:rFonts w:ascii="Times New Roman"/>
        </w:rPr>
        <w:t>27</w:t>
      </w:r>
      <w:r>
        <w:rPr>
          <w:rFonts w:hint="eastAsia" w:ascii="Times New Roman"/>
        </w:rPr>
        <w:t>和表</w:t>
      </w:r>
      <w:r>
        <w:rPr>
          <w:rFonts w:ascii="Times New Roman"/>
        </w:rPr>
        <w:t>28</w:t>
      </w:r>
      <w:r>
        <w:rPr>
          <w:rFonts w:hint="eastAsia" w:ascii="Times New Roman"/>
        </w:rPr>
        <w:t>），</w:t>
      </w:r>
      <w:r>
        <w:rPr>
          <w:rFonts w:hint="eastAsia"/>
        </w:rPr>
        <w:t>说明同管沟敷设不同管道的情况。</w:t>
      </w:r>
    </w:p>
    <w:p w14:paraId="230E46BC">
      <w:pPr>
        <w:pStyle w:val="5"/>
        <w:rPr>
          <w:rFonts w:hint="eastAsia"/>
        </w:rPr>
      </w:pPr>
      <w:r>
        <w:t>表</w:t>
      </w:r>
      <w:r>
        <w:rPr>
          <w:rFonts w:ascii="Times New Roman" w:hAnsi="Times New Roman"/>
        </w:rPr>
        <w:t>27</w:t>
      </w:r>
      <w:r>
        <w:t xml:space="preserve"> 与</w:t>
      </w:r>
      <w:r>
        <w:rPr>
          <w:rFonts w:hint="eastAsia"/>
        </w:rPr>
        <w:t>其他</w:t>
      </w:r>
      <w:r>
        <w:t>管道并行</w:t>
      </w:r>
      <w:r>
        <w:rPr>
          <w:rFonts w:hint="eastAsia"/>
        </w:rPr>
        <w:t>段统计表</w:t>
      </w:r>
    </w:p>
    <w:tbl>
      <w:tblPr>
        <w:tblStyle w:val="3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17"/>
        <w:gridCol w:w="1776"/>
        <w:gridCol w:w="2770"/>
        <w:gridCol w:w="1478"/>
        <w:gridCol w:w="2029"/>
      </w:tblGrid>
      <w:tr w14:paraId="4B0B5A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3" w:type="pct"/>
            <w:vAlign w:val="center"/>
          </w:tcPr>
          <w:p w14:paraId="75BC5AF5">
            <w:pPr>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序号</w:t>
            </w:r>
          </w:p>
        </w:tc>
        <w:tc>
          <w:tcPr>
            <w:tcW w:w="928" w:type="pct"/>
            <w:vAlign w:val="center"/>
          </w:tcPr>
          <w:p w14:paraId="55FA5FD7">
            <w:pPr>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已有管道名称</w:t>
            </w:r>
          </w:p>
        </w:tc>
        <w:tc>
          <w:tcPr>
            <w:tcW w:w="1447" w:type="pct"/>
            <w:vAlign w:val="center"/>
          </w:tcPr>
          <w:p w14:paraId="013B983F">
            <w:pPr>
              <w:jc w:val="center"/>
              <w:rPr>
                <w:color w:val="000000" w:themeColor="text1"/>
                <w:sz w:val="18"/>
                <w:szCs w:val="18"/>
                <w14:textFill>
                  <w14:solidFill>
                    <w14:schemeClr w14:val="tx1"/>
                  </w14:solidFill>
                </w14:textFill>
              </w:rPr>
            </w:pPr>
            <w:r>
              <w:rPr>
                <w:rFonts w:eastAsiaTheme="minorEastAsia"/>
                <w:sz w:val="18"/>
                <w:szCs w:val="18"/>
              </w:rPr>
              <w:t>省（区、市）</w:t>
            </w:r>
            <w:r>
              <w:rPr>
                <w:rFonts w:hint="eastAsia" w:eastAsiaTheme="minorEastAsia"/>
                <w:sz w:val="18"/>
                <w:szCs w:val="18"/>
              </w:rPr>
              <w:t>、</w:t>
            </w:r>
            <w:r>
              <w:rPr>
                <w:rFonts w:hint="eastAsia"/>
                <w:bCs/>
                <w:color w:val="000000" w:themeColor="text1"/>
                <w:sz w:val="18"/>
                <w:szCs w:val="18"/>
                <w14:textFill>
                  <w14:solidFill>
                    <w14:schemeClr w14:val="tx1"/>
                  </w14:solidFill>
                </w14:textFill>
              </w:rPr>
              <w:t>市（设区）、县</w:t>
            </w:r>
          </w:p>
        </w:tc>
        <w:tc>
          <w:tcPr>
            <w:tcW w:w="772" w:type="pct"/>
            <w:vAlign w:val="center"/>
          </w:tcPr>
          <w:p w14:paraId="664C53E5">
            <w:pPr>
              <w:spacing w:line="240" w:lineRule="auto"/>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并行长度</w:t>
            </w:r>
          </w:p>
          <w:p w14:paraId="193B5C13">
            <w:pPr>
              <w:spacing w:line="24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m</w:t>
            </w:r>
          </w:p>
        </w:tc>
        <w:tc>
          <w:tcPr>
            <w:tcW w:w="1061" w:type="pct"/>
            <w:vAlign w:val="center"/>
          </w:tcPr>
          <w:p w14:paraId="154808B7">
            <w:pPr>
              <w:spacing w:line="240" w:lineRule="auto"/>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并行间距</w:t>
            </w:r>
          </w:p>
          <w:p w14:paraId="078316B9">
            <w:pPr>
              <w:spacing w:line="24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m</w:t>
            </w:r>
          </w:p>
        </w:tc>
      </w:tr>
      <w:tr w14:paraId="61B481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3" w:type="pct"/>
            <w:vAlign w:val="center"/>
          </w:tcPr>
          <w:p w14:paraId="0D9029B3">
            <w:pPr>
              <w:pStyle w:val="63"/>
              <w:snapToGrid/>
              <w:ind w:left="-80" w:right="-69"/>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928" w:type="pct"/>
            <w:vAlign w:val="center"/>
          </w:tcPr>
          <w:p w14:paraId="6E9C8354">
            <w:pPr>
              <w:jc w:val="center"/>
              <w:rPr>
                <w:bCs/>
                <w:color w:val="000000" w:themeColor="text1"/>
                <w:sz w:val="18"/>
                <w:szCs w:val="18"/>
                <w14:textFill>
                  <w14:solidFill>
                    <w14:schemeClr w14:val="tx1"/>
                  </w14:solidFill>
                </w14:textFill>
              </w:rPr>
            </w:pPr>
          </w:p>
        </w:tc>
        <w:tc>
          <w:tcPr>
            <w:tcW w:w="1447" w:type="pct"/>
            <w:vAlign w:val="center"/>
          </w:tcPr>
          <w:p w14:paraId="05671C6A">
            <w:pPr>
              <w:jc w:val="center"/>
              <w:rPr>
                <w:bCs/>
                <w:color w:val="000000" w:themeColor="text1"/>
                <w:sz w:val="18"/>
                <w:szCs w:val="18"/>
                <w14:textFill>
                  <w14:solidFill>
                    <w14:schemeClr w14:val="tx1"/>
                  </w14:solidFill>
                </w14:textFill>
              </w:rPr>
            </w:pPr>
          </w:p>
        </w:tc>
        <w:tc>
          <w:tcPr>
            <w:tcW w:w="772" w:type="pct"/>
            <w:vAlign w:val="center"/>
          </w:tcPr>
          <w:p w14:paraId="5FB9BB63">
            <w:pPr>
              <w:jc w:val="center"/>
              <w:rPr>
                <w:bCs/>
                <w:color w:val="000000" w:themeColor="text1"/>
                <w:sz w:val="18"/>
                <w:szCs w:val="18"/>
                <w14:textFill>
                  <w14:solidFill>
                    <w14:schemeClr w14:val="tx1"/>
                  </w14:solidFill>
                </w14:textFill>
              </w:rPr>
            </w:pPr>
          </w:p>
        </w:tc>
        <w:tc>
          <w:tcPr>
            <w:tcW w:w="1061" w:type="pct"/>
            <w:vAlign w:val="center"/>
          </w:tcPr>
          <w:p w14:paraId="7356BD99">
            <w:pPr>
              <w:jc w:val="center"/>
              <w:rPr>
                <w:bCs/>
                <w:color w:val="000000" w:themeColor="text1"/>
                <w:sz w:val="18"/>
                <w:szCs w:val="18"/>
                <w14:textFill>
                  <w14:solidFill>
                    <w14:schemeClr w14:val="tx1"/>
                  </w14:solidFill>
                </w14:textFill>
              </w:rPr>
            </w:pPr>
          </w:p>
        </w:tc>
      </w:tr>
      <w:tr w14:paraId="3A9DA8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3" w:type="pct"/>
            <w:vAlign w:val="center"/>
          </w:tcPr>
          <w:p w14:paraId="64D353C0">
            <w:pPr>
              <w:pStyle w:val="63"/>
              <w:snapToGrid/>
              <w:ind w:left="-80" w:right="-69"/>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w:t>
            </w:r>
          </w:p>
        </w:tc>
        <w:tc>
          <w:tcPr>
            <w:tcW w:w="928" w:type="pct"/>
            <w:vAlign w:val="center"/>
          </w:tcPr>
          <w:p w14:paraId="1A40E8D5">
            <w:pPr>
              <w:jc w:val="center"/>
              <w:rPr>
                <w:bCs/>
                <w:color w:val="000000" w:themeColor="text1"/>
                <w:sz w:val="18"/>
                <w:szCs w:val="18"/>
                <w14:textFill>
                  <w14:solidFill>
                    <w14:schemeClr w14:val="tx1"/>
                  </w14:solidFill>
                </w14:textFill>
              </w:rPr>
            </w:pPr>
          </w:p>
        </w:tc>
        <w:tc>
          <w:tcPr>
            <w:tcW w:w="1447" w:type="pct"/>
            <w:vAlign w:val="center"/>
          </w:tcPr>
          <w:p w14:paraId="4731056D">
            <w:pPr>
              <w:jc w:val="center"/>
              <w:rPr>
                <w:bCs/>
                <w:color w:val="000000" w:themeColor="text1"/>
                <w:sz w:val="18"/>
                <w:szCs w:val="18"/>
                <w14:textFill>
                  <w14:solidFill>
                    <w14:schemeClr w14:val="tx1"/>
                  </w14:solidFill>
                </w14:textFill>
              </w:rPr>
            </w:pPr>
          </w:p>
        </w:tc>
        <w:tc>
          <w:tcPr>
            <w:tcW w:w="772" w:type="pct"/>
            <w:vAlign w:val="center"/>
          </w:tcPr>
          <w:p w14:paraId="3EA9FC77">
            <w:pPr>
              <w:jc w:val="center"/>
              <w:rPr>
                <w:bCs/>
                <w:color w:val="000000" w:themeColor="text1"/>
                <w:sz w:val="18"/>
                <w:szCs w:val="18"/>
                <w14:textFill>
                  <w14:solidFill>
                    <w14:schemeClr w14:val="tx1"/>
                  </w14:solidFill>
                </w14:textFill>
              </w:rPr>
            </w:pPr>
          </w:p>
        </w:tc>
        <w:tc>
          <w:tcPr>
            <w:tcW w:w="1061" w:type="pct"/>
            <w:vAlign w:val="center"/>
          </w:tcPr>
          <w:p w14:paraId="1A474137">
            <w:pPr>
              <w:jc w:val="center"/>
              <w:rPr>
                <w:bCs/>
                <w:color w:val="000000" w:themeColor="text1"/>
                <w:sz w:val="18"/>
                <w:szCs w:val="18"/>
                <w14:textFill>
                  <w14:solidFill>
                    <w14:schemeClr w14:val="tx1"/>
                  </w14:solidFill>
                </w14:textFill>
              </w:rPr>
            </w:pPr>
          </w:p>
        </w:tc>
      </w:tr>
    </w:tbl>
    <w:p w14:paraId="4D5A230A">
      <w:pPr>
        <w:pStyle w:val="5"/>
        <w:rPr>
          <w:rFonts w:hint="eastAsia"/>
        </w:rPr>
      </w:pPr>
      <w:r>
        <w:t>表</w:t>
      </w:r>
      <w:r>
        <w:rPr>
          <w:rFonts w:ascii="Times New Roman" w:hAnsi="Times New Roman"/>
        </w:rPr>
        <w:t>28</w:t>
      </w:r>
      <w:r>
        <w:t xml:space="preserve"> 与</w:t>
      </w:r>
      <w:r>
        <w:rPr>
          <w:rFonts w:hint="eastAsia"/>
        </w:rPr>
        <w:t>其他</w:t>
      </w:r>
      <w:r>
        <w:t>管道交叉</w:t>
      </w:r>
      <w:r>
        <w:rPr>
          <w:rFonts w:hint="eastAsia"/>
        </w:rPr>
        <w:t>段统计表</w:t>
      </w:r>
    </w:p>
    <w:tbl>
      <w:tblPr>
        <w:tblStyle w:val="3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602"/>
        <w:gridCol w:w="3256"/>
        <w:gridCol w:w="2764"/>
        <w:gridCol w:w="1948"/>
      </w:tblGrid>
      <w:tr w14:paraId="13B1B6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7" w:hRule="atLeast"/>
          <w:tblHeader/>
          <w:jc w:val="center"/>
        </w:trPr>
        <w:tc>
          <w:tcPr>
            <w:tcW w:w="837" w:type="pct"/>
            <w:vAlign w:val="center"/>
          </w:tcPr>
          <w:p w14:paraId="15FF2395">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序号</w:t>
            </w:r>
          </w:p>
        </w:tc>
        <w:tc>
          <w:tcPr>
            <w:tcW w:w="1701" w:type="pct"/>
            <w:vAlign w:val="center"/>
          </w:tcPr>
          <w:p w14:paraId="7804C2A6">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已有管道名称</w:t>
            </w:r>
          </w:p>
        </w:tc>
        <w:tc>
          <w:tcPr>
            <w:tcW w:w="1444" w:type="pct"/>
            <w:vAlign w:val="center"/>
          </w:tcPr>
          <w:p w14:paraId="69AC4AFF">
            <w:pPr>
              <w:jc w:val="center"/>
              <w:rPr>
                <w:color w:val="000000" w:themeColor="text1"/>
                <w:sz w:val="18"/>
                <w:szCs w:val="18"/>
                <w14:textFill>
                  <w14:solidFill>
                    <w14:schemeClr w14:val="tx1"/>
                  </w14:solidFill>
                </w14:textFill>
              </w:rPr>
            </w:pPr>
            <w:r>
              <w:rPr>
                <w:rFonts w:eastAsiaTheme="minorEastAsia"/>
                <w:sz w:val="18"/>
                <w:szCs w:val="18"/>
              </w:rPr>
              <w:t>省（区、市）</w:t>
            </w:r>
            <w:r>
              <w:rPr>
                <w:rFonts w:hint="eastAsia" w:eastAsiaTheme="minorEastAsia"/>
                <w:sz w:val="18"/>
                <w:szCs w:val="18"/>
              </w:rPr>
              <w:t>、</w:t>
            </w:r>
            <w:r>
              <w:rPr>
                <w:rFonts w:hint="eastAsia"/>
                <w:bCs/>
                <w:color w:val="000000" w:themeColor="text1"/>
                <w:sz w:val="18"/>
                <w:szCs w:val="18"/>
                <w14:textFill>
                  <w14:solidFill>
                    <w14:schemeClr w14:val="tx1"/>
                  </w14:solidFill>
                </w14:textFill>
              </w:rPr>
              <w:t>市（设区）、县</w:t>
            </w:r>
          </w:p>
        </w:tc>
        <w:tc>
          <w:tcPr>
            <w:tcW w:w="1018" w:type="pct"/>
            <w:vAlign w:val="center"/>
          </w:tcPr>
          <w:p w14:paraId="11C5F9AC">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交叉垂直间距</w:t>
            </w:r>
          </w:p>
          <w:p w14:paraId="7307F793">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m</w:t>
            </w:r>
          </w:p>
        </w:tc>
      </w:tr>
      <w:tr w14:paraId="588267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837" w:type="pct"/>
            <w:vAlign w:val="center"/>
          </w:tcPr>
          <w:p w14:paraId="23A65B87">
            <w:pPr>
              <w:pStyle w:val="63"/>
              <w:snapToGrid/>
              <w:ind w:left="-80" w:right="-69"/>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1701" w:type="pct"/>
            <w:vAlign w:val="center"/>
          </w:tcPr>
          <w:p w14:paraId="4011FD98">
            <w:pPr>
              <w:jc w:val="center"/>
              <w:rPr>
                <w:color w:val="000000" w:themeColor="text1"/>
                <w:sz w:val="18"/>
                <w:szCs w:val="18"/>
                <w14:textFill>
                  <w14:solidFill>
                    <w14:schemeClr w14:val="tx1"/>
                  </w14:solidFill>
                </w14:textFill>
              </w:rPr>
            </w:pPr>
          </w:p>
        </w:tc>
        <w:tc>
          <w:tcPr>
            <w:tcW w:w="1444" w:type="pct"/>
            <w:vAlign w:val="center"/>
          </w:tcPr>
          <w:p w14:paraId="0D3A88DD">
            <w:pPr>
              <w:jc w:val="center"/>
              <w:rPr>
                <w:color w:val="000000" w:themeColor="text1"/>
                <w:sz w:val="18"/>
                <w:szCs w:val="18"/>
                <w14:textFill>
                  <w14:solidFill>
                    <w14:schemeClr w14:val="tx1"/>
                  </w14:solidFill>
                </w14:textFill>
              </w:rPr>
            </w:pPr>
          </w:p>
        </w:tc>
        <w:tc>
          <w:tcPr>
            <w:tcW w:w="1018" w:type="pct"/>
            <w:vAlign w:val="center"/>
          </w:tcPr>
          <w:p w14:paraId="19A13531">
            <w:pPr>
              <w:jc w:val="center"/>
              <w:rPr>
                <w:color w:val="000000" w:themeColor="text1"/>
                <w:sz w:val="18"/>
                <w:szCs w:val="18"/>
                <w14:textFill>
                  <w14:solidFill>
                    <w14:schemeClr w14:val="tx1"/>
                  </w14:solidFill>
                </w14:textFill>
              </w:rPr>
            </w:pPr>
          </w:p>
        </w:tc>
      </w:tr>
      <w:tr w14:paraId="3DDD52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1" w:hRule="atLeast"/>
          <w:jc w:val="center"/>
        </w:trPr>
        <w:tc>
          <w:tcPr>
            <w:tcW w:w="837" w:type="pct"/>
            <w:vAlign w:val="center"/>
          </w:tcPr>
          <w:p w14:paraId="1DC5A2A7">
            <w:pPr>
              <w:pStyle w:val="63"/>
              <w:snapToGrid/>
              <w:ind w:left="-80" w:right="-69"/>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w:t>
            </w:r>
          </w:p>
        </w:tc>
        <w:tc>
          <w:tcPr>
            <w:tcW w:w="1701" w:type="pct"/>
            <w:vAlign w:val="center"/>
          </w:tcPr>
          <w:p w14:paraId="41FD980A">
            <w:pPr>
              <w:jc w:val="center"/>
              <w:rPr>
                <w:color w:val="000000" w:themeColor="text1"/>
                <w:sz w:val="18"/>
                <w:szCs w:val="18"/>
                <w14:textFill>
                  <w14:solidFill>
                    <w14:schemeClr w14:val="tx1"/>
                  </w14:solidFill>
                </w14:textFill>
              </w:rPr>
            </w:pPr>
          </w:p>
        </w:tc>
        <w:tc>
          <w:tcPr>
            <w:tcW w:w="1444" w:type="pct"/>
            <w:vAlign w:val="center"/>
          </w:tcPr>
          <w:p w14:paraId="38BE9A64">
            <w:pPr>
              <w:jc w:val="center"/>
              <w:rPr>
                <w:color w:val="000000" w:themeColor="text1"/>
                <w:sz w:val="18"/>
                <w:szCs w:val="18"/>
                <w14:textFill>
                  <w14:solidFill>
                    <w14:schemeClr w14:val="tx1"/>
                  </w14:solidFill>
                </w14:textFill>
              </w:rPr>
            </w:pPr>
          </w:p>
        </w:tc>
        <w:tc>
          <w:tcPr>
            <w:tcW w:w="1018" w:type="pct"/>
            <w:vAlign w:val="center"/>
          </w:tcPr>
          <w:p w14:paraId="0335B13E">
            <w:pPr>
              <w:jc w:val="center"/>
              <w:rPr>
                <w:color w:val="000000" w:themeColor="text1"/>
                <w:sz w:val="18"/>
                <w:szCs w:val="18"/>
                <w14:textFill>
                  <w14:solidFill>
                    <w14:schemeClr w14:val="tx1"/>
                  </w14:solidFill>
                </w14:textFill>
              </w:rPr>
            </w:pPr>
          </w:p>
        </w:tc>
      </w:tr>
    </w:tbl>
    <w:p w14:paraId="6EC0E318">
      <w:pPr>
        <w:pStyle w:val="65"/>
        <w:ind w:firstLine="0" w:firstLineChars="0"/>
        <w:rPr>
          <w:color w:val="000000" w:themeColor="text1"/>
          <w14:textFill>
            <w14:solidFill>
              <w14:schemeClr w14:val="tx1"/>
            </w14:solidFill>
          </w14:textFill>
        </w:rPr>
      </w:pPr>
    </w:p>
    <w:p w14:paraId="78D4F565">
      <w:pPr>
        <w:pStyle w:val="153"/>
        <w:spacing w:before="156" w:after="156"/>
        <w:rPr>
          <w:rFonts w:hint="eastAsia"/>
        </w:rPr>
      </w:pPr>
      <w:r>
        <w:t>5.</w:t>
      </w:r>
      <w:r>
        <w:rPr>
          <w:rFonts w:hint="eastAsia"/>
          <w:lang w:val="en-US"/>
        </w:rPr>
        <w:t>3</w:t>
      </w:r>
      <w:r>
        <w:t xml:space="preserve">.13 </w:t>
      </w:r>
      <w:r>
        <w:rPr>
          <w:rFonts w:hint="eastAsia"/>
        </w:rPr>
        <w:t>标识与伴行道路</w:t>
      </w:r>
    </w:p>
    <w:p w14:paraId="1CD71044">
      <w:pPr>
        <w:pStyle w:val="35"/>
        <w:spacing w:after="0" w:line="240" w:lineRule="auto"/>
        <w:ind w:firstLine="424" w:firstLineChars="202"/>
        <w:rPr>
          <w:rFonts w:ascii="Times New Roman" w:hAnsi="Times New Roman"/>
          <w:color w:val="auto"/>
          <w:kern w:val="0"/>
          <w:szCs w:val="20"/>
        </w:rPr>
      </w:pPr>
      <w:r>
        <w:rPr>
          <w:rFonts w:hint="eastAsia" w:ascii="Times New Roman" w:hAnsi="Times New Roman"/>
          <w:color w:val="auto"/>
          <w:kern w:val="0"/>
          <w:szCs w:val="20"/>
        </w:rPr>
        <w:t>说明管道标识、高后果区标识和伴行道路设置等情况。</w:t>
      </w:r>
    </w:p>
    <w:p w14:paraId="0197BBD3">
      <w:pPr>
        <w:pStyle w:val="153"/>
        <w:spacing w:before="156" w:after="156"/>
        <w:rPr>
          <w:rFonts w:hint="eastAsia"/>
        </w:rPr>
      </w:pPr>
      <w:bookmarkStart w:id="66" w:name="_Toc464326082"/>
      <w:bookmarkStart w:id="67" w:name="_Toc464326084"/>
      <w:r>
        <w:t>5.</w:t>
      </w:r>
      <w:r>
        <w:rPr>
          <w:rFonts w:hint="eastAsia"/>
          <w:lang w:val="en-US"/>
        </w:rPr>
        <w:t>3</w:t>
      </w:r>
      <w:r>
        <w:t xml:space="preserve">.14 </w:t>
      </w:r>
      <w:r>
        <w:rPr>
          <w:rFonts w:hint="eastAsia"/>
        </w:rPr>
        <w:t>截断阀室</w:t>
      </w:r>
      <w:bookmarkEnd w:id="66"/>
    </w:p>
    <w:p w14:paraId="350D4D31">
      <w:pPr>
        <w:pStyle w:val="35"/>
        <w:spacing w:after="0" w:line="240" w:lineRule="auto"/>
        <w:ind w:firstLine="424" w:firstLineChars="202"/>
        <w:rPr>
          <w:rFonts w:ascii="Times New Roman" w:hAnsi="Times New Roman"/>
          <w:color w:val="auto"/>
          <w:kern w:val="0"/>
          <w:szCs w:val="20"/>
        </w:rPr>
      </w:pPr>
      <w:r>
        <w:rPr>
          <w:rFonts w:hint="eastAsia" w:ascii="Times New Roman" w:hAnsi="Times New Roman"/>
          <w:color w:val="auto"/>
          <w:kern w:val="0"/>
          <w:szCs w:val="20"/>
        </w:rPr>
        <w:t>说明截断阀室的型式、布置、周边环境、交通条件、设计标高、2</w:t>
      </w:r>
      <w:r>
        <w:rPr>
          <w:rFonts w:ascii="Times New Roman" w:hAnsi="Times New Roman"/>
          <w:color w:val="auto"/>
          <w:kern w:val="0"/>
          <w:szCs w:val="20"/>
        </w:rPr>
        <w:t>5</w:t>
      </w:r>
      <w:r>
        <w:rPr>
          <w:rFonts w:hint="eastAsia" w:ascii="Times New Roman" w:hAnsi="Times New Roman"/>
          <w:color w:val="auto"/>
          <w:kern w:val="0"/>
          <w:szCs w:val="20"/>
        </w:rPr>
        <w:t>年一遇最高洪水水位情况（结合防洪影响评价报告或当地洪涝情况），并按表</w:t>
      </w:r>
      <w:r>
        <w:rPr>
          <w:rFonts w:ascii="Times New Roman" w:hAnsi="Times New Roman"/>
          <w:color w:val="auto"/>
          <w:kern w:val="0"/>
          <w:szCs w:val="20"/>
        </w:rPr>
        <w:t>2</w:t>
      </w:r>
      <w:r>
        <w:rPr>
          <w:rFonts w:hint="eastAsia" w:ascii="Times New Roman" w:hAnsi="Times New Roman"/>
          <w:color w:val="auto"/>
          <w:kern w:val="0"/>
          <w:szCs w:val="20"/>
        </w:rPr>
        <w:t>进行统计。</w:t>
      </w:r>
    </w:p>
    <w:p w14:paraId="5A572BD7">
      <w:pPr>
        <w:pStyle w:val="4"/>
        <w:rPr>
          <w:rFonts w:hint="eastAsia"/>
        </w:rPr>
      </w:pPr>
      <w:bookmarkStart w:id="68" w:name="_Toc174117969"/>
      <w:r>
        <w:rPr>
          <w:rFonts w:hint="eastAsia"/>
        </w:rPr>
        <w:t>5.</w:t>
      </w:r>
      <w:r>
        <w:rPr>
          <w:rFonts w:hint="eastAsia"/>
          <w:lang w:val="en-US"/>
        </w:rPr>
        <w:t>4</w:t>
      </w:r>
      <w:r>
        <w:t xml:space="preserve"> </w:t>
      </w:r>
      <w:r>
        <w:rPr>
          <w:rFonts w:hint="eastAsia"/>
        </w:rPr>
        <w:t>站场工程</w:t>
      </w:r>
      <w:bookmarkEnd w:id="67"/>
      <w:bookmarkEnd w:id="68"/>
    </w:p>
    <w:p w14:paraId="5D39B0AE">
      <w:pPr>
        <w:pStyle w:val="153"/>
        <w:spacing w:before="156" w:after="156"/>
        <w:rPr>
          <w:rFonts w:hint="eastAsia"/>
        </w:rPr>
      </w:pPr>
      <w:r>
        <w:t>5.</w:t>
      </w:r>
      <w:r>
        <w:rPr>
          <w:rFonts w:hint="eastAsia"/>
          <w:lang w:val="en-US"/>
        </w:rPr>
        <w:t>4</w:t>
      </w:r>
      <w:r>
        <w:t xml:space="preserve">.1 </w:t>
      </w:r>
      <w:r>
        <w:rPr>
          <w:rFonts w:hint="eastAsia"/>
        </w:rPr>
        <w:t>区域布置</w:t>
      </w:r>
    </w:p>
    <w:p w14:paraId="093BF601">
      <w:pPr>
        <w:pStyle w:val="35"/>
        <w:spacing w:after="0" w:line="240" w:lineRule="auto"/>
        <w:ind w:firstLine="424" w:firstLineChars="202"/>
        <w:rPr>
          <w:rFonts w:ascii="Times New Roman" w:hAnsi="Times New Roman"/>
          <w:color w:val="auto"/>
          <w:kern w:val="0"/>
          <w:szCs w:val="20"/>
        </w:rPr>
      </w:pPr>
      <w:bookmarkStart w:id="69" w:name="_Hlk173935857"/>
      <w:r>
        <w:rPr>
          <w:rFonts w:hint="eastAsia" w:ascii="Times New Roman" w:hAnsi="Times New Roman"/>
          <w:color w:val="auto"/>
          <w:kern w:val="0"/>
          <w:szCs w:val="20"/>
        </w:rPr>
        <w:t>说明站场的区域布置情况并附图。</w:t>
      </w:r>
    </w:p>
    <w:p w14:paraId="5C594254">
      <w:pPr>
        <w:pStyle w:val="153"/>
        <w:spacing w:before="156" w:after="156"/>
        <w:rPr>
          <w:rFonts w:hint="eastAsia"/>
        </w:rPr>
      </w:pPr>
      <w:r>
        <w:t>5.</w:t>
      </w:r>
      <w:r>
        <w:rPr>
          <w:rFonts w:hint="eastAsia"/>
          <w:lang w:val="en-US"/>
        </w:rPr>
        <w:t>4</w:t>
      </w:r>
      <w:r>
        <w:t xml:space="preserve">.2 </w:t>
      </w:r>
      <w:r>
        <w:rPr>
          <w:rFonts w:hint="eastAsia"/>
        </w:rPr>
        <w:t>平面及竖向布置</w:t>
      </w:r>
    </w:p>
    <w:p w14:paraId="675272AB">
      <w:pPr>
        <w:pStyle w:val="65"/>
        <w:ind w:firstLine="0" w:firstLineChars="0"/>
        <w:rPr>
          <w:rStyle w:val="156"/>
        </w:rPr>
      </w:pPr>
      <w:r>
        <w:rPr>
          <w:rFonts w:ascii="黑体" w:eastAsia="黑体"/>
          <w:color w:val="000000" w:themeColor="text1"/>
          <w14:textFill>
            <w14:solidFill>
              <w14:schemeClr w14:val="tx1"/>
            </w14:solidFill>
          </w14:textFill>
        </w:rPr>
        <w:t>5.</w:t>
      </w:r>
      <w:r>
        <w:rPr>
          <w:rFonts w:hint="eastAsia" w:ascii="黑体" w:eastAsia="黑体"/>
          <w:color w:val="000000" w:themeColor="text1"/>
          <w14:textFill>
            <w14:solidFill>
              <w14:schemeClr w14:val="tx1"/>
            </w14:solidFill>
          </w14:textFill>
        </w:rPr>
        <w:t>4</w:t>
      </w:r>
      <w:r>
        <w:rPr>
          <w:rFonts w:ascii="黑体" w:eastAsia="黑体"/>
          <w:color w:val="000000" w:themeColor="text1"/>
          <w14:textFill>
            <w14:solidFill>
              <w14:schemeClr w14:val="tx1"/>
            </w14:solidFill>
          </w14:textFill>
        </w:rPr>
        <w:t>.2.1</w:t>
      </w:r>
      <w:r>
        <w:rPr>
          <w:rFonts w:hAnsi="宋体"/>
          <w:kern w:val="2"/>
          <w:szCs w:val="24"/>
        </w:rPr>
        <w:t xml:space="preserve"> </w:t>
      </w:r>
      <w:r>
        <w:rPr>
          <w:rFonts w:hint="eastAsia" w:ascii="Times New Roman"/>
        </w:rPr>
        <w:t>说明站场内的平面及</w:t>
      </w:r>
      <w:r>
        <w:rPr>
          <w:rStyle w:val="156"/>
          <w:rFonts w:hint="eastAsia"/>
        </w:rPr>
        <w:t>竖向布置情况并附图。</w:t>
      </w:r>
    </w:p>
    <w:p w14:paraId="61060860">
      <w:pPr>
        <w:pStyle w:val="65"/>
        <w:ind w:firstLine="0" w:firstLineChars="0"/>
        <w:rPr>
          <w:rFonts w:hint="eastAsia" w:hAnsi="宋体"/>
          <w:kern w:val="2"/>
          <w:szCs w:val="24"/>
        </w:rPr>
      </w:pPr>
      <w:r>
        <w:rPr>
          <w:rFonts w:ascii="黑体" w:eastAsia="黑体"/>
          <w:color w:val="000000" w:themeColor="text1"/>
          <w14:textFill>
            <w14:solidFill>
              <w14:schemeClr w14:val="tx1"/>
            </w14:solidFill>
          </w14:textFill>
        </w:rPr>
        <w:t>5.</w:t>
      </w:r>
      <w:r>
        <w:rPr>
          <w:rFonts w:hint="eastAsia" w:ascii="黑体" w:eastAsia="黑体"/>
          <w:color w:val="000000" w:themeColor="text1"/>
          <w14:textFill>
            <w14:solidFill>
              <w14:schemeClr w14:val="tx1"/>
            </w14:solidFill>
          </w14:textFill>
        </w:rPr>
        <w:t>4</w:t>
      </w:r>
      <w:r>
        <w:rPr>
          <w:rFonts w:ascii="黑体" w:eastAsia="黑体"/>
          <w:color w:val="000000" w:themeColor="text1"/>
          <w14:textFill>
            <w14:solidFill>
              <w14:schemeClr w14:val="tx1"/>
            </w14:solidFill>
          </w14:textFill>
        </w:rPr>
        <w:t xml:space="preserve">.2.2 </w:t>
      </w:r>
      <w:r>
        <w:rPr>
          <w:rFonts w:hint="eastAsia" w:hAnsi="宋体"/>
          <w:kern w:val="2"/>
          <w:szCs w:val="24"/>
        </w:rPr>
        <w:t>说明站场内消防通道布局情况。</w:t>
      </w:r>
    </w:p>
    <w:p w14:paraId="3F7C2730">
      <w:pPr>
        <w:pStyle w:val="65"/>
        <w:ind w:firstLine="0" w:firstLineChars="0"/>
        <w:rPr>
          <w:rFonts w:hint="eastAsia" w:hAnsi="宋体"/>
          <w:kern w:val="2"/>
          <w:szCs w:val="24"/>
        </w:rPr>
      </w:pPr>
      <w:r>
        <w:rPr>
          <w:rFonts w:ascii="黑体" w:eastAsia="黑体"/>
          <w:color w:val="000000" w:themeColor="text1"/>
          <w14:textFill>
            <w14:solidFill>
              <w14:schemeClr w14:val="tx1"/>
            </w14:solidFill>
          </w14:textFill>
        </w:rPr>
        <w:t>5.</w:t>
      </w:r>
      <w:r>
        <w:rPr>
          <w:rFonts w:hint="eastAsia" w:ascii="黑体" w:eastAsia="黑体"/>
          <w:color w:val="000000" w:themeColor="text1"/>
          <w14:textFill>
            <w14:solidFill>
              <w14:schemeClr w14:val="tx1"/>
            </w14:solidFill>
          </w14:textFill>
        </w:rPr>
        <w:t>4</w:t>
      </w:r>
      <w:r>
        <w:rPr>
          <w:rFonts w:ascii="黑体" w:eastAsia="黑体"/>
          <w:color w:val="000000" w:themeColor="text1"/>
          <w14:textFill>
            <w14:solidFill>
              <w14:schemeClr w14:val="tx1"/>
            </w14:solidFill>
          </w14:textFill>
        </w:rPr>
        <w:t xml:space="preserve">.2.3 </w:t>
      </w:r>
      <w:r>
        <w:rPr>
          <w:rStyle w:val="156"/>
          <w:rFonts w:hint="eastAsia"/>
        </w:rPr>
        <w:t>说明站场</w:t>
      </w:r>
      <w:r>
        <w:rPr>
          <w:rFonts w:ascii="Times New Roman"/>
        </w:rPr>
        <w:t>50</w:t>
      </w:r>
      <w:r>
        <w:rPr>
          <w:rFonts w:hint="eastAsia" w:ascii="Times New Roman"/>
        </w:rPr>
        <w:t>年一遇最高洪水水位及</w:t>
      </w:r>
      <w:r>
        <w:rPr>
          <w:rStyle w:val="156"/>
          <w:rFonts w:hint="eastAsia"/>
        </w:rPr>
        <w:t>防洪涝设计情况（结合防洪影响评价报告</w:t>
      </w:r>
      <w:r>
        <w:rPr>
          <w:rFonts w:hint="eastAsia" w:ascii="Times New Roman"/>
        </w:rPr>
        <w:t>或当地洪涝情况</w:t>
      </w:r>
      <w:r>
        <w:rPr>
          <w:rStyle w:val="156"/>
          <w:rFonts w:hint="eastAsia"/>
        </w:rPr>
        <w:t>）。</w:t>
      </w:r>
    </w:p>
    <w:bookmarkEnd w:id="69"/>
    <w:p w14:paraId="18F82DE3">
      <w:pPr>
        <w:pStyle w:val="153"/>
        <w:spacing w:before="156" w:after="156"/>
        <w:rPr>
          <w:rFonts w:hint="eastAsia"/>
        </w:rPr>
      </w:pPr>
      <w:r>
        <w:t>5.</w:t>
      </w:r>
      <w:r>
        <w:rPr>
          <w:rFonts w:hint="eastAsia"/>
          <w:lang w:val="en-US"/>
        </w:rPr>
        <w:t>4</w:t>
      </w:r>
      <w:r>
        <w:t xml:space="preserve">.3 </w:t>
      </w:r>
      <w:r>
        <w:rPr>
          <w:rFonts w:hint="eastAsia"/>
        </w:rPr>
        <w:t>输送工艺</w:t>
      </w:r>
    </w:p>
    <w:p w14:paraId="040521F4">
      <w:pPr>
        <w:pStyle w:val="155"/>
      </w:pPr>
      <w:r>
        <w:rPr>
          <w:rFonts w:hint="eastAsia"/>
        </w:rPr>
        <w:t>说明采用的输送工艺方案并附工艺系统图。</w:t>
      </w:r>
    </w:p>
    <w:p w14:paraId="53F441DD">
      <w:pPr>
        <w:pStyle w:val="153"/>
        <w:spacing w:before="156" w:after="156"/>
        <w:rPr>
          <w:rFonts w:hint="eastAsia"/>
        </w:rPr>
      </w:pPr>
      <w:r>
        <w:t>5.</w:t>
      </w:r>
      <w:r>
        <w:rPr>
          <w:rFonts w:hint="eastAsia"/>
          <w:lang w:val="en-US"/>
        </w:rPr>
        <w:t>4</w:t>
      </w:r>
      <w:r>
        <w:t xml:space="preserve">.4 </w:t>
      </w:r>
      <w:r>
        <w:rPr>
          <w:rFonts w:hint="eastAsia"/>
        </w:rPr>
        <w:t>站场工艺</w:t>
      </w:r>
    </w:p>
    <w:p w14:paraId="5C8FAC47">
      <w:pPr>
        <w:pStyle w:val="155"/>
      </w:pPr>
      <w:r>
        <w:rPr>
          <w:rFonts w:hint="eastAsia"/>
        </w:rPr>
        <w:t>说明站场采用的工艺并附工艺流程图。</w:t>
      </w:r>
    </w:p>
    <w:p w14:paraId="0ED0F657">
      <w:pPr>
        <w:pStyle w:val="153"/>
        <w:spacing w:before="156" w:after="156"/>
        <w:rPr>
          <w:rFonts w:hint="eastAsia"/>
        </w:rPr>
      </w:pPr>
      <w:bookmarkStart w:id="70" w:name="_Toc479859060"/>
      <w:r>
        <w:t>5.</w:t>
      </w:r>
      <w:r>
        <w:rPr>
          <w:rFonts w:hint="eastAsia"/>
          <w:lang w:val="en-US"/>
        </w:rPr>
        <w:t>4</w:t>
      </w:r>
      <w:r>
        <w:t xml:space="preserve">.5 </w:t>
      </w:r>
      <w:r>
        <w:rPr>
          <w:rFonts w:hint="eastAsia"/>
        </w:rPr>
        <w:t>储运设备</w:t>
      </w:r>
      <w:bookmarkEnd w:id="70"/>
    </w:p>
    <w:p w14:paraId="01871338">
      <w:pPr>
        <w:pStyle w:val="155"/>
      </w:pPr>
      <w:r>
        <w:rPr>
          <w:rFonts w:hint="eastAsia"/>
        </w:rPr>
        <w:t>列出主要储运设备统计表（见</w:t>
      </w:r>
      <w:r>
        <w:rPr>
          <w:rFonts w:hint="eastAsia" w:ascii="Times New Roman"/>
        </w:rPr>
        <w:t>表</w:t>
      </w:r>
      <w:r>
        <w:rPr>
          <w:rFonts w:ascii="Times New Roman"/>
        </w:rPr>
        <w:t>29</w:t>
      </w:r>
      <w:r>
        <w:rPr>
          <w:rFonts w:hint="eastAsia" w:ascii="Times New Roman"/>
        </w:rPr>
        <w:t>）</w:t>
      </w:r>
      <w:r>
        <w:rPr>
          <w:rFonts w:hint="eastAsia"/>
        </w:rPr>
        <w:t>。</w:t>
      </w:r>
    </w:p>
    <w:p w14:paraId="35F8F3E2">
      <w:pPr>
        <w:pStyle w:val="5"/>
        <w:rPr>
          <w:rFonts w:hint="eastAsia"/>
        </w:rPr>
      </w:pPr>
      <w:r>
        <w:t>表</w:t>
      </w:r>
      <w:r>
        <w:rPr>
          <w:rFonts w:ascii="Times New Roman" w:hAnsi="Times New Roman"/>
        </w:rPr>
        <w:t>29</w:t>
      </w:r>
      <w:r>
        <w:t xml:space="preserve">  储运设备统计表</w:t>
      </w:r>
    </w:p>
    <w:tbl>
      <w:tblPr>
        <w:tblStyle w:val="3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774"/>
        <w:gridCol w:w="3108"/>
        <w:gridCol w:w="1260"/>
        <w:gridCol w:w="1710"/>
        <w:gridCol w:w="1718"/>
      </w:tblGrid>
      <w:tr w14:paraId="3F93AB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blHeader/>
          <w:jc w:val="center"/>
        </w:trPr>
        <w:tc>
          <w:tcPr>
            <w:tcW w:w="927" w:type="pct"/>
            <w:vAlign w:val="center"/>
          </w:tcPr>
          <w:p w14:paraId="2AB0E2D8">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bookmarkStart w:id="71" w:name="_Toc464326085"/>
            <w:r>
              <w:rPr>
                <w:rFonts w:ascii="Times New Roman" w:hAnsi="Times New Roman"/>
                <w:color w:val="000000" w:themeColor="text1"/>
                <w:sz w:val="18"/>
                <w:szCs w:val="18"/>
                <w14:textFill>
                  <w14:solidFill>
                    <w14:schemeClr w14:val="tx1"/>
                  </w14:solidFill>
                </w14:textFill>
              </w:rPr>
              <w:t>站名</w:t>
            </w:r>
          </w:p>
        </w:tc>
        <w:tc>
          <w:tcPr>
            <w:tcW w:w="1623" w:type="pct"/>
            <w:vAlign w:val="center"/>
          </w:tcPr>
          <w:p w14:paraId="5EFB512F">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名称</w:t>
            </w:r>
          </w:p>
        </w:tc>
        <w:tc>
          <w:tcPr>
            <w:tcW w:w="658" w:type="pct"/>
            <w:vAlign w:val="center"/>
          </w:tcPr>
          <w:p w14:paraId="6A66544F">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技术参数</w:t>
            </w:r>
          </w:p>
        </w:tc>
        <w:tc>
          <w:tcPr>
            <w:tcW w:w="893" w:type="pct"/>
            <w:vAlign w:val="center"/>
          </w:tcPr>
          <w:p w14:paraId="72BD4B8A">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数量</w:t>
            </w:r>
          </w:p>
        </w:tc>
        <w:tc>
          <w:tcPr>
            <w:tcW w:w="897" w:type="pct"/>
            <w:vAlign w:val="center"/>
          </w:tcPr>
          <w:p w14:paraId="6307DC1A">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备注</w:t>
            </w:r>
          </w:p>
        </w:tc>
      </w:tr>
      <w:tr w14:paraId="67D393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27" w:type="pct"/>
            <w:vMerge w:val="restart"/>
            <w:vAlign w:val="center"/>
          </w:tcPr>
          <w:p w14:paraId="1F30206B">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r>
              <w:rPr>
                <w:sz w:val="18"/>
                <w:szCs w:val="18"/>
              </w:rPr>
              <w:t>××</w:t>
            </w:r>
            <w:r>
              <w:rPr>
                <w:rFonts w:ascii="Times New Roman" w:hAnsi="Times New Roman"/>
                <w:color w:val="000000" w:themeColor="text1"/>
                <w:sz w:val="18"/>
                <w:szCs w:val="18"/>
                <w14:textFill>
                  <w14:solidFill>
                    <w14:schemeClr w14:val="tx1"/>
                  </w14:solidFill>
                </w14:textFill>
              </w:rPr>
              <w:t>站（油）</w:t>
            </w:r>
          </w:p>
        </w:tc>
        <w:tc>
          <w:tcPr>
            <w:tcW w:w="1623" w:type="pct"/>
            <w:shd w:val="clear" w:color="auto" w:fill="auto"/>
            <w:vAlign w:val="center"/>
          </w:tcPr>
          <w:p w14:paraId="1458698A">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输油泵</w:t>
            </w:r>
          </w:p>
        </w:tc>
        <w:tc>
          <w:tcPr>
            <w:tcW w:w="658" w:type="pct"/>
            <w:vAlign w:val="center"/>
          </w:tcPr>
          <w:p w14:paraId="1ED57D3F">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c>
          <w:tcPr>
            <w:tcW w:w="893" w:type="pct"/>
            <w:vAlign w:val="center"/>
          </w:tcPr>
          <w:p w14:paraId="7F329082">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c>
          <w:tcPr>
            <w:tcW w:w="897" w:type="pct"/>
            <w:vAlign w:val="center"/>
          </w:tcPr>
          <w:p w14:paraId="51DEB506">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r>
      <w:tr w14:paraId="7BAED7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27" w:type="pct"/>
            <w:vMerge w:val="continue"/>
            <w:vAlign w:val="center"/>
          </w:tcPr>
          <w:p w14:paraId="3AC6CEEF">
            <w:pPr>
              <w:pStyle w:val="32"/>
              <w:widowControl w:val="0"/>
              <w:overflowPunct w:val="0"/>
              <w:spacing w:before="0" w:beforeAutospacing="0" w:after="0" w:afterAutospacing="0" w:line="312" w:lineRule="auto"/>
              <w:jc w:val="center"/>
              <w:rPr>
                <w:sz w:val="18"/>
                <w:szCs w:val="18"/>
              </w:rPr>
            </w:pPr>
          </w:p>
        </w:tc>
        <w:tc>
          <w:tcPr>
            <w:tcW w:w="1623" w:type="pct"/>
            <w:shd w:val="clear" w:color="auto" w:fill="auto"/>
            <w:vAlign w:val="center"/>
          </w:tcPr>
          <w:p w14:paraId="77FD781E">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储罐</w:t>
            </w:r>
          </w:p>
        </w:tc>
        <w:tc>
          <w:tcPr>
            <w:tcW w:w="658" w:type="pct"/>
            <w:vAlign w:val="center"/>
          </w:tcPr>
          <w:p w14:paraId="51F61A2C">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c>
          <w:tcPr>
            <w:tcW w:w="893" w:type="pct"/>
            <w:vAlign w:val="center"/>
          </w:tcPr>
          <w:p w14:paraId="6956ECD0">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c>
          <w:tcPr>
            <w:tcW w:w="897" w:type="pct"/>
            <w:vAlign w:val="center"/>
          </w:tcPr>
          <w:p w14:paraId="46C7D7CE">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r>
      <w:tr w14:paraId="2E1D1C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27" w:type="pct"/>
            <w:vMerge w:val="continue"/>
            <w:vAlign w:val="center"/>
          </w:tcPr>
          <w:p w14:paraId="7D8B1F0D">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c>
          <w:tcPr>
            <w:tcW w:w="1623" w:type="pct"/>
            <w:vAlign w:val="center"/>
          </w:tcPr>
          <w:p w14:paraId="5D33273D">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清管器接收筒</w:t>
            </w:r>
            <w:r>
              <w:rPr>
                <w:rFonts w:hint="default" w:ascii="Times New Roman" w:hAnsi="Times New Roman"/>
                <w:color w:val="000000" w:themeColor="text1"/>
                <w:sz w:val="18"/>
                <w:szCs w:val="18"/>
                <w14:textFill>
                  <w14:solidFill>
                    <w14:schemeClr w14:val="tx1"/>
                  </w14:solidFill>
                </w14:textFill>
              </w:rPr>
              <w:t>/</w:t>
            </w:r>
            <w:r>
              <w:rPr>
                <w:rFonts w:ascii="Times New Roman" w:hAnsi="Times New Roman"/>
                <w:color w:val="000000" w:themeColor="text1"/>
                <w:sz w:val="18"/>
                <w:szCs w:val="18"/>
                <w14:textFill>
                  <w14:solidFill>
                    <w14:schemeClr w14:val="tx1"/>
                  </w14:solidFill>
                </w14:textFill>
              </w:rPr>
              <w:t>发送筒</w:t>
            </w:r>
          </w:p>
        </w:tc>
        <w:tc>
          <w:tcPr>
            <w:tcW w:w="658" w:type="pct"/>
            <w:vAlign w:val="center"/>
          </w:tcPr>
          <w:p w14:paraId="0E753032">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c>
          <w:tcPr>
            <w:tcW w:w="893" w:type="pct"/>
            <w:vAlign w:val="center"/>
          </w:tcPr>
          <w:p w14:paraId="40C6AA42">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c>
          <w:tcPr>
            <w:tcW w:w="897" w:type="pct"/>
            <w:vAlign w:val="center"/>
          </w:tcPr>
          <w:p w14:paraId="207E7361">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r>
      <w:tr w14:paraId="431807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27" w:type="pct"/>
            <w:vMerge w:val="continue"/>
            <w:vAlign w:val="center"/>
          </w:tcPr>
          <w:p w14:paraId="2DCA8B1F">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c>
          <w:tcPr>
            <w:tcW w:w="1623" w:type="pct"/>
            <w:vAlign w:val="center"/>
          </w:tcPr>
          <w:p w14:paraId="4E480106">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过滤器</w:t>
            </w:r>
          </w:p>
        </w:tc>
        <w:tc>
          <w:tcPr>
            <w:tcW w:w="658" w:type="pct"/>
            <w:vAlign w:val="center"/>
          </w:tcPr>
          <w:p w14:paraId="3B5C1813">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c>
          <w:tcPr>
            <w:tcW w:w="893" w:type="pct"/>
            <w:vAlign w:val="center"/>
          </w:tcPr>
          <w:p w14:paraId="57146306">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c>
          <w:tcPr>
            <w:tcW w:w="897" w:type="pct"/>
            <w:vAlign w:val="center"/>
          </w:tcPr>
          <w:p w14:paraId="4427BA04">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r>
      <w:tr w14:paraId="3C9FC0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27" w:type="pct"/>
            <w:vMerge w:val="continue"/>
            <w:vAlign w:val="center"/>
          </w:tcPr>
          <w:p w14:paraId="0BDD7C6E">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c>
          <w:tcPr>
            <w:tcW w:w="1623" w:type="pct"/>
            <w:vAlign w:val="center"/>
          </w:tcPr>
          <w:p w14:paraId="4AFB3ECF">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加热炉</w:t>
            </w:r>
          </w:p>
        </w:tc>
        <w:tc>
          <w:tcPr>
            <w:tcW w:w="658" w:type="pct"/>
            <w:vAlign w:val="center"/>
          </w:tcPr>
          <w:p w14:paraId="23A5638B">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c>
          <w:tcPr>
            <w:tcW w:w="893" w:type="pct"/>
            <w:vAlign w:val="center"/>
          </w:tcPr>
          <w:p w14:paraId="1AE884E5">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c>
          <w:tcPr>
            <w:tcW w:w="897" w:type="pct"/>
            <w:vAlign w:val="center"/>
          </w:tcPr>
          <w:p w14:paraId="653EFDE9">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r>
      <w:tr w14:paraId="55A0A1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27" w:type="pct"/>
            <w:vMerge w:val="continue"/>
            <w:vAlign w:val="center"/>
          </w:tcPr>
          <w:p w14:paraId="57B1FE7B">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c>
          <w:tcPr>
            <w:tcW w:w="1623" w:type="pct"/>
            <w:vAlign w:val="center"/>
          </w:tcPr>
          <w:p w14:paraId="627C9D22">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计量设备</w:t>
            </w:r>
          </w:p>
        </w:tc>
        <w:tc>
          <w:tcPr>
            <w:tcW w:w="658" w:type="pct"/>
            <w:vAlign w:val="center"/>
          </w:tcPr>
          <w:p w14:paraId="61A50322">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c>
          <w:tcPr>
            <w:tcW w:w="893" w:type="pct"/>
            <w:vAlign w:val="center"/>
          </w:tcPr>
          <w:p w14:paraId="12760AC4">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c>
          <w:tcPr>
            <w:tcW w:w="897" w:type="pct"/>
            <w:vAlign w:val="center"/>
          </w:tcPr>
          <w:p w14:paraId="5587CBC1">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r>
      <w:tr w14:paraId="42AFBD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27" w:type="pct"/>
            <w:vMerge w:val="continue"/>
            <w:vAlign w:val="center"/>
          </w:tcPr>
          <w:p w14:paraId="0E4F45D2">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c>
          <w:tcPr>
            <w:tcW w:w="1623" w:type="pct"/>
            <w:vAlign w:val="center"/>
          </w:tcPr>
          <w:p w14:paraId="12363174">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调压设备</w:t>
            </w:r>
          </w:p>
        </w:tc>
        <w:tc>
          <w:tcPr>
            <w:tcW w:w="658" w:type="pct"/>
            <w:vAlign w:val="center"/>
          </w:tcPr>
          <w:p w14:paraId="4413F067">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c>
          <w:tcPr>
            <w:tcW w:w="893" w:type="pct"/>
            <w:vAlign w:val="center"/>
          </w:tcPr>
          <w:p w14:paraId="4BFA8146">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c>
          <w:tcPr>
            <w:tcW w:w="897" w:type="pct"/>
            <w:vAlign w:val="center"/>
          </w:tcPr>
          <w:p w14:paraId="643E3CCF">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r>
      <w:tr w14:paraId="683F63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27" w:type="pct"/>
            <w:vMerge w:val="continue"/>
            <w:vAlign w:val="center"/>
          </w:tcPr>
          <w:p w14:paraId="6B18AF95">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c>
          <w:tcPr>
            <w:tcW w:w="1623" w:type="pct"/>
            <w:vAlign w:val="center"/>
          </w:tcPr>
          <w:p w14:paraId="2D14E011">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泄压罐</w:t>
            </w:r>
          </w:p>
        </w:tc>
        <w:tc>
          <w:tcPr>
            <w:tcW w:w="658" w:type="pct"/>
            <w:vAlign w:val="center"/>
          </w:tcPr>
          <w:p w14:paraId="14E4A640">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c>
          <w:tcPr>
            <w:tcW w:w="893" w:type="pct"/>
            <w:vAlign w:val="center"/>
          </w:tcPr>
          <w:p w14:paraId="22CA8FF6">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c>
          <w:tcPr>
            <w:tcW w:w="897" w:type="pct"/>
            <w:vAlign w:val="center"/>
          </w:tcPr>
          <w:p w14:paraId="5001985F">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r>
      <w:tr w14:paraId="3C86BB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27" w:type="pct"/>
            <w:vMerge w:val="continue"/>
            <w:vAlign w:val="center"/>
          </w:tcPr>
          <w:p w14:paraId="62E0DF82">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c>
          <w:tcPr>
            <w:tcW w:w="1623" w:type="pct"/>
            <w:vAlign w:val="center"/>
          </w:tcPr>
          <w:p w14:paraId="67EB6660">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污油罐</w:t>
            </w:r>
          </w:p>
        </w:tc>
        <w:tc>
          <w:tcPr>
            <w:tcW w:w="658" w:type="pct"/>
            <w:vAlign w:val="center"/>
          </w:tcPr>
          <w:p w14:paraId="4CC35D25">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c>
          <w:tcPr>
            <w:tcW w:w="893" w:type="pct"/>
            <w:vAlign w:val="center"/>
          </w:tcPr>
          <w:p w14:paraId="7DD94056">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c>
          <w:tcPr>
            <w:tcW w:w="897" w:type="pct"/>
            <w:vAlign w:val="center"/>
          </w:tcPr>
          <w:p w14:paraId="128612AA">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r>
      <w:tr w14:paraId="0C3EB5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27" w:type="pct"/>
            <w:vMerge w:val="continue"/>
            <w:vAlign w:val="center"/>
          </w:tcPr>
          <w:p w14:paraId="17C5C3BF">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c>
          <w:tcPr>
            <w:tcW w:w="1623" w:type="pct"/>
            <w:vAlign w:val="center"/>
          </w:tcPr>
          <w:p w14:paraId="18F3394D">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r>
              <w:rPr>
                <w:rFonts w:hint="default" w:ascii="Times New Roman" w:hAnsi="Times New Roman"/>
                <w:color w:val="000000" w:themeColor="text1"/>
                <w:sz w:val="18"/>
                <w:szCs w:val="18"/>
                <w14:textFill>
                  <w14:solidFill>
                    <w14:schemeClr w14:val="tx1"/>
                  </w14:solidFill>
                </w14:textFill>
              </w:rPr>
              <w:t>……</w:t>
            </w:r>
          </w:p>
        </w:tc>
        <w:tc>
          <w:tcPr>
            <w:tcW w:w="658" w:type="pct"/>
            <w:vAlign w:val="center"/>
          </w:tcPr>
          <w:p w14:paraId="45E9FA51">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c>
          <w:tcPr>
            <w:tcW w:w="893" w:type="pct"/>
            <w:vAlign w:val="center"/>
          </w:tcPr>
          <w:p w14:paraId="3C34C9DF">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c>
          <w:tcPr>
            <w:tcW w:w="897" w:type="pct"/>
            <w:vAlign w:val="center"/>
          </w:tcPr>
          <w:p w14:paraId="50313EB0">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r>
      <w:tr w14:paraId="4AA5DC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27" w:type="pct"/>
            <w:vMerge w:val="restart"/>
            <w:vAlign w:val="center"/>
          </w:tcPr>
          <w:p w14:paraId="5CB7D954">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r>
              <w:rPr>
                <w:sz w:val="18"/>
                <w:szCs w:val="18"/>
              </w:rPr>
              <w:t>××</w:t>
            </w:r>
            <w:r>
              <w:rPr>
                <w:rFonts w:ascii="Times New Roman" w:hAnsi="Times New Roman"/>
                <w:color w:val="000000" w:themeColor="text1"/>
                <w:sz w:val="18"/>
                <w:szCs w:val="18"/>
                <w14:textFill>
                  <w14:solidFill>
                    <w14:schemeClr w14:val="tx1"/>
                  </w14:solidFill>
                </w14:textFill>
              </w:rPr>
              <w:t>站（气）</w:t>
            </w:r>
          </w:p>
        </w:tc>
        <w:tc>
          <w:tcPr>
            <w:tcW w:w="1623" w:type="pct"/>
            <w:vAlign w:val="center"/>
          </w:tcPr>
          <w:p w14:paraId="14194EA6">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压缩机组</w:t>
            </w:r>
          </w:p>
        </w:tc>
        <w:tc>
          <w:tcPr>
            <w:tcW w:w="658" w:type="pct"/>
            <w:vAlign w:val="center"/>
          </w:tcPr>
          <w:p w14:paraId="29EAF5B2">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c>
          <w:tcPr>
            <w:tcW w:w="893" w:type="pct"/>
            <w:vAlign w:val="center"/>
          </w:tcPr>
          <w:p w14:paraId="35E07AC4">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c>
          <w:tcPr>
            <w:tcW w:w="897" w:type="pct"/>
            <w:vAlign w:val="center"/>
          </w:tcPr>
          <w:p w14:paraId="7FD28784">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r>
      <w:tr w14:paraId="18237D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27" w:type="pct"/>
            <w:vMerge w:val="continue"/>
            <w:vAlign w:val="center"/>
          </w:tcPr>
          <w:p w14:paraId="581266B9">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c>
          <w:tcPr>
            <w:tcW w:w="1623" w:type="pct"/>
            <w:vAlign w:val="center"/>
          </w:tcPr>
          <w:p w14:paraId="54FBB128">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空冷器</w:t>
            </w:r>
          </w:p>
        </w:tc>
        <w:tc>
          <w:tcPr>
            <w:tcW w:w="658" w:type="pct"/>
            <w:vAlign w:val="center"/>
          </w:tcPr>
          <w:p w14:paraId="56C81F3A">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c>
          <w:tcPr>
            <w:tcW w:w="893" w:type="pct"/>
            <w:vAlign w:val="center"/>
          </w:tcPr>
          <w:p w14:paraId="5662C9CA">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c>
          <w:tcPr>
            <w:tcW w:w="897" w:type="pct"/>
            <w:vAlign w:val="center"/>
          </w:tcPr>
          <w:p w14:paraId="26E41C6E">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r>
      <w:tr w14:paraId="30FC3C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27" w:type="pct"/>
            <w:vMerge w:val="continue"/>
            <w:vAlign w:val="center"/>
          </w:tcPr>
          <w:p w14:paraId="249F0E00">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c>
          <w:tcPr>
            <w:tcW w:w="1623" w:type="pct"/>
            <w:vAlign w:val="center"/>
          </w:tcPr>
          <w:p w14:paraId="04E8E3A1">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空压机</w:t>
            </w:r>
          </w:p>
        </w:tc>
        <w:tc>
          <w:tcPr>
            <w:tcW w:w="658" w:type="pct"/>
            <w:vAlign w:val="center"/>
          </w:tcPr>
          <w:p w14:paraId="757151DB">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c>
          <w:tcPr>
            <w:tcW w:w="893" w:type="pct"/>
            <w:vAlign w:val="center"/>
          </w:tcPr>
          <w:p w14:paraId="175E2B82">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c>
          <w:tcPr>
            <w:tcW w:w="897" w:type="pct"/>
            <w:vAlign w:val="center"/>
          </w:tcPr>
          <w:p w14:paraId="12B7D1E7">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r>
      <w:tr w14:paraId="36A439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27" w:type="pct"/>
            <w:vMerge w:val="continue"/>
            <w:vAlign w:val="center"/>
          </w:tcPr>
          <w:p w14:paraId="57B61D14">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c>
          <w:tcPr>
            <w:tcW w:w="1623" w:type="pct"/>
            <w:vAlign w:val="center"/>
          </w:tcPr>
          <w:p w14:paraId="00866B7A">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清管器接收筒</w:t>
            </w:r>
            <w:r>
              <w:rPr>
                <w:rFonts w:hint="default" w:ascii="Times New Roman" w:hAnsi="Times New Roman"/>
                <w:color w:val="000000" w:themeColor="text1"/>
                <w:sz w:val="18"/>
                <w:szCs w:val="18"/>
                <w14:textFill>
                  <w14:solidFill>
                    <w14:schemeClr w14:val="tx1"/>
                  </w14:solidFill>
                </w14:textFill>
              </w:rPr>
              <w:t>/</w:t>
            </w:r>
            <w:r>
              <w:rPr>
                <w:rFonts w:ascii="Times New Roman" w:hAnsi="Times New Roman"/>
                <w:color w:val="000000" w:themeColor="text1"/>
                <w:sz w:val="18"/>
                <w:szCs w:val="18"/>
                <w14:textFill>
                  <w14:solidFill>
                    <w14:schemeClr w14:val="tx1"/>
                  </w14:solidFill>
                </w14:textFill>
              </w:rPr>
              <w:t>发送筒</w:t>
            </w:r>
          </w:p>
        </w:tc>
        <w:tc>
          <w:tcPr>
            <w:tcW w:w="658" w:type="pct"/>
            <w:vAlign w:val="center"/>
          </w:tcPr>
          <w:p w14:paraId="3FD5C751">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c>
          <w:tcPr>
            <w:tcW w:w="893" w:type="pct"/>
            <w:vAlign w:val="center"/>
          </w:tcPr>
          <w:p w14:paraId="074C3769">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c>
          <w:tcPr>
            <w:tcW w:w="897" w:type="pct"/>
            <w:vAlign w:val="center"/>
          </w:tcPr>
          <w:p w14:paraId="11F672F1">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r>
      <w:tr w14:paraId="0CE6CB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27" w:type="pct"/>
            <w:vMerge w:val="continue"/>
            <w:vAlign w:val="center"/>
          </w:tcPr>
          <w:p w14:paraId="552E9094">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c>
          <w:tcPr>
            <w:tcW w:w="1623" w:type="pct"/>
            <w:vAlign w:val="center"/>
          </w:tcPr>
          <w:p w14:paraId="766D4F36">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旋风分离器</w:t>
            </w:r>
            <w:r>
              <w:rPr>
                <w:rFonts w:hint="default" w:ascii="Times New Roman" w:hAnsi="Times New Roman"/>
                <w:color w:val="000000" w:themeColor="text1"/>
                <w:sz w:val="18"/>
                <w:szCs w:val="18"/>
                <w14:textFill>
                  <w14:solidFill>
                    <w14:schemeClr w14:val="tx1"/>
                  </w14:solidFill>
                </w14:textFill>
              </w:rPr>
              <w:t>/</w:t>
            </w:r>
            <w:r>
              <w:rPr>
                <w:rFonts w:ascii="Times New Roman" w:hAnsi="Times New Roman"/>
                <w:color w:val="000000" w:themeColor="text1"/>
                <w:sz w:val="18"/>
                <w:szCs w:val="18"/>
                <w14:textFill>
                  <w14:solidFill>
                    <w14:schemeClr w14:val="tx1"/>
                  </w14:solidFill>
                </w14:textFill>
              </w:rPr>
              <w:t>过滤分离器</w:t>
            </w:r>
          </w:p>
        </w:tc>
        <w:tc>
          <w:tcPr>
            <w:tcW w:w="658" w:type="pct"/>
            <w:vAlign w:val="center"/>
          </w:tcPr>
          <w:p w14:paraId="5A84B577">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c>
          <w:tcPr>
            <w:tcW w:w="893" w:type="pct"/>
            <w:vAlign w:val="center"/>
          </w:tcPr>
          <w:p w14:paraId="303270F8">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c>
          <w:tcPr>
            <w:tcW w:w="897" w:type="pct"/>
            <w:vAlign w:val="center"/>
          </w:tcPr>
          <w:p w14:paraId="1A24B2A9">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r>
      <w:tr w14:paraId="14EF35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27" w:type="pct"/>
            <w:vMerge w:val="continue"/>
            <w:vAlign w:val="center"/>
          </w:tcPr>
          <w:p w14:paraId="0D213E63">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c>
          <w:tcPr>
            <w:tcW w:w="1623" w:type="pct"/>
            <w:vAlign w:val="center"/>
          </w:tcPr>
          <w:p w14:paraId="4F6323D2">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电加热器</w:t>
            </w:r>
            <w:r>
              <w:rPr>
                <w:rFonts w:hint="default" w:ascii="Times New Roman" w:hAnsi="Times New Roman"/>
                <w:color w:val="000000" w:themeColor="text1"/>
                <w:sz w:val="18"/>
                <w:szCs w:val="18"/>
                <w14:textFill>
                  <w14:solidFill>
                    <w14:schemeClr w14:val="tx1"/>
                  </w14:solidFill>
                </w14:textFill>
              </w:rPr>
              <w:t>/</w:t>
            </w:r>
            <w:r>
              <w:rPr>
                <w:rFonts w:ascii="Times New Roman" w:hAnsi="Times New Roman"/>
                <w:color w:val="000000" w:themeColor="text1"/>
                <w:sz w:val="18"/>
                <w:szCs w:val="18"/>
                <w14:textFill>
                  <w14:solidFill>
                    <w14:schemeClr w14:val="tx1"/>
                  </w14:solidFill>
                </w14:textFill>
              </w:rPr>
              <w:t>加热炉</w:t>
            </w:r>
          </w:p>
        </w:tc>
        <w:tc>
          <w:tcPr>
            <w:tcW w:w="658" w:type="pct"/>
            <w:vAlign w:val="center"/>
          </w:tcPr>
          <w:p w14:paraId="2962108C">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c>
          <w:tcPr>
            <w:tcW w:w="893" w:type="pct"/>
            <w:vAlign w:val="center"/>
          </w:tcPr>
          <w:p w14:paraId="32219BDC">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c>
          <w:tcPr>
            <w:tcW w:w="897" w:type="pct"/>
            <w:vAlign w:val="center"/>
          </w:tcPr>
          <w:p w14:paraId="4E6507F6">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r>
      <w:tr w14:paraId="0C9380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27" w:type="pct"/>
            <w:vMerge w:val="continue"/>
            <w:vAlign w:val="center"/>
          </w:tcPr>
          <w:p w14:paraId="37DD532C">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c>
          <w:tcPr>
            <w:tcW w:w="1623" w:type="pct"/>
            <w:vAlign w:val="center"/>
          </w:tcPr>
          <w:p w14:paraId="40CC844B">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计量设备</w:t>
            </w:r>
          </w:p>
        </w:tc>
        <w:tc>
          <w:tcPr>
            <w:tcW w:w="658" w:type="pct"/>
            <w:vAlign w:val="center"/>
          </w:tcPr>
          <w:p w14:paraId="00FC0BC3">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c>
          <w:tcPr>
            <w:tcW w:w="893" w:type="pct"/>
            <w:vAlign w:val="center"/>
          </w:tcPr>
          <w:p w14:paraId="605BFB80">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c>
          <w:tcPr>
            <w:tcW w:w="897" w:type="pct"/>
            <w:vAlign w:val="center"/>
          </w:tcPr>
          <w:p w14:paraId="43CC382A">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r>
      <w:tr w14:paraId="409E40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27" w:type="pct"/>
            <w:vMerge w:val="continue"/>
            <w:vAlign w:val="center"/>
          </w:tcPr>
          <w:p w14:paraId="11AE9432">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c>
          <w:tcPr>
            <w:tcW w:w="1623" w:type="pct"/>
            <w:vAlign w:val="center"/>
          </w:tcPr>
          <w:p w14:paraId="717803CC">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调压设备</w:t>
            </w:r>
          </w:p>
        </w:tc>
        <w:tc>
          <w:tcPr>
            <w:tcW w:w="658" w:type="pct"/>
            <w:vAlign w:val="center"/>
          </w:tcPr>
          <w:p w14:paraId="2436ADCF">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c>
          <w:tcPr>
            <w:tcW w:w="893" w:type="pct"/>
            <w:vAlign w:val="center"/>
          </w:tcPr>
          <w:p w14:paraId="60B6AC0C">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c>
          <w:tcPr>
            <w:tcW w:w="897" w:type="pct"/>
            <w:vAlign w:val="center"/>
          </w:tcPr>
          <w:p w14:paraId="5AF33DFF">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r>
      <w:tr w14:paraId="403706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27" w:type="pct"/>
            <w:vMerge w:val="continue"/>
            <w:vAlign w:val="center"/>
          </w:tcPr>
          <w:p w14:paraId="1212835B">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c>
          <w:tcPr>
            <w:tcW w:w="1623" w:type="pct"/>
            <w:vAlign w:val="center"/>
          </w:tcPr>
          <w:p w14:paraId="6B45F9D2">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放空立管</w:t>
            </w:r>
          </w:p>
        </w:tc>
        <w:tc>
          <w:tcPr>
            <w:tcW w:w="658" w:type="pct"/>
            <w:vAlign w:val="center"/>
          </w:tcPr>
          <w:p w14:paraId="768DDD3B">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c>
          <w:tcPr>
            <w:tcW w:w="893" w:type="pct"/>
            <w:vAlign w:val="center"/>
          </w:tcPr>
          <w:p w14:paraId="3B6D08A9">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c>
          <w:tcPr>
            <w:tcW w:w="897" w:type="pct"/>
            <w:vAlign w:val="center"/>
          </w:tcPr>
          <w:p w14:paraId="60F20858">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r>
      <w:tr w14:paraId="3C17AA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27" w:type="pct"/>
            <w:vMerge w:val="continue"/>
            <w:vAlign w:val="center"/>
          </w:tcPr>
          <w:p w14:paraId="1A095FCB">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c>
          <w:tcPr>
            <w:tcW w:w="1623" w:type="pct"/>
            <w:vAlign w:val="center"/>
          </w:tcPr>
          <w:p w14:paraId="74ACA2E5">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r>
              <w:rPr>
                <w:rFonts w:hint="default" w:ascii="Times New Roman" w:hAnsi="Times New Roman"/>
                <w:color w:val="000000" w:themeColor="text1"/>
                <w:sz w:val="18"/>
                <w:szCs w:val="18"/>
                <w14:textFill>
                  <w14:solidFill>
                    <w14:schemeClr w14:val="tx1"/>
                  </w14:solidFill>
                </w14:textFill>
              </w:rPr>
              <w:t>……</w:t>
            </w:r>
          </w:p>
        </w:tc>
        <w:tc>
          <w:tcPr>
            <w:tcW w:w="658" w:type="pct"/>
            <w:vAlign w:val="center"/>
          </w:tcPr>
          <w:p w14:paraId="1DF21538">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c>
          <w:tcPr>
            <w:tcW w:w="893" w:type="pct"/>
            <w:vAlign w:val="center"/>
          </w:tcPr>
          <w:p w14:paraId="6B24B9B7">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c>
          <w:tcPr>
            <w:tcW w:w="897" w:type="pct"/>
            <w:vAlign w:val="center"/>
          </w:tcPr>
          <w:p w14:paraId="7AF5A068">
            <w:pPr>
              <w:pStyle w:val="32"/>
              <w:widowControl w:val="0"/>
              <w:overflowPunct w:val="0"/>
              <w:spacing w:before="0" w:beforeAutospacing="0" w:after="0" w:afterAutospacing="0" w:line="312" w:lineRule="auto"/>
              <w:jc w:val="center"/>
              <w:rPr>
                <w:rFonts w:hint="default" w:ascii="Times New Roman" w:hAnsi="Times New Roman"/>
                <w:color w:val="000000" w:themeColor="text1"/>
                <w:sz w:val="18"/>
                <w:szCs w:val="18"/>
                <w14:textFill>
                  <w14:solidFill>
                    <w14:schemeClr w14:val="tx1"/>
                  </w14:solidFill>
                </w14:textFill>
              </w:rPr>
            </w:pPr>
          </w:p>
        </w:tc>
      </w:tr>
    </w:tbl>
    <w:p w14:paraId="72F869F3"/>
    <w:p w14:paraId="3F057C39">
      <w:pPr>
        <w:pStyle w:val="4"/>
        <w:rPr>
          <w:rFonts w:hint="eastAsia"/>
        </w:rPr>
      </w:pPr>
      <w:bookmarkStart w:id="72" w:name="_Toc174117970"/>
      <w:r>
        <w:rPr>
          <w:rFonts w:hint="eastAsia"/>
        </w:rPr>
        <w:t>5.</w:t>
      </w:r>
      <w:r>
        <w:rPr>
          <w:rFonts w:hint="eastAsia"/>
          <w:lang w:val="en-US"/>
        </w:rPr>
        <w:t>5</w:t>
      </w:r>
      <w:r>
        <w:t xml:space="preserve"> </w:t>
      </w:r>
      <w:r>
        <w:rPr>
          <w:rFonts w:hint="eastAsia"/>
        </w:rPr>
        <w:t>公用工程</w:t>
      </w:r>
      <w:bookmarkEnd w:id="71"/>
      <w:bookmarkEnd w:id="72"/>
    </w:p>
    <w:p w14:paraId="507B74BE">
      <w:pPr>
        <w:pStyle w:val="153"/>
        <w:spacing w:before="156" w:after="156"/>
        <w:rPr>
          <w:rFonts w:hint="eastAsia"/>
        </w:rPr>
      </w:pPr>
      <w:bookmarkStart w:id="73" w:name="_Toc464326086"/>
      <w:r>
        <w:t>5.</w:t>
      </w:r>
      <w:r>
        <w:rPr>
          <w:rFonts w:hint="eastAsia"/>
          <w:lang w:val="en-US"/>
        </w:rPr>
        <w:t>5</w:t>
      </w:r>
      <w:r>
        <w:t xml:space="preserve">.1 </w:t>
      </w:r>
      <w:r>
        <w:rPr>
          <w:rFonts w:hint="eastAsia"/>
        </w:rPr>
        <w:t>自控</w:t>
      </w:r>
      <w:bookmarkEnd w:id="73"/>
    </w:p>
    <w:p w14:paraId="2B3A754A">
      <w:pPr>
        <w:tabs>
          <w:tab w:val="left" w:pos="840"/>
          <w:tab w:val="center" w:pos="4201"/>
          <w:tab w:val="right" w:leader="dot" w:pos="9298"/>
        </w:tabs>
        <w:autoSpaceDE w:val="0"/>
        <w:autoSpaceDN w:val="0"/>
        <w:spacing w:line="240" w:lineRule="auto"/>
        <w:ind w:left="420"/>
        <w:textAlignment w:val="auto"/>
        <w:rPr>
          <w:color w:val="auto"/>
        </w:rPr>
      </w:pPr>
      <w:r>
        <w:rPr>
          <w:rFonts w:hint="eastAsia"/>
          <w:color w:val="auto"/>
        </w:rPr>
        <w:t>说明自控系统设置情况：</w:t>
      </w:r>
    </w:p>
    <w:p w14:paraId="7CB270AB">
      <w:pPr>
        <w:pStyle w:val="35"/>
        <w:spacing w:after="0" w:line="240" w:lineRule="auto"/>
        <w:ind w:firstLine="424" w:firstLineChars="202"/>
        <w:rPr>
          <w:rFonts w:ascii="Times New Roman" w:hAnsi="Times New Roman"/>
          <w:color w:val="auto"/>
          <w:kern w:val="0"/>
          <w:szCs w:val="20"/>
        </w:rPr>
      </w:pPr>
      <w:r>
        <w:rPr>
          <w:rFonts w:hint="eastAsia" w:ascii="Times New Roman" w:hAnsi="Times New Roman"/>
          <w:color w:val="auto"/>
          <w:kern w:val="0"/>
          <w:szCs w:val="20"/>
        </w:rPr>
        <w:t>a）</w:t>
      </w:r>
      <w:r>
        <w:rPr>
          <w:rFonts w:ascii="Times New Roman" w:hAnsi="Times New Roman"/>
          <w:color w:val="auto"/>
          <w:kern w:val="0"/>
          <w:szCs w:val="20"/>
        </w:rPr>
        <w:t xml:space="preserve"> </w:t>
      </w:r>
      <w:r>
        <w:rPr>
          <w:rFonts w:hint="eastAsia" w:ascii="Times New Roman" w:hAnsi="Times New Roman"/>
          <w:color w:val="auto"/>
          <w:kern w:val="0"/>
          <w:szCs w:val="20"/>
        </w:rPr>
        <w:t>数据采集与监视控制</w:t>
      </w:r>
      <w:r>
        <w:rPr>
          <w:rFonts w:ascii="Times New Roman" w:hAnsi="Times New Roman"/>
          <w:color w:val="auto"/>
          <w:kern w:val="0"/>
          <w:szCs w:val="20"/>
        </w:rPr>
        <w:t>（SCADA</w:t>
      </w:r>
      <w:r>
        <w:rPr>
          <w:rFonts w:hint="eastAsia" w:ascii="Times New Roman" w:hAnsi="Times New Roman"/>
          <w:color w:val="auto"/>
          <w:kern w:val="0"/>
          <w:szCs w:val="20"/>
        </w:rPr>
        <w:t>）系统；</w:t>
      </w:r>
    </w:p>
    <w:p w14:paraId="649959B0">
      <w:pPr>
        <w:pStyle w:val="35"/>
        <w:spacing w:after="0" w:line="240" w:lineRule="auto"/>
        <w:ind w:firstLine="424" w:firstLineChars="202"/>
        <w:rPr>
          <w:rFonts w:ascii="Times New Roman" w:hAnsi="Times New Roman"/>
          <w:color w:val="auto"/>
          <w:kern w:val="0"/>
          <w:szCs w:val="20"/>
        </w:rPr>
      </w:pPr>
      <w:r>
        <w:rPr>
          <w:rFonts w:ascii="Times New Roman" w:hAnsi="Times New Roman"/>
          <w:color w:val="auto"/>
          <w:kern w:val="0"/>
          <w:szCs w:val="20"/>
        </w:rPr>
        <w:t xml:space="preserve">b） </w:t>
      </w:r>
      <w:r>
        <w:rPr>
          <w:rFonts w:hint="eastAsia" w:ascii="Times New Roman" w:hAnsi="Times New Roman"/>
          <w:color w:val="auto"/>
          <w:kern w:val="0"/>
          <w:szCs w:val="20"/>
        </w:rPr>
        <w:t>基本过程控制系统（</w:t>
      </w:r>
      <w:r>
        <w:rPr>
          <w:rFonts w:ascii="Times New Roman" w:hAnsi="Times New Roman"/>
          <w:color w:val="auto"/>
          <w:kern w:val="0"/>
          <w:szCs w:val="20"/>
        </w:rPr>
        <w:t>BPCS</w:t>
      </w:r>
      <w:r>
        <w:rPr>
          <w:rFonts w:hint="eastAsia" w:ascii="Times New Roman" w:hAnsi="Times New Roman"/>
          <w:color w:val="auto"/>
          <w:kern w:val="0"/>
          <w:szCs w:val="20"/>
        </w:rPr>
        <w:t>）；</w:t>
      </w:r>
    </w:p>
    <w:p w14:paraId="6A12A1A8">
      <w:pPr>
        <w:pStyle w:val="35"/>
        <w:spacing w:after="0" w:line="240" w:lineRule="auto"/>
        <w:ind w:firstLine="424" w:firstLineChars="202"/>
        <w:rPr>
          <w:rFonts w:ascii="Times New Roman" w:hAnsi="Times New Roman"/>
          <w:color w:val="auto"/>
          <w:kern w:val="0"/>
          <w:szCs w:val="20"/>
        </w:rPr>
      </w:pPr>
      <w:r>
        <w:rPr>
          <w:rFonts w:ascii="Times New Roman" w:hAnsi="Times New Roman"/>
          <w:color w:val="auto"/>
          <w:kern w:val="0"/>
          <w:szCs w:val="20"/>
        </w:rPr>
        <w:t xml:space="preserve">c） </w:t>
      </w:r>
      <w:r>
        <w:rPr>
          <w:rFonts w:hint="eastAsia" w:ascii="Times New Roman" w:hAnsi="Times New Roman"/>
          <w:color w:val="auto"/>
          <w:kern w:val="0"/>
          <w:szCs w:val="20"/>
        </w:rPr>
        <w:t>安全仪表系统（SIS）；</w:t>
      </w:r>
    </w:p>
    <w:p w14:paraId="67D0995F">
      <w:pPr>
        <w:pStyle w:val="35"/>
        <w:spacing w:after="0" w:line="240" w:lineRule="auto"/>
        <w:ind w:firstLine="424" w:firstLineChars="202"/>
        <w:rPr>
          <w:rFonts w:ascii="Times New Roman" w:hAnsi="Times New Roman"/>
          <w:color w:val="auto"/>
          <w:kern w:val="0"/>
          <w:szCs w:val="20"/>
        </w:rPr>
      </w:pPr>
      <w:r>
        <w:rPr>
          <w:rFonts w:ascii="Times New Roman" w:hAnsi="Times New Roman"/>
          <w:color w:val="auto"/>
          <w:kern w:val="0"/>
          <w:szCs w:val="20"/>
        </w:rPr>
        <w:t xml:space="preserve">d） </w:t>
      </w:r>
      <w:r>
        <w:rPr>
          <w:rFonts w:hint="eastAsia" w:ascii="Times New Roman" w:hAnsi="Times New Roman"/>
          <w:color w:val="auto"/>
          <w:kern w:val="0"/>
          <w:szCs w:val="20"/>
        </w:rPr>
        <w:t>管道泄漏检测系统；</w:t>
      </w:r>
    </w:p>
    <w:p w14:paraId="4898CE91">
      <w:pPr>
        <w:pStyle w:val="35"/>
        <w:spacing w:after="0" w:line="240" w:lineRule="auto"/>
        <w:ind w:firstLine="424" w:firstLineChars="202"/>
        <w:rPr>
          <w:rFonts w:ascii="Times New Roman" w:hAnsi="Times New Roman"/>
          <w:color w:val="auto"/>
          <w:kern w:val="0"/>
          <w:szCs w:val="20"/>
        </w:rPr>
      </w:pPr>
      <w:r>
        <w:rPr>
          <w:rFonts w:ascii="Times New Roman" w:hAnsi="Times New Roman"/>
          <w:color w:val="auto"/>
          <w:kern w:val="0"/>
          <w:szCs w:val="20"/>
        </w:rPr>
        <w:t xml:space="preserve">e） </w:t>
      </w:r>
      <w:r>
        <w:rPr>
          <w:rFonts w:hint="eastAsia" w:ascii="Times New Roman" w:hAnsi="Times New Roman"/>
          <w:color w:val="auto"/>
          <w:kern w:val="0"/>
          <w:szCs w:val="20"/>
        </w:rPr>
        <w:t>水击保护系统；</w:t>
      </w:r>
    </w:p>
    <w:p w14:paraId="29397096">
      <w:pPr>
        <w:pStyle w:val="35"/>
        <w:spacing w:after="0" w:line="240" w:lineRule="auto"/>
        <w:ind w:firstLine="424" w:firstLineChars="202"/>
        <w:rPr>
          <w:rFonts w:ascii="Times New Roman" w:hAnsi="Times New Roman"/>
          <w:color w:val="auto"/>
          <w:kern w:val="0"/>
          <w:szCs w:val="20"/>
        </w:rPr>
      </w:pPr>
      <w:r>
        <w:rPr>
          <w:rFonts w:ascii="Times New Roman" w:hAnsi="Times New Roman"/>
          <w:color w:val="auto"/>
          <w:kern w:val="0"/>
          <w:szCs w:val="20"/>
        </w:rPr>
        <w:t>f）</w:t>
      </w:r>
      <w:r>
        <w:rPr>
          <w:rFonts w:hint="eastAsia" w:ascii="Times New Roman" w:hAnsi="Times New Roman"/>
          <w:color w:val="auto"/>
          <w:kern w:val="0"/>
          <w:szCs w:val="20"/>
        </w:rPr>
        <w:t xml:space="preserve"> 压力控制系统；</w:t>
      </w:r>
    </w:p>
    <w:p w14:paraId="1BA0F127">
      <w:pPr>
        <w:pStyle w:val="35"/>
        <w:spacing w:after="0" w:line="240" w:lineRule="auto"/>
        <w:ind w:firstLine="424" w:firstLineChars="202"/>
        <w:rPr>
          <w:rFonts w:ascii="Times New Roman" w:hAnsi="Times New Roman"/>
          <w:color w:val="auto"/>
          <w:kern w:val="0"/>
          <w:szCs w:val="20"/>
        </w:rPr>
      </w:pPr>
      <w:r>
        <w:rPr>
          <w:rFonts w:ascii="Times New Roman" w:hAnsi="Times New Roman"/>
          <w:color w:val="auto"/>
          <w:kern w:val="0"/>
          <w:szCs w:val="20"/>
        </w:rPr>
        <w:t xml:space="preserve">g） </w:t>
      </w:r>
      <w:r>
        <w:rPr>
          <w:rFonts w:hint="eastAsia" w:ascii="Times New Roman" w:hAnsi="Times New Roman"/>
          <w:color w:val="auto"/>
          <w:kern w:val="0"/>
          <w:szCs w:val="20"/>
        </w:rPr>
        <w:t>可燃（有毒）气体检测系统及火灾自动报警系统；</w:t>
      </w:r>
    </w:p>
    <w:p w14:paraId="085023A9">
      <w:pPr>
        <w:pStyle w:val="35"/>
        <w:spacing w:after="0" w:line="240" w:lineRule="auto"/>
        <w:ind w:firstLine="424" w:firstLineChars="202"/>
        <w:rPr>
          <w:rFonts w:ascii="Times New Roman" w:hAnsi="Times New Roman"/>
          <w:color w:val="auto"/>
          <w:kern w:val="0"/>
          <w:szCs w:val="20"/>
        </w:rPr>
      </w:pPr>
      <w:r>
        <w:rPr>
          <w:rFonts w:ascii="Times New Roman" w:hAnsi="Times New Roman"/>
          <w:color w:val="auto"/>
          <w:kern w:val="0"/>
          <w:szCs w:val="20"/>
        </w:rPr>
        <w:t xml:space="preserve">h） </w:t>
      </w:r>
      <w:r>
        <w:rPr>
          <w:rFonts w:hint="eastAsia" w:ascii="Times New Roman" w:hAnsi="Times New Roman"/>
          <w:color w:val="auto"/>
          <w:kern w:val="0"/>
          <w:szCs w:val="20"/>
        </w:rPr>
        <w:t>站控制室的设置；</w:t>
      </w:r>
    </w:p>
    <w:p w14:paraId="0574D09B">
      <w:pPr>
        <w:pStyle w:val="35"/>
        <w:spacing w:after="0" w:line="240" w:lineRule="auto"/>
        <w:ind w:firstLine="424" w:firstLineChars="202"/>
        <w:rPr>
          <w:rFonts w:ascii="Times New Roman" w:hAnsi="Times New Roman"/>
          <w:color w:val="auto"/>
          <w:kern w:val="0"/>
          <w:szCs w:val="20"/>
        </w:rPr>
      </w:pPr>
      <w:r>
        <w:rPr>
          <w:rFonts w:ascii="Times New Roman" w:hAnsi="Times New Roman"/>
          <w:color w:val="auto"/>
          <w:kern w:val="0"/>
          <w:szCs w:val="20"/>
        </w:rPr>
        <w:t xml:space="preserve">i） </w:t>
      </w:r>
      <w:r>
        <w:rPr>
          <w:rFonts w:hint="eastAsia" w:ascii="Times New Roman" w:hAnsi="Times New Roman"/>
          <w:color w:val="auto"/>
          <w:kern w:val="0"/>
          <w:szCs w:val="20"/>
        </w:rPr>
        <w:t>其它安全措施。</w:t>
      </w:r>
    </w:p>
    <w:p w14:paraId="6D73855A">
      <w:pPr>
        <w:pStyle w:val="153"/>
        <w:spacing w:before="156" w:after="156"/>
        <w:rPr>
          <w:rFonts w:hint="eastAsia"/>
        </w:rPr>
      </w:pPr>
      <w:bookmarkStart w:id="74" w:name="_Toc464326087"/>
      <w:r>
        <w:t>5.</w:t>
      </w:r>
      <w:r>
        <w:rPr>
          <w:rFonts w:hint="eastAsia"/>
          <w:lang w:val="en-US"/>
        </w:rPr>
        <w:t>5</w:t>
      </w:r>
      <w:r>
        <w:t xml:space="preserve">.2 </w:t>
      </w:r>
      <w:r>
        <w:rPr>
          <w:rFonts w:hint="eastAsia"/>
        </w:rPr>
        <w:t>通信</w:t>
      </w:r>
      <w:bookmarkEnd w:id="74"/>
    </w:p>
    <w:p w14:paraId="03CFACA2">
      <w:pPr>
        <w:tabs>
          <w:tab w:val="left" w:pos="840"/>
          <w:tab w:val="center" w:pos="4201"/>
          <w:tab w:val="right" w:leader="dot" w:pos="9298"/>
        </w:tabs>
        <w:autoSpaceDE w:val="0"/>
        <w:autoSpaceDN w:val="0"/>
        <w:spacing w:line="240" w:lineRule="auto"/>
        <w:ind w:left="420"/>
        <w:textAlignment w:val="auto"/>
        <w:rPr>
          <w:color w:val="auto"/>
        </w:rPr>
      </w:pPr>
      <w:bookmarkStart w:id="75" w:name="_Toc479859083"/>
      <w:r>
        <w:rPr>
          <w:rFonts w:hint="eastAsia"/>
          <w:color w:val="auto"/>
        </w:rPr>
        <w:t>说明通信系统设置情况：</w:t>
      </w:r>
    </w:p>
    <w:p w14:paraId="511E7BB9">
      <w:pPr>
        <w:pStyle w:val="35"/>
        <w:spacing w:after="0" w:line="240" w:lineRule="auto"/>
        <w:ind w:firstLine="424" w:firstLineChars="202"/>
        <w:rPr>
          <w:rFonts w:ascii="Times New Roman" w:hAnsi="Times New Roman"/>
          <w:color w:val="auto"/>
          <w:kern w:val="0"/>
          <w:szCs w:val="20"/>
        </w:rPr>
      </w:pPr>
      <w:r>
        <w:rPr>
          <w:rFonts w:ascii="Times New Roman" w:hAnsi="Times New Roman"/>
          <w:color w:val="auto"/>
          <w:kern w:val="0"/>
          <w:szCs w:val="20"/>
        </w:rPr>
        <w:t xml:space="preserve">a） </w:t>
      </w:r>
      <w:r>
        <w:rPr>
          <w:rFonts w:hint="eastAsia" w:ascii="Times New Roman" w:hAnsi="Times New Roman"/>
          <w:color w:val="auto"/>
          <w:kern w:val="0"/>
          <w:szCs w:val="20"/>
        </w:rPr>
        <w:t>数据传输；</w:t>
      </w:r>
    </w:p>
    <w:p w14:paraId="197D3CE1">
      <w:pPr>
        <w:pStyle w:val="35"/>
        <w:spacing w:after="0" w:line="240" w:lineRule="auto"/>
        <w:ind w:firstLine="424" w:firstLineChars="202"/>
        <w:rPr>
          <w:rFonts w:ascii="Times New Roman" w:hAnsi="Times New Roman"/>
          <w:color w:val="auto"/>
          <w:kern w:val="0"/>
          <w:szCs w:val="20"/>
        </w:rPr>
      </w:pPr>
      <w:r>
        <w:rPr>
          <w:rFonts w:ascii="Times New Roman" w:hAnsi="Times New Roman"/>
          <w:color w:val="auto"/>
          <w:kern w:val="0"/>
          <w:szCs w:val="20"/>
        </w:rPr>
        <w:t xml:space="preserve">b） </w:t>
      </w:r>
      <w:r>
        <w:rPr>
          <w:rFonts w:hint="eastAsia" w:ascii="Times New Roman" w:hAnsi="Times New Roman"/>
          <w:color w:val="auto"/>
          <w:kern w:val="0"/>
          <w:szCs w:val="20"/>
        </w:rPr>
        <w:t>安全防范系统（工业电视、入侵报警、光纤预警系统等）；</w:t>
      </w:r>
    </w:p>
    <w:p w14:paraId="749540F4">
      <w:pPr>
        <w:pStyle w:val="35"/>
        <w:spacing w:after="0" w:line="240" w:lineRule="auto"/>
        <w:ind w:firstLine="424" w:firstLineChars="202"/>
        <w:rPr>
          <w:rFonts w:ascii="Times New Roman" w:hAnsi="Times New Roman"/>
          <w:color w:val="auto"/>
          <w:kern w:val="0"/>
          <w:szCs w:val="20"/>
        </w:rPr>
      </w:pPr>
      <w:r>
        <w:rPr>
          <w:rFonts w:ascii="Times New Roman" w:hAnsi="Times New Roman"/>
          <w:color w:val="auto"/>
          <w:kern w:val="0"/>
          <w:szCs w:val="20"/>
        </w:rPr>
        <w:t xml:space="preserve">c） </w:t>
      </w:r>
      <w:r>
        <w:rPr>
          <w:rFonts w:hint="eastAsia" w:ascii="Times New Roman" w:hAnsi="Times New Roman"/>
          <w:color w:val="auto"/>
          <w:kern w:val="0"/>
          <w:szCs w:val="20"/>
        </w:rPr>
        <w:t>电子巡查及巡检系统；</w:t>
      </w:r>
    </w:p>
    <w:p w14:paraId="1CE9B9D8">
      <w:pPr>
        <w:pStyle w:val="35"/>
        <w:spacing w:after="0" w:line="240" w:lineRule="auto"/>
        <w:ind w:firstLine="424" w:firstLineChars="202"/>
        <w:rPr>
          <w:rFonts w:ascii="Times New Roman" w:hAnsi="Times New Roman"/>
          <w:color w:val="auto"/>
          <w:kern w:val="0"/>
          <w:szCs w:val="20"/>
        </w:rPr>
      </w:pPr>
      <w:r>
        <w:rPr>
          <w:rFonts w:ascii="Times New Roman" w:hAnsi="Times New Roman"/>
          <w:color w:val="auto"/>
          <w:kern w:val="0"/>
          <w:szCs w:val="20"/>
        </w:rPr>
        <w:t xml:space="preserve">d） </w:t>
      </w:r>
      <w:r>
        <w:rPr>
          <w:rFonts w:hint="eastAsia" w:ascii="Times New Roman" w:hAnsi="Times New Roman"/>
          <w:color w:val="auto"/>
          <w:kern w:val="0"/>
          <w:szCs w:val="20"/>
        </w:rPr>
        <w:t>防雷及接地；</w:t>
      </w:r>
    </w:p>
    <w:p w14:paraId="4D8B47D8">
      <w:pPr>
        <w:pStyle w:val="35"/>
        <w:spacing w:after="0" w:line="240" w:lineRule="auto"/>
        <w:ind w:firstLine="424" w:firstLineChars="202"/>
        <w:rPr>
          <w:rFonts w:ascii="Times New Roman" w:hAnsi="Times New Roman"/>
          <w:color w:val="auto"/>
          <w:kern w:val="0"/>
          <w:szCs w:val="20"/>
        </w:rPr>
      </w:pPr>
      <w:r>
        <w:rPr>
          <w:rFonts w:ascii="Times New Roman" w:hAnsi="Times New Roman"/>
          <w:color w:val="auto"/>
          <w:kern w:val="0"/>
          <w:szCs w:val="20"/>
        </w:rPr>
        <w:t xml:space="preserve">e） </w:t>
      </w:r>
      <w:r>
        <w:rPr>
          <w:rFonts w:hint="eastAsia" w:ascii="Times New Roman" w:hAnsi="Times New Roman"/>
          <w:color w:val="auto"/>
          <w:kern w:val="0"/>
          <w:szCs w:val="20"/>
        </w:rPr>
        <w:t>光缆防护。</w:t>
      </w:r>
    </w:p>
    <w:bookmarkEnd w:id="75"/>
    <w:p w14:paraId="73500208">
      <w:pPr>
        <w:pStyle w:val="153"/>
        <w:spacing w:before="156" w:after="156"/>
        <w:rPr>
          <w:rFonts w:hint="eastAsia"/>
        </w:rPr>
      </w:pPr>
      <w:bookmarkStart w:id="76" w:name="_Toc464326088"/>
      <w:r>
        <w:t>5.</w:t>
      </w:r>
      <w:r>
        <w:rPr>
          <w:rFonts w:hint="eastAsia"/>
          <w:lang w:val="en-US"/>
        </w:rPr>
        <w:t>5</w:t>
      </w:r>
      <w:r>
        <w:t xml:space="preserve">.3 </w:t>
      </w:r>
      <w:r>
        <w:rPr>
          <w:rFonts w:hint="eastAsia"/>
        </w:rPr>
        <w:t>供配电</w:t>
      </w:r>
      <w:bookmarkEnd w:id="76"/>
    </w:p>
    <w:p w14:paraId="5F6AE191">
      <w:pPr>
        <w:tabs>
          <w:tab w:val="left" w:pos="840"/>
          <w:tab w:val="center" w:pos="4201"/>
          <w:tab w:val="right" w:leader="dot" w:pos="9298"/>
        </w:tabs>
        <w:autoSpaceDE w:val="0"/>
        <w:autoSpaceDN w:val="0"/>
        <w:spacing w:line="240" w:lineRule="auto"/>
        <w:ind w:left="420"/>
        <w:textAlignment w:val="auto"/>
        <w:rPr>
          <w:color w:val="auto"/>
        </w:rPr>
      </w:pPr>
      <w:r>
        <w:rPr>
          <w:rFonts w:hint="eastAsia"/>
          <w:color w:val="auto"/>
        </w:rPr>
        <w:t>说明供配电设置情况：</w:t>
      </w:r>
    </w:p>
    <w:p w14:paraId="225C70D6">
      <w:pPr>
        <w:pStyle w:val="35"/>
        <w:spacing w:after="0" w:line="240" w:lineRule="auto"/>
        <w:ind w:firstLineChars="200"/>
        <w:rPr>
          <w:rFonts w:ascii="Times New Roman" w:hAnsi="Times New Roman"/>
          <w:color w:val="auto"/>
          <w:kern w:val="0"/>
          <w:szCs w:val="20"/>
        </w:rPr>
      </w:pPr>
      <w:r>
        <w:rPr>
          <w:rFonts w:ascii="Times New Roman" w:hAnsi="Times New Roman"/>
          <w:color w:val="auto"/>
          <w:kern w:val="0"/>
          <w:szCs w:val="20"/>
        </w:rPr>
        <w:t>a</w:t>
      </w:r>
      <w:r>
        <w:rPr>
          <w:rFonts w:hint="eastAsia" w:ascii="Times New Roman" w:hAnsi="Times New Roman"/>
          <w:color w:val="auto"/>
          <w:kern w:val="0"/>
          <w:szCs w:val="20"/>
        </w:rPr>
        <w:t>）</w:t>
      </w:r>
      <w:r>
        <w:rPr>
          <w:rFonts w:ascii="Times New Roman" w:hAnsi="Times New Roman"/>
          <w:color w:val="auto"/>
          <w:kern w:val="0"/>
          <w:szCs w:val="20"/>
        </w:rPr>
        <w:t xml:space="preserve"> </w:t>
      </w:r>
      <w:r>
        <w:rPr>
          <w:rFonts w:hint="eastAsia" w:ascii="Times New Roman" w:hAnsi="Times New Roman"/>
          <w:color w:val="auto"/>
          <w:kern w:val="0"/>
          <w:szCs w:val="20"/>
        </w:rPr>
        <w:t>站场、阀室电源配置、负荷以及应急或备用电源（含消防用电）的配置情况；</w:t>
      </w:r>
    </w:p>
    <w:p w14:paraId="4F619091">
      <w:pPr>
        <w:pStyle w:val="35"/>
        <w:spacing w:after="0" w:line="240" w:lineRule="auto"/>
        <w:ind w:firstLine="424" w:firstLineChars="202"/>
        <w:rPr>
          <w:rFonts w:ascii="Times New Roman" w:hAnsi="Times New Roman"/>
          <w:color w:val="auto"/>
          <w:kern w:val="0"/>
          <w:szCs w:val="20"/>
        </w:rPr>
      </w:pPr>
      <w:r>
        <w:rPr>
          <w:rFonts w:ascii="Times New Roman" w:hAnsi="Times New Roman"/>
          <w:color w:val="auto"/>
          <w:kern w:val="0"/>
          <w:szCs w:val="20"/>
        </w:rPr>
        <w:t>b）</w:t>
      </w:r>
      <w:r>
        <w:rPr>
          <w:rFonts w:hint="eastAsia" w:ascii="Times New Roman" w:hAnsi="Times New Roman"/>
          <w:color w:val="auto"/>
          <w:kern w:val="0"/>
          <w:szCs w:val="20"/>
        </w:rPr>
        <w:t xml:space="preserve"> 压气站供电系统配置情况，主要包括：地方电网相关变电站（电源点）概况；压气站变电站概况（电压等级、电源联络线路参数、变压器容量、压缩机容量及启动方式等）；</w:t>
      </w:r>
    </w:p>
    <w:p w14:paraId="6CF3E7CF">
      <w:pPr>
        <w:pStyle w:val="35"/>
        <w:spacing w:after="0" w:line="240" w:lineRule="auto"/>
        <w:ind w:firstLine="424" w:firstLineChars="202"/>
        <w:rPr>
          <w:rFonts w:ascii="Times New Roman" w:hAnsi="Times New Roman"/>
          <w:color w:val="auto"/>
          <w:kern w:val="0"/>
          <w:szCs w:val="20"/>
        </w:rPr>
      </w:pPr>
      <w:r>
        <w:rPr>
          <w:rFonts w:ascii="Times New Roman" w:hAnsi="Times New Roman"/>
          <w:color w:val="auto"/>
          <w:kern w:val="0"/>
          <w:szCs w:val="20"/>
        </w:rPr>
        <w:t xml:space="preserve">c） </w:t>
      </w:r>
      <w:r>
        <w:rPr>
          <w:rFonts w:hint="eastAsia" w:ascii="Times New Roman" w:hAnsi="Times New Roman"/>
          <w:color w:val="auto"/>
          <w:kern w:val="0"/>
          <w:szCs w:val="20"/>
        </w:rPr>
        <w:t>变电站（所）的继电保护及电气监控系统的配置情况；</w:t>
      </w:r>
    </w:p>
    <w:p w14:paraId="6410E7EF">
      <w:pPr>
        <w:pStyle w:val="35"/>
        <w:spacing w:after="0" w:line="240" w:lineRule="auto"/>
        <w:ind w:firstLine="424" w:firstLineChars="202"/>
        <w:rPr>
          <w:rFonts w:ascii="Times New Roman" w:hAnsi="Times New Roman"/>
          <w:color w:val="auto"/>
          <w:kern w:val="0"/>
          <w:szCs w:val="20"/>
        </w:rPr>
      </w:pPr>
      <w:r>
        <w:rPr>
          <w:rFonts w:ascii="Times New Roman" w:hAnsi="Times New Roman"/>
          <w:color w:val="auto"/>
          <w:kern w:val="0"/>
          <w:szCs w:val="20"/>
        </w:rPr>
        <w:t xml:space="preserve">d） </w:t>
      </w:r>
      <w:r>
        <w:rPr>
          <w:rFonts w:hint="eastAsia" w:ascii="Times New Roman" w:hAnsi="Times New Roman"/>
          <w:color w:val="auto"/>
          <w:kern w:val="0"/>
          <w:szCs w:val="20"/>
        </w:rPr>
        <w:t>爆炸危险区域划分和相关电气设备、电力电缆采取的防火、防爆措施；</w:t>
      </w:r>
    </w:p>
    <w:p w14:paraId="779E9FDA">
      <w:pPr>
        <w:pStyle w:val="35"/>
        <w:spacing w:after="0" w:line="240" w:lineRule="auto"/>
        <w:ind w:firstLine="424" w:firstLineChars="202"/>
        <w:rPr>
          <w:rFonts w:ascii="Times New Roman" w:hAnsi="Times New Roman"/>
          <w:color w:val="auto"/>
          <w:kern w:val="0"/>
          <w:szCs w:val="20"/>
        </w:rPr>
      </w:pPr>
      <w:r>
        <w:rPr>
          <w:rFonts w:ascii="Times New Roman" w:hAnsi="Times New Roman"/>
          <w:color w:val="auto"/>
          <w:kern w:val="0"/>
          <w:szCs w:val="20"/>
        </w:rPr>
        <w:t xml:space="preserve">e） </w:t>
      </w:r>
      <w:r>
        <w:rPr>
          <w:rFonts w:hint="eastAsia" w:ascii="Times New Roman" w:hAnsi="Times New Roman"/>
          <w:color w:val="auto"/>
          <w:kern w:val="0"/>
          <w:szCs w:val="20"/>
        </w:rPr>
        <w:t>各站场、阀室防雷、防静电保护措施；</w:t>
      </w:r>
    </w:p>
    <w:p w14:paraId="1B675AD8">
      <w:pPr>
        <w:pStyle w:val="35"/>
        <w:spacing w:after="0" w:line="240" w:lineRule="auto"/>
        <w:ind w:firstLine="424" w:firstLineChars="202"/>
        <w:rPr>
          <w:rFonts w:ascii="Times New Roman" w:hAnsi="Times New Roman"/>
          <w:color w:val="auto"/>
          <w:kern w:val="0"/>
          <w:szCs w:val="20"/>
        </w:rPr>
      </w:pPr>
      <w:r>
        <w:rPr>
          <w:rFonts w:ascii="Times New Roman" w:hAnsi="Times New Roman"/>
          <w:color w:val="auto"/>
          <w:kern w:val="0"/>
          <w:szCs w:val="20"/>
        </w:rPr>
        <w:t xml:space="preserve">f） </w:t>
      </w:r>
      <w:r>
        <w:rPr>
          <w:rFonts w:hint="eastAsia" w:ascii="Times New Roman" w:hAnsi="Times New Roman"/>
          <w:color w:val="auto"/>
          <w:kern w:val="0"/>
          <w:szCs w:val="20"/>
        </w:rPr>
        <w:t>主要电气设备统计。</w:t>
      </w:r>
    </w:p>
    <w:p w14:paraId="6714D2A1">
      <w:pPr>
        <w:pStyle w:val="153"/>
        <w:spacing w:before="156" w:after="156"/>
        <w:rPr>
          <w:rFonts w:hint="eastAsia"/>
        </w:rPr>
      </w:pPr>
      <w:bookmarkStart w:id="77" w:name="_Toc464326089"/>
      <w:r>
        <w:t>5.</w:t>
      </w:r>
      <w:r>
        <w:rPr>
          <w:rFonts w:hint="eastAsia"/>
          <w:lang w:val="en-US"/>
        </w:rPr>
        <w:t>5</w:t>
      </w:r>
      <w:r>
        <w:t xml:space="preserve">.4 </w:t>
      </w:r>
      <w:r>
        <w:rPr>
          <w:rFonts w:hint="eastAsia"/>
        </w:rPr>
        <w:t>防腐与保温</w:t>
      </w:r>
      <w:bookmarkEnd w:id="77"/>
    </w:p>
    <w:p w14:paraId="24E1533D">
      <w:pPr>
        <w:pStyle w:val="65"/>
        <w:ind w:firstLine="420"/>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说明管道防腐与保温情况：</w:t>
      </w:r>
    </w:p>
    <w:p w14:paraId="73432273">
      <w:pPr>
        <w:pStyle w:val="35"/>
        <w:spacing w:after="0" w:line="240" w:lineRule="auto"/>
        <w:ind w:firstLine="424" w:firstLineChars="202"/>
        <w:rPr>
          <w:rFonts w:ascii="Times New Roman" w:hAnsi="Times New Roman"/>
          <w:color w:val="auto"/>
          <w:kern w:val="0"/>
          <w:szCs w:val="20"/>
        </w:rPr>
      </w:pPr>
      <w:r>
        <w:rPr>
          <w:rFonts w:ascii="Times New Roman" w:hAnsi="Times New Roman"/>
          <w:color w:val="auto"/>
          <w:kern w:val="0"/>
          <w:szCs w:val="20"/>
        </w:rPr>
        <w:t xml:space="preserve">a） </w:t>
      </w:r>
      <w:r>
        <w:rPr>
          <w:rFonts w:hint="eastAsia" w:ascii="Times New Roman" w:hAnsi="Times New Roman"/>
          <w:color w:val="auto"/>
          <w:kern w:val="0"/>
          <w:szCs w:val="20"/>
        </w:rPr>
        <w:t>管道外防腐层及保温层材料和补口方式，站内管道及设备防腐、保温，大型容器和储罐内、外壁的防腐、保温措施；</w:t>
      </w:r>
    </w:p>
    <w:p w14:paraId="718D8711">
      <w:pPr>
        <w:pStyle w:val="35"/>
        <w:spacing w:after="0" w:line="240" w:lineRule="auto"/>
        <w:ind w:firstLine="424" w:firstLineChars="202"/>
        <w:rPr>
          <w:rFonts w:ascii="Times New Roman" w:hAnsi="Times New Roman"/>
          <w:color w:val="auto"/>
          <w:kern w:val="0"/>
          <w:szCs w:val="20"/>
        </w:rPr>
      </w:pPr>
      <w:r>
        <w:rPr>
          <w:rFonts w:ascii="Times New Roman" w:hAnsi="Times New Roman"/>
          <w:color w:val="auto"/>
          <w:kern w:val="0"/>
          <w:szCs w:val="20"/>
        </w:rPr>
        <w:t xml:space="preserve">b） </w:t>
      </w:r>
      <w:r>
        <w:rPr>
          <w:rFonts w:hint="eastAsia" w:ascii="Times New Roman" w:hAnsi="Times New Roman"/>
          <w:color w:val="auto"/>
          <w:kern w:val="0"/>
          <w:szCs w:val="20"/>
        </w:rPr>
        <w:t>线路阴极保护站分布、数量、供电方式和设置情况，牺牲阳极材料的选用、分布情况；</w:t>
      </w:r>
    </w:p>
    <w:p w14:paraId="5D838997">
      <w:pPr>
        <w:pStyle w:val="35"/>
        <w:spacing w:after="0" w:line="240" w:lineRule="auto"/>
        <w:ind w:firstLine="424" w:firstLineChars="202"/>
        <w:rPr>
          <w:rFonts w:ascii="Times New Roman" w:hAnsi="Times New Roman"/>
          <w:color w:val="auto"/>
          <w:kern w:val="0"/>
          <w:szCs w:val="20"/>
        </w:rPr>
      </w:pPr>
      <w:r>
        <w:rPr>
          <w:rFonts w:ascii="Times New Roman" w:hAnsi="Times New Roman"/>
          <w:color w:val="auto"/>
          <w:kern w:val="0"/>
          <w:szCs w:val="20"/>
        </w:rPr>
        <w:t xml:space="preserve">c） </w:t>
      </w:r>
      <w:r>
        <w:rPr>
          <w:rFonts w:hint="eastAsia" w:ascii="Times New Roman" w:hAnsi="Times New Roman"/>
          <w:color w:val="auto"/>
          <w:kern w:val="0"/>
          <w:szCs w:val="20"/>
        </w:rPr>
        <w:t>站场区域阴极保护系统构成，阳极类型及材料，设置点的布置</w:t>
      </w:r>
      <w:r>
        <w:rPr>
          <w:rFonts w:ascii="Times New Roman" w:hAnsi="Times New Roman"/>
          <w:color w:val="auto"/>
          <w:kern w:val="0"/>
          <w:szCs w:val="20"/>
        </w:rPr>
        <w:t>；</w:t>
      </w:r>
    </w:p>
    <w:p w14:paraId="1A424DC9">
      <w:pPr>
        <w:pStyle w:val="35"/>
        <w:spacing w:after="0" w:line="240" w:lineRule="auto"/>
        <w:ind w:firstLine="424" w:firstLineChars="202"/>
        <w:rPr>
          <w:rFonts w:ascii="Times New Roman" w:hAnsi="Times New Roman"/>
          <w:color w:val="auto"/>
          <w:kern w:val="0"/>
          <w:szCs w:val="20"/>
        </w:rPr>
      </w:pPr>
      <w:r>
        <w:rPr>
          <w:rFonts w:ascii="Times New Roman" w:hAnsi="Times New Roman"/>
          <w:color w:val="auto"/>
          <w:kern w:val="0"/>
          <w:szCs w:val="20"/>
        </w:rPr>
        <w:t>d） 管道沿线杂散电流干扰防护方案</w:t>
      </w:r>
      <w:r>
        <w:rPr>
          <w:rFonts w:hint="eastAsia" w:ascii="Times New Roman" w:hAnsi="Times New Roman"/>
          <w:color w:val="auto"/>
          <w:kern w:val="0"/>
          <w:szCs w:val="20"/>
        </w:rPr>
        <w:t>。</w:t>
      </w:r>
    </w:p>
    <w:p w14:paraId="7CAEC905">
      <w:pPr>
        <w:pStyle w:val="153"/>
        <w:spacing w:before="156" w:after="156"/>
        <w:rPr>
          <w:rFonts w:hint="eastAsia"/>
        </w:rPr>
      </w:pPr>
      <w:bookmarkStart w:id="78" w:name="_Toc464326091"/>
      <w:r>
        <w:t>5.</w:t>
      </w:r>
      <w:r>
        <w:rPr>
          <w:rFonts w:hint="eastAsia"/>
          <w:lang w:val="en-US"/>
        </w:rPr>
        <w:t>5</w:t>
      </w:r>
      <w:r>
        <w:t xml:space="preserve">.5 </w:t>
      </w:r>
      <w:r>
        <w:rPr>
          <w:rFonts w:hint="eastAsia"/>
        </w:rPr>
        <w:t>采暖通风</w:t>
      </w:r>
      <w:bookmarkEnd w:id="78"/>
    </w:p>
    <w:p w14:paraId="5862BD13">
      <w:pPr>
        <w:pStyle w:val="65"/>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说明通风方式，供热设施或外接热源等情况。</w:t>
      </w:r>
    </w:p>
    <w:p w14:paraId="5EFC7045">
      <w:pPr>
        <w:pStyle w:val="153"/>
        <w:spacing w:before="156" w:after="156"/>
        <w:rPr>
          <w:rFonts w:hint="eastAsia"/>
        </w:rPr>
      </w:pPr>
      <w:bookmarkStart w:id="79" w:name="_Toc464326092"/>
      <w:r>
        <w:t>5.</w:t>
      </w:r>
      <w:r>
        <w:rPr>
          <w:rFonts w:hint="eastAsia"/>
          <w:lang w:val="en-US"/>
        </w:rPr>
        <w:t>5</w:t>
      </w:r>
      <w:r>
        <w:t xml:space="preserve">.6 </w:t>
      </w:r>
      <w:r>
        <w:rPr>
          <w:rFonts w:hint="eastAsia"/>
        </w:rPr>
        <w:t>建（构）筑物</w:t>
      </w:r>
      <w:bookmarkEnd w:id="79"/>
    </w:p>
    <w:p w14:paraId="156BF643">
      <w:pPr>
        <w:pStyle w:val="65"/>
        <w:ind w:firstLine="0" w:firstLineChars="0"/>
        <w:rPr>
          <w:rFonts w:ascii="Times New Roman"/>
        </w:rPr>
      </w:pPr>
      <w:r>
        <w:rPr>
          <w:rFonts w:hint="eastAsia" w:ascii="黑体" w:hAnsi="黑体" w:eastAsia="黑体"/>
          <w:color w:val="000000" w:themeColor="text1"/>
          <w14:textFill>
            <w14:solidFill>
              <w14:schemeClr w14:val="tx1"/>
            </w14:solidFill>
          </w14:textFill>
        </w:rPr>
        <w:t>5.5.6.1</w:t>
      </w:r>
      <w:r>
        <w:rPr>
          <w:color w:val="000000" w:themeColor="text1"/>
          <w14:textFill>
            <w14:solidFill>
              <w14:schemeClr w14:val="tx1"/>
            </w14:solidFill>
          </w14:textFill>
        </w:rPr>
        <w:t xml:space="preserve"> </w:t>
      </w:r>
      <w:r>
        <w:rPr>
          <w:rFonts w:hint="eastAsia" w:ascii="Times New Roman"/>
          <w:u w:color="000000"/>
        </w:rPr>
        <w:t>说明建（构）筑物的防火、防爆、防腐、耐火保护等设计情况，列出建（构）筑物统计表（见表</w:t>
      </w:r>
      <w:r>
        <w:rPr>
          <w:rFonts w:ascii="Times New Roman"/>
          <w:u w:color="000000"/>
        </w:rPr>
        <w:t>30</w:t>
      </w:r>
      <w:r>
        <w:rPr>
          <w:rFonts w:hint="eastAsia" w:ascii="Times New Roman"/>
          <w:u w:color="000000"/>
        </w:rPr>
        <w:t>）。</w:t>
      </w:r>
    </w:p>
    <w:p w14:paraId="69D33118">
      <w:pPr>
        <w:pStyle w:val="5"/>
        <w:rPr>
          <w:rFonts w:hint="eastAsia"/>
        </w:rPr>
      </w:pPr>
      <w:r>
        <w:t>表</w:t>
      </w:r>
      <w:r>
        <w:rPr>
          <w:rFonts w:ascii="Times New Roman" w:hAnsi="Times New Roman"/>
        </w:rPr>
        <w:t>30</w:t>
      </w:r>
      <w:r>
        <w:t xml:space="preserve"> 建（构）筑物</w:t>
      </w:r>
      <w:r>
        <w:rPr>
          <w:rFonts w:hint="eastAsia"/>
        </w:rPr>
        <w:t>统计表</w:t>
      </w:r>
    </w:p>
    <w:tbl>
      <w:tblPr>
        <w:tblStyle w:val="3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27"/>
        <w:gridCol w:w="982"/>
        <w:gridCol w:w="963"/>
        <w:gridCol w:w="806"/>
        <w:gridCol w:w="963"/>
        <w:gridCol w:w="804"/>
        <w:gridCol w:w="1294"/>
        <w:gridCol w:w="758"/>
        <w:gridCol w:w="758"/>
        <w:gridCol w:w="758"/>
        <w:gridCol w:w="757"/>
      </w:tblGrid>
      <w:tr w14:paraId="792CFA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8" w:hRule="atLeast"/>
          <w:tblHeader/>
          <w:jc w:val="center"/>
        </w:trPr>
        <w:tc>
          <w:tcPr>
            <w:tcW w:w="380" w:type="pct"/>
            <w:vAlign w:val="center"/>
          </w:tcPr>
          <w:p w14:paraId="660F4DDE">
            <w:pPr>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序号</w:t>
            </w:r>
          </w:p>
        </w:tc>
        <w:tc>
          <w:tcPr>
            <w:tcW w:w="513" w:type="pct"/>
            <w:vAlign w:val="center"/>
          </w:tcPr>
          <w:p w14:paraId="742B29EB">
            <w:pPr>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站场</w:t>
            </w:r>
          </w:p>
          <w:p w14:paraId="36F40845">
            <w:pPr>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名称</w:t>
            </w:r>
          </w:p>
        </w:tc>
        <w:tc>
          <w:tcPr>
            <w:tcW w:w="503" w:type="pct"/>
            <w:vAlign w:val="center"/>
          </w:tcPr>
          <w:p w14:paraId="4AEE081F">
            <w:pPr>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单体</w:t>
            </w:r>
          </w:p>
          <w:p w14:paraId="28BA6AED">
            <w:pPr>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名称</w:t>
            </w:r>
          </w:p>
        </w:tc>
        <w:tc>
          <w:tcPr>
            <w:tcW w:w="421" w:type="pct"/>
            <w:vAlign w:val="center"/>
          </w:tcPr>
          <w:p w14:paraId="12A4BB86">
            <w:pPr>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结构</w:t>
            </w:r>
          </w:p>
          <w:p w14:paraId="54BACAB6">
            <w:pPr>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形式</w:t>
            </w:r>
          </w:p>
        </w:tc>
        <w:tc>
          <w:tcPr>
            <w:tcW w:w="503" w:type="pct"/>
            <w:vAlign w:val="center"/>
          </w:tcPr>
          <w:p w14:paraId="1CFF8974">
            <w:pPr>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建筑</w:t>
            </w:r>
          </w:p>
          <w:p w14:paraId="1248D8BF">
            <w:pPr>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面积</w:t>
            </w:r>
          </w:p>
          <w:p w14:paraId="0FAFD44F">
            <w:pPr>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m</w:t>
            </w:r>
            <w:r>
              <w:rPr>
                <w:bCs/>
                <w:color w:val="000000" w:themeColor="text1"/>
                <w:sz w:val="18"/>
                <w:szCs w:val="18"/>
                <w:vertAlign w:val="superscript"/>
                <w14:textFill>
                  <w14:solidFill>
                    <w14:schemeClr w14:val="tx1"/>
                  </w14:solidFill>
                </w14:textFill>
              </w:rPr>
              <w:t>2</w:t>
            </w:r>
          </w:p>
        </w:tc>
        <w:tc>
          <w:tcPr>
            <w:tcW w:w="420" w:type="pct"/>
            <w:vAlign w:val="center"/>
          </w:tcPr>
          <w:p w14:paraId="677081A9">
            <w:pPr>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层数</w:t>
            </w:r>
          </w:p>
        </w:tc>
        <w:tc>
          <w:tcPr>
            <w:tcW w:w="676" w:type="pct"/>
            <w:vAlign w:val="center"/>
          </w:tcPr>
          <w:p w14:paraId="622B1B9D">
            <w:pPr>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火灾危险</w:t>
            </w:r>
          </w:p>
          <w:p w14:paraId="2ACF5377">
            <w:pPr>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性类别</w:t>
            </w:r>
          </w:p>
        </w:tc>
        <w:tc>
          <w:tcPr>
            <w:tcW w:w="396" w:type="pct"/>
            <w:vAlign w:val="center"/>
          </w:tcPr>
          <w:p w14:paraId="6EC1D89D">
            <w:pPr>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耐火</w:t>
            </w:r>
          </w:p>
          <w:p w14:paraId="1D9FFDD1">
            <w:pPr>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等级</w:t>
            </w:r>
          </w:p>
        </w:tc>
        <w:tc>
          <w:tcPr>
            <w:tcW w:w="396" w:type="pct"/>
            <w:vAlign w:val="center"/>
          </w:tcPr>
          <w:p w14:paraId="1DD8FB4B">
            <w:pPr>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抗震</w:t>
            </w:r>
          </w:p>
          <w:p w14:paraId="282D20D9">
            <w:pPr>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设防烈度</w:t>
            </w:r>
          </w:p>
        </w:tc>
        <w:tc>
          <w:tcPr>
            <w:tcW w:w="396" w:type="pct"/>
            <w:vAlign w:val="center"/>
          </w:tcPr>
          <w:p w14:paraId="6651EBF0">
            <w:pPr>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抗震</w:t>
            </w:r>
          </w:p>
          <w:p w14:paraId="6FD53E7C">
            <w:pPr>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设防分类</w:t>
            </w:r>
          </w:p>
        </w:tc>
        <w:tc>
          <w:tcPr>
            <w:tcW w:w="395" w:type="pct"/>
            <w:vAlign w:val="center"/>
          </w:tcPr>
          <w:p w14:paraId="62CB1541">
            <w:pPr>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抗震</w:t>
            </w:r>
          </w:p>
          <w:p w14:paraId="23FB4258">
            <w:pPr>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等级</w:t>
            </w:r>
          </w:p>
        </w:tc>
      </w:tr>
      <w:tr w14:paraId="321349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8" w:hRule="atLeast"/>
          <w:tblHeader/>
          <w:jc w:val="center"/>
        </w:trPr>
        <w:tc>
          <w:tcPr>
            <w:tcW w:w="380" w:type="pct"/>
            <w:vMerge w:val="restart"/>
            <w:vAlign w:val="center"/>
          </w:tcPr>
          <w:p w14:paraId="4D9C1D85">
            <w:pPr>
              <w:adjustRightIn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w:t>
            </w:r>
          </w:p>
        </w:tc>
        <w:tc>
          <w:tcPr>
            <w:tcW w:w="513" w:type="pct"/>
            <w:vMerge w:val="restart"/>
            <w:vAlign w:val="center"/>
          </w:tcPr>
          <w:p w14:paraId="792550B4">
            <w:pPr>
              <w:adjustRightInd w:val="0"/>
              <w:jc w:val="center"/>
              <w:rPr>
                <w:bCs/>
                <w:color w:val="000000" w:themeColor="text1"/>
                <w:sz w:val="18"/>
                <w:szCs w:val="18"/>
                <w14:textFill>
                  <w14:solidFill>
                    <w14:schemeClr w14:val="tx1"/>
                  </w14:solidFill>
                </w14:textFill>
              </w:rPr>
            </w:pPr>
          </w:p>
        </w:tc>
        <w:tc>
          <w:tcPr>
            <w:tcW w:w="503" w:type="pct"/>
            <w:vAlign w:val="center"/>
          </w:tcPr>
          <w:p w14:paraId="2795FDFB">
            <w:pPr>
              <w:adjustRightInd w:val="0"/>
              <w:jc w:val="center"/>
              <w:rPr>
                <w:bCs/>
                <w:color w:val="000000" w:themeColor="text1"/>
                <w:sz w:val="18"/>
                <w:szCs w:val="18"/>
                <w14:textFill>
                  <w14:solidFill>
                    <w14:schemeClr w14:val="tx1"/>
                  </w14:solidFill>
                </w14:textFill>
              </w:rPr>
            </w:pPr>
          </w:p>
        </w:tc>
        <w:tc>
          <w:tcPr>
            <w:tcW w:w="421" w:type="pct"/>
            <w:vAlign w:val="center"/>
          </w:tcPr>
          <w:p w14:paraId="403D51F0">
            <w:pPr>
              <w:adjustRightInd w:val="0"/>
              <w:jc w:val="center"/>
              <w:rPr>
                <w:bCs/>
                <w:color w:val="000000" w:themeColor="text1"/>
                <w:sz w:val="18"/>
                <w:szCs w:val="18"/>
                <w14:textFill>
                  <w14:solidFill>
                    <w14:schemeClr w14:val="tx1"/>
                  </w14:solidFill>
                </w14:textFill>
              </w:rPr>
            </w:pPr>
          </w:p>
        </w:tc>
        <w:tc>
          <w:tcPr>
            <w:tcW w:w="503" w:type="pct"/>
            <w:vAlign w:val="center"/>
          </w:tcPr>
          <w:p w14:paraId="0B7D302B">
            <w:pPr>
              <w:adjustRightInd w:val="0"/>
              <w:jc w:val="center"/>
              <w:rPr>
                <w:bCs/>
                <w:color w:val="000000" w:themeColor="text1"/>
                <w:sz w:val="18"/>
                <w:szCs w:val="18"/>
                <w14:textFill>
                  <w14:solidFill>
                    <w14:schemeClr w14:val="tx1"/>
                  </w14:solidFill>
                </w14:textFill>
              </w:rPr>
            </w:pPr>
          </w:p>
        </w:tc>
        <w:tc>
          <w:tcPr>
            <w:tcW w:w="420" w:type="pct"/>
            <w:vAlign w:val="center"/>
          </w:tcPr>
          <w:p w14:paraId="5CAD9C23">
            <w:pPr>
              <w:adjustRightInd w:val="0"/>
              <w:jc w:val="center"/>
              <w:rPr>
                <w:bCs/>
                <w:color w:val="000000" w:themeColor="text1"/>
                <w:sz w:val="18"/>
                <w:szCs w:val="18"/>
                <w14:textFill>
                  <w14:solidFill>
                    <w14:schemeClr w14:val="tx1"/>
                  </w14:solidFill>
                </w14:textFill>
              </w:rPr>
            </w:pPr>
          </w:p>
        </w:tc>
        <w:tc>
          <w:tcPr>
            <w:tcW w:w="676" w:type="pct"/>
            <w:vAlign w:val="center"/>
          </w:tcPr>
          <w:p w14:paraId="0B4BE59A">
            <w:pPr>
              <w:adjustRightInd w:val="0"/>
              <w:jc w:val="center"/>
              <w:rPr>
                <w:bCs/>
                <w:color w:val="000000" w:themeColor="text1"/>
                <w:sz w:val="18"/>
                <w:szCs w:val="18"/>
                <w14:textFill>
                  <w14:solidFill>
                    <w14:schemeClr w14:val="tx1"/>
                  </w14:solidFill>
                </w14:textFill>
              </w:rPr>
            </w:pPr>
          </w:p>
        </w:tc>
        <w:tc>
          <w:tcPr>
            <w:tcW w:w="396" w:type="pct"/>
            <w:vAlign w:val="center"/>
          </w:tcPr>
          <w:p w14:paraId="79B3F439">
            <w:pPr>
              <w:adjustRightInd w:val="0"/>
              <w:jc w:val="center"/>
              <w:rPr>
                <w:bCs/>
                <w:color w:val="000000" w:themeColor="text1"/>
                <w:sz w:val="18"/>
                <w:szCs w:val="18"/>
                <w14:textFill>
                  <w14:solidFill>
                    <w14:schemeClr w14:val="tx1"/>
                  </w14:solidFill>
                </w14:textFill>
              </w:rPr>
            </w:pPr>
          </w:p>
        </w:tc>
        <w:tc>
          <w:tcPr>
            <w:tcW w:w="396" w:type="pct"/>
            <w:vAlign w:val="center"/>
          </w:tcPr>
          <w:p w14:paraId="07AD2027">
            <w:pPr>
              <w:adjustRightInd w:val="0"/>
              <w:jc w:val="center"/>
              <w:rPr>
                <w:bCs/>
                <w:color w:val="000000" w:themeColor="text1"/>
                <w:sz w:val="18"/>
                <w:szCs w:val="18"/>
                <w14:textFill>
                  <w14:solidFill>
                    <w14:schemeClr w14:val="tx1"/>
                  </w14:solidFill>
                </w14:textFill>
              </w:rPr>
            </w:pPr>
          </w:p>
        </w:tc>
        <w:tc>
          <w:tcPr>
            <w:tcW w:w="396" w:type="pct"/>
            <w:vAlign w:val="center"/>
          </w:tcPr>
          <w:p w14:paraId="17B72BF2">
            <w:pPr>
              <w:adjustRightInd w:val="0"/>
              <w:jc w:val="center"/>
              <w:rPr>
                <w:bCs/>
                <w:color w:val="000000" w:themeColor="text1"/>
                <w:sz w:val="18"/>
                <w:szCs w:val="18"/>
                <w14:textFill>
                  <w14:solidFill>
                    <w14:schemeClr w14:val="tx1"/>
                  </w14:solidFill>
                </w14:textFill>
              </w:rPr>
            </w:pPr>
          </w:p>
        </w:tc>
        <w:tc>
          <w:tcPr>
            <w:tcW w:w="395" w:type="pct"/>
            <w:vAlign w:val="center"/>
          </w:tcPr>
          <w:p w14:paraId="691DAA18">
            <w:pPr>
              <w:adjustRightInd w:val="0"/>
              <w:jc w:val="center"/>
              <w:rPr>
                <w:bCs/>
                <w:color w:val="000000" w:themeColor="text1"/>
                <w:sz w:val="18"/>
                <w:szCs w:val="18"/>
                <w14:textFill>
                  <w14:solidFill>
                    <w14:schemeClr w14:val="tx1"/>
                  </w14:solidFill>
                </w14:textFill>
              </w:rPr>
            </w:pPr>
          </w:p>
        </w:tc>
      </w:tr>
      <w:tr w14:paraId="284E5E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8" w:hRule="atLeast"/>
          <w:tblHeader/>
          <w:jc w:val="center"/>
        </w:trPr>
        <w:tc>
          <w:tcPr>
            <w:tcW w:w="380" w:type="pct"/>
            <w:vMerge w:val="continue"/>
            <w:vAlign w:val="center"/>
          </w:tcPr>
          <w:p w14:paraId="290A3EA3">
            <w:pPr>
              <w:adjustRightInd w:val="0"/>
              <w:ind w:firstLine="90" w:firstLineChars="50"/>
              <w:jc w:val="center"/>
              <w:rPr>
                <w:bCs/>
                <w:color w:val="000000" w:themeColor="text1"/>
                <w:sz w:val="18"/>
                <w:szCs w:val="18"/>
                <w14:textFill>
                  <w14:solidFill>
                    <w14:schemeClr w14:val="tx1"/>
                  </w14:solidFill>
                </w14:textFill>
              </w:rPr>
            </w:pPr>
          </w:p>
        </w:tc>
        <w:tc>
          <w:tcPr>
            <w:tcW w:w="513" w:type="pct"/>
            <w:vMerge w:val="continue"/>
            <w:vAlign w:val="center"/>
          </w:tcPr>
          <w:p w14:paraId="0911B0E2">
            <w:pPr>
              <w:adjustRightInd w:val="0"/>
              <w:ind w:firstLine="90" w:firstLineChars="50"/>
              <w:jc w:val="center"/>
              <w:rPr>
                <w:bCs/>
                <w:color w:val="000000" w:themeColor="text1"/>
                <w:sz w:val="18"/>
                <w:szCs w:val="18"/>
                <w14:textFill>
                  <w14:solidFill>
                    <w14:schemeClr w14:val="tx1"/>
                  </w14:solidFill>
                </w14:textFill>
              </w:rPr>
            </w:pPr>
          </w:p>
        </w:tc>
        <w:tc>
          <w:tcPr>
            <w:tcW w:w="503" w:type="pct"/>
            <w:vAlign w:val="center"/>
          </w:tcPr>
          <w:p w14:paraId="06BB9463">
            <w:pPr>
              <w:adjustRightInd w:val="0"/>
              <w:jc w:val="center"/>
              <w:rPr>
                <w:bCs/>
                <w:color w:val="000000" w:themeColor="text1"/>
                <w:sz w:val="18"/>
                <w:szCs w:val="18"/>
                <w14:textFill>
                  <w14:solidFill>
                    <w14:schemeClr w14:val="tx1"/>
                  </w14:solidFill>
                </w14:textFill>
              </w:rPr>
            </w:pPr>
          </w:p>
        </w:tc>
        <w:tc>
          <w:tcPr>
            <w:tcW w:w="421" w:type="pct"/>
            <w:vAlign w:val="center"/>
          </w:tcPr>
          <w:p w14:paraId="65385BFA">
            <w:pPr>
              <w:adjustRightInd w:val="0"/>
              <w:jc w:val="center"/>
              <w:rPr>
                <w:bCs/>
                <w:color w:val="000000" w:themeColor="text1"/>
                <w:sz w:val="18"/>
                <w:szCs w:val="18"/>
                <w14:textFill>
                  <w14:solidFill>
                    <w14:schemeClr w14:val="tx1"/>
                  </w14:solidFill>
                </w14:textFill>
              </w:rPr>
            </w:pPr>
          </w:p>
        </w:tc>
        <w:tc>
          <w:tcPr>
            <w:tcW w:w="503" w:type="pct"/>
            <w:vAlign w:val="center"/>
          </w:tcPr>
          <w:p w14:paraId="3E2D60A2">
            <w:pPr>
              <w:adjustRightInd w:val="0"/>
              <w:jc w:val="center"/>
              <w:rPr>
                <w:bCs/>
                <w:color w:val="000000" w:themeColor="text1"/>
                <w:sz w:val="18"/>
                <w:szCs w:val="18"/>
                <w14:textFill>
                  <w14:solidFill>
                    <w14:schemeClr w14:val="tx1"/>
                  </w14:solidFill>
                </w14:textFill>
              </w:rPr>
            </w:pPr>
          </w:p>
        </w:tc>
        <w:tc>
          <w:tcPr>
            <w:tcW w:w="420" w:type="pct"/>
            <w:vAlign w:val="center"/>
          </w:tcPr>
          <w:p w14:paraId="6DE10662">
            <w:pPr>
              <w:adjustRightInd w:val="0"/>
              <w:jc w:val="center"/>
              <w:rPr>
                <w:bCs/>
                <w:color w:val="000000" w:themeColor="text1"/>
                <w:sz w:val="18"/>
                <w:szCs w:val="18"/>
                <w14:textFill>
                  <w14:solidFill>
                    <w14:schemeClr w14:val="tx1"/>
                  </w14:solidFill>
                </w14:textFill>
              </w:rPr>
            </w:pPr>
          </w:p>
        </w:tc>
        <w:tc>
          <w:tcPr>
            <w:tcW w:w="676" w:type="pct"/>
            <w:vAlign w:val="center"/>
          </w:tcPr>
          <w:p w14:paraId="6CBECE24">
            <w:pPr>
              <w:adjustRightInd w:val="0"/>
              <w:jc w:val="center"/>
              <w:rPr>
                <w:bCs/>
                <w:color w:val="000000" w:themeColor="text1"/>
                <w:sz w:val="18"/>
                <w:szCs w:val="18"/>
                <w14:textFill>
                  <w14:solidFill>
                    <w14:schemeClr w14:val="tx1"/>
                  </w14:solidFill>
                </w14:textFill>
              </w:rPr>
            </w:pPr>
          </w:p>
        </w:tc>
        <w:tc>
          <w:tcPr>
            <w:tcW w:w="396" w:type="pct"/>
            <w:vAlign w:val="center"/>
          </w:tcPr>
          <w:p w14:paraId="6EF734AF">
            <w:pPr>
              <w:adjustRightInd w:val="0"/>
              <w:jc w:val="center"/>
              <w:rPr>
                <w:bCs/>
                <w:color w:val="000000" w:themeColor="text1"/>
                <w:sz w:val="18"/>
                <w:szCs w:val="18"/>
                <w14:textFill>
                  <w14:solidFill>
                    <w14:schemeClr w14:val="tx1"/>
                  </w14:solidFill>
                </w14:textFill>
              </w:rPr>
            </w:pPr>
          </w:p>
        </w:tc>
        <w:tc>
          <w:tcPr>
            <w:tcW w:w="396" w:type="pct"/>
            <w:vAlign w:val="center"/>
          </w:tcPr>
          <w:p w14:paraId="1CAD1649">
            <w:pPr>
              <w:adjustRightInd w:val="0"/>
              <w:jc w:val="center"/>
              <w:rPr>
                <w:bCs/>
                <w:color w:val="000000" w:themeColor="text1"/>
                <w:sz w:val="18"/>
                <w:szCs w:val="18"/>
                <w14:textFill>
                  <w14:solidFill>
                    <w14:schemeClr w14:val="tx1"/>
                  </w14:solidFill>
                </w14:textFill>
              </w:rPr>
            </w:pPr>
          </w:p>
        </w:tc>
        <w:tc>
          <w:tcPr>
            <w:tcW w:w="396" w:type="pct"/>
            <w:vAlign w:val="center"/>
          </w:tcPr>
          <w:p w14:paraId="373CB9F9">
            <w:pPr>
              <w:adjustRightInd w:val="0"/>
              <w:jc w:val="center"/>
              <w:rPr>
                <w:bCs/>
                <w:color w:val="000000" w:themeColor="text1"/>
                <w:sz w:val="18"/>
                <w:szCs w:val="18"/>
                <w14:textFill>
                  <w14:solidFill>
                    <w14:schemeClr w14:val="tx1"/>
                  </w14:solidFill>
                </w14:textFill>
              </w:rPr>
            </w:pPr>
          </w:p>
        </w:tc>
        <w:tc>
          <w:tcPr>
            <w:tcW w:w="395" w:type="pct"/>
            <w:vAlign w:val="center"/>
          </w:tcPr>
          <w:p w14:paraId="2FB75BED">
            <w:pPr>
              <w:adjustRightInd w:val="0"/>
              <w:jc w:val="center"/>
              <w:rPr>
                <w:bCs/>
                <w:color w:val="000000" w:themeColor="text1"/>
                <w:sz w:val="18"/>
                <w:szCs w:val="18"/>
                <w14:textFill>
                  <w14:solidFill>
                    <w14:schemeClr w14:val="tx1"/>
                  </w14:solidFill>
                </w14:textFill>
              </w:rPr>
            </w:pPr>
          </w:p>
        </w:tc>
      </w:tr>
      <w:tr w14:paraId="1A78D8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8" w:hRule="atLeast"/>
          <w:tblHeader/>
          <w:jc w:val="center"/>
        </w:trPr>
        <w:tc>
          <w:tcPr>
            <w:tcW w:w="380" w:type="pct"/>
            <w:vAlign w:val="center"/>
          </w:tcPr>
          <w:p w14:paraId="617CDE77">
            <w:pPr>
              <w:adjustRightIn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w:t>
            </w:r>
          </w:p>
        </w:tc>
        <w:tc>
          <w:tcPr>
            <w:tcW w:w="513" w:type="pct"/>
            <w:vAlign w:val="center"/>
          </w:tcPr>
          <w:p w14:paraId="0E6F5EF7">
            <w:pPr>
              <w:adjustRightInd w:val="0"/>
              <w:jc w:val="center"/>
              <w:rPr>
                <w:bCs/>
                <w:color w:val="000000" w:themeColor="text1"/>
                <w:sz w:val="18"/>
                <w:szCs w:val="18"/>
                <w14:textFill>
                  <w14:solidFill>
                    <w14:schemeClr w14:val="tx1"/>
                  </w14:solidFill>
                </w14:textFill>
              </w:rPr>
            </w:pPr>
          </w:p>
        </w:tc>
        <w:tc>
          <w:tcPr>
            <w:tcW w:w="503" w:type="pct"/>
            <w:vAlign w:val="center"/>
          </w:tcPr>
          <w:p w14:paraId="619AD423">
            <w:pPr>
              <w:adjustRightInd w:val="0"/>
              <w:jc w:val="center"/>
              <w:rPr>
                <w:bCs/>
                <w:color w:val="000000" w:themeColor="text1"/>
                <w:sz w:val="18"/>
                <w:szCs w:val="18"/>
                <w14:textFill>
                  <w14:solidFill>
                    <w14:schemeClr w14:val="tx1"/>
                  </w14:solidFill>
                </w14:textFill>
              </w:rPr>
            </w:pPr>
          </w:p>
        </w:tc>
        <w:tc>
          <w:tcPr>
            <w:tcW w:w="421" w:type="pct"/>
            <w:vAlign w:val="center"/>
          </w:tcPr>
          <w:p w14:paraId="0BC93B94">
            <w:pPr>
              <w:adjustRightInd w:val="0"/>
              <w:jc w:val="center"/>
              <w:rPr>
                <w:bCs/>
                <w:color w:val="000000" w:themeColor="text1"/>
                <w:sz w:val="18"/>
                <w:szCs w:val="18"/>
                <w14:textFill>
                  <w14:solidFill>
                    <w14:schemeClr w14:val="tx1"/>
                  </w14:solidFill>
                </w14:textFill>
              </w:rPr>
            </w:pPr>
          </w:p>
        </w:tc>
        <w:tc>
          <w:tcPr>
            <w:tcW w:w="503" w:type="pct"/>
            <w:vAlign w:val="center"/>
          </w:tcPr>
          <w:p w14:paraId="41FF4FB8">
            <w:pPr>
              <w:adjustRightInd w:val="0"/>
              <w:jc w:val="center"/>
              <w:rPr>
                <w:bCs/>
                <w:color w:val="000000" w:themeColor="text1"/>
                <w:sz w:val="18"/>
                <w:szCs w:val="18"/>
                <w14:textFill>
                  <w14:solidFill>
                    <w14:schemeClr w14:val="tx1"/>
                  </w14:solidFill>
                </w14:textFill>
              </w:rPr>
            </w:pPr>
          </w:p>
        </w:tc>
        <w:tc>
          <w:tcPr>
            <w:tcW w:w="420" w:type="pct"/>
            <w:vAlign w:val="center"/>
          </w:tcPr>
          <w:p w14:paraId="7AA20D19">
            <w:pPr>
              <w:adjustRightInd w:val="0"/>
              <w:jc w:val="center"/>
              <w:rPr>
                <w:bCs/>
                <w:color w:val="000000" w:themeColor="text1"/>
                <w:sz w:val="18"/>
                <w:szCs w:val="18"/>
                <w14:textFill>
                  <w14:solidFill>
                    <w14:schemeClr w14:val="tx1"/>
                  </w14:solidFill>
                </w14:textFill>
              </w:rPr>
            </w:pPr>
          </w:p>
        </w:tc>
        <w:tc>
          <w:tcPr>
            <w:tcW w:w="676" w:type="pct"/>
            <w:vAlign w:val="center"/>
          </w:tcPr>
          <w:p w14:paraId="35DD6E52">
            <w:pPr>
              <w:adjustRightInd w:val="0"/>
              <w:jc w:val="center"/>
              <w:rPr>
                <w:bCs/>
                <w:color w:val="000000" w:themeColor="text1"/>
                <w:sz w:val="18"/>
                <w:szCs w:val="18"/>
                <w14:textFill>
                  <w14:solidFill>
                    <w14:schemeClr w14:val="tx1"/>
                  </w14:solidFill>
                </w14:textFill>
              </w:rPr>
            </w:pPr>
          </w:p>
        </w:tc>
        <w:tc>
          <w:tcPr>
            <w:tcW w:w="396" w:type="pct"/>
            <w:vAlign w:val="center"/>
          </w:tcPr>
          <w:p w14:paraId="0ADE0B8C">
            <w:pPr>
              <w:adjustRightInd w:val="0"/>
              <w:jc w:val="center"/>
              <w:rPr>
                <w:bCs/>
                <w:color w:val="000000" w:themeColor="text1"/>
                <w:sz w:val="18"/>
                <w:szCs w:val="18"/>
                <w14:textFill>
                  <w14:solidFill>
                    <w14:schemeClr w14:val="tx1"/>
                  </w14:solidFill>
                </w14:textFill>
              </w:rPr>
            </w:pPr>
          </w:p>
        </w:tc>
        <w:tc>
          <w:tcPr>
            <w:tcW w:w="396" w:type="pct"/>
            <w:vAlign w:val="center"/>
          </w:tcPr>
          <w:p w14:paraId="036D9F7A">
            <w:pPr>
              <w:adjustRightInd w:val="0"/>
              <w:jc w:val="center"/>
              <w:rPr>
                <w:bCs/>
                <w:color w:val="000000" w:themeColor="text1"/>
                <w:sz w:val="18"/>
                <w:szCs w:val="18"/>
                <w14:textFill>
                  <w14:solidFill>
                    <w14:schemeClr w14:val="tx1"/>
                  </w14:solidFill>
                </w14:textFill>
              </w:rPr>
            </w:pPr>
          </w:p>
        </w:tc>
        <w:tc>
          <w:tcPr>
            <w:tcW w:w="396" w:type="pct"/>
            <w:vAlign w:val="center"/>
          </w:tcPr>
          <w:p w14:paraId="1F8BC5D7">
            <w:pPr>
              <w:adjustRightInd w:val="0"/>
              <w:jc w:val="center"/>
              <w:rPr>
                <w:bCs/>
                <w:color w:val="000000" w:themeColor="text1"/>
                <w:sz w:val="18"/>
                <w:szCs w:val="18"/>
                <w14:textFill>
                  <w14:solidFill>
                    <w14:schemeClr w14:val="tx1"/>
                  </w14:solidFill>
                </w14:textFill>
              </w:rPr>
            </w:pPr>
          </w:p>
        </w:tc>
        <w:tc>
          <w:tcPr>
            <w:tcW w:w="395" w:type="pct"/>
            <w:vAlign w:val="center"/>
          </w:tcPr>
          <w:p w14:paraId="50319DA0">
            <w:pPr>
              <w:adjustRightInd w:val="0"/>
              <w:jc w:val="center"/>
              <w:rPr>
                <w:bCs/>
                <w:color w:val="000000" w:themeColor="text1"/>
                <w:sz w:val="18"/>
                <w:szCs w:val="18"/>
                <w14:textFill>
                  <w14:solidFill>
                    <w14:schemeClr w14:val="tx1"/>
                  </w14:solidFill>
                </w14:textFill>
              </w:rPr>
            </w:pPr>
          </w:p>
        </w:tc>
      </w:tr>
    </w:tbl>
    <w:p w14:paraId="2920C8A5">
      <w:pPr>
        <w:pStyle w:val="65"/>
        <w:ind w:firstLine="0" w:firstLineChars="0"/>
        <w:rPr>
          <w:color w:val="000000" w:themeColor="text1"/>
          <w14:textFill>
            <w14:solidFill>
              <w14:schemeClr w14:val="tx1"/>
            </w14:solidFill>
          </w14:textFill>
        </w:rPr>
      </w:pPr>
    </w:p>
    <w:p w14:paraId="69BE3BEE">
      <w:pPr>
        <w:pStyle w:val="65"/>
        <w:ind w:firstLine="0" w:firstLineChars="0"/>
        <w:rPr>
          <w:rFonts w:ascii="Times New Roman"/>
        </w:rPr>
      </w:pPr>
      <w:r>
        <w:rPr>
          <w:rFonts w:ascii="黑体" w:hAnsi="黑体" w:eastAsia="黑体"/>
          <w:color w:val="000000" w:themeColor="text1"/>
          <w14:textFill>
            <w14:solidFill>
              <w14:schemeClr w14:val="tx1"/>
            </w14:solidFill>
          </w14:textFill>
        </w:rPr>
        <w:t>5.</w:t>
      </w:r>
      <w:r>
        <w:rPr>
          <w:rFonts w:hint="eastAsia" w:ascii="黑体" w:hAnsi="黑体" w:eastAsia="黑体"/>
          <w:color w:val="000000" w:themeColor="text1"/>
          <w14:textFill>
            <w14:solidFill>
              <w14:schemeClr w14:val="tx1"/>
            </w14:solidFill>
          </w14:textFill>
        </w:rPr>
        <w:t>5</w:t>
      </w:r>
      <w:r>
        <w:rPr>
          <w:rFonts w:ascii="黑体" w:hAnsi="黑体" w:eastAsia="黑体"/>
          <w:color w:val="000000" w:themeColor="text1"/>
          <w14:textFill>
            <w14:solidFill>
              <w14:schemeClr w14:val="tx1"/>
            </w14:solidFill>
          </w14:textFill>
        </w:rPr>
        <w:t xml:space="preserve">.6.2 </w:t>
      </w:r>
      <w:r>
        <w:rPr>
          <w:rFonts w:hint="eastAsia" w:ascii="Times New Roman"/>
        </w:rPr>
        <w:t>说明液化土、湿陷性黄土、盐渍土、膨胀岩土、厚填土、淤泥、溶洞等不良地质土层的地基基础类型。</w:t>
      </w:r>
    </w:p>
    <w:p w14:paraId="420DF912">
      <w:pPr>
        <w:pStyle w:val="3"/>
        <w:rPr>
          <w:rFonts w:hint="eastAsia"/>
        </w:rPr>
      </w:pPr>
      <w:bookmarkStart w:id="80" w:name="_Toc180478631"/>
      <w:bookmarkStart w:id="81" w:name="_Toc174117971"/>
      <w:r>
        <w:rPr>
          <w:rFonts w:hint="eastAsia"/>
        </w:rPr>
        <w:t>6</w:t>
      </w:r>
      <w:r>
        <w:t xml:space="preserve"> </w:t>
      </w:r>
      <w:r>
        <w:rPr>
          <w:rFonts w:hint="eastAsia"/>
        </w:rPr>
        <w:t>评价单元划分与评价方法选择</w:t>
      </w:r>
      <w:bookmarkEnd w:id="80"/>
      <w:bookmarkEnd w:id="81"/>
    </w:p>
    <w:p w14:paraId="2D18F8B0">
      <w:pPr>
        <w:pStyle w:val="4"/>
        <w:rPr>
          <w:rFonts w:hint="eastAsia"/>
        </w:rPr>
      </w:pPr>
      <w:bookmarkStart w:id="82" w:name="_Toc174117972"/>
      <w:bookmarkStart w:id="83" w:name="_Toc464326109"/>
      <w:r>
        <w:rPr>
          <w:rFonts w:hint="eastAsia"/>
        </w:rPr>
        <w:t>6.</w:t>
      </w:r>
      <w:r>
        <w:t xml:space="preserve">1 </w:t>
      </w:r>
      <w:r>
        <w:rPr>
          <w:rFonts w:hint="eastAsia"/>
        </w:rPr>
        <w:t>评价单元的划分</w:t>
      </w:r>
      <w:bookmarkEnd w:id="82"/>
      <w:bookmarkEnd w:id="83"/>
    </w:p>
    <w:p w14:paraId="320946EA">
      <w:pPr>
        <w:pStyle w:val="35"/>
        <w:spacing w:after="0" w:line="240" w:lineRule="auto"/>
        <w:ind w:firstLine="424" w:firstLineChars="202"/>
        <w:rPr>
          <w:rFonts w:ascii="Times New Roman" w:hAnsi="Times New Roman"/>
          <w:color w:val="auto"/>
          <w:kern w:val="0"/>
          <w:szCs w:val="20"/>
        </w:rPr>
      </w:pPr>
      <w:r>
        <w:rPr>
          <w:rFonts w:hint="eastAsia" w:ascii="Times New Roman" w:hAnsi="Times New Roman"/>
          <w:color w:val="auto"/>
          <w:kern w:val="0"/>
          <w:szCs w:val="20"/>
        </w:rPr>
        <w:t>针对油气长输管道建设项目的风险特点，按照科学、合理、无遗漏的原则划分评价单元，评价单元的划分应能够保证安全预评价的顺利实施。一般划分为基本安全条件、线路、站场、公用工程和安全管理等单元。</w:t>
      </w:r>
    </w:p>
    <w:p w14:paraId="28F243B8">
      <w:pPr>
        <w:pStyle w:val="4"/>
        <w:rPr>
          <w:rFonts w:hint="eastAsia"/>
        </w:rPr>
      </w:pPr>
      <w:bookmarkStart w:id="84" w:name="_Toc464326110"/>
      <w:bookmarkStart w:id="85" w:name="_Toc174117973"/>
      <w:r>
        <w:t xml:space="preserve">6.2 </w:t>
      </w:r>
      <w:r>
        <w:rPr>
          <w:rFonts w:hint="eastAsia"/>
        </w:rPr>
        <w:t>评价方法的选择</w:t>
      </w:r>
      <w:bookmarkEnd w:id="84"/>
      <w:bookmarkEnd w:id="85"/>
    </w:p>
    <w:p w14:paraId="711CB2F9">
      <w:pPr>
        <w:pStyle w:val="35"/>
        <w:spacing w:after="0" w:line="240" w:lineRule="auto"/>
        <w:ind w:firstLine="424" w:firstLineChars="202"/>
        <w:rPr>
          <w:rFonts w:ascii="Times New Roman" w:hAnsi="Times New Roman"/>
          <w:color w:val="auto"/>
          <w:kern w:val="0"/>
          <w:szCs w:val="20"/>
        </w:rPr>
      </w:pPr>
      <w:r>
        <w:rPr>
          <w:rFonts w:hint="eastAsia" w:ascii="Times New Roman" w:hAnsi="Times New Roman"/>
          <w:color w:val="auto"/>
          <w:kern w:val="0"/>
          <w:szCs w:val="20"/>
        </w:rPr>
        <w:t>选用的评价方法应与评价对象相适应，常用的安全评价方法包括：</w:t>
      </w:r>
    </w:p>
    <w:p w14:paraId="750ADF15">
      <w:pPr>
        <w:pStyle w:val="35"/>
        <w:spacing w:after="0" w:line="240" w:lineRule="auto"/>
        <w:ind w:firstLine="424" w:firstLineChars="202"/>
        <w:rPr>
          <w:rFonts w:ascii="Times New Roman" w:hAnsi="Times New Roman"/>
          <w:color w:val="auto"/>
          <w:kern w:val="0"/>
          <w:szCs w:val="20"/>
        </w:rPr>
      </w:pPr>
      <w:r>
        <w:rPr>
          <w:rFonts w:ascii="Times New Roman" w:hAnsi="Times New Roman"/>
          <w:color w:val="auto"/>
          <w:kern w:val="0"/>
          <w:szCs w:val="20"/>
        </w:rPr>
        <w:t xml:space="preserve">a） </w:t>
      </w:r>
      <w:r>
        <w:rPr>
          <w:rFonts w:hint="eastAsia" w:ascii="Times New Roman" w:hAnsi="Times New Roman"/>
          <w:color w:val="auto"/>
          <w:kern w:val="0"/>
          <w:szCs w:val="20"/>
        </w:rPr>
        <w:t>预先危险性分析（</w:t>
      </w:r>
      <w:r>
        <w:rPr>
          <w:rFonts w:ascii="Times New Roman" w:hAnsi="Times New Roman"/>
          <w:color w:val="auto"/>
          <w:kern w:val="0"/>
          <w:szCs w:val="20"/>
        </w:rPr>
        <w:t>PHA</w:t>
      </w:r>
      <w:r>
        <w:rPr>
          <w:rFonts w:hint="eastAsia" w:ascii="Times New Roman" w:hAnsi="Times New Roman"/>
          <w:color w:val="auto"/>
          <w:kern w:val="0"/>
          <w:szCs w:val="20"/>
        </w:rPr>
        <w:t>）；</w:t>
      </w:r>
    </w:p>
    <w:p w14:paraId="3D1D26BC">
      <w:pPr>
        <w:pStyle w:val="35"/>
        <w:spacing w:after="0" w:line="240" w:lineRule="auto"/>
        <w:ind w:firstLine="424" w:firstLineChars="202"/>
        <w:rPr>
          <w:rFonts w:ascii="Times New Roman" w:hAnsi="Times New Roman"/>
          <w:color w:val="auto"/>
          <w:kern w:val="0"/>
          <w:szCs w:val="20"/>
        </w:rPr>
      </w:pPr>
      <w:r>
        <w:rPr>
          <w:rFonts w:ascii="Times New Roman" w:hAnsi="Times New Roman"/>
          <w:color w:val="auto"/>
          <w:kern w:val="0"/>
          <w:szCs w:val="20"/>
        </w:rPr>
        <w:t xml:space="preserve">b） </w:t>
      </w:r>
      <w:r>
        <w:rPr>
          <w:rFonts w:hint="eastAsia" w:ascii="Times New Roman" w:hAnsi="Times New Roman"/>
          <w:color w:val="auto"/>
          <w:kern w:val="0"/>
          <w:szCs w:val="20"/>
        </w:rPr>
        <w:t>安全检查表法；</w:t>
      </w:r>
    </w:p>
    <w:p w14:paraId="2263C8C0">
      <w:pPr>
        <w:pStyle w:val="35"/>
        <w:spacing w:after="0" w:line="240" w:lineRule="auto"/>
        <w:ind w:firstLine="424" w:firstLineChars="202"/>
        <w:rPr>
          <w:rFonts w:ascii="Times New Roman" w:hAnsi="Times New Roman"/>
          <w:color w:val="auto"/>
          <w:kern w:val="0"/>
          <w:szCs w:val="20"/>
        </w:rPr>
      </w:pPr>
      <w:r>
        <w:rPr>
          <w:rFonts w:ascii="Times New Roman" w:hAnsi="Times New Roman"/>
          <w:color w:val="auto"/>
          <w:kern w:val="0"/>
          <w:szCs w:val="20"/>
        </w:rPr>
        <w:t xml:space="preserve">c） </w:t>
      </w:r>
      <w:r>
        <w:rPr>
          <w:rFonts w:hint="eastAsia" w:ascii="Times New Roman" w:hAnsi="Times New Roman"/>
          <w:color w:val="auto"/>
          <w:kern w:val="0"/>
          <w:szCs w:val="20"/>
        </w:rPr>
        <w:t>管道风险评分法；</w:t>
      </w:r>
    </w:p>
    <w:p w14:paraId="6919280B">
      <w:pPr>
        <w:pStyle w:val="35"/>
        <w:spacing w:after="0" w:line="240" w:lineRule="auto"/>
        <w:ind w:firstLine="424" w:firstLineChars="202"/>
        <w:rPr>
          <w:rFonts w:ascii="Times New Roman" w:hAnsi="Times New Roman"/>
          <w:color w:val="auto"/>
          <w:kern w:val="0"/>
          <w:szCs w:val="20"/>
        </w:rPr>
      </w:pPr>
      <w:r>
        <w:rPr>
          <w:rFonts w:hint="eastAsia" w:ascii="Times New Roman" w:hAnsi="Times New Roman"/>
          <w:color w:val="auto"/>
          <w:kern w:val="0"/>
          <w:szCs w:val="20"/>
        </w:rPr>
        <w:t>d</w:t>
      </w:r>
      <w:r>
        <w:rPr>
          <w:rFonts w:ascii="Times New Roman" w:hAnsi="Times New Roman"/>
          <w:color w:val="auto"/>
          <w:kern w:val="0"/>
          <w:szCs w:val="20"/>
        </w:rPr>
        <w:t xml:space="preserve">） </w:t>
      </w:r>
      <w:r>
        <w:rPr>
          <w:rFonts w:hint="eastAsia" w:ascii="Times New Roman" w:hAnsi="Times New Roman"/>
          <w:color w:val="auto"/>
          <w:kern w:val="0"/>
          <w:szCs w:val="20"/>
        </w:rPr>
        <w:t>事故树分析（</w:t>
      </w:r>
      <w:r>
        <w:rPr>
          <w:rFonts w:ascii="Times New Roman" w:hAnsi="Times New Roman"/>
          <w:color w:val="auto"/>
          <w:kern w:val="0"/>
          <w:szCs w:val="20"/>
        </w:rPr>
        <w:t>FTA</w:t>
      </w:r>
      <w:r>
        <w:rPr>
          <w:rFonts w:hint="eastAsia" w:ascii="Times New Roman" w:hAnsi="Times New Roman"/>
          <w:color w:val="auto"/>
          <w:kern w:val="0"/>
          <w:szCs w:val="20"/>
        </w:rPr>
        <w:t>）；</w:t>
      </w:r>
    </w:p>
    <w:p w14:paraId="052213FA">
      <w:pPr>
        <w:pStyle w:val="35"/>
        <w:spacing w:after="0" w:line="240" w:lineRule="auto"/>
        <w:ind w:firstLine="424" w:firstLineChars="202"/>
        <w:rPr>
          <w:rFonts w:ascii="Times New Roman" w:hAnsi="Times New Roman"/>
          <w:color w:val="auto"/>
          <w:kern w:val="0"/>
          <w:szCs w:val="20"/>
        </w:rPr>
      </w:pPr>
      <w:r>
        <w:rPr>
          <w:rFonts w:hint="eastAsia" w:ascii="Times New Roman" w:hAnsi="Times New Roman"/>
          <w:color w:val="auto"/>
          <w:kern w:val="0"/>
          <w:szCs w:val="20"/>
        </w:rPr>
        <w:t>e</w:t>
      </w:r>
      <w:r>
        <w:rPr>
          <w:rFonts w:ascii="Times New Roman" w:hAnsi="Times New Roman"/>
          <w:color w:val="auto"/>
          <w:kern w:val="0"/>
          <w:szCs w:val="20"/>
        </w:rPr>
        <w:t xml:space="preserve">） </w:t>
      </w:r>
      <w:r>
        <w:rPr>
          <w:rFonts w:hint="eastAsia" w:ascii="Times New Roman" w:hAnsi="Times New Roman"/>
          <w:color w:val="auto"/>
          <w:kern w:val="0"/>
          <w:szCs w:val="20"/>
        </w:rPr>
        <w:t>类比分析法；</w:t>
      </w:r>
    </w:p>
    <w:p w14:paraId="07651978">
      <w:pPr>
        <w:pStyle w:val="35"/>
        <w:spacing w:after="0" w:line="240" w:lineRule="auto"/>
        <w:ind w:firstLine="424" w:firstLineChars="202"/>
        <w:rPr>
          <w:rFonts w:ascii="Times New Roman" w:hAnsi="Times New Roman"/>
          <w:color w:val="auto"/>
          <w:kern w:val="0"/>
          <w:szCs w:val="20"/>
        </w:rPr>
      </w:pPr>
      <w:r>
        <w:rPr>
          <w:rFonts w:hint="eastAsia" w:ascii="Times New Roman" w:hAnsi="Times New Roman"/>
          <w:color w:val="auto"/>
          <w:kern w:val="0"/>
          <w:szCs w:val="20"/>
        </w:rPr>
        <w:t>f</w:t>
      </w:r>
      <w:r>
        <w:rPr>
          <w:rFonts w:ascii="Times New Roman" w:hAnsi="Times New Roman"/>
          <w:color w:val="auto"/>
          <w:kern w:val="0"/>
          <w:szCs w:val="20"/>
        </w:rPr>
        <w:t xml:space="preserve">） </w:t>
      </w:r>
      <w:r>
        <w:rPr>
          <w:rFonts w:hint="eastAsia" w:ascii="Times New Roman" w:hAnsi="Times New Roman"/>
          <w:color w:val="auto"/>
          <w:kern w:val="0"/>
          <w:szCs w:val="20"/>
        </w:rPr>
        <w:t>定量风险评价（</w:t>
      </w:r>
      <w:r>
        <w:rPr>
          <w:rFonts w:ascii="Times New Roman" w:hAnsi="Times New Roman"/>
          <w:color w:val="auto"/>
          <w:kern w:val="0"/>
          <w:szCs w:val="20"/>
        </w:rPr>
        <w:t>QRA</w:t>
      </w:r>
      <w:r>
        <w:rPr>
          <w:rFonts w:hint="eastAsia" w:ascii="Times New Roman" w:hAnsi="Times New Roman"/>
          <w:color w:val="auto"/>
          <w:kern w:val="0"/>
          <w:szCs w:val="20"/>
        </w:rPr>
        <w:t>）。</w:t>
      </w:r>
    </w:p>
    <w:p w14:paraId="4C8EB42F">
      <w:pPr>
        <w:pStyle w:val="3"/>
        <w:rPr>
          <w:rFonts w:hint="eastAsia"/>
        </w:rPr>
      </w:pPr>
      <w:bookmarkStart w:id="86" w:name="_Toc174117974"/>
      <w:bookmarkStart w:id="87" w:name="_Toc180478632"/>
      <w:r>
        <w:t xml:space="preserve">7 </w:t>
      </w:r>
      <w:r>
        <w:rPr>
          <w:rFonts w:hint="eastAsia"/>
        </w:rPr>
        <w:t>危险有害因素辨识</w:t>
      </w:r>
      <w:bookmarkEnd w:id="86"/>
      <w:bookmarkEnd w:id="87"/>
    </w:p>
    <w:p w14:paraId="19A353A1">
      <w:pPr>
        <w:pStyle w:val="4"/>
        <w:rPr>
          <w:rFonts w:hint="eastAsia"/>
        </w:rPr>
      </w:pPr>
      <w:bookmarkStart w:id="88" w:name="_Toc464326097"/>
      <w:bookmarkStart w:id="89" w:name="_Toc174117975"/>
      <w:r>
        <w:t xml:space="preserve">7.1 </w:t>
      </w:r>
      <w:bookmarkEnd w:id="88"/>
      <w:r>
        <w:rPr>
          <w:rFonts w:hint="eastAsia"/>
        </w:rPr>
        <w:t>输送介质</w:t>
      </w:r>
      <w:bookmarkEnd w:id="89"/>
    </w:p>
    <w:p w14:paraId="29CC1830">
      <w:pPr>
        <w:pStyle w:val="35"/>
        <w:spacing w:after="0" w:line="240" w:lineRule="auto"/>
        <w:ind w:firstLine="424" w:firstLineChars="202"/>
        <w:rPr>
          <w:rFonts w:ascii="Times New Roman" w:hAnsi="Times New Roman"/>
          <w:color w:val="auto"/>
          <w:kern w:val="0"/>
          <w:szCs w:val="20"/>
        </w:rPr>
      </w:pPr>
      <w:r>
        <w:rPr>
          <w:rFonts w:hint="eastAsia" w:ascii="Times New Roman" w:hAnsi="Times New Roman"/>
          <w:color w:val="auto"/>
          <w:kern w:val="0"/>
          <w:szCs w:val="20"/>
        </w:rPr>
        <w:t>对建设项目输送介质进行危险有害因素辨识。</w:t>
      </w:r>
    </w:p>
    <w:p w14:paraId="15C8B4F8">
      <w:pPr>
        <w:pStyle w:val="4"/>
        <w:rPr>
          <w:rFonts w:hint="eastAsia"/>
        </w:rPr>
      </w:pPr>
      <w:bookmarkStart w:id="90" w:name="_Toc174117976"/>
      <w:r>
        <w:t xml:space="preserve">7.2 </w:t>
      </w:r>
      <w:r>
        <w:rPr>
          <w:rFonts w:hint="eastAsia"/>
        </w:rPr>
        <w:t>自然及社会环境</w:t>
      </w:r>
      <w:bookmarkEnd w:id="90"/>
    </w:p>
    <w:p w14:paraId="4FD3452A">
      <w:pPr>
        <w:pStyle w:val="35"/>
        <w:spacing w:after="0" w:line="240" w:lineRule="auto"/>
        <w:ind w:firstLine="424" w:firstLineChars="202"/>
        <w:rPr>
          <w:rFonts w:ascii="Times New Roman" w:hAnsi="Times New Roman"/>
          <w:color w:val="auto"/>
          <w:kern w:val="0"/>
          <w:szCs w:val="20"/>
        </w:rPr>
      </w:pPr>
      <w:r>
        <w:rPr>
          <w:rFonts w:hint="eastAsia" w:ascii="Times New Roman" w:hAnsi="Times New Roman"/>
          <w:color w:val="auto"/>
          <w:kern w:val="0"/>
          <w:szCs w:val="20"/>
        </w:rPr>
        <w:t>对建设项目沿线自然及社会环境进行危险有害因素辨识。</w:t>
      </w:r>
    </w:p>
    <w:p w14:paraId="77114980">
      <w:pPr>
        <w:pStyle w:val="4"/>
        <w:rPr>
          <w:rFonts w:hint="eastAsia"/>
        </w:rPr>
      </w:pPr>
      <w:bookmarkStart w:id="91" w:name="_Toc464326098"/>
      <w:bookmarkStart w:id="92" w:name="_Toc174117977"/>
      <w:r>
        <w:t xml:space="preserve">7.3 </w:t>
      </w:r>
      <w:r>
        <w:rPr>
          <w:rFonts w:hint="eastAsia"/>
        </w:rPr>
        <w:t>线路</w:t>
      </w:r>
      <w:bookmarkEnd w:id="91"/>
      <w:r>
        <w:rPr>
          <w:rFonts w:hint="eastAsia"/>
        </w:rPr>
        <w:t>工程</w:t>
      </w:r>
      <w:bookmarkEnd w:id="92"/>
    </w:p>
    <w:p w14:paraId="6D3DAD42">
      <w:pPr>
        <w:pStyle w:val="35"/>
        <w:spacing w:after="0" w:line="240" w:lineRule="auto"/>
        <w:ind w:firstLine="424" w:firstLineChars="202"/>
        <w:rPr>
          <w:rFonts w:ascii="Times New Roman" w:hAnsi="Times New Roman"/>
          <w:color w:val="auto"/>
          <w:kern w:val="0"/>
          <w:szCs w:val="20"/>
        </w:rPr>
      </w:pPr>
      <w:r>
        <w:rPr>
          <w:rFonts w:hint="eastAsia" w:ascii="Times New Roman" w:hAnsi="Times New Roman"/>
          <w:color w:val="auto"/>
          <w:kern w:val="0"/>
          <w:szCs w:val="20"/>
        </w:rPr>
        <w:t>对线路工程包括的管道本体、管道敷设、人员密集型</w:t>
      </w:r>
      <w:r>
        <w:rPr>
          <w:rFonts w:ascii="Times New Roman" w:hAnsi="Times New Roman"/>
          <w:color w:val="auto"/>
          <w:kern w:val="0"/>
          <w:szCs w:val="20"/>
        </w:rPr>
        <w:t>高后果区</w:t>
      </w:r>
      <w:r>
        <w:rPr>
          <w:rFonts w:hint="eastAsia" w:ascii="Times New Roman" w:hAnsi="Times New Roman"/>
          <w:color w:val="auto"/>
          <w:kern w:val="0"/>
          <w:szCs w:val="20"/>
        </w:rPr>
        <w:t>、地质灾害、地震、山岭穿越、采矿区、水域大、中型穿（跨）越、与架空输电线路并行交叉、与铁路并行交叉、与公路并行交叉、与其他管道并行交叉、标识与伴行道路和阀室进行危险有害因素辨识。</w:t>
      </w:r>
    </w:p>
    <w:p w14:paraId="722C9D42">
      <w:pPr>
        <w:pStyle w:val="4"/>
        <w:rPr>
          <w:rFonts w:hint="eastAsia"/>
        </w:rPr>
      </w:pPr>
      <w:bookmarkStart w:id="93" w:name="_Toc174117978"/>
      <w:r>
        <w:t>7.4</w:t>
      </w:r>
      <w:r>
        <w:rPr>
          <w:rFonts w:hint="eastAsia"/>
        </w:rPr>
        <w:t xml:space="preserve"> 站场工程</w:t>
      </w:r>
      <w:bookmarkEnd w:id="93"/>
    </w:p>
    <w:p w14:paraId="3499D68D">
      <w:pPr>
        <w:pStyle w:val="35"/>
        <w:spacing w:after="0" w:line="240" w:lineRule="auto"/>
        <w:ind w:firstLine="424" w:firstLineChars="202"/>
        <w:rPr>
          <w:rFonts w:ascii="Times New Roman" w:hAnsi="Times New Roman"/>
          <w:color w:val="auto"/>
          <w:kern w:val="0"/>
          <w:szCs w:val="20"/>
        </w:rPr>
      </w:pPr>
      <w:r>
        <w:rPr>
          <w:rFonts w:hint="eastAsia" w:ascii="Times New Roman" w:hAnsi="Times New Roman"/>
          <w:color w:val="auto"/>
          <w:kern w:val="0"/>
          <w:szCs w:val="20"/>
        </w:rPr>
        <w:t>对站场工程包括的区域布置、平面及竖向布置、输送工艺、站场工艺和储运设备进行危险有害因素辨识。</w:t>
      </w:r>
    </w:p>
    <w:p w14:paraId="0CC8B684">
      <w:pPr>
        <w:pStyle w:val="4"/>
        <w:rPr>
          <w:rFonts w:hint="eastAsia"/>
        </w:rPr>
      </w:pPr>
      <w:bookmarkStart w:id="94" w:name="_Toc174117979"/>
      <w:r>
        <w:t>7.5</w:t>
      </w:r>
      <w:r>
        <w:rPr>
          <w:rFonts w:hint="eastAsia"/>
        </w:rPr>
        <w:t xml:space="preserve"> 公用工程</w:t>
      </w:r>
      <w:bookmarkEnd w:id="94"/>
    </w:p>
    <w:p w14:paraId="0B0EB0E3">
      <w:pPr>
        <w:pStyle w:val="35"/>
        <w:spacing w:after="0" w:line="240" w:lineRule="auto"/>
        <w:ind w:firstLine="424" w:firstLineChars="202"/>
        <w:rPr>
          <w:rFonts w:ascii="Times New Roman" w:hAnsi="Times New Roman"/>
          <w:color w:val="auto"/>
          <w:kern w:val="0"/>
          <w:szCs w:val="20"/>
        </w:rPr>
      </w:pPr>
      <w:r>
        <w:rPr>
          <w:rFonts w:hint="eastAsia" w:ascii="Times New Roman" w:hAnsi="Times New Roman"/>
          <w:color w:val="auto"/>
          <w:kern w:val="0"/>
          <w:szCs w:val="20"/>
        </w:rPr>
        <w:t>对公用工程包括的自控、通信、供配电、防腐与保温、采暖通风和建（构）筑物进行危险有害因素辨识。</w:t>
      </w:r>
    </w:p>
    <w:p w14:paraId="4DA49A27">
      <w:pPr>
        <w:pStyle w:val="4"/>
        <w:rPr>
          <w:rFonts w:hint="eastAsia"/>
        </w:rPr>
      </w:pPr>
      <w:bookmarkStart w:id="95" w:name="_Toc174117980"/>
      <w:bookmarkStart w:id="96" w:name="_Toc464326105"/>
      <w:bookmarkStart w:id="97" w:name="_Toc254604963"/>
      <w:bookmarkStart w:id="98" w:name="_Toc254604962"/>
      <w:r>
        <w:t xml:space="preserve">7.6 </w:t>
      </w:r>
      <w:r>
        <w:rPr>
          <w:rFonts w:hint="eastAsia"/>
        </w:rPr>
        <w:t>建设项目相互影响</w:t>
      </w:r>
      <w:bookmarkEnd w:id="95"/>
      <w:bookmarkEnd w:id="96"/>
    </w:p>
    <w:p w14:paraId="3EBAB205">
      <w:pPr>
        <w:pStyle w:val="35"/>
        <w:spacing w:after="0" w:line="240" w:lineRule="auto"/>
        <w:ind w:firstLine="424" w:firstLineChars="202"/>
        <w:rPr>
          <w:rFonts w:ascii="Times New Roman" w:hAnsi="Times New Roman"/>
          <w:color w:val="auto"/>
          <w:kern w:val="0"/>
          <w:szCs w:val="20"/>
        </w:rPr>
      </w:pPr>
      <w:r>
        <w:rPr>
          <w:rFonts w:hint="eastAsia" w:ascii="Times New Roman" w:hAnsi="Times New Roman"/>
          <w:color w:val="auto"/>
          <w:kern w:val="0"/>
          <w:szCs w:val="20"/>
        </w:rPr>
        <w:t>建设项目与</w:t>
      </w:r>
      <w:r>
        <w:rPr>
          <w:rFonts w:ascii="Times New Roman" w:hAnsi="Times New Roman"/>
          <w:color w:val="auto"/>
          <w:kern w:val="0"/>
          <w:szCs w:val="20"/>
        </w:rPr>
        <w:t>已有</w:t>
      </w:r>
      <w:r>
        <w:rPr>
          <w:rFonts w:hint="eastAsia" w:ascii="Times New Roman" w:hAnsi="Times New Roman"/>
          <w:color w:val="auto"/>
          <w:kern w:val="0"/>
          <w:szCs w:val="20"/>
        </w:rPr>
        <w:t>项目合建、毗邻，应分析各建设项目相互影响及可能产生的危险和有害因素，说明分析结果。</w:t>
      </w:r>
    </w:p>
    <w:p w14:paraId="1B4C3A38">
      <w:pPr>
        <w:pStyle w:val="4"/>
        <w:rPr>
          <w:rFonts w:hint="eastAsia"/>
        </w:rPr>
      </w:pPr>
      <w:bookmarkStart w:id="99" w:name="_Toc174117981"/>
      <w:bookmarkStart w:id="100" w:name="_Toc464326106"/>
      <w:r>
        <w:t xml:space="preserve">7.7 </w:t>
      </w:r>
      <w:r>
        <w:rPr>
          <w:rFonts w:hint="eastAsia"/>
        </w:rPr>
        <w:t>重大危险源辨识</w:t>
      </w:r>
      <w:bookmarkEnd w:id="99"/>
      <w:bookmarkEnd w:id="100"/>
    </w:p>
    <w:p w14:paraId="566225FF">
      <w:pPr>
        <w:pStyle w:val="35"/>
        <w:spacing w:after="0" w:line="240" w:lineRule="auto"/>
        <w:ind w:firstLine="424" w:firstLineChars="202"/>
        <w:rPr>
          <w:rFonts w:ascii="Times New Roman" w:hAnsi="Times New Roman"/>
          <w:color w:val="auto"/>
          <w:kern w:val="0"/>
          <w:szCs w:val="20"/>
        </w:rPr>
      </w:pPr>
      <w:r>
        <w:rPr>
          <w:rFonts w:hint="eastAsia" w:ascii="Times New Roman" w:hAnsi="Times New Roman"/>
          <w:color w:val="auto"/>
          <w:kern w:val="0"/>
          <w:szCs w:val="20"/>
        </w:rPr>
        <w:t>建设</w:t>
      </w:r>
      <w:r>
        <w:rPr>
          <w:rFonts w:ascii="Times New Roman" w:hAnsi="Times New Roman"/>
          <w:color w:val="auto"/>
          <w:kern w:val="0"/>
          <w:szCs w:val="20"/>
        </w:rPr>
        <w:t>项目范围内的</w:t>
      </w:r>
      <w:r>
        <w:rPr>
          <w:rFonts w:hint="eastAsia" w:ascii="Times New Roman" w:hAnsi="Times New Roman"/>
          <w:color w:val="auto"/>
          <w:kern w:val="0"/>
          <w:szCs w:val="20"/>
        </w:rPr>
        <w:t>油品站场按</w:t>
      </w:r>
      <w:r>
        <w:rPr>
          <w:rStyle w:val="156"/>
          <w:rFonts w:hint="eastAsia"/>
        </w:rPr>
        <w:t>照</w:t>
      </w:r>
      <w:r>
        <w:rPr>
          <w:rFonts w:ascii="Times New Roman" w:hAnsi="Times New Roman"/>
          <w:color w:val="auto"/>
          <w:kern w:val="0"/>
          <w:szCs w:val="20"/>
        </w:rPr>
        <w:t>GB 18218</w:t>
      </w:r>
      <w:r>
        <w:rPr>
          <w:rStyle w:val="156"/>
          <w:rFonts w:hint="eastAsia"/>
        </w:rPr>
        <w:t>进</w:t>
      </w:r>
      <w:r>
        <w:rPr>
          <w:rFonts w:hint="eastAsia" w:ascii="Times New Roman" w:hAnsi="Times New Roman"/>
          <w:color w:val="auto"/>
          <w:kern w:val="0"/>
          <w:szCs w:val="20"/>
        </w:rPr>
        <w:t>行危险化学品重大危险源辨识。</w:t>
      </w:r>
    </w:p>
    <w:p w14:paraId="0E58958F">
      <w:pPr>
        <w:pStyle w:val="4"/>
        <w:rPr>
          <w:rFonts w:hint="eastAsia"/>
        </w:rPr>
      </w:pPr>
      <w:bookmarkStart w:id="101" w:name="_Toc464326107"/>
      <w:bookmarkStart w:id="102" w:name="_Toc174117982"/>
      <w:r>
        <w:t xml:space="preserve">7.8 </w:t>
      </w:r>
      <w:r>
        <w:rPr>
          <w:rFonts w:hint="eastAsia"/>
        </w:rPr>
        <w:t>辨识结果汇总</w:t>
      </w:r>
      <w:bookmarkEnd w:id="101"/>
      <w:bookmarkEnd w:id="102"/>
    </w:p>
    <w:p w14:paraId="776E5454">
      <w:pPr>
        <w:pStyle w:val="35"/>
        <w:spacing w:after="0" w:line="240" w:lineRule="auto"/>
        <w:ind w:firstLine="424" w:firstLineChars="202"/>
        <w:rPr>
          <w:rFonts w:ascii="Times New Roman"/>
          <w:color w:val="auto"/>
        </w:rPr>
      </w:pPr>
      <w:r>
        <w:rPr>
          <w:rFonts w:hint="eastAsia" w:ascii="Times New Roman" w:hAnsi="Times New Roman"/>
          <w:color w:val="auto"/>
          <w:kern w:val="0"/>
          <w:szCs w:val="20"/>
        </w:rPr>
        <w:t>按施工和生产运行阶段分别汇总存在的主要危险有害因素。</w:t>
      </w:r>
    </w:p>
    <w:bookmarkEnd w:id="97"/>
    <w:bookmarkEnd w:id="98"/>
    <w:p w14:paraId="5EA6225C">
      <w:pPr>
        <w:pStyle w:val="3"/>
        <w:rPr>
          <w:rFonts w:hint="eastAsia"/>
        </w:rPr>
      </w:pPr>
      <w:bookmarkStart w:id="103" w:name="_Toc180478633"/>
      <w:bookmarkStart w:id="104" w:name="_Toc174117983"/>
      <w:r>
        <w:t xml:space="preserve">8 </w:t>
      </w:r>
      <w:r>
        <w:rPr>
          <w:rFonts w:hint="eastAsia"/>
        </w:rPr>
        <w:t>单元安全评价</w:t>
      </w:r>
      <w:bookmarkEnd w:id="103"/>
      <w:bookmarkEnd w:id="104"/>
    </w:p>
    <w:p w14:paraId="26810967">
      <w:pPr>
        <w:pStyle w:val="4"/>
        <w:rPr>
          <w:rFonts w:hint="eastAsia"/>
        </w:rPr>
      </w:pPr>
      <w:bookmarkStart w:id="105" w:name="_Toc174117984"/>
      <w:bookmarkStart w:id="106" w:name="_Toc464326113"/>
      <w:r>
        <w:t xml:space="preserve">8.1 </w:t>
      </w:r>
      <w:r>
        <w:rPr>
          <w:rFonts w:hint="eastAsia"/>
        </w:rPr>
        <w:t>通用要求</w:t>
      </w:r>
      <w:bookmarkEnd w:id="105"/>
    </w:p>
    <w:p w14:paraId="3F527010">
      <w:pPr>
        <w:pStyle w:val="65"/>
        <w:ind w:firstLine="0" w:firstLineChars="0"/>
        <w:rPr>
          <w:rFonts w:ascii="黑体" w:eastAsia="黑体"/>
          <w:color w:val="000000" w:themeColor="text1"/>
          <w14:textFill>
            <w14:solidFill>
              <w14:schemeClr w14:val="tx1"/>
            </w14:solidFill>
          </w14:textFill>
        </w:rPr>
      </w:pPr>
      <w:r>
        <w:rPr>
          <w:rFonts w:ascii="黑体" w:eastAsia="黑体"/>
          <w:color w:val="000000" w:themeColor="text1"/>
          <w14:textFill>
            <w14:solidFill>
              <w14:schemeClr w14:val="tx1"/>
            </w14:solidFill>
          </w14:textFill>
        </w:rPr>
        <w:t>8.1.1</w:t>
      </w:r>
      <w:r>
        <w:rPr>
          <w:rFonts w:hint="eastAsia" w:ascii="黑体" w:eastAsia="黑体"/>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针对单元评价内不同的评价对象分别选用适用的评价方法。</w:t>
      </w:r>
    </w:p>
    <w:p w14:paraId="58A1DFC4">
      <w:pPr>
        <w:pStyle w:val="65"/>
        <w:ind w:firstLine="0" w:firstLineChars="0"/>
        <w:rPr>
          <w:color w:val="000000" w:themeColor="text1"/>
          <w14:textFill>
            <w14:solidFill>
              <w14:schemeClr w14:val="tx1"/>
            </w14:solidFill>
          </w14:textFill>
        </w:rPr>
      </w:pPr>
      <w:r>
        <w:rPr>
          <w:rFonts w:ascii="黑体" w:eastAsia="黑体"/>
          <w:color w:val="000000" w:themeColor="text1"/>
          <w14:textFill>
            <w14:solidFill>
              <w14:schemeClr w14:val="tx1"/>
            </w14:solidFill>
          </w14:textFill>
        </w:rPr>
        <w:t xml:space="preserve">8.1.2 </w:t>
      </w:r>
      <w:r>
        <w:rPr>
          <w:rFonts w:hint="eastAsia"/>
          <w:color w:val="000000" w:themeColor="text1"/>
          <w14:textFill>
            <w14:solidFill>
              <w14:schemeClr w14:val="tx1"/>
            </w14:solidFill>
          </w14:textFill>
        </w:rPr>
        <w:t>根据调研、查阅有关资料和实地查看的结果，分析可行性研究报告中已有安全措施的可行性，针对建设项目补充提出安全对策措施，得出评价结论。</w:t>
      </w:r>
    </w:p>
    <w:p w14:paraId="551246C2">
      <w:pPr>
        <w:pStyle w:val="65"/>
        <w:ind w:firstLine="0" w:firstLineChars="0"/>
        <w:rPr>
          <w:color w:val="000000" w:themeColor="text1"/>
          <w14:textFill>
            <w14:solidFill>
              <w14:schemeClr w14:val="tx1"/>
            </w14:solidFill>
          </w14:textFill>
        </w:rPr>
      </w:pPr>
      <w:r>
        <w:rPr>
          <w:rFonts w:ascii="黑体" w:eastAsia="黑体"/>
          <w:color w:val="000000" w:themeColor="text1"/>
          <w14:textFill>
            <w14:solidFill>
              <w14:schemeClr w14:val="tx1"/>
            </w14:solidFill>
          </w14:textFill>
        </w:rPr>
        <w:t xml:space="preserve">8.1.3 </w:t>
      </w:r>
      <w:r>
        <w:rPr>
          <w:rFonts w:hint="eastAsia"/>
          <w:color w:val="000000" w:themeColor="text1"/>
          <w14:textFill>
            <w14:solidFill>
              <w14:schemeClr w14:val="tx1"/>
            </w14:solidFill>
          </w14:textFill>
        </w:rPr>
        <w:t>根据与安全生产相关的其他评价工作开展情况，对安全设施设计提出相应的安全对策与</w:t>
      </w:r>
      <w:r>
        <w:rPr>
          <w:color w:val="000000" w:themeColor="text1"/>
          <w14:textFill>
            <w14:solidFill>
              <w14:schemeClr w14:val="tx1"/>
            </w14:solidFill>
          </w14:textFill>
        </w:rPr>
        <w:t>建议</w:t>
      </w:r>
      <w:r>
        <w:rPr>
          <w:rFonts w:hint="eastAsia"/>
          <w:color w:val="000000" w:themeColor="text1"/>
          <w14:textFill>
            <w14:solidFill>
              <w14:schemeClr w14:val="tx1"/>
            </w14:solidFill>
          </w14:textFill>
        </w:rPr>
        <w:t>。</w:t>
      </w:r>
    </w:p>
    <w:p w14:paraId="3931512D">
      <w:pPr>
        <w:pStyle w:val="4"/>
        <w:rPr>
          <w:rFonts w:hint="eastAsia"/>
        </w:rPr>
      </w:pPr>
      <w:bookmarkStart w:id="107" w:name="_Toc174117985"/>
      <w:r>
        <w:t xml:space="preserve">8.2 </w:t>
      </w:r>
      <w:r>
        <w:rPr>
          <w:rFonts w:hint="eastAsia"/>
        </w:rPr>
        <w:t>基本安全条件</w:t>
      </w:r>
      <w:bookmarkEnd w:id="107"/>
    </w:p>
    <w:p w14:paraId="3403F6E0">
      <w:pPr>
        <w:pStyle w:val="65"/>
        <w:ind w:firstLine="0" w:firstLineChars="0"/>
        <w:rPr>
          <w:rStyle w:val="156"/>
        </w:rPr>
      </w:pPr>
      <w:r>
        <w:rPr>
          <w:rFonts w:ascii="黑体" w:hAnsi="黑体" w:eastAsia="黑体"/>
          <w:color w:val="000000" w:themeColor="text1"/>
          <w14:textFill>
            <w14:solidFill>
              <w14:schemeClr w14:val="tx1"/>
            </w14:solidFill>
          </w14:textFill>
        </w:rPr>
        <w:t>8.2.</w:t>
      </w:r>
      <w:r>
        <w:rPr>
          <w:rFonts w:hint="eastAsia" w:ascii="黑体" w:hAnsi="黑体" w:eastAsia="黑体"/>
          <w:color w:val="000000" w:themeColor="text1"/>
          <w14:textFill>
            <w14:solidFill>
              <w14:schemeClr w14:val="tx1"/>
            </w14:solidFill>
          </w14:textFill>
        </w:rPr>
        <w:t>1</w:t>
      </w:r>
      <w:r>
        <w:rPr>
          <w:rFonts w:ascii="黑体" w:hAnsi="黑体" w:eastAsia="黑体"/>
          <w:color w:val="000000" w:themeColor="text1"/>
          <w14:textFill>
            <w14:solidFill>
              <w14:schemeClr w14:val="tx1"/>
            </w14:solidFill>
          </w14:textFill>
        </w:rPr>
        <w:t xml:space="preserve"> </w:t>
      </w:r>
      <w:r>
        <w:rPr>
          <w:rStyle w:val="156"/>
          <w:rFonts w:hint="eastAsia"/>
        </w:rPr>
        <w:t>对建设项目核准文件、沿线路由规划许可、站场规划选址许可、可行性研究报告批复情况进行合规性评价。</w:t>
      </w:r>
    </w:p>
    <w:p w14:paraId="1722CCD0">
      <w:pPr>
        <w:pStyle w:val="65"/>
        <w:ind w:firstLine="0" w:firstLineChars="0"/>
      </w:pPr>
      <w:r>
        <w:rPr>
          <w:rFonts w:ascii="黑体" w:hAnsi="黑体" w:eastAsia="黑体"/>
          <w:color w:val="000000" w:themeColor="text1"/>
          <w14:textFill>
            <w14:solidFill>
              <w14:schemeClr w14:val="tx1"/>
            </w14:solidFill>
          </w14:textFill>
        </w:rPr>
        <w:t>8.2.</w:t>
      </w:r>
      <w:r>
        <w:rPr>
          <w:rFonts w:hint="eastAsia" w:ascii="黑体" w:hAnsi="黑体" w:eastAsia="黑体"/>
          <w:color w:val="000000" w:themeColor="text1"/>
          <w14:textFill>
            <w14:solidFill>
              <w14:schemeClr w14:val="tx1"/>
            </w14:solidFill>
          </w14:textFill>
        </w:rPr>
        <w:t>2</w:t>
      </w:r>
      <w:r>
        <w:rPr>
          <w:rFonts w:ascii="黑体" w:hAnsi="黑体" w:eastAsia="黑体"/>
          <w:color w:val="000000" w:themeColor="text1"/>
          <w14:textFill>
            <w14:solidFill>
              <w14:schemeClr w14:val="tx1"/>
            </w14:solidFill>
          </w14:textFill>
        </w:rPr>
        <w:t xml:space="preserve"> </w:t>
      </w:r>
      <w:r>
        <w:rPr>
          <w:rFonts w:hint="eastAsia"/>
        </w:rPr>
        <w:t>国内首次采用的新工艺、新技术、新材料和新设备，应对安全可靠性论证情况进行合规性评价。</w:t>
      </w:r>
    </w:p>
    <w:p w14:paraId="2D180E72">
      <w:pPr>
        <w:pStyle w:val="65"/>
        <w:ind w:firstLine="0" w:firstLineChars="0"/>
        <w:rPr>
          <w:color w:val="000000" w:themeColor="text1"/>
          <w14:textFill>
            <w14:solidFill>
              <w14:schemeClr w14:val="tx1"/>
            </w14:solidFill>
          </w14:textFill>
        </w:rPr>
      </w:pPr>
      <w:r>
        <w:rPr>
          <w:rFonts w:ascii="黑体" w:hAnsi="黑体" w:eastAsia="黑体"/>
          <w:color w:val="000000" w:themeColor="text1"/>
          <w14:textFill>
            <w14:solidFill>
              <w14:schemeClr w14:val="tx1"/>
            </w14:solidFill>
          </w14:textFill>
        </w:rPr>
        <w:t>8.2.</w:t>
      </w:r>
      <w:r>
        <w:rPr>
          <w:rFonts w:hint="eastAsia" w:ascii="黑体" w:hAnsi="黑体" w:eastAsia="黑体"/>
          <w:color w:val="000000" w:themeColor="text1"/>
          <w14:textFill>
            <w14:solidFill>
              <w14:schemeClr w14:val="tx1"/>
            </w14:solidFill>
          </w14:textFill>
        </w:rPr>
        <w:t>3</w:t>
      </w:r>
      <w:r>
        <w:rPr>
          <w:rFonts w:ascii="黑体" w:hAnsi="黑体" w:eastAsia="黑体"/>
          <w:color w:val="000000" w:themeColor="text1"/>
          <w14:textFill>
            <w14:solidFill>
              <w14:schemeClr w14:val="tx1"/>
            </w14:solidFill>
          </w14:textFill>
        </w:rPr>
        <w:t xml:space="preserve"> </w:t>
      </w:r>
      <w:r>
        <w:rPr>
          <w:rFonts w:hint="eastAsia"/>
        </w:rPr>
        <w:t>辨识建设项目采用淘汰落后工艺、技术、设备、材料等情况并进行合规性评价。</w:t>
      </w:r>
    </w:p>
    <w:p w14:paraId="0EEEFED0">
      <w:pPr>
        <w:pStyle w:val="4"/>
        <w:rPr>
          <w:rFonts w:hint="eastAsia"/>
        </w:rPr>
      </w:pPr>
      <w:bookmarkStart w:id="108" w:name="_Toc174117986"/>
      <w:r>
        <w:rPr>
          <w:rFonts w:hint="eastAsia"/>
        </w:rPr>
        <w:t>8.</w:t>
      </w:r>
      <w:r>
        <w:t xml:space="preserve">3 </w:t>
      </w:r>
      <w:r>
        <w:rPr>
          <w:rFonts w:hint="eastAsia"/>
        </w:rPr>
        <w:t>线路</w:t>
      </w:r>
      <w:bookmarkEnd w:id="106"/>
      <w:r>
        <w:rPr>
          <w:rFonts w:hint="eastAsia"/>
        </w:rPr>
        <w:t>工程</w:t>
      </w:r>
      <w:bookmarkEnd w:id="108"/>
    </w:p>
    <w:p w14:paraId="01B22B69">
      <w:pPr>
        <w:pStyle w:val="153"/>
        <w:spacing w:before="156" w:after="156"/>
        <w:rPr>
          <w:rFonts w:hint="eastAsia"/>
        </w:rPr>
      </w:pPr>
      <w:r>
        <w:t xml:space="preserve">8.3.1 </w:t>
      </w:r>
      <w:r>
        <w:rPr>
          <w:rFonts w:hint="eastAsia"/>
        </w:rPr>
        <w:t>管道本体</w:t>
      </w:r>
    </w:p>
    <w:p w14:paraId="2B381750">
      <w:pPr>
        <w:pStyle w:val="35"/>
        <w:spacing w:after="0" w:line="240" w:lineRule="auto"/>
        <w:ind w:firstLine="424" w:firstLineChars="202"/>
      </w:pPr>
      <w:r>
        <w:rPr>
          <w:rFonts w:hint="eastAsia" w:ascii="Times New Roman" w:hAnsi="Times New Roman"/>
          <w:color w:val="auto"/>
          <w:kern w:val="0"/>
          <w:szCs w:val="20"/>
        </w:rPr>
        <w:t>分析管材选取、强度设计系数、输送温度与输送介质的匹配性，按照</w:t>
      </w:r>
      <w:r>
        <w:rPr>
          <w:rFonts w:ascii="Times New Roman" w:hAnsi="Times New Roman"/>
          <w:color w:val="auto"/>
          <w:kern w:val="0"/>
          <w:szCs w:val="20"/>
        </w:rPr>
        <w:t>GB 50251</w:t>
      </w:r>
      <w:r>
        <w:rPr>
          <w:rFonts w:hint="eastAsia" w:ascii="Times New Roman" w:hAnsi="Times New Roman"/>
          <w:color w:val="auto"/>
          <w:kern w:val="0"/>
          <w:szCs w:val="20"/>
        </w:rPr>
        <w:t>或</w:t>
      </w:r>
      <w:r>
        <w:rPr>
          <w:rFonts w:ascii="Times New Roman" w:hAnsi="Times New Roman"/>
          <w:color w:val="auto"/>
          <w:kern w:val="0"/>
          <w:szCs w:val="20"/>
        </w:rPr>
        <w:t>GB 50253</w:t>
      </w:r>
      <w:r>
        <w:rPr>
          <w:rFonts w:hint="eastAsia" w:ascii="Times New Roman" w:hAnsi="Times New Roman"/>
          <w:color w:val="auto"/>
          <w:kern w:val="0"/>
          <w:szCs w:val="20"/>
        </w:rPr>
        <w:t xml:space="preserve">等的规定进行合规性评价。 </w:t>
      </w:r>
    </w:p>
    <w:p w14:paraId="21E32C70">
      <w:pPr>
        <w:pStyle w:val="153"/>
        <w:spacing w:before="156" w:after="156"/>
        <w:rPr>
          <w:rFonts w:hint="eastAsia"/>
        </w:rPr>
      </w:pPr>
      <w:bookmarkStart w:id="109" w:name="_Toc464326115"/>
      <w:r>
        <w:t>8.3.2</w:t>
      </w:r>
      <w:bookmarkEnd w:id="109"/>
      <w:r>
        <w:t xml:space="preserve"> </w:t>
      </w:r>
      <w:r>
        <w:rPr>
          <w:rFonts w:hint="eastAsia"/>
        </w:rPr>
        <w:t>管道敷设</w:t>
      </w:r>
    </w:p>
    <w:p w14:paraId="232C7D09">
      <w:pPr>
        <w:pStyle w:val="65"/>
        <w:ind w:firstLine="0" w:firstLineChars="0"/>
        <w:rPr>
          <w:rFonts w:ascii="Times New Roman"/>
        </w:rPr>
      </w:pPr>
      <w:r>
        <w:rPr>
          <w:rFonts w:ascii="黑体" w:eastAsia="黑体"/>
          <w:color w:val="000000" w:themeColor="text1"/>
          <w14:textFill>
            <w14:solidFill>
              <w14:schemeClr w14:val="tx1"/>
            </w14:solidFill>
          </w14:textFill>
        </w:rPr>
        <w:t xml:space="preserve">8.3.2.1 </w:t>
      </w:r>
      <w:r>
        <w:rPr>
          <w:rFonts w:hint="eastAsia" w:ascii="Times New Roman"/>
          <w:u w:color="000000"/>
        </w:rPr>
        <w:t>分析管道敷设方式、间距、埋深以及管道经过水田、岩石类、旱地等地区的最小覆土厚度，按照GB 50251或GB 50253等的规定进行合规性评价。</w:t>
      </w:r>
    </w:p>
    <w:p w14:paraId="7CC58C85">
      <w:pPr>
        <w:pStyle w:val="65"/>
        <w:ind w:firstLine="0" w:firstLineChars="0"/>
        <w:rPr>
          <w:rFonts w:ascii="Times New Roman"/>
        </w:rPr>
      </w:pPr>
      <w:r>
        <w:rPr>
          <w:rFonts w:ascii="黑体" w:eastAsia="黑体"/>
          <w:color w:val="000000" w:themeColor="text1"/>
          <w14:textFill>
            <w14:solidFill>
              <w14:schemeClr w14:val="tx1"/>
            </w14:solidFill>
          </w14:textFill>
        </w:rPr>
        <w:t xml:space="preserve">8.3.2.2 </w:t>
      </w:r>
      <w:r>
        <w:rPr>
          <w:rFonts w:hint="eastAsia"/>
          <w:u w:color="000000"/>
        </w:rPr>
        <w:t>分</w:t>
      </w:r>
      <w:r>
        <w:rPr>
          <w:rFonts w:hint="eastAsia" w:ascii="Times New Roman"/>
          <w:u w:color="000000"/>
        </w:rPr>
        <w:t>析顺坡敷设，沿沟谷敷设，沿山脊敷设，石方段、爆破段敷设和定向钻穿越段等特殊地段管道敷设的技术要求和措施，按照GB 50251或GB 50253等的规定进行合规性评价；黄土、冻土地区管道敷设按照S</w:t>
      </w:r>
      <w:r>
        <w:rPr>
          <w:rFonts w:ascii="Times New Roman"/>
          <w:u w:color="000000"/>
        </w:rPr>
        <w:t>Y/T 7363</w:t>
      </w:r>
      <w:r>
        <w:rPr>
          <w:rFonts w:hint="eastAsia" w:ascii="Times New Roman"/>
          <w:u w:color="000000"/>
        </w:rPr>
        <w:t>、S</w:t>
      </w:r>
      <w:r>
        <w:rPr>
          <w:rFonts w:ascii="Times New Roman"/>
          <w:u w:color="000000"/>
        </w:rPr>
        <w:t>Y/T 7364</w:t>
      </w:r>
      <w:r>
        <w:rPr>
          <w:rFonts w:hint="eastAsia" w:ascii="Times New Roman"/>
          <w:u w:color="000000"/>
        </w:rPr>
        <w:t>等的规定进行合规性评价。</w:t>
      </w:r>
    </w:p>
    <w:p w14:paraId="41ACCABE">
      <w:pPr>
        <w:pStyle w:val="153"/>
        <w:spacing w:before="156" w:after="156"/>
        <w:rPr>
          <w:rFonts w:hint="eastAsia"/>
        </w:rPr>
      </w:pPr>
      <w:r>
        <w:t>8.3.3</w:t>
      </w:r>
      <w:r>
        <w:rPr>
          <w:rFonts w:hint="eastAsia"/>
        </w:rPr>
        <w:t xml:space="preserve"> 人员密集型</w:t>
      </w:r>
      <w:r>
        <w:t>高后果区</w:t>
      </w:r>
    </w:p>
    <w:p w14:paraId="1CEAC1C1">
      <w:pPr>
        <w:pStyle w:val="155"/>
        <w:ind w:firstLine="0" w:firstLineChars="0"/>
        <w:rPr>
          <w:rFonts w:ascii="Times New Roman"/>
        </w:rPr>
      </w:pPr>
      <w:r>
        <w:rPr>
          <w:rFonts w:ascii="黑体" w:eastAsia="黑体"/>
          <w:color w:val="000000" w:themeColor="text1"/>
          <w14:textFill>
            <w14:solidFill>
              <w14:schemeClr w14:val="tx1"/>
            </w14:solidFill>
          </w14:textFill>
        </w:rPr>
        <w:t xml:space="preserve">8.3.3.1 </w:t>
      </w:r>
      <w:r>
        <w:rPr>
          <w:rFonts w:hint="eastAsia" w:ascii="Times New Roman"/>
        </w:rPr>
        <w:t>分析建设项目与周边特定场所的间距和人员密集型高后果区识别等情况，按照</w:t>
      </w:r>
      <w:r>
        <w:rPr>
          <w:rFonts w:ascii="Times New Roman"/>
        </w:rPr>
        <w:t>GB 50183</w:t>
      </w:r>
      <w:r>
        <w:rPr>
          <w:rFonts w:hint="eastAsia" w:ascii="Times New Roman"/>
        </w:rPr>
        <w:t>、</w:t>
      </w:r>
      <w:r>
        <w:rPr>
          <w:rFonts w:ascii="Times New Roman"/>
        </w:rPr>
        <w:t>GB 32167</w:t>
      </w:r>
      <w:r>
        <w:rPr>
          <w:rFonts w:hint="eastAsia" w:ascii="Times New Roman"/>
        </w:rPr>
        <w:t>、</w:t>
      </w:r>
      <w:r>
        <w:rPr>
          <w:rFonts w:ascii="Times New Roman"/>
        </w:rPr>
        <w:t>GB 50251</w:t>
      </w:r>
      <w:r>
        <w:rPr>
          <w:rFonts w:hint="eastAsia" w:ascii="Times New Roman"/>
        </w:rPr>
        <w:t>或</w:t>
      </w:r>
      <w:r>
        <w:rPr>
          <w:rFonts w:ascii="Times New Roman"/>
        </w:rPr>
        <w:t>GB 50253</w:t>
      </w:r>
      <w:r>
        <w:rPr>
          <w:rFonts w:hint="eastAsia" w:ascii="Times New Roman"/>
        </w:rPr>
        <w:t>等的规定进行合规性评价，并对人员密集型高后果区提出安全防护措施。</w:t>
      </w:r>
    </w:p>
    <w:p w14:paraId="7517BDB6">
      <w:pPr>
        <w:pStyle w:val="155"/>
        <w:ind w:firstLine="0" w:firstLineChars="0"/>
        <w:rPr>
          <w:rFonts w:ascii="Times New Roman"/>
        </w:rPr>
      </w:pPr>
      <w:r>
        <w:rPr>
          <w:rFonts w:ascii="黑体" w:eastAsia="黑体"/>
          <w:color w:val="000000" w:themeColor="text1"/>
          <w14:textFill>
            <w14:solidFill>
              <w14:schemeClr w14:val="tx1"/>
            </w14:solidFill>
          </w14:textFill>
        </w:rPr>
        <w:t xml:space="preserve">8.3.3.2 </w:t>
      </w:r>
      <w:r>
        <w:rPr>
          <w:rFonts w:hint="eastAsia" w:ascii="Times New Roman"/>
        </w:rPr>
        <w:t>按照附录B对Ⅲ级人员密集型高后果区管段开展定量风险评价，周边防护目标所承受的个人风险应符合附录C的要求。</w:t>
      </w:r>
    </w:p>
    <w:p w14:paraId="2AD5DC97">
      <w:pPr>
        <w:pStyle w:val="153"/>
        <w:spacing w:before="156" w:after="156"/>
        <w:rPr>
          <w:rFonts w:hint="eastAsia"/>
        </w:rPr>
      </w:pPr>
      <w:r>
        <w:t>8.3.4</w:t>
      </w:r>
      <w:r>
        <w:rPr>
          <w:rFonts w:hint="eastAsia"/>
        </w:rPr>
        <w:t xml:space="preserve"> 地质灾害</w:t>
      </w:r>
    </w:p>
    <w:p w14:paraId="697C4EDD">
      <w:pPr>
        <w:pStyle w:val="155"/>
      </w:pPr>
      <w:r>
        <w:rPr>
          <w:rFonts w:hint="eastAsia"/>
        </w:rPr>
        <w:t>分析建设项目经过的地质灾害区</w:t>
      </w:r>
      <w:r>
        <w:rPr>
          <w:rFonts w:hint="eastAsia" w:hAnsi="宋体"/>
          <w:szCs w:val="21"/>
        </w:rPr>
        <w:t>或不良地质区（</w:t>
      </w:r>
      <w:r>
        <w:rPr>
          <w:rFonts w:hint="eastAsia"/>
        </w:rPr>
        <w:t>结合地质灾害危险性评估报告</w:t>
      </w:r>
      <w:r>
        <w:rPr>
          <w:rFonts w:hint="eastAsia" w:hAnsi="宋体"/>
          <w:szCs w:val="21"/>
        </w:rPr>
        <w:t>）</w:t>
      </w:r>
      <w:r>
        <w:rPr>
          <w:rFonts w:hint="eastAsia"/>
        </w:rPr>
        <w:t>，如滑坡、崩塌、泥石流、采空塌陷、岩溶塌陷、地裂缝、地面沉降、不稳定斜坡等，进行合规性评价。</w:t>
      </w:r>
    </w:p>
    <w:p w14:paraId="60EA7576">
      <w:pPr>
        <w:pStyle w:val="153"/>
        <w:spacing w:before="156" w:after="156"/>
        <w:rPr>
          <w:rFonts w:hint="eastAsia"/>
        </w:rPr>
      </w:pPr>
      <w:r>
        <w:t>8.3.5</w:t>
      </w:r>
      <w:r>
        <w:rPr>
          <w:rFonts w:hint="eastAsia"/>
        </w:rPr>
        <w:t xml:space="preserve"> 地震</w:t>
      </w:r>
    </w:p>
    <w:p w14:paraId="1DA90F67">
      <w:pPr>
        <w:pStyle w:val="155"/>
        <w:rPr>
          <w:rFonts w:ascii="Times New Roman"/>
        </w:rPr>
      </w:pPr>
      <w:r>
        <w:rPr>
          <w:rFonts w:hint="eastAsia"/>
        </w:rPr>
        <w:t>分析建设项目沿线的地震烈度和经过的活动断层（</w:t>
      </w:r>
      <w:r>
        <w:rPr>
          <w:rFonts w:hint="eastAsia" w:ascii="Times New Roman"/>
        </w:rPr>
        <w:t>结合地震安全性评价报告），按照</w:t>
      </w:r>
      <w:r>
        <w:rPr>
          <w:rFonts w:ascii="Times New Roman"/>
        </w:rPr>
        <w:t>GB/T 17742</w:t>
      </w:r>
      <w:r>
        <w:rPr>
          <w:rFonts w:hint="eastAsia" w:ascii="Times New Roman"/>
        </w:rPr>
        <w:t>、</w:t>
      </w:r>
      <w:r>
        <w:rPr>
          <w:rFonts w:ascii="Times New Roman"/>
        </w:rPr>
        <w:t>GB 18306</w:t>
      </w:r>
      <w:r>
        <w:rPr>
          <w:rFonts w:hint="eastAsia" w:ascii="Times New Roman"/>
        </w:rPr>
        <w:t>等的规定进行合规性评价。</w:t>
      </w:r>
    </w:p>
    <w:p w14:paraId="79C0AC98">
      <w:pPr>
        <w:pStyle w:val="153"/>
        <w:spacing w:before="156" w:after="156"/>
        <w:rPr>
          <w:rFonts w:hint="eastAsia"/>
        </w:rPr>
      </w:pPr>
      <w:r>
        <w:t>8.3.6</w:t>
      </w:r>
      <w:r>
        <w:rPr>
          <w:rFonts w:hint="eastAsia"/>
        </w:rPr>
        <w:t xml:space="preserve"> 山岭穿越</w:t>
      </w:r>
    </w:p>
    <w:p w14:paraId="6FAA3CAD">
      <w:pPr>
        <w:pStyle w:val="155"/>
        <w:rPr>
          <w:kern w:val="2"/>
          <w:szCs w:val="24"/>
        </w:rPr>
      </w:pPr>
      <w:r>
        <w:rPr>
          <w:rFonts w:hint="eastAsia"/>
        </w:rPr>
        <w:t>分析建设项目山岭穿越</w:t>
      </w:r>
      <w:r>
        <w:rPr>
          <w:rFonts w:hint="eastAsia"/>
          <w:kern w:val="2"/>
          <w:szCs w:val="24"/>
        </w:rPr>
        <w:t>方案、有毒有害气体防护、防腐层保护、弃渣存放点等情况，</w:t>
      </w:r>
      <w:r>
        <w:rPr>
          <w:rFonts w:hint="eastAsia"/>
        </w:rPr>
        <w:t>进行合规性评价。</w:t>
      </w:r>
    </w:p>
    <w:p w14:paraId="70E6A39E">
      <w:pPr>
        <w:pStyle w:val="153"/>
        <w:spacing w:before="156" w:after="156"/>
        <w:rPr>
          <w:rFonts w:hint="eastAsia"/>
        </w:rPr>
      </w:pPr>
      <w:r>
        <w:t>8.3.7</w:t>
      </w:r>
      <w:r>
        <w:rPr>
          <w:rFonts w:hint="eastAsia"/>
        </w:rPr>
        <w:t xml:space="preserve"> 采矿区</w:t>
      </w:r>
    </w:p>
    <w:p w14:paraId="5B1FDE75">
      <w:pPr>
        <w:pStyle w:val="155"/>
      </w:pPr>
      <w:r>
        <w:rPr>
          <w:rFonts w:hint="eastAsia"/>
        </w:rPr>
        <w:t>分析建设项目经过采矿区（固体、液体、气体）的情况（结合压覆矿产资源评估报告），进行合规性评价。</w:t>
      </w:r>
    </w:p>
    <w:p w14:paraId="70A6044B">
      <w:pPr>
        <w:pStyle w:val="153"/>
        <w:spacing w:before="156" w:after="156"/>
        <w:rPr>
          <w:rFonts w:hint="eastAsia"/>
          <w:lang w:val="en-US"/>
        </w:rPr>
      </w:pPr>
      <w:r>
        <w:rPr>
          <w:lang w:val="en-US"/>
        </w:rPr>
        <w:t xml:space="preserve">8.3.8 </w:t>
      </w:r>
      <w:r>
        <w:rPr>
          <w:rFonts w:hint="eastAsia"/>
        </w:rPr>
        <w:t>水域大、中型穿</w:t>
      </w:r>
      <w:r>
        <w:rPr>
          <w:rFonts w:hint="eastAsia"/>
          <w:lang w:val="en-US"/>
        </w:rPr>
        <w:t>（</w:t>
      </w:r>
      <w:r>
        <w:rPr>
          <w:rFonts w:hint="eastAsia"/>
        </w:rPr>
        <w:t>跨</w:t>
      </w:r>
      <w:r>
        <w:rPr>
          <w:rFonts w:hint="eastAsia"/>
          <w:lang w:val="en-US"/>
        </w:rPr>
        <w:t>）</w:t>
      </w:r>
      <w:r>
        <w:rPr>
          <w:rFonts w:hint="eastAsia"/>
        </w:rPr>
        <w:t>越</w:t>
      </w:r>
    </w:p>
    <w:p w14:paraId="2BFFB0A0">
      <w:pPr>
        <w:pStyle w:val="155"/>
        <w:rPr>
          <w:rFonts w:ascii="Times New Roman"/>
        </w:rPr>
      </w:pPr>
      <w:r>
        <w:rPr>
          <w:rFonts w:hint="eastAsia"/>
        </w:rPr>
        <w:t>分析建设项目水域大、中型穿（跨）越情况（结合通航安全性评</w:t>
      </w:r>
      <w:r>
        <w:rPr>
          <w:rFonts w:hint="eastAsia" w:ascii="Times New Roman"/>
        </w:rPr>
        <w:t>价报告），按照</w:t>
      </w:r>
      <w:r>
        <w:rPr>
          <w:rFonts w:ascii="Times New Roman"/>
        </w:rPr>
        <w:t>GB 50423</w:t>
      </w:r>
      <w:r>
        <w:rPr>
          <w:rFonts w:hint="eastAsia" w:ascii="Times New Roman"/>
        </w:rPr>
        <w:t>和</w:t>
      </w:r>
      <w:r>
        <w:rPr>
          <w:rFonts w:ascii="Times New Roman"/>
        </w:rPr>
        <w:t>GB/T 50459</w:t>
      </w:r>
      <w:r>
        <w:rPr>
          <w:rFonts w:hint="eastAsia" w:ascii="Times New Roman"/>
        </w:rPr>
        <w:t>等的规定进行合规性评价。</w:t>
      </w:r>
    </w:p>
    <w:p w14:paraId="0B27BBE0">
      <w:pPr>
        <w:pStyle w:val="153"/>
        <w:spacing w:before="156" w:after="156"/>
        <w:rPr>
          <w:rFonts w:hint="eastAsia"/>
        </w:rPr>
      </w:pPr>
      <w:r>
        <w:t>8.3.9</w:t>
      </w:r>
      <w:r>
        <w:rPr>
          <w:rFonts w:hint="eastAsia"/>
        </w:rPr>
        <w:t xml:space="preserve"> 与架空输电线路并行交叉</w:t>
      </w:r>
    </w:p>
    <w:p w14:paraId="0E5F3A5F">
      <w:pPr>
        <w:pStyle w:val="155"/>
        <w:rPr>
          <w:rFonts w:ascii="Times New Roman"/>
        </w:rPr>
      </w:pPr>
      <w:r>
        <w:rPr>
          <w:rFonts w:hint="eastAsia"/>
        </w:rPr>
        <w:t>分析建设项目与架空输电线路并行、交叉情况，</w:t>
      </w:r>
      <w:r>
        <w:rPr>
          <w:rFonts w:hint="eastAsia" w:ascii="Times New Roman"/>
        </w:rPr>
        <w:t>按照</w:t>
      </w:r>
      <w:r>
        <w:rPr>
          <w:rFonts w:ascii="Times New Roman"/>
        </w:rPr>
        <w:t>GB 50061</w:t>
      </w:r>
      <w:r>
        <w:rPr>
          <w:rFonts w:hint="eastAsia" w:ascii="Times New Roman"/>
        </w:rPr>
        <w:t>、</w:t>
      </w:r>
      <w:r>
        <w:rPr>
          <w:rFonts w:ascii="Times New Roman"/>
        </w:rPr>
        <w:t>GB 50545</w:t>
      </w:r>
      <w:r>
        <w:rPr>
          <w:rFonts w:hint="eastAsia" w:ascii="Times New Roman"/>
        </w:rPr>
        <w:t>、</w:t>
      </w:r>
      <w:r>
        <w:rPr>
          <w:rFonts w:ascii="Times New Roman"/>
        </w:rPr>
        <w:t>GB/T 50698</w:t>
      </w:r>
      <w:r>
        <w:rPr>
          <w:rFonts w:hint="eastAsia" w:ascii="Times New Roman"/>
        </w:rPr>
        <w:t>和</w:t>
      </w:r>
      <w:r>
        <w:rPr>
          <w:rFonts w:ascii="Times New Roman"/>
        </w:rPr>
        <w:t>GB/T 21447</w:t>
      </w:r>
      <w:r>
        <w:rPr>
          <w:rFonts w:hint="eastAsia" w:ascii="Times New Roman"/>
        </w:rPr>
        <w:t>等的规定进行合规性评价。</w:t>
      </w:r>
    </w:p>
    <w:p w14:paraId="764F189D">
      <w:pPr>
        <w:pStyle w:val="153"/>
        <w:spacing w:before="156" w:after="156"/>
        <w:rPr>
          <w:rFonts w:hint="eastAsia"/>
        </w:rPr>
      </w:pPr>
      <w:r>
        <w:t>8.3.10</w:t>
      </w:r>
      <w:r>
        <w:rPr>
          <w:rFonts w:hint="eastAsia"/>
        </w:rPr>
        <w:t xml:space="preserve"> 与铁路并行交叉</w:t>
      </w:r>
    </w:p>
    <w:p w14:paraId="53703186">
      <w:pPr>
        <w:pStyle w:val="35"/>
        <w:spacing w:after="0" w:line="240" w:lineRule="auto"/>
        <w:ind w:firstLine="424" w:firstLineChars="202"/>
        <w:rPr>
          <w:rFonts w:ascii="Times New Roman" w:hAnsi="Times New Roman"/>
          <w:color w:val="auto"/>
          <w:kern w:val="0"/>
          <w:szCs w:val="20"/>
        </w:rPr>
      </w:pPr>
      <w:r>
        <w:rPr>
          <w:rFonts w:hint="eastAsia" w:ascii="Times New Roman" w:hAnsi="Times New Roman"/>
          <w:color w:val="auto"/>
          <w:kern w:val="0"/>
          <w:szCs w:val="20"/>
        </w:rPr>
        <w:t>分析建设项目与铁路并行、交叉情况，依据《铁路安全管理条例》并按照《油气输送管道与铁路交汇工程技术及管理规定》、</w:t>
      </w:r>
      <w:r>
        <w:rPr>
          <w:rFonts w:ascii="Times New Roman" w:hAnsi="Times New Roman"/>
          <w:color w:val="auto"/>
          <w:kern w:val="0"/>
          <w:szCs w:val="20"/>
        </w:rPr>
        <w:t>GB 50423</w:t>
      </w:r>
      <w:r>
        <w:rPr>
          <w:rFonts w:hint="eastAsia" w:ascii="Times New Roman" w:hAnsi="Times New Roman"/>
          <w:color w:val="auto"/>
          <w:kern w:val="0"/>
          <w:szCs w:val="20"/>
        </w:rPr>
        <w:t>和</w:t>
      </w:r>
      <w:r>
        <w:rPr>
          <w:rFonts w:ascii="Times New Roman" w:hAnsi="Times New Roman"/>
          <w:color w:val="auto"/>
          <w:kern w:val="0"/>
          <w:szCs w:val="20"/>
        </w:rPr>
        <w:t>GB 50459</w:t>
      </w:r>
      <w:r>
        <w:rPr>
          <w:rFonts w:hint="eastAsia" w:ascii="Times New Roman" w:hAnsi="Times New Roman"/>
          <w:color w:val="auto"/>
          <w:kern w:val="0"/>
          <w:szCs w:val="20"/>
        </w:rPr>
        <w:t>等的规定进行合规性评价。</w:t>
      </w:r>
    </w:p>
    <w:p w14:paraId="1228D080">
      <w:pPr>
        <w:pStyle w:val="153"/>
        <w:spacing w:before="156" w:after="156"/>
        <w:rPr>
          <w:rFonts w:hint="eastAsia"/>
        </w:rPr>
      </w:pPr>
      <w:r>
        <w:t>8.3.11</w:t>
      </w:r>
      <w:r>
        <w:rPr>
          <w:rFonts w:hint="eastAsia"/>
        </w:rPr>
        <w:t xml:space="preserve"> 与公路并行交叉</w:t>
      </w:r>
    </w:p>
    <w:p w14:paraId="42D38AC7">
      <w:pPr>
        <w:pStyle w:val="155"/>
        <w:rPr>
          <w:rFonts w:ascii="Times New Roman"/>
        </w:rPr>
      </w:pPr>
      <w:r>
        <w:rPr>
          <w:rFonts w:hint="eastAsia"/>
        </w:rPr>
        <w:t>分析建设项目与公路并行、交叉情</w:t>
      </w:r>
      <w:r>
        <w:rPr>
          <w:rFonts w:hint="eastAsia" w:ascii="Times New Roman"/>
        </w:rPr>
        <w:t>况，依据《公路安全保护条例》并按照《关于规范公路桥梁与石油天然气管道交叉工程管理的通知》、</w:t>
      </w:r>
      <w:r>
        <w:rPr>
          <w:rFonts w:ascii="Times New Roman"/>
        </w:rPr>
        <w:t>GB 50423</w:t>
      </w:r>
      <w:r>
        <w:rPr>
          <w:rFonts w:hint="eastAsia" w:ascii="Times New Roman"/>
        </w:rPr>
        <w:t>、</w:t>
      </w:r>
      <w:r>
        <w:rPr>
          <w:rFonts w:ascii="Times New Roman"/>
        </w:rPr>
        <w:t>GB 50460</w:t>
      </w:r>
      <w:r>
        <w:rPr>
          <w:rFonts w:hint="eastAsia" w:ascii="Times New Roman"/>
        </w:rPr>
        <w:t>等的规定进行合规性评价。</w:t>
      </w:r>
    </w:p>
    <w:p w14:paraId="487FCAAF">
      <w:pPr>
        <w:pStyle w:val="153"/>
        <w:spacing w:before="156" w:after="156"/>
        <w:rPr>
          <w:rFonts w:hint="eastAsia"/>
        </w:rPr>
      </w:pPr>
      <w:r>
        <w:t>8.3.12</w:t>
      </w:r>
      <w:r>
        <w:rPr>
          <w:rFonts w:hint="eastAsia"/>
        </w:rPr>
        <w:t xml:space="preserve"> 与其他管道并行交叉</w:t>
      </w:r>
    </w:p>
    <w:p w14:paraId="698F85F8">
      <w:pPr>
        <w:pStyle w:val="155"/>
      </w:pPr>
      <w:r>
        <w:rPr>
          <w:rFonts w:hint="eastAsia"/>
        </w:rPr>
        <w:t>分析建设项目与其他管道（含油气管道、市政管道）并行、交叉情况，进行合规性评价。</w:t>
      </w:r>
    </w:p>
    <w:p w14:paraId="42137899">
      <w:pPr>
        <w:pStyle w:val="153"/>
        <w:spacing w:before="156" w:after="156"/>
        <w:rPr>
          <w:rFonts w:hint="eastAsia"/>
        </w:rPr>
      </w:pPr>
      <w:r>
        <w:t>8.3.13</w:t>
      </w:r>
      <w:r>
        <w:rPr>
          <w:rFonts w:hint="eastAsia"/>
        </w:rPr>
        <w:t xml:space="preserve"> 标识与伴行道路</w:t>
      </w:r>
    </w:p>
    <w:p w14:paraId="000668F1">
      <w:pPr>
        <w:pStyle w:val="155"/>
        <w:rPr>
          <w:rFonts w:ascii="Times New Roman"/>
        </w:rPr>
      </w:pPr>
      <w:r>
        <w:rPr>
          <w:rFonts w:hint="eastAsia"/>
        </w:rPr>
        <w:t>分析管道标识</w:t>
      </w:r>
      <w:r>
        <w:rPr>
          <w:rFonts w:hint="eastAsia" w:ascii="Times New Roman"/>
        </w:rPr>
        <w:t>、高后果区标识</w:t>
      </w:r>
      <w:r>
        <w:rPr>
          <w:rFonts w:hint="eastAsia"/>
        </w:rPr>
        <w:t>和伴行</w:t>
      </w:r>
      <w:r>
        <w:rPr>
          <w:rFonts w:hint="eastAsia" w:ascii="Times New Roman"/>
        </w:rPr>
        <w:t>道路</w:t>
      </w:r>
      <w:r>
        <w:rPr>
          <w:rFonts w:hint="eastAsia"/>
        </w:rPr>
        <w:t>设置情况，</w:t>
      </w:r>
      <w:r>
        <w:rPr>
          <w:rFonts w:hint="eastAsia" w:ascii="Times New Roman"/>
        </w:rPr>
        <w:t>按照</w:t>
      </w:r>
      <w:r>
        <w:rPr>
          <w:rFonts w:ascii="Times New Roman"/>
        </w:rPr>
        <w:t>SY/T 6064</w:t>
      </w:r>
      <w:r>
        <w:rPr>
          <w:rFonts w:hint="eastAsia" w:ascii="Times New Roman"/>
        </w:rPr>
        <w:t>等的规定对标识进行合规性评价，对高后果区标识和伴行道路设置进行合规性评价。</w:t>
      </w:r>
    </w:p>
    <w:p w14:paraId="10F4937C">
      <w:pPr>
        <w:pStyle w:val="153"/>
        <w:spacing w:before="156" w:after="156"/>
        <w:rPr>
          <w:rFonts w:hint="eastAsia"/>
        </w:rPr>
      </w:pPr>
      <w:r>
        <w:t>8.3.14</w:t>
      </w:r>
      <w:r>
        <w:rPr>
          <w:rFonts w:hint="eastAsia"/>
        </w:rPr>
        <w:t xml:space="preserve"> 截断阀室</w:t>
      </w:r>
    </w:p>
    <w:p w14:paraId="11CABCCA">
      <w:pPr>
        <w:pStyle w:val="35"/>
        <w:spacing w:after="0" w:line="240" w:lineRule="auto"/>
        <w:ind w:firstLine="424" w:firstLineChars="202"/>
        <w:rPr>
          <w:rFonts w:ascii="Times New Roman" w:hAnsi="Times New Roman"/>
          <w:color w:val="auto"/>
          <w:kern w:val="0"/>
          <w:szCs w:val="20"/>
        </w:rPr>
      </w:pPr>
      <w:r>
        <w:rPr>
          <w:rFonts w:hint="eastAsia" w:ascii="Times New Roman" w:hAnsi="Times New Roman"/>
          <w:color w:val="auto"/>
          <w:kern w:val="0"/>
          <w:szCs w:val="20"/>
        </w:rPr>
        <w:t>分析截断阀室设置情况（结合防洪影响评价报告或当地洪涝情况），按照</w:t>
      </w:r>
      <w:r>
        <w:rPr>
          <w:rFonts w:ascii="Times New Roman" w:hAnsi="Times New Roman"/>
          <w:color w:val="auto"/>
          <w:kern w:val="0"/>
          <w:szCs w:val="20"/>
        </w:rPr>
        <w:t>GB 50251</w:t>
      </w:r>
      <w:r>
        <w:rPr>
          <w:rFonts w:hint="eastAsia" w:ascii="Times New Roman" w:hAnsi="Times New Roman"/>
          <w:color w:val="auto"/>
          <w:kern w:val="0"/>
          <w:szCs w:val="20"/>
        </w:rPr>
        <w:t>或</w:t>
      </w:r>
      <w:r>
        <w:rPr>
          <w:rFonts w:ascii="Times New Roman" w:hAnsi="Times New Roman"/>
          <w:color w:val="auto"/>
          <w:kern w:val="0"/>
          <w:szCs w:val="20"/>
        </w:rPr>
        <w:t>GB 50253</w:t>
      </w:r>
      <w:r>
        <w:rPr>
          <w:rFonts w:hint="eastAsia" w:ascii="Times New Roman" w:hAnsi="Times New Roman"/>
          <w:color w:val="auto"/>
          <w:kern w:val="0"/>
          <w:szCs w:val="20"/>
        </w:rPr>
        <w:t>等的规定进行合规性评价。</w:t>
      </w:r>
    </w:p>
    <w:p w14:paraId="29B9501E">
      <w:pPr>
        <w:pStyle w:val="4"/>
        <w:rPr>
          <w:rFonts w:hint="eastAsia"/>
          <w:color w:val="000000" w:themeColor="text1"/>
          <w14:textFill>
            <w14:solidFill>
              <w14:schemeClr w14:val="tx1"/>
            </w14:solidFill>
          </w14:textFill>
        </w:rPr>
      </w:pPr>
      <w:bookmarkStart w:id="110" w:name="_Toc464326118"/>
      <w:bookmarkStart w:id="111" w:name="_Toc174117987"/>
      <w:r>
        <w:rPr>
          <w:color w:val="000000" w:themeColor="text1"/>
          <w14:textFill>
            <w14:solidFill>
              <w14:schemeClr w14:val="tx1"/>
            </w14:solidFill>
          </w14:textFill>
        </w:rPr>
        <w:t>8.4</w:t>
      </w:r>
      <w:r>
        <w:rPr>
          <w:rFonts w:hint="eastAsia"/>
          <w:color w:val="000000" w:themeColor="text1"/>
          <w14:textFill>
            <w14:solidFill>
              <w14:schemeClr w14:val="tx1"/>
            </w14:solidFill>
          </w14:textFill>
        </w:rPr>
        <w:t>站场</w:t>
      </w:r>
      <w:bookmarkEnd w:id="110"/>
      <w:r>
        <w:rPr>
          <w:rFonts w:hint="eastAsia"/>
          <w:color w:val="000000" w:themeColor="text1"/>
          <w14:textFill>
            <w14:solidFill>
              <w14:schemeClr w14:val="tx1"/>
            </w14:solidFill>
          </w14:textFill>
        </w:rPr>
        <w:t>工程</w:t>
      </w:r>
      <w:bookmarkEnd w:id="111"/>
    </w:p>
    <w:p w14:paraId="4543622A">
      <w:pPr>
        <w:pStyle w:val="153"/>
        <w:spacing w:before="156" w:after="156"/>
        <w:rPr>
          <w:rFonts w:hint="eastAsia"/>
        </w:rPr>
      </w:pPr>
      <w:r>
        <w:t xml:space="preserve">8.4.1 </w:t>
      </w:r>
      <w:r>
        <w:rPr>
          <w:rFonts w:hint="eastAsia"/>
        </w:rPr>
        <w:t>区域布置</w:t>
      </w:r>
    </w:p>
    <w:p w14:paraId="4519AFA9">
      <w:pPr>
        <w:pStyle w:val="155"/>
        <w:ind w:firstLine="420" w:firstLineChars="200"/>
      </w:pPr>
      <w:r>
        <w:rPr>
          <w:rFonts w:hint="eastAsia" w:ascii="Times New Roman"/>
        </w:rPr>
        <w:t>分析站场的区域布置情况，按</w:t>
      </w:r>
      <w:r>
        <w:rPr>
          <w:rFonts w:ascii="Times New Roman"/>
        </w:rPr>
        <w:t>GB 50183</w:t>
      </w:r>
      <w:r>
        <w:rPr>
          <w:rFonts w:hint="eastAsia" w:ascii="Times New Roman"/>
        </w:rPr>
        <w:t>等的规定进行合规性评价，列出站场与周边设施</w:t>
      </w:r>
      <w:bookmarkStart w:id="112" w:name="_Hlk177659331"/>
      <w:r>
        <w:rPr>
          <w:rFonts w:hint="eastAsia" w:ascii="Times New Roman"/>
        </w:rPr>
        <w:t>防火</w:t>
      </w:r>
      <w:bookmarkEnd w:id="112"/>
      <w:r>
        <w:rPr>
          <w:rFonts w:hint="eastAsia" w:ascii="Times New Roman"/>
        </w:rPr>
        <w:t>间距一览表（见表</w:t>
      </w:r>
      <w:r>
        <w:rPr>
          <w:rFonts w:ascii="Times New Roman"/>
        </w:rPr>
        <w:t>31</w:t>
      </w:r>
      <w:r>
        <w:rPr>
          <w:rFonts w:hint="eastAsia" w:ascii="Times New Roman"/>
        </w:rPr>
        <w:t>）。</w:t>
      </w:r>
    </w:p>
    <w:p w14:paraId="0574CE66">
      <w:pPr>
        <w:pStyle w:val="5"/>
        <w:rPr>
          <w:rFonts w:hint="eastAsia"/>
        </w:rPr>
      </w:pPr>
      <w:r>
        <w:t>表</w:t>
      </w:r>
      <w:r>
        <w:rPr>
          <w:rFonts w:ascii="Times New Roman" w:hAnsi="Times New Roman"/>
        </w:rPr>
        <w:t>31</w:t>
      </w:r>
      <w:r>
        <w:t xml:space="preserve"> </w:t>
      </w:r>
      <w:r>
        <w:rPr>
          <w:rFonts w:hint="eastAsia"/>
        </w:rPr>
        <w:t>站场与周边设施防火间距一览表</w:t>
      </w:r>
    </w:p>
    <w:tbl>
      <w:tblPr>
        <w:tblStyle w:val="36"/>
        <w:tblW w:w="488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57" w:type="dxa"/>
          <w:bottom w:w="28" w:type="dxa"/>
          <w:right w:w="57" w:type="dxa"/>
        </w:tblCellMar>
      </w:tblPr>
      <w:tblGrid>
        <w:gridCol w:w="894"/>
        <w:gridCol w:w="857"/>
        <w:gridCol w:w="1033"/>
        <w:gridCol w:w="854"/>
        <w:gridCol w:w="568"/>
        <w:gridCol w:w="568"/>
        <w:gridCol w:w="567"/>
        <w:gridCol w:w="567"/>
        <w:gridCol w:w="709"/>
        <w:gridCol w:w="707"/>
        <w:gridCol w:w="707"/>
        <w:gridCol w:w="567"/>
        <w:gridCol w:w="660"/>
      </w:tblGrid>
      <w:tr w14:paraId="727EE5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28" w:type="dxa"/>
            <w:right w:w="57" w:type="dxa"/>
          </w:tblCellMar>
        </w:tblPrEx>
        <w:trPr>
          <w:cantSplit/>
          <w:trHeight w:val="442" w:hRule="atLeast"/>
          <w:tblHeader/>
          <w:jc w:val="center"/>
        </w:trPr>
        <w:tc>
          <w:tcPr>
            <w:tcW w:w="483" w:type="pct"/>
            <w:vAlign w:val="center"/>
          </w:tcPr>
          <w:p w14:paraId="6D1ED706">
            <w:pPr>
              <w:spacing w:line="240" w:lineRule="exact"/>
              <w:jc w:val="center"/>
              <w:rPr>
                <w:sz w:val="18"/>
                <w:szCs w:val="18"/>
              </w:rPr>
            </w:pPr>
            <w:r>
              <w:rPr>
                <w:rFonts w:hint="eastAsia"/>
                <w:sz w:val="18"/>
                <w:szCs w:val="18"/>
              </w:rPr>
              <w:t>站场</w:t>
            </w:r>
          </w:p>
          <w:p w14:paraId="532BF551">
            <w:pPr>
              <w:spacing w:line="240" w:lineRule="exact"/>
              <w:jc w:val="center"/>
              <w:rPr>
                <w:sz w:val="18"/>
                <w:szCs w:val="18"/>
              </w:rPr>
            </w:pPr>
            <w:r>
              <w:rPr>
                <w:rFonts w:hint="eastAsia"/>
                <w:sz w:val="18"/>
                <w:szCs w:val="18"/>
              </w:rPr>
              <w:t>名称</w:t>
            </w:r>
          </w:p>
        </w:tc>
        <w:tc>
          <w:tcPr>
            <w:tcW w:w="463" w:type="pct"/>
            <w:vAlign w:val="center"/>
          </w:tcPr>
          <w:p w14:paraId="586F133E">
            <w:pPr>
              <w:spacing w:line="240" w:lineRule="exact"/>
              <w:jc w:val="center"/>
              <w:rPr>
                <w:sz w:val="18"/>
                <w:szCs w:val="18"/>
              </w:rPr>
            </w:pPr>
            <w:r>
              <w:rPr>
                <w:rFonts w:hint="eastAsia"/>
                <w:sz w:val="18"/>
                <w:szCs w:val="18"/>
              </w:rPr>
              <w:t>类型</w:t>
            </w:r>
          </w:p>
        </w:tc>
        <w:tc>
          <w:tcPr>
            <w:tcW w:w="558" w:type="pct"/>
            <w:vAlign w:val="center"/>
          </w:tcPr>
          <w:p w14:paraId="3842242A">
            <w:pPr>
              <w:spacing w:line="240" w:lineRule="exact"/>
              <w:jc w:val="center"/>
              <w:rPr>
                <w:sz w:val="18"/>
                <w:szCs w:val="18"/>
              </w:rPr>
            </w:pPr>
            <w:r>
              <w:rPr>
                <w:sz w:val="18"/>
                <w:szCs w:val="18"/>
              </w:rPr>
              <w:t>100</w:t>
            </w:r>
            <w:r>
              <w:rPr>
                <w:rFonts w:hint="eastAsia"/>
                <w:sz w:val="18"/>
                <w:szCs w:val="18"/>
              </w:rPr>
              <w:t>人以上居住区、村镇、公共福利设施</w:t>
            </w:r>
          </w:p>
        </w:tc>
        <w:tc>
          <w:tcPr>
            <w:tcW w:w="461" w:type="pct"/>
            <w:vAlign w:val="center"/>
          </w:tcPr>
          <w:p w14:paraId="5C7235A6">
            <w:pPr>
              <w:spacing w:line="240" w:lineRule="exact"/>
              <w:jc w:val="center"/>
              <w:rPr>
                <w:sz w:val="18"/>
                <w:szCs w:val="18"/>
              </w:rPr>
            </w:pPr>
            <w:r>
              <w:rPr>
                <w:sz w:val="18"/>
                <w:szCs w:val="18"/>
              </w:rPr>
              <w:t>100</w:t>
            </w:r>
            <w:r>
              <w:rPr>
                <w:rFonts w:hint="eastAsia"/>
                <w:sz w:val="18"/>
                <w:szCs w:val="18"/>
              </w:rPr>
              <w:t>人以下的散居房屋</w:t>
            </w:r>
          </w:p>
        </w:tc>
        <w:tc>
          <w:tcPr>
            <w:tcW w:w="307" w:type="pct"/>
            <w:vAlign w:val="center"/>
          </w:tcPr>
          <w:p w14:paraId="24810BB4">
            <w:pPr>
              <w:spacing w:line="240" w:lineRule="exact"/>
              <w:jc w:val="center"/>
              <w:rPr>
                <w:sz w:val="18"/>
                <w:szCs w:val="18"/>
              </w:rPr>
            </w:pPr>
            <w:r>
              <w:rPr>
                <w:rFonts w:hint="eastAsia"/>
                <w:sz w:val="18"/>
                <w:szCs w:val="18"/>
              </w:rPr>
              <w:t>相邻厂矿企业</w:t>
            </w:r>
          </w:p>
        </w:tc>
        <w:tc>
          <w:tcPr>
            <w:tcW w:w="307" w:type="pct"/>
            <w:vAlign w:val="center"/>
          </w:tcPr>
          <w:p w14:paraId="05AACF89">
            <w:pPr>
              <w:spacing w:line="240" w:lineRule="exact"/>
              <w:jc w:val="center"/>
              <w:rPr>
                <w:sz w:val="18"/>
                <w:szCs w:val="18"/>
              </w:rPr>
            </w:pPr>
            <w:r>
              <w:rPr>
                <w:rFonts w:hint="eastAsia"/>
                <w:sz w:val="18"/>
                <w:szCs w:val="18"/>
              </w:rPr>
              <w:t>国家铁路线</w:t>
            </w:r>
          </w:p>
        </w:tc>
        <w:tc>
          <w:tcPr>
            <w:tcW w:w="306" w:type="pct"/>
            <w:vAlign w:val="center"/>
          </w:tcPr>
          <w:p w14:paraId="04E877C4">
            <w:pPr>
              <w:spacing w:line="240" w:lineRule="exact"/>
              <w:jc w:val="center"/>
              <w:rPr>
                <w:sz w:val="18"/>
                <w:szCs w:val="18"/>
              </w:rPr>
            </w:pPr>
            <w:r>
              <w:rPr>
                <w:rFonts w:hint="eastAsia"/>
                <w:sz w:val="18"/>
                <w:szCs w:val="18"/>
              </w:rPr>
              <w:t>高速公路</w:t>
            </w:r>
          </w:p>
        </w:tc>
        <w:tc>
          <w:tcPr>
            <w:tcW w:w="306" w:type="pct"/>
            <w:vAlign w:val="center"/>
          </w:tcPr>
          <w:p w14:paraId="65474822">
            <w:pPr>
              <w:spacing w:line="240" w:lineRule="exact"/>
              <w:jc w:val="center"/>
              <w:rPr>
                <w:sz w:val="18"/>
                <w:szCs w:val="18"/>
              </w:rPr>
            </w:pPr>
            <w:r>
              <w:rPr>
                <w:rFonts w:hint="eastAsia"/>
                <w:sz w:val="18"/>
                <w:szCs w:val="18"/>
              </w:rPr>
              <w:t>其他</w:t>
            </w:r>
          </w:p>
          <w:p w14:paraId="7AA72773">
            <w:pPr>
              <w:spacing w:line="240" w:lineRule="exact"/>
              <w:jc w:val="center"/>
              <w:rPr>
                <w:sz w:val="18"/>
                <w:szCs w:val="18"/>
              </w:rPr>
            </w:pPr>
            <w:r>
              <w:rPr>
                <w:rFonts w:hint="eastAsia"/>
                <w:sz w:val="18"/>
                <w:szCs w:val="18"/>
              </w:rPr>
              <w:t>公路</w:t>
            </w:r>
          </w:p>
        </w:tc>
        <w:tc>
          <w:tcPr>
            <w:tcW w:w="383" w:type="pct"/>
            <w:vAlign w:val="center"/>
          </w:tcPr>
          <w:p w14:paraId="79A16494">
            <w:pPr>
              <w:spacing w:line="240" w:lineRule="exact"/>
              <w:jc w:val="center"/>
              <w:rPr>
                <w:sz w:val="18"/>
                <w:szCs w:val="18"/>
              </w:rPr>
            </w:pPr>
            <w:r>
              <w:rPr>
                <w:sz w:val="18"/>
                <w:szCs w:val="18"/>
              </w:rPr>
              <w:t>35kV</w:t>
            </w:r>
            <w:r>
              <w:rPr>
                <w:rFonts w:hint="eastAsia"/>
                <w:sz w:val="18"/>
                <w:szCs w:val="18"/>
              </w:rPr>
              <w:t>及以上独立变电所</w:t>
            </w:r>
          </w:p>
        </w:tc>
        <w:tc>
          <w:tcPr>
            <w:tcW w:w="382" w:type="pct"/>
            <w:vAlign w:val="center"/>
          </w:tcPr>
          <w:p w14:paraId="3F9C8112">
            <w:pPr>
              <w:spacing w:line="240" w:lineRule="exact"/>
              <w:jc w:val="center"/>
              <w:rPr>
                <w:sz w:val="18"/>
                <w:szCs w:val="18"/>
              </w:rPr>
            </w:pPr>
            <w:r>
              <w:rPr>
                <w:rFonts w:hint="eastAsia"/>
                <w:sz w:val="18"/>
                <w:szCs w:val="18"/>
              </w:rPr>
              <w:t>架空</w:t>
            </w:r>
          </w:p>
          <w:p w14:paraId="72105A64">
            <w:pPr>
              <w:spacing w:line="240" w:lineRule="exact"/>
              <w:jc w:val="center"/>
              <w:rPr>
                <w:sz w:val="18"/>
                <w:szCs w:val="18"/>
              </w:rPr>
            </w:pPr>
            <w:r>
              <w:rPr>
                <w:rFonts w:hint="eastAsia"/>
                <w:sz w:val="18"/>
                <w:szCs w:val="18"/>
              </w:rPr>
              <w:t>电力线</w:t>
            </w:r>
          </w:p>
        </w:tc>
        <w:tc>
          <w:tcPr>
            <w:tcW w:w="382" w:type="pct"/>
            <w:vAlign w:val="center"/>
          </w:tcPr>
          <w:p w14:paraId="786899C6">
            <w:pPr>
              <w:spacing w:line="240" w:lineRule="exact"/>
              <w:jc w:val="center"/>
              <w:rPr>
                <w:sz w:val="18"/>
                <w:szCs w:val="18"/>
              </w:rPr>
            </w:pPr>
            <w:r>
              <w:rPr>
                <w:rFonts w:hint="eastAsia"/>
                <w:sz w:val="18"/>
                <w:szCs w:val="18"/>
              </w:rPr>
              <w:t>架空</w:t>
            </w:r>
          </w:p>
          <w:p w14:paraId="5FE02D0D">
            <w:pPr>
              <w:spacing w:line="240" w:lineRule="exact"/>
              <w:jc w:val="center"/>
              <w:rPr>
                <w:sz w:val="18"/>
                <w:szCs w:val="18"/>
              </w:rPr>
            </w:pPr>
            <w:r>
              <w:rPr>
                <w:rFonts w:hint="eastAsia"/>
                <w:sz w:val="18"/>
                <w:szCs w:val="18"/>
              </w:rPr>
              <w:t>通信线</w:t>
            </w:r>
          </w:p>
        </w:tc>
        <w:tc>
          <w:tcPr>
            <w:tcW w:w="306" w:type="pct"/>
            <w:vAlign w:val="center"/>
          </w:tcPr>
          <w:p w14:paraId="362D29C2">
            <w:pPr>
              <w:spacing w:line="240" w:lineRule="exact"/>
              <w:jc w:val="center"/>
              <w:rPr>
                <w:sz w:val="18"/>
                <w:szCs w:val="18"/>
              </w:rPr>
            </w:pPr>
            <w:r>
              <w:rPr>
                <w:rFonts w:hint="eastAsia"/>
                <w:sz w:val="18"/>
                <w:szCs w:val="18"/>
              </w:rPr>
              <w:t>爆炸</w:t>
            </w:r>
          </w:p>
          <w:p w14:paraId="7DA7CFBD">
            <w:pPr>
              <w:spacing w:line="240" w:lineRule="exact"/>
              <w:jc w:val="center"/>
              <w:rPr>
                <w:sz w:val="18"/>
                <w:szCs w:val="18"/>
              </w:rPr>
            </w:pPr>
            <w:r>
              <w:rPr>
                <w:rFonts w:hint="eastAsia"/>
                <w:sz w:val="18"/>
                <w:szCs w:val="18"/>
              </w:rPr>
              <w:t>作业</w:t>
            </w:r>
          </w:p>
          <w:p w14:paraId="29D984D1">
            <w:pPr>
              <w:spacing w:line="240" w:lineRule="exact"/>
              <w:jc w:val="center"/>
              <w:rPr>
                <w:sz w:val="18"/>
                <w:szCs w:val="18"/>
              </w:rPr>
            </w:pPr>
            <w:r>
              <w:rPr>
                <w:rFonts w:hint="eastAsia"/>
                <w:sz w:val="18"/>
                <w:szCs w:val="18"/>
              </w:rPr>
              <w:t>场地</w:t>
            </w:r>
          </w:p>
        </w:tc>
        <w:tc>
          <w:tcPr>
            <w:tcW w:w="356" w:type="pct"/>
            <w:vAlign w:val="center"/>
          </w:tcPr>
          <w:p w14:paraId="18C902D8">
            <w:pPr>
              <w:spacing w:line="240" w:lineRule="exact"/>
              <w:jc w:val="center"/>
              <w:rPr>
                <w:sz w:val="18"/>
                <w:szCs w:val="18"/>
              </w:rPr>
            </w:pPr>
            <w:r>
              <w:rPr>
                <w:bCs/>
                <w:color w:val="000000" w:themeColor="text1"/>
                <w:sz w:val="18"/>
                <w:szCs w:val="18"/>
                <w14:textFill>
                  <w14:solidFill>
                    <w14:schemeClr w14:val="tx1"/>
                  </w14:solidFill>
                </w14:textFill>
              </w:rPr>
              <w:t>…</w:t>
            </w:r>
          </w:p>
        </w:tc>
      </w:tr>
      <w:tr w14:paraId="717F4A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28" w:type="dxa"/>
            <w:right w:w="57" w:type="dxa"/>
          </w:tblCellMar>
        </w:tblPrEx>
        <w:trPr>
          <w:cantSplit/>
          <w:trHeight w:val="567" w:hRule="exact"/>
          <w:tblHeader/>
          <w:jc w:val="center"/>
        </w:trPr>
        <w:tc>
          <w:tcPr>
            <w:tcW w:w="483" w:type="pct"/>
            <w:vMerge w:val="restart"/>
            <w:vAlign w:val="center"/>
          </w:tcPr>
          <w:p w14:paraId="094287F9">
            <w:pPr>
              <w:pStyle w:val="158"/>
              <w:spacing w:line="240" w:lineRule="exact"/>
              <w:rPr>
                <w:sz w:val="18"/>
                <w:szCs w:val="18"/>
              </w:rPr>
            </w:pPr>
            <w:r>
              <w:rPr>
                <w:rFonts w:hint="eastAsia"/>
                <w:sz w:val="18"/>
                <w:szCs w:val="18"/>
              </w:rPr>
              <w:t>××</w:t>
            </w:r>
            <w:r>
              <w:rPr>
                <w:rFonts w:cs="宋体"/>
                <w:sz w:val="18"/>
                <w:szCs w:val="18"/>
              </w:rPr>
              <w:t>站</w:t>
            </w:r>
            <w:r>
              <w:rPr>
                <w:rFonts w:hint="eastAsia" w:cs="宋体"/>
                <w:sz w:val="18"/>
                <w:szCs w:val="18"/>
              </w:rPr>
              <w:t>/放空立管</w:t>
            </w:r>
          </w:p>
        </w:tc>
        <w:tc>
          <w:tcPr>
            <w:tcW w:w="463" w:type="pct"/>
            <w:vAlign w:val="center"/>
          </w:tcPr>
          <w:p w14:paraId="58670C3C">
            <w:pPr>
              <w:spacing w:line="240" w:lineRule="exact"/>
              <w:jc w:val="center"/>
              <w:rPr>
                <w:sz w:val="18"/>
                <w:szCs w:val="18"/>
              </w:rPr>
            </w:pPr>
            <w:r>
              <w:rPr>
                <w:rFonts w:hint="eastAsia"/>
                <w:sz w:val="18"/>
                <w:szCs w:val="18"/>
              </w:rPr>
              <w:t>依据</w:t>
            </w:r>
          </w:p>
        </w:tc>
        <w:tc>
          <w:tcPr>
            <w:tcW w:w="558" w:type="pct"/>
            <w:vAlign w:val="center"/>
          </w:tcPr>
          <w:p w14:paraId="044D3D28">
            <w:pPr>
              <w:spacing w:line="240" w:lineRule="exact"/>
              <w:jc w:val="center"/>
              <w:rPr>
                <w:sz w:val="18"/>
                <w:szCs w:val="18"/>
              </w:rPr>
            </w:pPr>
          </w:p>
        </w:tc>
        <w:tc>
          <w:tcPr>
            <w:tcW w:w="461" w:type="pct"/>
            <w:vAlign w:val="center"/>
          </w:tcPr>
          <w:p w14:paraId="222FD577">
            <w:pPr>
              <w:spacing w:line="240" w:lineRule="exact"/>
              <w:jc w:val="center"/>
              <w:rPr>
                <w:sz w:val="18"/>
                <w:szCs w:val="18"/>
              </w:rPr>
            </w:pPr>
          </w:p>
        </w:tc>
        <w:tc>
          <w:tcPr>
            <w:tcW w:w="307" w:type="pct"/>
            <w:vAlign w:val="center"/>
          </w:tcPr>
          <w:p w14:paraId="201CF6F9">
            <w:pPr>
              <w:spacing w:line="240" w:lineRule="exact"/>
              <w:jc w:val="center"/>
              <w:rPr>
                <w:sz w:val="18"/>
                <w:szCs w:val="18"/>
              </w:rPr>
            </w:pPr>
          </w:p>
        </w:tc>
        <w:tc>
          <w:tcPr>
            <w:tcW w:w="307" w:type="pct"/>
            <w:vAlign w:val="center"/>
          </w:tcPr>
          <w:p w14:paraId="123B5F8A">
            <w:pPr>
              <w:spacing w:line="240" w:lineRule="exact"/>
              <w:jc w:val="center"/>
              <w:rPr>
                <w:sz w:val="18"/>
                <w:szCs w:val="18"/>
              </w:rPr>
            </w:pPr>
          </w:p>
        </w:tc>
        <w:tc>
          <w:tcPr>
            <w:tcW w:w="306" w:type="pct"/>
            <w:vAlign w:val="center"/>
          </w:tcPr>
          <w:p w14:paraId="0ACCE3A3">
            <w:pPr>
              <w:spacing w:line="240" w:lineRule="exact"/>
              <w:jc w:val="center"/>
              <w:rPr>
                <w:sz w:val="18"/>
                <w:szCs w:val="18"/>
              </w:rPr>
            </w:pPr>
          </w:p>
        </w:tc>
        <w:tc>
          <w:tcPr>
            <w:tcW w:w="306" w:type="pct"/>
            <w:vAlign w:val="center"/>
          </w:tcPr>
          <w:p w14:paraId="7145A806">
            <w:pPr>
              <w:spacing w:line="240" w:lineRule="exact"/>
              <w:jc w:val="center"/>
              <w:rPr>
                <w:sz w:val="18"/>
                <w:szCs w:val="18"/>
              </w:rPr>
            </w:pPr>
          </w:p>
        </w:tc>
        <w:tc>
          <w:tcPr>
            <w:tcW w:w="383" w:type="pct"/>
            <w:vAlign w:val="center"/>
          </w:tcPr>
          <w:p w14:paraId="184BD6C8">
            <w:pPr>
              <w:spacing w:line="240" w:lineRule="exact"/>
              <w:jc w:val="center"/>
              <w:rPr>
                <w:sz w:val="18"/>
                <w:szCs w:val="18"/>
              </w:rPr>
            </w:pPr>
          </w:p>
        </w:tc>
        <w:tc>
          <w:tcPr>
            <w:tcW w:w="382" w:type="pct"/>
            <w:vAlign w:val="center"/>
          </w:tcPr>
          <w:p w14:paraId="307B8003">
            <w:pPr>
              <w:spacing w:line="240" w:lineRule="exact"/>
              <w:jc w:val="center"/>
              <w:rPr>
                <w:sz w:val="18"/>
                <w:szCs w:val="18"/>
              </w:rPr>
            </w:pPr>
          </w:p>
        </w:tc>
        <w:tc>
          <w:tcPr>
            <w:tcW w:w="382" w:type="pct"/>
            <w:vAlign w:val="center"/>
          </w:tcPr>
          <w:p w14:paraId="0CEAC644">
            <w:pPr>
              <w:spacing w:line="240" w:lineRule="exact"/>
              <w:jc w:val="center"/>
              <w:rPr>
                <w:sz w:val="18"/>
                <w:szCs w:val="18"/>
              </w:rPr>
            </w:pPr>
          </w:p>
        </w:tc>
        <w:tc>
          <w:tcPr>
            <w:tcW w:w="306" w:type="pct"/>
            <w:vAlign w:val="center"/>
          </w:tcPr>
          <w:p w14:paraId="25C4C3A5">
            <w:pPr>
              <w:spacing w:line="240" w:lineRule="exact"/>
              <w:jc w:val="center"/>
              <w:rPr>
                <w:sz w:val="18"/>
                <w:szCs w:val="18"/>
              </w:rPr>
            </w:pPr>
          </w:p>
        </w:tc>
        <w:tc>
          <w:tcPr>
            <w:tcW w:w="356" w:type="pct"/>
            <w:vAlign w:val="center"/>
          </w:tcPr>
          <w:p w14:paraId="0892597A">
            <w:pPr>
              <w:spacing w:line="240" w:lineRule="exact"/>
              <w:jc w:val="center"/>
              <w:rPr>
                <w:sz w:val="18"/>
                <w:szCs w:val="18"/>
              </w:rPr>
            </w:pPr>
          </w:p>
        </w:tc>
      </w:tr>
      <w:tr w14:paraId="42DECC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28" w:type="dxa"/>
            <w:right w:w="57" w:type="dxa"/>
          </w:tblCellMar>
        </w:tblPrEx>
        <w:trPr>
          <w:cantSplit/>
          <w:trHeight w:val="567" w:hRule="exact"/>
          <w:jc w:val="center"/>
        </w:trPr>
        <w:tc>
          <w:tcPr>
            <w:tcW w:w="483" w:type="pct"/>
            <w:vMerge w:val="continue"/>
            <w:vAlign w:val="center"/>
          </w:tcPr>
          <w:p w14:paraId="3B4E7F2A">
            <w:pPr>
              <w:pStyle w:val="158"/>
              <w:spacing w:line="240" w:lineRule="exact"/>
              <w:rPr>
                <w:i/>
                <w:iCs/>
              </w:rPr>
            </w:pPr>
          </w:p>
        </w:tc>
        <w:tc>
          <w:tcPr>
            <w:tcW w:w="463" w:type="pct"/>
            <w:vAlign w:val="center"/>
          </w:tcPr>
          <w:p w14:paraId="4D7132D1">
            <w:pPr>
              <w:spacing w:line="240" w:lineRule="exact"/>
              <w:jc w:val="center"/>
              <w:rPr>
                <w:sz w:val="18"/>
                <w:szCs w:val="18"/>
              </w:rPr>
            </w:pPr>
            <w:r>
              <w:rPr>
                <w:rFonts w:hint="eastAsia"/>
                <w:sz w:val="18"/>
                <w:szCs w:val="18"/>
              </w:rPr>
              <w:t>规范距离（</w:t>
            </w:r>
            <w:r>
              <w:rPr>
                <w:sz w:val="18"/>
                <w:szCs w:val="18"/>
              </w:rPr>
              <w:t>m</w:t>
            </w:r>
            <w:r>
              <w:rPr>
                <w:rFonts w:hint="eastAsia"/>
                <w:sz w:val="18"/>
                <w:szCs w:val="18"/>
              </w:rPr>
              <w:t>）</w:t>
            </w:r>
          </w:p>
        </w:tc>
        <w:tc>
          <w:tcPr>
            <w:tcW w:w="558" w:type="pct"/>
            <w:vAlign w:val="center"/>
          </w:tcPr>
          <w:p w14:paraId="0AB75D7C">
            <w:pPr>
              <w:pStyle w:val="158"/>
              <w:spacing w:line="240" w:lineRule="exact"/>
              <w:rPr>
                <w:i/>
                <w:iCs/>
              </w:rPr>
            </w:pPr>
          </w:p>
        </w:tc>
        <w:tc>
          <w:tcPr>
            <w:tcW w:w="461" w:type="pct"/>
            <w:vAlign w:val="center"/>
          </w:tcPr>
          <w:p w14:paraId="378A248E">
            <w:pPr>
              <w:pStyle w:val="158"/>
              <w:spacing w:line="240" w:lineRule="exact"/>
              <w:rPr>
                <w:i/>
                <w:iCs/>
              </w:rPr>
            </w:pPr>
          </w:p>
        </w:tc>
        <w:tc>
          <w:tcPr>
            <w:tcW w:w="307" w:type="pct"/>
            <w:vAlign w:val="center"/>
          </w:tcPr>
          <w:p w14:paraId="49A93281">
            <w:pPr>
              <w:pStyle w:val="158"/>
              <w:spacing w:line="240" w:lineRule="exact"/>
              <w:rPr>
                <w:i/>
                <w:iCs/>
              </w:rPr>
            </w:pPr>
          </w:p>
        </w:tc>
        <w:tc>
          <w:tcPr>
            <w:tcW w:w="307" w:type="pct"/>
            <w:vAlign w:val="center"/>
          </w:tcPr>
          <w:p w14:paraId="7B034D4F">
            <w:pPr>
              <w:pStyle w:val="158"/>
              <w:spacing w:line="240" w:lineRule="exact"/>
              <w:rPr>
                <w:i/>
                <w:iCs/>
              </w:rPr>
            </w:pPr>
          </w:p>
        </w:tc>
        <w:tc>
          <w:tcPr>
            <w:tcW w:w="306" w:type="pct"/>
            <w:vAlign w:val="center"/>
          </w:tcPr>
          <w:p w14:paraId="48B9D6B8">
            <w:pPr>
              <w:pStyle w:val="158"/>
              <w:spacing w:line="240" w:lineRule="exact"/>
              <w:rPr>
                <w:i/>
                <w:iCs/>
              </w:rPr>
            </w:pPr>
          </w:p>
        </w:tc>
        <w:tc>
          <w:tcPr>
            <w:tcW w:w="306" w:type="pct"/>
            <w:vAlign w:val="center"/>
          </w:tcPr>
          <w:p w14:paraId="1C6F36F9">
            <w:pPr>
              <w:pStyle w:val="158"/>
              <w:spacing w:line="240" w:lineRule="exact"/>
              <w:rPr>
                <w:i/>
                <w:iCs/>
              </w:rPr>
            </w:pPr>
          </w:p>
        </w:tc>
        <w:tc>
          <w:tcPr>
            <w:tcW w:w="383" w:type="pct"/>
            <w:vAlign w:val="center"/>
          </w:tcPr>
          <w:p w14:paraId="719CB809">
            <w:pPr>
              <w:pStyle w:val="158"/>
              <w:spacing w:line="240" w:lineRule="exact"/>
              <w:rPr>
                <w:i/>
                <w:iCs/>
              </w:rPr>
            </w:pPr>
          </w:p>
        </w:tc>
        <w:tc>
          <w:tcPr>
            <w:tcW w:w="382" w:type="pct"/>
            <w:vAlign w:val="center"/>
          </w:tcPr>
          <w:p w14:paraId="244D1959">
            <w:pPr>
              <w:pStyle w:val="158"/>
              <w:spacing w:line="240" w:lineRule="exact"/>
              <w:rPr>
                <w:i/>
                <w:iCs/>
              </w:rPr>
            </w:pPr>
          </w:p>
        </w:tc>
        <w:tc>
          <w:tcPr>
            <w:tcW w:w="382" w:type="pct"/>
            <w:vAlign w:val="center"/>
          </w:tcPr>
          <w:p w14:paraId="3CD22A59">
            <w:pPr>
              <w:pStyle w:val="158"/>
              <w:spacing w:line="240" w:lineRule="exact"/>
              <w:rPr>
                <w:i/>
                <w:iCs/>
              </w:rPr>
            </w:pPr>
          </w:p>
        </w:tc>
        <w:tc>
          <w:tcPr>
            <w:tcW w:w="306" w:type="pct"/>
            <w:vAlign w:val="center"/>
          </w:tcPr>
          <w:p w14:paraId="65AF68F4">
            <w:pPr>
              <w:pStyle w:val="158"/>
              <w:spacing w:line="240" w:lineRule="exact"/>
              <w:rPr>
                <w:i/>
                <w:iCs/>
              </w:rPr>
            </w:pPr>
          </w:p>
        </w:tc>
        <w:tc>
          <w:tcPr>
            <w:tcW w:w="356" w:type="pct"/>
            <w:vAlign w:val="center"/>
          </w:tcPr>
          <w:p w14:paraId="155A4391">
            <w:pPr>
              <w:pStyle w:val="158"/>
              <w:spacing w:line="240" w:lineRule="exact"/>
              <w:rPr>
                <w:i/>
                <w:iCs/>
              </w:rPr>
            </w:pPr>
          </w:p>
        </w:tc>
      </w:tr>
      <w:tr w14:paraId="63FFE6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28" w:type="dxa"/>
            <w:right w:w="57" w:type="dxa"/>
          </w:tblCellMar>
        </w:tblPrEx>
        <w:trPr>
          <w:cantSplit/>
          <w:trHeight w:val="567" w:hRule="exact"/>
          <w:jc w:val="center"/>
        </w:trPr>
        <w:tc>
          <w:tcPr>
            <w:tcW w:w="483" w:type="pct"/>
            <w:vMerge w:val="continue"/>
            <w:vAlign w:val="center"/>
          </w:tcPr>
          <w:p w14:paraId="78664D84">
            <w:pPr>
              <w:pStyle w:val="158"/>
              <w:spacing w:line="240" w:lineRule="exact"/>
              <w:rPr>
                <w:i/>
                <w:iCs/>
              </w:rPr>
            </w:pPr>
          </w:p>
        </w:tc>
        <w:tc>
          <w:tcPr>
            <w:tcW w:w="463" w:type="pct"/>
            <w:vAlign w:val="center"/>
          </w:tcPr>
          <w:p w14:paraId="07B8BE3D">
            <w:pPr>
              <w:spacing w:line="240" w:lineRule="exact"/>
              <w:jc w:val="center"/>
              <w:rPr>
                <w:sz w:val="18"/>
                <w:szCs w:val="18"/>
              </w:rPr>
            </w:pPr>
            <w:r>
              <w:rPr>
                <w:rFonts w:hint="eastAsia"/>
                <w:sz w:val="18"/>
                <w:szCs w:val="18"/>
              </w:rPr>
              <w:t>实际距离（</w:t>
            </w:r>
            <w:r>
              <w:rPr>
                <w:sz w:val="18"/>
                <w:szCs w:val="18"/>
              </w:rPr>
              <w:t>m</w:t>
            </w:r>
            <w:r>
              <w:rPr>
                <w:rFonts w:hint="eastAsia"/>
                <w:sz w:val="18"/>
                <w:szCs w:val="18"/>
              </w:rPr>
              <w:t>）</w:t>
            </w:r>
          </w:p>
        </w:tc>
        <w:tc>
          <w:tcPr>
            <w:tcW w:w="558" w:type="pct"/>
            <w:vAlign w:val="center"/>
          </w:tcPr>
          <w:p w14:paraId="5566D23F">
            <w:pPr>
              <w:pStyle w:val="158"/>
              <w:spacing w:line="240" w:lineRule="exact"/>
              <w:rPr>
                <w:i/>
                <w:iCs/>
              </w:rPr>
            </w:pPr>
          </w:p>
        </w:tc>
        <w:tc>
          <w:tcPr>
            <w:tcW w:w="461" w:type="pct"/>
            <w:vAlign w:val="center"/>
          </w:tcPr>
          <w:p w14:paraId="649C9B8B">
            <w:pPr>
              <w:pStyle w:val="158"/>
              <w:spacing w:line="240" w:lineRule="exact"/>
              <w:rPr>
                <w:i/>
                <w:iCs/>
              </w:rPr>
            </w:pPr>
          </w:p>
        </w:tc>
        <w:tc>
          <w:tcPr>
            <w:tcW w:w="307" w:type="pct"/>
            <w:vAlign w:val="center"/>
          </w:tcPr>
          <w:p w14:paraId="67080979">
            <w:pPr>
              <w:pStyle w:val="158"/>
              <w:spacing w:line="240" w:lineRule="exact"/>
              <w:rPr>
                <w:i/>
                <w:iCs/>
              </w:rPr>
            </w:pPr>
          </w:p>
        </w:tc>
        <w:tc>
          <w:tcPr>
            <w:tcW w:w="307" w:type="pct"/>
            <w:vAlign w:val="center"/>
          </w:tcPr>
          <w:p w14:paraId="3A6048F7">
            <w:pPr>
              <w:pStyle w:val="158"/>
              <w:spacing w:line="240" w:lineRule="exact"/>
              <w:rPr>
                <w:i/>
                <w:iCs/>
              </w:rPr>
            </w:pPr>
          </w:p>
        </w:tc>
        <w:tc>
          <w:tcPr>
            <w:tcW w:w="306" w:type="pct"/>
            <w:vAlign w:val="center"/>
          </w:tcPr>
          <w:p w14:paraId="1ADBF5B0">
            <w:pPr>
              <w:pStyle w:val="158"/>
              <w:spacing w:line="240" w:lineRule="exact"/>
              <w:rPr>
                <w:i/>
                <w:iCs/>
              </w:rPr>
            </w:pPr>
          </w:p>
        </w:tc>
        <w:tc>
          <w:tcPr>
            <w:tcW w:w="306" w:type="pct"/>
            <w:vAlign w:val="center"/>
          </w:tcPr>
          <w:p w14:paraId="036D1F22">
            <w:pPr>
              <w:pStyle w:val="158"/>
              <w:spacing w:line="240" w:lineRule="exact"/>
              <w:rPr>
                <w:i/>
                <w:iCs/>
              </w:rPr>
            </w:pPr>
          </w:p>
        </w:tc>
        <w:tc>
          <w:tcPr>
            <w:tcW w:w="383" w:type="pct"/>
            <w:vAlign w:val="center"/>
          </w:tcPr>
          <w:p w14:paraId="0C5005B1">
            <w:pPr>
              <w:pStyle w:val="158"/>
              <w:spacing w:line="240" w:lineRule="exact"/>
              <w:rPr>
                <w:i/>
                <w:iCs/>
              </w:rPr>
            </w:pPr>
          </w:p>
        </w:tc>
        <w:tc>
          <w:tcPr>
            <w:tcW w:w="382" w:type="pct"/>
            <w:vAlign w:val="center"/>
          </w:tcPr>
          <w:p w14:paraId="74F6FC76">
            <w:pPr>
              <w:pStyle w:val="158"/>
              <w:spacing w:line="240" w:lineRule="exact"/>
              <w:rPr>
                <w:i/>
                <w:iCs/>
              </w:rPr>
            </w:pPr>
          </w:p>
        </w:tc>
        <w:tc>
          <w:tcPr>
            <w:tcW w:w="382" w:type="pct"/>
            <w:vAlign w:val="center"/>
          </w:tcPr>
          <w:p w14:paraId="42403EAB">
            <w:pPr>
              <w:pStyle w:val="158"/>
              <w:spacing w:line="240" w:lineRule="exact"/>
              <w:rPr>
                <w:i/>
                <w:iCs/>
              </w:rPr>
            </w:pPr>
          </w:p>
        </w:tc>
        <w:tc>
          <w:tcPr>
            <w:tcW w:w="306" w:type="pct"/>
            <w:vAlign w:val="center"/>
          </w:tcPr>
          <w:p w14:paraId="35B0ED14">
            <w:pPr>
              <w:pStyle w:val="158"/>
              <w:spacing w:line="240" w:lineRule="exact"/>
              <w:rPr>
                <w:i/>
                <w:iCs/>
              </w:rPr>
            </w:pPr>
          </w:p>
        </w:tc>
        <w:tc>
          <w:tcPr>
            <w:tcW w:w="356" w:type="pct"/>
            <w:vAlign w:val="center"/>
          </w:tcPr>
          <w:p w14:paraId="5F83F2A1">
            <w:pPr>
              <w:pStyle w:val="158"/>
              <w:spacing w:line="240" w:lineRule="exact"/>
              <w:rPr>
                <w:i/>
                <w:iCs/>
              </w:rPr>
            </w:pPr>
          </w:p>
        </w:tc>
      </w:tr>
      <w:tr w14:paraId="163091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28" w:type="dxa"/>
            <w:right w:w="57" w:type="dxa"/>
          </w:tblCellMar>
        </w:tblPrEx>
        <w:trPr>
          <w:cantSplit/>
          <w:trHeight w:val="567" w:hRule="exact"/>
          <w:jc w:val="center"/>
        </w:trPr>
        <w:tc>
          <w:tcPr>
            <w:tcW w:w="483" w:type="pct"/>
            <w:vMerge w:val="continue"/>
            <w:vAlign w:val="center"/>
          </w:tcPr>
          <w:p w14:paraId="6B3D784E">
            <w:pPr>
              <w:pStyle w:val="158"/>
              <w:spacing w:line="240" w:lineRule="exact"/>
              <w:rPr>
                <w:i/>
                <w:iCs/>
              </w:rPr>
            </w:pPr>
          </w:p>
        </w:tc>
        <w:tc>
          <w:tcPr>
            <w:tcW w:w="463" w:type="pct"/>
            <w:vAlign w:val="center"/>
          </w:tcPr>
          <w:p w14:paraId="303D3F8C">
            <w:pPr>
              <w:spacing w:line="240" w:lineRule="exact"/>
              <w:jc w:val="center"/>
              <w:rPr>
                <w:sz w:val="18"/>
                <w:szCs w:val="18"/>
              </w:rPr>
            </w:pPr>
            <w:r>
              <w:rPr>
                <w:rFonts w:hint="eastAsia"/>
                <w:sz w:val="18"/>
                <w:szCs w:val="18"/>
              </w:rPr>
              <w:t>是否符合</w:t>
            </w:r>
          </w:p>
        </w:tc>
        <w:tc>
          <w:tcPr>
            <w:tcW w:w="558" w:type="pct"/>
            <w:vAlign w:val="center"/>
          </w:tcPr>
          <w:p w14:paraId="38BBB766">
            <w:pPr>
              <w:pStyle w:val="158"/>
              <w:spacing w:line="240" w:lineRule="exact"/>
              <w:rPr>
                <w:i/>
                <w:iCs/>
              </w:rPr>
            </w:pPr>
          </w:p>
        </w:tc>
        <w:tc>
          <w:tcPr>
            <w:tcW w:w="461" w:type="pct"/>
            <w:vAlign w:val="center"/>
          </w:tcPr>
          <w:p w14:paraId="1477A038">
            <w:pPr>
              <w:pStyle w:val="158"/>
              <w:spacing w:line="240" w:lineRule="exact"/>
              <w:rPr>
                <w:i/>
                <w:iCs/>
              </w:rPr>
            </w:pPr>
          </w:p>
        </w:tc>
        <w:tc>
          <w:tcPr>
            <w:tcW w:w="307" w:type="pct"/>
            <w:vAlign w:val="center"/>
          </w:tcPr>
          <w:p w14:paraId="4C4A47DB">
            <w:pPr>
              <w:pStyle w:val="158"/>
              <w:spacing w:line="240" w:lineRule="exact"/>
              <w:rPr>
                <w:i/>
                <w:iCs/>
              </w:rPr>
            </w:pPr>
          </w:p>
        </w:tc>
        <w:tc>
          <w:tcPr>
            <w:tcW w:w="307" w:type="pct"/>
            <w:vAlign w:val="center"/>
          </w:tcPr>
          <w:p w14:paraId="58B36949">
            <w:pPr>
              <w:pStyle w:val="158"/>
              <w:spacing w:line="240" w:lineRule="exact"/>
              <w:rPr>
                <w:i/>
                <w:iCs/>
              </w:rPr>
            </w:pPr>
          </w:p>
        </w:tc>
        <w:tc>
          <w:tcPr>
            <w:tcW w:w="306" w:type="pct"/>
            <w:vAlign w:val="center"/>
          </w:tcPr>
          <w:p w14:paraId="75DAEF5B">
            <w:pPr>
              <w:pStyle w:val="158"/>
              <w:spacing w:line="240" w:lineRule="exact"/>
              <w:rPr>
                <w:i/>
                <w:iCs/>
              </w:rPr>
            </w:pPr>
          </w:p>
        </w:tc>
        <w:tc>
          <w:tcPr>
            <w:tcW w:w="306" w:type="pct"/>
            <w:vAlign w:val="center"/>
          </w:tcPr>
          <w:p w14:paraId="6B1D6E17">
            <w:pPr>
              <w:pStyle w:val="158"/>
              <w:spacing w:line="240" w:lineRule="exact"/>
              <w:rPr>
                <w:i/>
                <w:iCs/>
              </w:rPr>
            </w:pPr>
          </w:p>
        </w:tc>
        <w:tc>
          <w:tcPr>
            <w:tcW w:w="383" w:type="pct"/>
            <w:vAlign w:val="center"/>
          </w:tcPr>
          <w:p w14:paraId="63156842">
            <w:pPr>
              <w:pStyle w:val="158"/>
              <w:spacing w:line="240" w:lineRule="exact"/>
              <w:rPr>
                <w:i/>
                <w:iCs/>
              </w:rPr>
            </w:pPr>
          </w:p>
        </w:tc>
        <w:tc>
          <w:tcPr>
            <w:tcW w:w="382" w:type="pct"/>
            <w:vAlign w:val="center"/>
          </w:tcPr>
          <w:p w14:paraId="474D8837">
            <w:pPr>
              <w:pStyle w:val="158"/>
              <w:spacing w:line="240" w:lineRule="exact"/>
              <w:rPr>
                <w:i/>
                <w:iCs/>
              </w:rPr>
            </w:pPr>
          </w:p>
        </w:tc>
        <w:tc>
          <w:tcPr>
            <w:tcW w:w="382" w:type="pct"/>
            <w:vAlign w:val="center"/>
          </w:tcPr>
          <w:p w14:paraId="046F7077">
            <w:pPr>
              <w:pStyle w:val="158"/>
              <w:spacing w:line="240" w:lineRule="exact"/>
              <w:rPr>
                <w:i/>
                <w:iCs/>
              </w:rPr>
            </w:pPr>
          </w:p>
        </w:tc>
        <w:tc>
          <w:tcPr>
            <w:tcW w:w="306" w:type="pct"/>
            <w:vAlign w:val="center"/>
          </w:tcPr>
          <w:p w14:paraId="423A2779">
            <w:pPr>
              <w:pStyle w:val="158"/>
              <w:spacing w:line="240" w:lineRule="exact"/>
              <w:rPr>
                <w:i/>
                <w:iCs/>
              </w:rPr>
            </w:pPr>
          </w:p>
        </w:tc>
        <w:tc>
          <w:tcPr>
            <w:tcW w:w="356" w:type="pct"/>
            <w:vAlign w:val="center"/>
          </w:tcPr>
          <w:p w14:paraId="4C09272C">
            <w:pPr>
              <w:pStyle w:val="158"/>
              <w:spacing w:line="240" w:lineRule="exact"/>
              <w:rPr>
                <w:i/>
                <w:iCs/>
              </w:rPr>
            </w:pPr>
          </w:p>
        </w:tc>
      </w:tr>
    </w:tbl>
    <w:p w14:paraId="603CB07F">
      <w:pPr>
        <w:pStyle w:val="155"/>
        <w:ind w:firstLine="0" w:firstLineChars="0"/>
        <w:jc w:val="center"/>
      </w:pPr>
    </w:p>
    <w:p w14:paraId="134BEE9A">
      <w:pPr>
        <w:pStyle w:val="153"/>
        <w:spacing w:before="156" w:after="156"/>
        <w:rPr>
          <w:rFonts w:hint="eastAsia"/>
        </w:rPr>
      </w:pPr>
      <w:r>
        <w:t xml:space="preserve">8.4.2 </w:t>
      </w:r>
      <w:r>
        <w:rPr>
          <w:rFonts w:hint="eastAsia"/>
        </w:rPr>
        <w:t>平面及竖向布置</w:t>
      </w:r>
    </w:p>
    <w:p w14:paraId="630D4416">
      <w:pPr>
        <w:pStyle w:val="65"/>
        <w:ind w:firstLine="0" w:firstLineChars="0"/>
        <w:rPr>
          <w:rStyle w:val="156"/>
        </w:rPr>
      </w:pPr>
      <w:r>
        <w:rPr>
          <w:rFonts w:ascii="黑体" w:eastAsia="黑体"/>
          <w:color w:val="000000" w:themeColor="text1"/>
          <w14:textFill>
            <w14:solidFill>
              <w14:schemeClr w14:val="tx1"/>
            </w14:solidFill>
          </w14:textFill>
        </w:rPr>
        <w:t xml:space="preserve">8.4.2.1 </w:t>
      </w:r>
      <w:r>
        <w:rPr>
          <w:rStyle w:val="156"/>
          <w:rFonts w:hint="eastAsia"/>
        </w:rPr>
        <w:t>分析站内的平面及竖向布置（结合</w:t>
      </w:r>
      <w:r>
        <w:rPr>
          <w:rFonts w:hint="eastAsia" w:ascii="Times New Roman"/>
        </w:rPr>
        <w:t>防洪影响评价报告或当地洪涝情况），按照</w:t>
      </w:r>
      <w:r>
        <w:rPr>
          <w:rFonts w:ascii="Times New Roman"/>
        </w:rPr>
        <w:t>GB 50183</w:t>
      </w:r>
      <w:r>
        <w:rPr>
          <w:rFonts w:hint="eastAsia" w:ascii="Times New Roman"/>
        </w:rPr>
        <w:t>等的规定进行合规性评价,</w:t>
      </w:r>
      <w:r>
        <w:rPr>
          <w:rFonts w:hint="eastAsia" w:ascii="Times New Roman"/>
          <w:u w:color="000000"/>
        </w:rPr>
        <w:t xml:space="preserve"> 列出站内主要设施防火间距一览表（见表</w:t>
      </w:r>
      <w:r>
        <w:rPr>
          <w:rFonts w:ascii="Times New Roman"/>
          <w:u w:color="000000"/>
        </w:rPr>
        <w:t>32</w:t>
      </w:r>
      <w:r>
        <w:rPr>
          <w:rFonts w:hint="eastAsia" w:ascii="Times New Roman"/>
          <w:u w:color="000000"/>
        </w:rPr>
        <w:t>）。</w:t>
      </w:r>
    </w:p>
    <w:p w14:paraId="0EF9FE66">
      <w:pPr>
        <w:pStyle w:val="5"/>
        <w:adjustRightInd w:val="0"/>
        <w:snapToGrid w:val="0"/>
        <w:rPr>
          <w:rFonts w:hint="eastAsia"/>
        </w:rPr>
      </w:pPr>
      <w:r>
        <w:rPr>
          <w:rFonts w:hint="eastAsia"/>
        </w:rPr>
        <w:t>表</w:t>
      </w:r>
      <w:r>
        <w:rPr>
          <w:rFonts w:ascii="Times New Roman" w:hAnsi="Times New Roman"/>
        </w:rPr>
        <w:t>32</w:t>
      </w:r>
      <w:r>
        <w:t xml:space="preserve">  </w:t>
      </w:r>
      <w:r>
        <w:rPr>
          <w:rFonts w:hint="eastAsia"/>
        </w:rPr>
        <w:t>站内主要设施防火间距一览表</w:t>
      </w:r>
    </w:p>
    <w:tbl>
      <w:tblPr>
        <w:tblStyle w:val="36"/>
        <w:tblW w:w="494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
      <w:tblGrid>
        <w:gridCol w:w="619"/>
        <w:gridCol w:w="1653"/>
        <w:gridCol w:w="1766"/>
        <w:gridCol w:w="1395"/>
        <w:gridCol w:w="1577"/>
        <w:gridCol w:w="1466"/>
        <w:gridCol w:w="889"/>
      </w:tblGrid>
      <w:tr w14:paraId="201B88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617" w:type="dxa"/>
            <w:tcBorders>
              <w:top w:val="single" w:color="auto" w:sz="12" w:space="0"/>
              <w:left w:val="single" w:color="auto" w:sz="12" w:space="0"/>
              <w:bottom w:val="single" w:color="auto" w:sz="4" w:space="0"/>
              <w:right w:val="single" w:color="auto" w:sz="4" w:space="0"/>
            </w:tcBorders>
            <w:vAlign w:val="center"/>
          </w:tcPr>
          <w:p w14:paraId="27A152F1">
            <w:pPr>
              <w:jc w:val="center"/>
              <w:rPr>
                <w:rFonts w:cs="宋体"/>
                <w:sz w:val="18"/>
                <w:szCs w:val="18"/>
              </w:rPr>
            </w:pPr>
            <w:r>
              <w:rPr>
                <w:rFonts w:hint="eastAsia"/>
                <w:sz w:val="18"/>
                <w:szCs w:val="18"/>
              </w:rPr>
              <w:t>序号</w:t>
            </w:r>
          </w:p>
        </w:tc>
        <w:tc>
          <w:tcPr>
            <w:tcW w:w="1654" w:type="dxa"/>
            <w:tcBorders>
              <w:top w:val="single" w:color="auto" w:sz="12" w:space="0"/>
              <w:left w:val="single" w:color="auto" w:sz="4" w:space="0"/>
              <w:bottom w:val="single" w:color="auto" w:sz="4" w:space="0"/>
              <w:right w:val="single" w:color="auto" w:sz="4" w:space="0"/>
            </w:tcBorders>
            <w:vAlign w:val="center"/>
          </w:tcPr>
          <w:p w14:paraId="72F7B0C1">
            <w:pPr>
              <w:jc w:val="center"/>
              <w:rPr>
                <w:sz w:val="18"/>
                <w:szCs w:val="18"/>
              </w:rPr>
            </w:pPr>
            <w:r>
              <w:rPr>
                <w:rFonts w:hint="eastAsia"/>
                <w:sz w:val="18"/>
                <w:szCs w:val="18"/>
              </w:rPr>
              <w:t>设备设施名称</w:t>
            </w:r>
          </w:p>
        </w:tc>
        <w:tc>
          <w:tcPr>
            <w:tcW w:w="1767" w:type="dxa"/>
            <w:tcBorders>
              <w:top w:val="single" w:color="auto" w:sz="12" w:space="0"/>
              <w:left w:val="single" w:color="auto" w:sz="4" w:space="0"/>
              <w:bottom w:val="single" w:color="auto" w:sz="4" w:space="0"/>
              <w:right w:val="single" w:color="auto" w:sz="4" w:space="0"/>
            </w:tcBorders>
            <w:vAlign w:val="center"/>
          </w:tcPr>
          <w:p w14:paraId="2344C7B6">
            <w:pPr>
              <w:jc w:val="center"/>
              <w:rPr>
                <w:rFonts w:cs="宋体"/>
                <w:sz w:val="18"/>
                <w:szCs w:val="18"/>
              </w:rPr>
            </w:pPr>
            <w:r>
              <w:rPr>
                <w:rFonts w:hint="eastAsia"/>
                <w:sz w:val="18"/>
                <w:szCs w:val="18"/>
              </w:rPr>
              <w:t>设备设施名称</w:t>
            </w:r>
          </w:p>
        </w:tc>
        <w:tc>
          <w:tcPr>
            <w:tcW w:w="1395" w:type="dxa"/>
            <w:tcBorders>
              <w:top w:val="single" w:color="auto" w:sz="12" w:space="0"/>
              <w:left w:val="single" w:color="auto" w:sz="4" w:space="0"/>
              <w:bottom w:val="single" w:color="auto" w:sz="4" w:space="0"/>
              <w:right w:val="single" w:color="auto" w:sz="4" w:space="0"/>
            </w:tcBorders>
            <w:vAlign w:val="center"/>
          </w:tcPr>
          <w:p w14:paraId="20AE64AA">
            <w:pPr>
              <w:jc w:val="center"/>
              <w:rPr>
                <w:sz w:val="18"/>
                <w:szCs w:val="18"/>
              </w:rPr>
            </w:pPr>
            <w:r>
              <w:rPr>
                <w:rFonts w:hint="eastAsia"/>
                <w:sz w:val="18"/>
                <w:szCs w:val="18"/>
              </w:rPr>
              <w:t>规范距离（</w:t>
            </w:r>
            <w:r>
              <w:rPr>
                <w:sz w:val="18"/>
                <w:szCs w:val="18"/>
              </w:rPr>
              <w:t>m</w:t>
            </w:r>
            <w:r>
              <w:rPr>
                <w:rFonts w:hint="eastAsia"/>
                <w:sz w:val="18"/>
                <w:szCs w:val="18"/>
              </w:rPr>
              <w:t>）</w:t>
            </w:r>
          </w:p>
        </w:tc>
        <w:tc>
          <w:tcPr>
            <w:tcW w:w="1578" w:type="dxa"/>
            <w:tcBorders>
              <w:top w:val="single" w:color="auto" w:sz="12" w:space="0"/>
              <w:left w:val="single" w:color="auto" w:sz="4" w:space="0"/>
              <w:bottom w:val="single" w:color="auto" w:sz="4" w:space="0"/>
              <w:right w:val="single" w:color="auto" w:sz="4" w:space="0"/>
            </w:tcBorders>
            <w:vAlign w:val="center"/>
          </w:tcPr>
          <w:p w14:paraId="5D58958A">
            <w:pPr>
              <w:jc w:val="center"/>
              <w:rPr>
                <w:sz w:val="18"/>
                <w:szCs w:val="18"/>
              </w:rPr>
            </w:pPr>
            <w:r>
              <w:rPr>
                <w:rFonts w:hint="eastAsia"/>
                <w:sz w:val="18"/>
                <w:szCs w:val="18"/>
              </w:rPr>
              <w:t>实际距离</w:t>
            </w:r>
            <w:r>
              <w:rPr>
                <w:sz w:val="18"/>
                <w:szCs w:val="18"/>
              </w:rPr>
              <w:t>（m）</w:t>
            </w:r>
          </w:p>
        </w:tc>
        <w:tc>
          <w:tcPr>
            <w:tcW w:w="1467" w:type="dxa"/>
            <w:tcBorders>
              <w:top w:val="single" w:color="auto" w:sz="12" w:space="0"/>
              <w:left w:val="single" w:color="auto" w:sz="4" w:space="0"/>
              <w:bottom w:val="single" w:color="auto" w:sz="4" w:space="0"/>
              <w:right w:val="single" w:color="auto" w:sz="4" w:space="0"/>
            </w:tcBorders>
            <w:vAlign w:val="center"/>
          </w:tcPr>
          <w:p w14:paraId="2A6DA96C">
            <w:pPr>
              <w:jc w:val="center"/>
              <w:rPr>
                <w:sz w:val="18"/>
                <w:szCs w:val="18"/>
              </w:rPr>
            </w:pPr>
            <w:r>
              <w:rPr>
                <w:rFonts w:hint="eastAsia"/>
                <w:sz w:val="18"/>
                <w:szCs w:val="18"/>
              </w:rPr>
              <w:t>依据</w:t>
            </w:r>
          </w:p>
        </w:tc>
        <w:tc>
          <w:tcPr>
            <w:tcW w:w="888" w:type="dxa"/>
            <w:tcBorders>
              <w:top w:val="single" w:color="auto" w:sz="12" w:space="0"/>
              <w:left w:val="single" w:color="auto" w:sz="4" w:space="0"/>
              <w:bottom w:val="single" w:color="auto" w:sz="4" w:space="0"/>
              <w:right w:val="single" w:color="auto" w:sz="12" w:space="0"/>
            </w:tcBorders>
            <w:vAlign w:val="center"/>
          </w:tcPr>
          <w:p w14:paraId="4C09695A">
            <w:pPr>
              <w:jc w:val="center"/>
              <w:rPr>
                <w:sz w:val="18"/>
                <w:szCs w:val="18"/>
              </w:rPr>
            </w:pPr>
            <w:r>
              <w:rPr>
                <w:rFonts w:hint="eastAsia"/>
                <w:sz w:val="18"/>
                <w:szCs w:val="18"/>
              </w:rPr>
              <w:t>是否符合</w:t>
            </w:r>
          </w:p>
        </w:tc>
      </w:tr>
      <w:tr w14:paraId="1FCCD2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50" w:hRule="atLeast"/>
          <w:jc w:val="center"/>
        </w:trPr>
        <w:tc>
          <w:tcPr>
            <w:tcW w:w="617" w:type="dxa"/>
            <w:vMerge w:val="restart"/>
            <w:tcBorders>
              <w:top w:val="single" w:color="auto" w:sz="4" w:space="0"/>
              <w:left w:val="single" w:color="auto" w:sz="12" w:space="0"/>
              <w:bottom w:val="single" w:color="auto" w:sz="4" w:space="0"/>
              <w:right w:val="single" w:color="auto" w:sz="4" w:space="0"/>
            </w:tcBorders>
            <w:vAlign w:val="center"/>
          </w:tcPr>
          <w:p w14:paraId="5B58F1AE">
            <w:pPr>
              <w:jc w:val="center"/>
              <w:rPr>
                <w:rFonts w:cs="宋体"/>
                <w:sz w:val="18"/>
                <w:szCs w:val="18"/>
              </w:rPr>
            </w:pPr>
            <w:r>
              <w:rPr>
                <w:rFonts w:hint="eastAsia"/>
                <w:sz w:val="18"/>
                <w:szCs w:val="18"/>
              </w:rPr>
              <w:t>1</w:t>
            </w:r>
          </w:p>
        </w:tc>
        <w:tc>
          <w:tcPr>
            <w:tcW w:w="1654" w:type="dxa"/>
            <w:vMerge w:val="restart"/>
            <w:tcBorders>
              <w:top w:val="single" w:color="auto" w:sz="4" w:space="0"/>
              <w:left w:val="single" w:color="auto" w:sz="4" w:space="0"/>
              <w:bottom w:val="single" w:color="auto" w:sz="4" w:space="0"/>
              <w:right w:val="single" w:color="auto" w:sz="4" w:space="0"/>
            </w:tcBorders>
            <w:vAlign w:val="center"/>
          </w:tcPr>
          <w:p w14:paraId="7E3C7D32">
            <w:pPr>
              <w:jc w:val="center"/>
              <w:rPr>
                <w:sz w:val="18"/>
                <w:szCs w:val="18"/>
              </w:rPr>
            </w:pPr>
          </w:p>
        </w:tc>
        <w:tc>
          <w:tcPr>
            <w:tcW w:w="1767" w:type="dxa"/>
            <w:tcBorders>
              <w:top w:val="single" w:color="auto" w:sz="4" w:space="0"/>
              <w:left w:val="single" w:color="auto" w:sz="4" w:space="0"/>
              <w:bottom w:val="single" w:color="auto" w:sz="4" w:space="0"/>
              <w:right w:val="single" w:color="auto" w:sz="4" w:space="0"/>
            </w:tcBorders>
            <w:vAlign w:val="center"/>
          </w:tcPr>
          <w:p w14:paraId="719BD0F6">
            <w:pPr>
              <w:jc w:val="center"/>
              <w:rPr>
                <w:sz w:val="18"/>
                <w:szCs w:val="18"/>
              </w:rPr>
            </w:pPr>
          </w:p>
        </w:tc>
        <w:tc>
          <w:tcPr>
            <w:tcW w:w="1395" w:type="dxa"/>
            <w:tcBorders>
              <w:top w:val="single" w:color="auto" w:sz="4" w:space="0"/>
              <w:left w:val="single" w:color="auto" w:sz="4" w:space="0"/>
              <w:bottom w:val="single" w:color="auto" w:sz="4" w:space="0"/>
              <w:right w:val="single" w:color="auto" w:sz="4" w:space="0"/>
            </w:tcBorders>
            <w:vAlign w:val="center"/>
          </w:tcPr>
          <w:p w14:paraId="01AC597E">
            <w:pPr>
              <w:jc w:val="center"/>
              <w:rPr>
                <w:sz w:val="18"/>
                <w:szCs w:val="18"/>
              </w:rPr>
            </w:pPr>
          </w:p>
        </w:tc>
        <w:tc>
          <w:tcPr>
            <w:tcW w:w="1578" w:type="dxa"/>
            <w:tcBorders>
              <w:top w:val="single" w:color="auto" w:sz="4" w:space="0"/>
              <w:left w:val="single" w:color="auto" w:sz="4" w:space="0"/>
              <w:bottom w:val="single" w:color="auto" w:sz="4" w:space="0"/>
              <w:right w:val="single" w:color="auto" w:sz="4" w:space="0"/>
            </w:tcBorders>
            <w:vAlign w:val="center"/>
          </w:tcPr>
          <w:p w14:paraId="4BF1EE72">
            <w:pPr>
              <w:jc w:val="center"/>
              <w:rPr>
                <w:sz w:val="18"/>
                <w:szCs w:val="18"/>
              </w:rPr>
            </w:pPr>
          </w:p>
        </w:tc>
        <w:tc>
          <w:tcPr>
            <w:tcW w:w="1467" w:type="dxa"/>
            <w:tcBorders>
              <w:top w:val="single" w:color="auto" w:sz="4" w:space="0"/>
              <w:left w:val="single" w:color="auto" w:sz="4" w:space="0"/>
              <w:bottom w:val="single" w:color="auto" w:sz="4" w:space="0"/>
              <w:right w:val="single" w:color="auto" w:sz="4" w:space="0"/>
            </w:tcBorders>
            <w:vAlign w:val="center"/>
          </w:tcPr>
          <w:p w14:paraId="1B5563AF">
            <w:pPr>
              <w:jc w:val="center"/>
              <w:rPr>
                <w:sz w:val="18"/>
                <w:szCs w:val="18"/>
              </w:rPr>
            </w:pPr>
          </w:p>
        </w:tc>
        <w:tc>
          <w:tcPr>
            <w:tcW w:w="888" w:type="dxa"/>
            <w:tcBorders>
              <w:top w:val="single" w:color="auto" w:sz="4" w:space="0"/>
              <w:left w:val="single" w:color="auto" w:sz="4" w:space="0"/>
              <w:bottom w:val="single" w:color="auto" w:sz="4" w:space="0"/>
              <w:right w:val="single" w:color="auto" w:sz="12" w:space="0"/>
            </w:tcBorders>
            <w:vAlign w:val="center"/>
          </w:tcPr>
          <w:p w14:paraId="35DDFA01">
            <w:pPr>
              <w:jc w:val="center"/>
              <w:rPr>
                <w:sz w:val="18"/>
                <w:szCs w:val="18"/>
              </w:rPr>
            </w:pPr>
          </w:p>
        </w:tc>
      </w:tr>
      <w:tr w14:paraId="00C14E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70" w:hRule="atLeast"/>
          <w:jc w:val="center"/>
        </w:trPr>
        <w:tc>
          <w:tcPr>
            <w:tcW w:w="617" w:type="dxa"/>
            <w:vMerge w:val="continue"/>
            <w:tcBorders>
              <w:top w:val="single" w:color="auto" w:sz="4" w:space="0"/>
              <w:left w:val="single" w:color="auto" w:sz="12" w:space="0"/>
              <w:bottom w:val="single" w:color="auto" w:sz="4" w:space="0"/>
              <w:right w:val="single" w:color="auto" w:sz="4" w:space="0"/>
            </w:tcBorders>
            <w:vAlign w:val="center"/>
          </w:tcPr>
          <w:p w14:paraId="0FB4660C">
            <w:pPr>
              <w:jc w:val="left"/>
              <w:rPr>
                <w:rFonts w:cs="宋体"/>
                <w:sz w:val="18"/>
                <w:szCs w:val="18"/>
              </w:rPr>
            </w:pPr>
          </w:p>
        </w:tc>
        <w:tc>
          <w:tcPr>
            <w:tcW w:w="1654" w:type="dxa"/>
            <w:vMerge w:val="continue"/>
            <w:tcBorders>
              <w:top w:val="single" w:color="auto" w:sz="4" w:space="0"/>
              <w:left w:val="single" w:color="auto" w:sz="4" w:space="0"/>
              <w:bottom w:val="single" w:color="auto" w:sz="4" w:space="0"/>
              <w:right w:val="single" w:color="auto" w:sz="4" w:space="0"/>
            </w:tcBorders>
            <w:vAlign w:val="center"/>
          </w:tcPr>
          <w:p w14:paraId="16BBA344">
            <w:pPr>
              <w:jc w:val="left"/>
              <w:rPr>
                <w:sz w:val="18"/>
                <w:szCs w:val="18"/>
              </w:rPr>
            </w:pPr>
          </w:p>
        </w:tc>
        <w:tc>
          <w:tcPr>
            <w:tcW w:w="1767" w:type="dxa"/>
            <w:tcBorders>
              <w:top w:val="single" w:color="auto" w:sz="4" w:space="0"/>
              <w:left w:val="single" w:color="auto" w:sz="4" w:space="0"/>
              <w:bottom w:val="single" w:color="auto" w:sz="4" w:space="0"/>
              <w:right w:val="single" w:color="auto" w:sz="4" w:space="0"/>
            </w:tcBorders>
            <w:vAlign w:val="center"/>
          </w:tcPr>
          <w:p w14:paraId="3773376D">
            <w:pPr>
              <w:jc w:val="center"/>
              <w:rPr>
                <w:sz w:val="18"/>
                <w:szCs w:val="18"/>
              </w:rPr>
            </w:pPr>
            <w:r>
              <w:rPr>
                <w:sz w:val="18"/>
                <w:szCs w:val="18"/>
              </w:rPr>
              <w:t>…</w:t>
            </w:r>
          </w:p>
        </w:tc>
        <w:tc>
          <w:tcPr>
            <w:tcW w:w="1395" w:type="dxa"/>
            <w:tcBorders>
              <w:top w:val="single" w:color="auto" w:sz="4" w:space="0"/>
              <w:left w:val="single" w:color="auto" w:sz="4" w:space="0"/>
              <w:bottom w:val="single" w:color="auto" w:sz="4" w:space="0"/>
              <w:right w:val="single" w:color="auto" w:sz="4" w:space="0"/>
            </w:tcBorders>
            <w:vAlign w:val="center"/>
          </w:tcPr>
          <w:p w14:paraId="5A2234A0">
            <w:pPr>
              <w:jc w:val="center"/>
              <w:rPr>
                <w:sz w:val="18"/>
                <w:szCs w:val="18"/>
              </w:rPr>
            </w:pPr>
          </w:p>
        </w:tc>
        <w:tc>
          <w:tcPr>
            <w:tcW w:w="1578" w:type="dxa"/>
            <w:tcBorders>
              <w:top w:val="single" w:color="auto" w:sz="4" w:space="0"/>
              <w:left w:val="single" w:color="auto" w:sz="4" w:space="0"/>
              <w:bottom w:val="single" w:color="auto" w:sz="4" w:space="0"/>
              <w:right w:val="single" w:color="auto" w:sz="4" w:space="0"/>
            </w:tcBorders>
            <w:vAlign w:val="center"/>
          </w:tcPr>
          <w:p w14:paraId="6D49CAC5">
            <w:pPr>
              <w:jc w:val="center"/>
              <w:rPr>
                <w:sz w:val="18"/>
                <w:szCs w:val="18"/>
              </w:rPr>
            </w:pPr>
          </w:p>
        </w:tc>
        <w:tc>
          <w:tcPr>
            <w:tcW w:w="1467" w:type="dxa"/>
            <w:tcBorders>
              <w:top w:val="single" w:color="auto" w:sz="4" w:space="0"/>
              <w:left w:val="single" w:color="auto" w:sz="4" w:space="0"/>
              <w:bottom w:val="single" w:color="auto" w:sz="4" w:space="0"/>
              <w:right w:val="single" w:color="auto" w:sz="4" w:space="0"/>
            </w:tcBorders>
            <w:vAlign w:val="center"/>
          </w:tcPr>
          <w:p w14:paraId="42F4CFF1">
            <w:pPr>
              <w:jc w:val="center"/>
              <w:rPr>
                <w:rFonts w:cs="宋体"/>
                <w:sz w:val="18"/>
                <w:szCs w:val="18"/>
              </w:rPr>
            </w:pPr>
          </w:p>
        </w:tc>
        <w:tc>
          <w:tcPr>
            <w:tcW w:w="888" w:type="dxa"/>
            <w:tcBorders>
              <w:top w:val="single" w:color="auto" w:sz="4" w:space="0"/>
              <w:left w:val="single" w:color="auto" w:sz="4" w:space="0"/>
              <w:bottom w:val="single" w:color="auto" w:sz="4" w:space="0"/>
              <w:right w:val="single" w:color="auto" w:sz="12" w:space="0"/>
            </w:tcBorders>
            <w:vAlign w:val="center"/>
          </w:tcPr>
          <w:p w14:paraId="44DA2B70">
            <w:pPr>
              <w:jc w:val="center"/>
              <w:rPr>
                <w:sz w:val="18"/>
                <w:szCs w:val="18"/>
              </w:rPr>
            </w:pPr>
          </w:p>
        </w:tc>
      </w:tr>
      <w:tr w14:paraId="2063F7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617" w:type="dxa"/>
            <w:tcBorders>
              <w:top w:val="single" w:color="auto" w:sz="4" w:space="0"/>
              <w:left w:val="single" w:color="auto" w:sz="12" w:space="0"/>
              <w:bottom w:val="single" w:color="auto" w:sz="4" w:space="0"/>
              <w:right w:val="single" w:color="auto" w:sz="4" w:space="0"/>
            </w:tcBorders>
            <w:vAlign w:val="center"/>
          </w:tcPr>
          <w:p w14:paraId="12E173DD">
            <w:pPr>
              <w:jc w:val="center"/>
              <w:rPr>
                <w:rFonts w:cs="宋体"/>
                <w:sz w:val="18"/>
                <w:szCs w:val="18"/>
              </w:rPr>
            </w:pPr>
            <w:r>
              <w:rPr>
                <w:rFonts w:hint="eastAsia"/>
                <w:sz w:val="18"/>
                <w:szCs w:val="18"/>
              </w:rPr>
              <w:t>2</w:t>
            </w:r>
          </w:p>
        </w:tc>
        <w:tc>
          <w:tcPr>
            <w:tcW w:w="1654" w:type="dxa"/>
            <w:tcBorders>
              <w:top w:val="single" w:color="auto" w:sz="4" w:space="0"/>
              <w:left w:val="single" w:color="auto" w:sz="4" w:space="0"/>
              <w:bottom w:val="single" w:color="auto" w:sz="4" w:space="0"/>
              <w:right w:val="single" w:color="auto" w:sz="4" w:space="0"/>
            </w:tcBorders>
            <w:vAlign w:val="center"/>
          </w:tcPr>
          <w:p w14:paraId="6E269264">
            <w:pPr>
              <w:jc w:val="center"/>
              <w:rPr>
                <w:rFonts w:cs="宋体"/>
                <w:sz w:val="18"/>
                <w:szCs w:val="18"/>
              </w:rPr>
            </w:pPr>
          </w:p>
        </w:tc>
        <w:tc>
          <w:tcPr>
            <w:tcW w:w="1767" w:type="dxa"/>
            <w:tcBorders>
              <w:top w:val="single" w:color="auto" w:sz="4" w:space="0"/>
              <w:left w:val="single" w:color="auto" w:sz="4" w:space="0"/>
              <w:bottom w:val="single" w:color="auto" w:sz="4" w:space="0"/>
              <w:right w:val="single" w:color="auto" w:sz="4" w:space="0"/>
            </w:tcBorders>
            <w:vAlign w:val="center"/>
          </w:tcPr>
          <w:p w14:paraId="58CAF901">
            <w:pPr>
              <w:jc w:val="center"/>
              <w:rPr>
                <w:sz w:val="18"/>
                <w:szCs w:val="18"/>
              </w:rPr>
            </w:pPr>
          </w:p>
        </w:tc>
        <w:tc>
          <w:tcPr>
            <w:tcW w:w="1395" w:type="dxa"/>
            <w:tcBorders>
              <w:top w:val="single" w:color="auto" w:sz="4" w:space="0"/>
              <w:left w:val="single" w:color="auto" w:sz="4" w:space="0"/>
              <w:bottom w:val="single" w:color="auto" w:sz="4" w:space="0"/>
              <w:right w:val="single" w:color="auto" w:sz="4" w:space="0"/>
            </w:tcBorders>
            <w:vAlign w:val="center"/>
          </w:tcPr>
          <w:p w14:paraId="7DBF8888">
            <w:pPr>
              <w:jc w:val="center"/>
              <w:rPr>
                <w:sz w:val="18"/>
                <w:szCs w:val="18"/>
              </w:rPr>
            </w:pPr>
          </w:p>
        </w:tc>
        <w:tc>
          <w:tcPr>
            <w:tcW w:w="1578" w:type="dxa"/>
            <w:tcBorders>
              <w:top w:val="single" w:color="auto" w:sz="4" w:space="0"/>
              <w:left w:val="single" w:color="auto" w:sz="4" w:space="0"/>
              <w:bottom w:val="single" w:color="auto" w:sz="4" w:space="0"/>
              <w:right w:val="single" w:color="auto" w:sz="4" w:space="0"/>
            </w:tcBorders>
            <w:vAlign w:val="center"/>
          </w:tcPr>
          <w:p w14:paraId="37E5BC32">
            <w:pPr>
              <w:jc w:val="center"/>
              <w:rPr>
                <w:sz w:val="18"/>
                <w:szCs w:val="18"/>
              </w:rPr>
            </w:pPr>
          </w:p>
        </w:tc>
        <w:tc>
          <w:tcPr>
            <w:tcW w:w="1467" w:type="dxa"/>
            <w:tcBorders>
              <w:top w:val="single" w:color="auto" w:sz="4" w:space="0"/>
              <w:left w:val="single" w:color="auto" w:sz="4" w:space="0"/>
              <w:bottom w:val="single" w:color="auto" w:sz="4" w:space="0"/>
              <w:right w:val="single" w:color="auto" w:sz="4" w:space="0"/>
            </w:tcBorders>
            <w:vAlign w:val="center"/>
          </w:tcPr>
          <w:p w14:paraId="0371AE7F">
            <w:pPr>
              <w:jc w:val="center"/>
              <w:rPr>
                <w:rFonts w:cs="宋体"/>
                <w:sz w:val="18"/>
                <w:szCs w:val="18"/>
              </w:rPr>
            </w:pPr>
          </w:p>
        </w:tc>
        <w:tc>
          <w:tcPr>
            <w:tcW w:w="888" w:type="dxa"/>
            <w:tcBorders>
              <w:top w:val="single" w:color="auto" w:sz="4" w:space="0"/>
              <w:left w:val="single" w:color="auto" w:sz="4" w:space="0"/>
              <w:bottom w:val="single" w:color="auto" w:sz="4" w:space="0"/>
              <w:right w:val="single" w:color="auto" w:sz="12" w:space="0"/>
            </w:tcBorders>
            <w:vAlign w:val="center"/>
          </w:tcPr>
          <w:p w14:paraId="3B3FF9EE">
            <w:pPr>
              <w:jc w:val="center"/>
              <w:rPr>
                <w:sz w:val="18"/>
                <w:szCs w:val="18"/>
              </w:rPr>
            </w:pPr>
          </w:p>
        </w:tc>
      </w:tr>
      <w:tr w14:paraId="2C992F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617" w:type="dxa"/>
            <w:tcBorders>
              <w:top w:val="single" w:color="auto" w:sz="4" w:space="0"/>
              <w:left w:val="single" w:color="auto" w:sz="12" w:space="0"/>
              <w:bottom w:val="single" w:color="auto" w:sz="12" w:space="0"/>
              <w:right w:val="single" w:color="auto" w:sz="4" w:space="0"/>
            </w:tcBorders>
            <w:vAlign w:val="center"/>
          </w:tcPr>
          <w:p w14:paraId="36151402">
            <w:pPr>
              <w:jc w:val="center"/>
              <w:rPr>
                <w:sz w:val="18"/>
                <w:szCs w:val="18"/>
              </w:rPr>
            </w:pPr>
            <w:r>
              <w:rPr>
                <w:sz w:val="18"/>
                <w:szCs w:val="18"/>
              </w:rPr>
              <w:t>…</w:t>
            </w:r>
          </w:p>
        </w:tc>
        <w:tc>
          <w:tcPr>
            <w:tcW w:w="1654" w:type="dxa"/>
            <w:tcBorders>
              <w:top w:val="single" w:color="auto" w:sz="4" w:space="0"/>
              <w:left w:val="single" w:color="auto" w:sz="4" w:space="0"/>
              <w:bottom w:val="single" w:color="auto" w:sz="12" w:space="0"/>
              <w:right w:val="single" w:color="auto" w:sz="4" w:space="0"/>
            </w:tcBorders>
            <w:vAlign w:val="center"/>
          </w:tcPr>
          <w:p w14:paraId="61AD622C">
            <w:pPr>
              <w:jc w:val="center"/>
              <w:rPr>
                <w:rFonts w:cs="宋体"/>
                <w:sz w:val="18"/>
                <w:szCs w:val="18"/>
              </w:rPr>
            </w:pPr>
          </w:p>
        </w:tc>
        <w:tc>
          <w:tcPr>
            <w:tcW w:w="1767" w:type="dxa"/>
            <w:tcBorders>
              <w:top w:val="single" w:color="auto" w:sz="4" w:space="0"/>
              <w:left w:val="single" w:color="auto" w:sz="4" w:space="0"/>
              <w:bottom w:val="single" w:color="auto" w:sz="12" w:space="0"/>
              <w:right w:val="single" w:color="auto" w:sz="4" w:space="0"/>
            </w:tcBorders>
            <w:vAlign w:val="center"/>
          </w:tcPr>
          <w:p w14:paraId="539C1CD5">
            <w:pPr>
              <w:jc w:val="center"/>
              <w:rPr>
                <w:sz w:val="18"/>
                <w:szCs w:val="18"/>
              </w:rPr>
            </w:pPr>
          </w:p>
        </w:tc>
        <w:tc>
          <w:tcPr>
            <w:tcW w:w="1395" w:type="dxa"/>
            <w:tcBorders>
              <w:top w:val="single" w:color="auto" w:sz="4" w:space="0"/>
              <w:left w:val="single" w:color="auto" w:sz="4" w:space="0"/>
              <w:bottom w:val="single" w:color="auto" w:sz="12" w:space="0"/>
              <w:right w:val="single" w:color="auto" w:sz="4" w:space="0"/>
            </w:tcBorders>
            <w:vAlign w:val="center"/>
          </w:tcPr>
          <w:p w14:paraId="270AF1F8">
            <w:pPr>
              <w:jc w:val="center"/>
              <w:rPr>
                <w:sz w:val="18"/>
                <w:szCs w:val="18"/>
              </w:rPr>
            </w:pPr>
          </w:p>
        </w:tc>
        <w:tc>
          <w:tcPr>
            <w:tcW w:w="1578" w:type="dxa"/>
            <w:tcBorders>
              <w:top w:val="single" w:color="auto" w:sz="4" w:space="0"/>
              <w:left w:val="single" w:color="auto" w:sz="4" w:space="0"/>
              <w:bottom w:val="single" w:color="auto" w:sz="12" w:space="0"/>
              <w:right w:val="single" w:color="auto" w:sz="4" w:space="0"/>
            </w:tcBorders>
            <w:vAlign w:val="center"/>
          </w:tcPr>
          <w:p w14:paraId="69F181B8">
            <w:pPr>
              <w:jc w:val="center"/>
              <w:rPr>
                <w:sz w:val="18"/>
                <w:szCs w:val="18"/>
              </w:rPr>
            </w:pPr>
          </w:p>
        </w:tc>
        <w:tc>
          <w:tcPr>
            <w:tcW w:w="1467" w:type="dxa"/>
            <w:tcBorders>
              <w:top w:val="single" w:color="auto" w:sz="4" w:space="0"/>
              <w:left w:val="single" w:color="auto" w:sz="4" w:space="0"/>
              <w:bottom w:val="single" w:color="auto" w:sz="12" w:space="0"/>
              <w:right w:val="single" w:color="auto" w:sz="4" w:space="0"/>
            </w:tcBorders>
            <w:vAlign w:val="center"/>
          </w:tcPr>
          <w:p w14:paraId="710A6CBF">
            <w:pPr>
              <w:jc w:val="center"/>
              <w:rPr>
                <w:rFonts w:cs="宋体"/>
                <w:sz w:val="18"/>
                <w:szCs w:val="18"/>
              </w:rPr>
            </w:pPr>
          </w:p>
        </w:tc>
        <w:tc>
          <w:tcPr>
            <w:tcW w:w="888" w:type="dxa"/>
            <w:tcBorders>
              <w:top w:val="single" w:color="auto" w:sz="4" w:space="0"/>
              <w:left w:val="single" w:color="auto" w:sz="4" w:space="0"/>
              <w:bottom w:val="single" w:color="auto" w:sz="12" w:space="0"/>
              <w:right w:val="single" w:color="auto" w:sz="12" w:space="0"/>
            </w:tcBorders>
            <w:vAlign w:val="center"/>
          </w:tcPr>
          <w:p w14:paraId="37FAD3B9">
            <w:pPr>
              <w:jc w:val="center"/>
              <w:rPr>
                <w:sz w:val="18"/>
                <w:szCs w:val="18"/>
              </w:rPr>
            </w:pPr>
          </w:p>
        </w:tc>
      </w:tr>
    </w:tbl>
    <w:p w14:paraId="0BB6C2A8">
      <w:pPr>
        <w:pStyle w:val="65"/>
        <w:ind w:firstLine="0" w:firstLineChars="0"/>
        <w:jc w:val="center"/>
        <w:rPr>
          <w:rFonts w:ascii="Times New Roman"/>
          <w:color w:val="000000" w:themeColor="text1"/>
          <w14:textFill>
            <w14:solidFill>
              <w14:schemeClr w14:val="tx1"/>
            </w14:solidFill>
          </w14:textFill>
        </w:rPr>
      </w:pPr>
    </w:p>
    <w:p w14:paraId="7D566C09">
      <w:pPr>
        <w:pStyle w:val="65"/>
        <w:ind w:firstLine="0" w:firstLineChars="0"/>
        <w:rPr>
          <w:rStyle w:val="156"/>
        </w:rPr>
      </w:pPr>
      <w:r>
        <w:rPr>
          <w:rFonts w:ascii="黑体" w:eastAsia="黑体"/>
          <w:color w:val="000000" w:themeColor="text1"/>
          <w14:textFill>
            <w14:solidFill>
              <w14:schemeClr w14:val="tx1"/>
            </w14:solidFill>
          </w14:textFill>
        </w:rPr>
        <w:t xml:space="preserve">8.4.2.2 </w:t>
      </w:r>
      <w:r>
        <w:rPr>
          <w:rStyle w:val="156"/>
          <w:rFonts w:hint="eastAsia"/>
        </w:rPr>
        <w:t>分析站场内消防道路与拟用的消防车辆的匹配性，并</w:t>
      </w:r>
      <w:r>
        <w:rPr>
          <w:rFonts w:hint="eastAsia"/>
        </w:rPr>
        <w:t>进行合规性评价</w:t>
      </w:r>
      <w:r>
        <w:rPr>
          <w:rStyle w:val="156"/>
          <w:rFonts w:hint="eastAsia"/>
        </w:rPr>
        <w:t>。</w:t>
      </w:r>
    </w:p>
    <w:p w14:paraId="777BA0A2">
      <w:pPr>
        <w:pStyle w:val="153"/>
        <w:spacing w:before="156" w:after="156"/>
        <w:rPr>
          <w:rFonts w:hint="eastAsia"/>
        </w:rPr>
      </w:pPr>
      <w:r>
        <w:t xml:space="preserve">8.4.3 </w:t>
      </w:r>
      <w:r>
        <w:rPr>
          <w:rFonts w:hint="eastAsia"/>
        </w:rPr>
        <w:t>输送工艺</w:t>
      </w:r>
    </w:p>
    <w:p w14:paraId="5CCE615C">
      <w:pPr>
        <w:pStyle w:val="155"/>
      </w:pPr>
      <w:r>
        <w:rPr>
          <w:rFonts w:hint="eastAsia"/>
        </w:rPr>
        <w:t>分析输送工艺，按</w:t>
      </w:r>
      <w:r>
        <w:rPr>
          <w:rFonts w:hint="eastAsia" w:ascii="Times New Roman"/>
        </w:rPr>
        <w:t>照</w:t>
      </w:r>
      <w:r>
        <w:rPr>
          <w:rFonts w:ascii="Times New Roman"/>
        </w:rPr>
        <w:t>GB 50251</w:t>
      </w:r>
      <w:r>
        <w:rPr>
          <w:rFonts w:hint="eastAsia" w:ascii="Times New Roman"/>
        </w:rPr>
        <w:t>或</w:t>
      </w:r>
      <w:r>
        <w:rPr>
          <w:rFonts w:ascii="Times New Roman"/>
        </w:rPr>
        <w:t>GB 50253</w:t>
      </w:r>
      <w:r>
        <w:rPr>
          <w:rFonts w:hint="eastAsia" w:ascii="Times New Roman"/>
        </w:rPr>
        <w:t>等</w:t>
      </w:r>
      <w:r>
        <w:rPr>
          <w:rFonts w:hint="eastAsia"/>
        </w:rPr>
        <w:t>的规定进行合规性评价。</w:t>
      </w:r>
    </w:p>
    <w:p w14:paraId="7479DFA9">
      <w:pPr>
        <w:pStyle w:val="153"/>
        <w:spacing w:before="156" w:after="156"/>
        <w:rPr>
          <w:rFonts w:hint="eastAsia"/>
        </w:rPr>
      </w:pPr>
      <w:r>
        <w:t>8.4.</w:t>
      </w:r>
      <w:r>
        <w:rPr>
          <w:rFonts w:hint="eastAsia"/>
        </w:rPr>
        <w:t>4</w:t>
      </w:r>
      <w:r>
        <w:t xml:space="preserve"> </w:t>
      </w:r>
      <w:r>
        <w:rPr>
          <w:rFonts w:hint="eastAsia"/>
        </w:rPr>
        <w:t>站场工艺</w:t>
      </w:r>
    </w:p>
    <w:p w14:paraId="02863D0D">
      <w:pPr>
        <w:pStyle w:val="155"/>
      </w:pPr>
      <w:r>
        <w:rPr>
          <w:rFonts w:hint="eastAsia"/>
        </w:rPr>
        <w:t>分析站场工艺和采用的主要技术，</w:t>
      </w:r>
      <w:r>
        <w:rPr>
          <w:rFonts w:hint="eastAsia" w:ascii="Times New Roman"/>
        </w:rPr>
        <w:t>按照</w:t>
      </w:r>
      <w:r>
        <w:rPr>
          <w:rFonts w:ascii="Times New Roman"/>
        </w:rPr>
        <w:t>GB 50183</w:t>
      </w:r>
      <w:r>
        <w:rPr>
          <w:rFonts w:hint="eastAsia" w:ascii="Times New Roman"/>
        </w:rPr>
        <w:t>、</w:t>
      </w:r>
      <w:r>
        <w:rPr>
          <w:rFonts w:ascii="Times New Roman"/>
        </w:rPr>
        <w:t>GB 50251</w:t>
      </w:r>
      <w:r>
        <w:rPr>
          <w:rFonts w:hint="eastAsia" w:ascii="Times New Roman"/>
        </w:rPr>
        <w:t>或</w:t>
      </w:r>
      <w:r>
        <w:rPr>
          <w:rFonts w:ascii="Times New Roman"/>
        </w:rPr>
        <w:t>GB 50253</w:t>
      </w:r>
      <w:r>
        <w:rPr>
          <w:rFonts w:hint="eastAsia" w:ascii="Times New Roman"/>
        </w:rPr>
        <w:t>等的规定进行合规性评价。</w:t>
      </w:r>
    </w:p>
    <w:p w14:paraId="72E0C980">
      <w:pPr>
        <w:pStyle w:val="153"/>
        <w:spacing w:before="156" w:after="156"/>
        <w:rPr>
          <w:rFonts w:hint="eastAsia"/>
        </w:rPr>
      </w:pPr>
      <w:r>
        <w:t xml:space="preserve">8.4.5 </w:t>
      </w:r>
      <w:r>
        <w:rPr>
          <w:rFonts w:hint="eastAsia"/>
        </w:rPr>
        <w:t>储运设备</w:t>
      </w:r>
    </w:p>
    <w:p w14:paraId="349F3308">
      <w:pPr>
        <w:pStyle w:val="155"/>
        <w:ind w:firstLine="0" w:firstLineChars="0"/>
      </w:pPr>
      <w:r>
        <w:rPr>
          <w:rFonts w:ascii="黑体" w:eastAsia="黑体"/>
          <w:color w:val="000000" w:themeColor="text1"/>
          <w14:textFill>
            <w14:solidFill>
              <w14:schemeClr w14:val="tx1"/>
            </w14:solidFill>
          </w14:textFill>
        </w:rPr>
        <w:t xml:space="preserve">8.4.5.1 </w:t>
      </w:r>
      <w:r>
        <w:rPr>
          <w:rFonts w:hint="eastAsia"/>
        </w:rPr>
        <w:t>分析采用的主要储运设备情况，进行合理性评价。</w:t>
      </w:r>
    </w:p>
    <w:p w14:paraId="5A758A4E">
      <w:pPr>
        <w:pStyle w:val="155"/>
        <w:ind w:firstLine="0" w:firstLineChars="0"/>
      </w:pPr>
      <w:r>
        <w:rPr>
          <w:rFonts w:ascii="黑体" w:eastAsia="黑体"/>
          <w:color w:val="000000" w:themeColor="text1"/>
          <w14:textFill>
            <w14:solidFill>
              <w14:schemeClr w14:val="tx1"/>
            </w14:solidFill>
          </w14:textFill>
        </w:rPr>
        <w:t xml:space="preserve">8.4.5.2 </w:t>
      </w:r>
      <w:r>
        <w:rPr>
          <w:rFonts w:hint="eastAsia"/>
        </w:rPr>
        <w:t>分析辨识出的危险化学品重大危险源的安全管控要求，进行合规性</w:t>
      </w:r>
      <w:r>
        <w:t>评价。</w:t>
      </w:r>
    </w:p>
    <w:p w14:paraId="6A47A85A">
      <w:pPr>
        <w:pStyle w:val="153"/>
        <w:spacing w:before="156" w:after="156"/>
        <w:rPr>
          <w:rFonts w:hint="eastAsia"/>
        </w:rPr>
      </w:pPr>
      <w:r>
        <w:t>8.4.6</w:t>
      </w:r>
      <w:r>
        <w:rPr>
          <w:rFonts w:hint="eastAsia"/>
        </w:rPr>
        <w:t xml:space="preserve"> 建设项目相互影响</w:t>
      </w:r>
    </w:p>
    <w:p w14:paraId="5A12729D">
      <w:pPr>
        <w:pStyle w:val="155"/>
      </w:pPr>
      <w:r>
        <w:rPr>
          <w:rFonts w:hint="eastAsia"/>
        </w:rPr>
        <w:t>根据建设项目</w:t>
      </w:r>
      <w:r>
        <w:t>相互</w:t>
      </w:r>
      <w:r>
        <w:rPr>
          <w:rFonts w:hint="eastAsia"/>
        </w:rPr>
        <w:t>影响</w:t>
      </w:r>
      <w:r>
        <w:t>的</w:t>
      </w:r>
      <w:r>
        <w:rPr>
          <w:rFonts w:hint="eastAsia"/>
        </w:rPr>
        <w:t>危险</w:t>
      </w:r>
      <w:r>
        <w:t>有</w:t>
      </w:r>
      <w:r>
        <w:rPr>
          <w:rFonts w:hint="eastAsia"/>
        </w:rPr>
        <w:t>害因素辨识</w:t>
      </w:r>
      <w:r>
        <w:t>结果</w:t>
      </w:r>
      <w:r>
        <w:rPr>
          <w:rFonts w:hint="eastAsia"/>
        </w:rPr>
        <w:t>，进行合规性</w:t>
      </w:r>
      <w:r>
        <w:t>评价。</w:t>
      </w:r>
    </w:p>
    <w:p w14:paraId="10C3DCC9">
      <w:pPr>
        <w:pStyle w:val="153"/>
        <w:spacing w:before="156" w:after="156"/>
        <w:rPr>
          <w:rFonts w:hint="eastAsia"/>
        </w:rPr>
      </w:pPr>
      <w:r>
        <w:rPr>
          <w:rFonts w:hint="eastAsia"/>
        </w:rPr>
        <w:t>8</w:t>
      </w:r>
      <w:r>
        <w:t xml:space="preserve">.4.7 </w:t>
      </w:r>
      <w:r>
        <w:rPr>
          <w:rFonts w:hint="eastAsia"/>
        </w:rPr>
        <w:t>站场定量风险评价</w:t>
      </w:r>
    </w:p>
    <w:p w14:paraId="44F9C623">
      <w:pPr>
        <w:pStyle w:val="155"/>
        <w:rPr>
          <w:rFonts w:ascii="Times New Roman"/>
        </w:rPr>
      </w:pPr>
      <w:r>
        <w:rPr>
          <w:rFonts w:hint="eastAsia"/>
        </w:rPr>
        <w:t>依据</w:t>
      </w:r>
      <w:r>
        <w:rPr>
          <w:rFonts w:hint="eastAsia" w:ascii="Times New Roman"/>
        </w:rPr>
        <w:t>G</w:t>
      </w:r>
      <w:r>
        <w:rPr>
          <w:rFonts w:ascii="Times New Roman"/>
        </w:rPr>
        <w:t>B 50183</w:t>
      </w:r>
      <w:r>
        <w:rPr>
          <w:rFonts w:hint="eastAsia" w:ascii="Times New Roman"/>
        </w:rPr>
        <w:t>确定站场等级，</w:t>
      </w:r>
      <w:r>
        <w:rPr>
          <w:rFonts w:hint="eastAsia"/>
        </w:rPr>
        <w:t>说明相关计算参数，</w:t>
      </w:r>
      <w:r>
        <w:rPr>
          <w:rFonts w:hint="eastAsia" w:ascii="Times New Roman"/>
        </w:rPr>
        <w:t>对四级及以上等级的站场参照G</w:t>
      </w:r>
      <w:r>
        <w:rPr>
          <w:rFonts w:ascii="Times New Roman"/>
        </w:rPr>
        <w:t>B/T 37243</w:t>
      </w:r>
      <w:r>
        <w:rPr>
          <w:rFonts w:hint="eastAsia" w:ascii="Times New Roman"/>
        </w:rPr>
        <w:t>和G</w:t>
      </w:r>
      <w:r>
        <w:rPr>
          <w:rFonts w:ascii="Times New Roman"/>
        </w:rPr>
        <w:t>B 36894</w:t>
      </w:r>
      <w:r>
        <w:rPr>
          <w:rFonts w:hint="eastAsia" w:ascii="Times New Roman"/>
        </w:rPr>
        <w:t>进行定量风险评价，对个人风险和社会风险进行合规性</w:t>
      </w:r>
      <w:r>
        <w:rPr>
          <w:rFonts w:ascii="Times New Roman"/>
        </w:rPr>
        <w:t>评价</w:t>
      </w:r>
      <w:r>
        <w:rPr>
          <w:rFonts w:hint="eastAsia" w:ascii="Times New Roman"/>
        </w:rPr>
        <w:t>。</w:t>
      </w:r>
    </w:p>
    <w:p w14:paraId="3D33129E">
      <w:pPr>
        <w:pStyle w:val="4"/>
        <w:rPr>
          <w:rFonts w:hint="eastAsia"/>
        </w:rPr>
      </w:pPr>
      <w:bookmarkStart w:id="113" w:name="_Toc174117988"/>
      <w:r>
        <w:t>8.5</w:t>
      </w:r>
      <w:r>
        <w:rPr>
          <w:rFonts w:hint="eastAsia"/>
        </w:rPr>
        <w:t xml:space="preserve"> 公用工程</w:t>
      </w:r>
      <w:bookmarkEnd w:id="113"/>
    </w:p>
    <w:p w14:paraId="6B5E126F">
      <w:pPr>
        <w:pStyle w:val="153"/>
        <w:spacing w:before="156" w:after="156"/>
        <w:rPr>
          <w:rFonts w:hint="eastAsia"/>
        </w:rPr>
      </w:pPr>
      <w:r>
        <w:t>8.5.1</w:t>
      </w:r>
      <w:r>
        <w:rPr>
          <w:rFonts w:hint="eastAsia"/>
        </w:rPr>
        <w:t xml:space="preserve"> 自控</w:t>
      </w:r>
    </w:p>
    <w:p w14:paraId="12F620C4">
      <w:pPr>
        <w:pStyle w:val="155"/>
        <w:rPr>
          <w:rFonts w:ascii="Times New Roman"/>
        </w:rPr>
      </w:pPr>
      <w:r>
        <w:rPr>
          <w:rFonts w:hint="eastAsia"/>
        </w:rPr>
        <w:t>分析数据采</w:t>
      </w:r>
      <w:r>
        <w:rPr>
          <w:rFonts w:hint="eastAsia" w:ascii="Times New Roman"/>
        </w:rPr>
        <w:t>集</w:t>
      </w:r>
      <w:r>
        <w:rPr>
          <w:rFonts w:hint="eastAsia"/>
        </w:rPr>
        <w:t>与监视控制</w:t>
      </w:r>
      <w:r>
        <w:rPr>
          <w:rFonts w:hint="eastAsia" w:ascii="Times New Roman"/>
        </w:rPr>
        <w:t>（</w:t>
      </w:r>
      <w:r>
        <w:rPr>
          <w:rFonts w:ascii="Times New Roman"/>
        </w:rPr>
        <w:t>SCADA</w:t>
      </w:r>
      <w:r>
        <w:rPr>
          <w:rFonts w:hint="eastAsia" w:ascii="Times New Roman"/>
        </w:rPr>
        <w:t>）系统、基本过程控制系统（</w:t>
      </w:r>
      <w:r>
        <w:rPr>
          <w:rFonts w:ascii="Times New Roman"/>
        </w:rPr>
        <w:t>BPCS</w:t>
      </w:r>
      <w:r>
        <w:rPr>
          <w:rFonts w:hint="eastAsia" w:ascii="Times New Roman"/>
        </w:rPr>
        <w:t>）、安全仪表系统（</w:t>
      </w:r>
      <w:r>
        <w:rPr>
          <w:rFonts w:ascii="Times New Roman"/>
        </w:rPr>
        <w:t>SIS</w:t>
      </w:r>
      <w:r>
        <w:rPr>
          <w:rFonts w:hint="eastAsia" w:ascii="Times New Roman"/>
        </w:rPr>
        <w:t>）、管道泄漏检测系统、水击保护系统、压力控制系统、可燃</w:t>
      </w:r>
      <w:r>
        <w:rPr>
          <w:rFonts w:ascii="Times New Roman"/>
        </w:rPr>
        <w:t>（</w:t>
      </w:r>
      <w:r>
        <w:rPr>
          <w:rFonts w:hint="eastAsia" w:ascii="Times New Roman"/>
        </w:rPr>
        <w:t>有毒</w:t>
      </w:r>
      <w:r>
        <w:rPr>
          <w:rFonts w:ascii="Times New Roman"/>
        </w:rPr>
        <w:t>）</w:t>
      </w:r>
      <w:r>
        <w:rPr>
          <w:rFonts w:hint="eastAsia" w:ascii="Times New Roman"/>
        </w:rPr>
        <w:t>气体</w:t>
      </w:r>
      <w:r>
        <w:rPr>
          <w:rFonts w:ascii="Times New Roman"/>
        </w:rPr>
        <w:t>检测系统</w:t>
      </w:r>
      <w:r>
        <w:rPr>
          <w:rFonts w:hint="eastAsia" w:ascii="Times New Roman"/>
        </w:rPr>
        <w:t>、火灾</w:t>
      </w:r>
      <w:r>
        <w:rPr>
          <w:rFonts w:ascii="Times New Roman"/>
        </w:rPr>
        <w:t>自动报警系统、</w:t>
      </w:r>
      <w:r>
        <w:rPr>
          <w:rFonts w:hint="eastAsia" w:ascii="Times New Roman"/>
        </w:rPr>
        <w:t>站控制室的设置、其它安全措施等的设置情况，进行合规性评价。</w:t>
      </w:r>
    </w:p>
    <w:p w14:paraId="0753BD2C">
      <w:pPr>
        <w:pStyle w:val="153"/>
        <w:spacing w:before="156" w:after="156"/>
        <w:rPr>
          <w:rFonts w:hint="eastAsia"/>
        </w:rPr>
      </w:pPr>
      <w:r>
        <w:t>8.5.2</w:t>
      </w:r>
      <w:r>
        <w:rPr>
          <w:rFonts w:hint="eastAsia"/>
        </w:rPr>
        <w:t xml:space="preserve"> 通信</w:t>
      </w:r>
    </w:p>
    <w:p w14:paraId="328CFCC7">
      <w:pPr>
        <w:pStyle w:val="155"/>
      </w:pPr>
      <w:r>
        <w:rPr>
          <w:rFonts w:hint="eastAsia"/>
        </w:rPr>
        <w:t>分析数据传输、安全防范系统、光纤预警系统、电子巡查及巡检系统、防雷及接地、光缆防护等的设置情况，进行合规性评价。</w:t>
      </w:r>
    </w:p>
    <w:p w14:paraId="65CA362F">
      <w:pPr>
        <w:pStyle w:val="153"/>
        <w:spacing w:before="156" w:after="156"/>
        <w:rPr>
          <w:rFonts w:hint="eastAsia"/>
        </w:rPr>
      </w:pPr>
      <w:r>
        <w:t>8.5.3</w:t>
      </w:r>
      <w:r>
        <w:rPr>
          <w:rFonts w:hint="eastAsia"/>
        </w:rPr>
        <w:t xml:space="preserve"> 供配电</w:t>
      </w:r>
    </w:p>
    <w:p w14:paraId="198D8563">
      <w:pPr>
        <w:pStyle w:val="155"/>
      </w:pPr>
      <w:r>
        <w:rPr>
          <w:rFonts w:hint="eastAsia"/>
        </w:rPr>
        <w:t>分析压气站供电系统、站场和阀室电源、变电站（所）、爆炸危险区域划分、主要电气设备、防雷防静电接地等情况，进行合规性评价，并说明采用属于国家明令禁止、淘汰的电气设备情况。</w:t>
      </w:r>
    </w:p>
    <w:p w14:paraId="6542F869">
      <w:pPr>
        <w:pStyle w:val="153"/>
        <w:spacing w:before="156" w:after="156"/>
        <w:rPr>
          <w:rFonts w:hint="eastAsia"/>
        </w:rPr>
      </w:pPr>
      <w:r>
        <w:t>8.5.4</w:t>
      </w:r>
      <w:r>
        <w:rPr>
          <w:rFonts w:hint="eastAsia"/>
        </w:rPr>
        <w:t xml:space="preserve"> 防腐与保温</w:t>
      </w:r>
    </w:p>
    <w:p w14:paraId="5540BEFE">
      <w:pPr>
        <w:pStyle w:val="155"/>
      </w:pPr>
      <w:r>
        <w:rPr>
          <w:rFonts w:hint="eastAsia"/>
        </w:rPr>
        <w:t>分析管道外防腐层及保温层材料和补口方式及其相互兼容性、阴极保护站设置、消除沿线杂散电流干扰等情况，进行合规性评价。</w:t>
      </w:r>
    </w:p>
    <w:p w14:paraId="2FEBF0DD">
      <w:pPr>
        <w:pStyle w:val="153"/>
        <w:spacing w:before="156" w:after="156"/>
        <w:rPr>
          <w:rFonts w:hint="eastAsia"/>
        </w:rPr>
      </w:pPr>
      <w:r>
        <w:t>8.5.5</w:t>
      </w:r>
      <w:r>
        <w:rPr>
          <w:rFonts w:hint="eastAsia"/>
        </w:rPr>
        <w:t xml:space="preserve"> 采暖通风</w:t>
      </w:r>
    </w:p>
    <w:p w14:paraId="098418EB">
      <w:pPr>
        <w:pStyle w:val="155"/>
      </w:pPr>
      <w:r>
        <w:rPr>
          <w:rFonts w:hint="eastAsia"/>
        </w:rPr>
        <w:t>分析通风方式、供热设施或外接热源等情况，进行合规性评价。</w:t>
      </w:r>
    </w:p>
    <w:p w14:paraId="2BBC9F8D">
      <w:pPr>
        <w:pStyle w:val="153"/>
        <w:spacing w:before="156" w:after="156"/>
        <w:rPr>
          <w:rFonts w:hint="eastAsia"/>
        </w:rPr>
      </w:pPr>
      <w:r>
        <w:t>8.5.6</w:t>
      </w:r>
      <w:r>
        <w:rPr>
          <w:rFonts w:hint="eastAsia"/>
        </w:rPr>
        <w:t xml:space="preserve"> 建（构）筑物</w:t>
      </w:r>
    </w:p>
    <w:p w14:paraId="7E41B631">
      <w:pPr>
        <w:pStyle w:val="155"/>
      </w:pPr>
      <w:r>
        <w:rPr>
          <w:rFonts w:hint="eastAsia"/>
        </w:rPr>
        <w:t>分析建（构）筑物</w:t>
      </w:r>
      <w:r>
        <w:rPr>
          <w:rFonts w:hint="eastAsia" w:ascii="Times New Roman"/>
        </w:rPr>
        <w:t>防火、防爆、防腐、耐火保护等情况</w:t>
      </w:r>
      <w:r>
        <w:rPr>
          <w:rFonts w:hint="eastAsia"/>
        </w:rPr>
        <w:t>，</w:t>
      </w:r>
      <w:r>
        <w:rPr>
          <w:rFonts w:hint="eastAsia" w:ascii="Times New Roman"/>
        </w:rPr>
        <w:t>以及不良地质土层的地基基础类型和采取措施情况，</w:t>
      </w:r>
      <w:r>
        <w:rPr>
          <w:rFonts w:hint="eastAsia"/>
        </w:rPr>
        <w:t>进行合规性评价。</w:t>
      </w:r>
    </w:p>
    <w:p w14:paraId="39F76B10">
      <w:pPr>
        <w:pStyle w:val="3"/>
        <w:rPr>
          <w:rFonts w:hint="eastAsia"/>
        </w:rPr>
      </w:pPr>
      <w:bookmarkStart w:id="114" w:name="_Toc174117989"/>
      <w:bookmarkStart w:id="115" w:name="_Toc180478634"/>
      <w:r>
        <w:t xml:space="preserve">9 </w:t>
      </w:r>
      <w:r>
        <w:rPr>
          <w:rFonts w:hint="eastAsia"/>
        </w:rPr>
        <w:t>安全管理</w:t>
      </w:r>
      <w:bookmarkEnd w:id="114"/>
      <w:bookmarkEnd w:id="115"/>
    </w:p>
    <w:p w14:paraId="63D328FD">
      <w:pPr>
        <w:pStyle w:val="4"/>
        <w:rPr>
          <w:rFonts w:hint="eastAsia"/>
        </w:rPr>
      </w:pPr>
      <w:bookmarkStart w:id="116" w:name="_Toc174117990"/>
      <w:r>
        <w:t xml:space="preserve">9.1 </w:t>
      </w:r>
      <w:r>
        <w:rPr>
          <w:rFonts w:hint="eastAsia"/>
        </w:rPr>
        <w:t>安全管理机构设置</w:t>
      </w:r>
      <w:bookmarkEnd w:id="116"/>
    </w:p>
    <w:p w14:paraId="36D86C7E">
      <w:pPr>
        <w:pStyle w:val="155"/>
      </w:pPr>
      <w:r>
        <w:rPr>
          <w:rFonts w:hint="eastAsia"/>
        </w:rPr>
        <w:t>说明建设项目安全管理机构的设置和隶属关系，并进行合理性评价。</w:t>
      </w:r>
    </w:p>
    <w:p w14:paraId="27C6FDE9">
      <w:pPr>
        <w:pStyle w:val="4"/>
        <w:rPr>
          <w:rFonts w:hint="eastAsia"/>
        </w:rPr>
      </w:pPr>
      <w:bookmarkStart w:id="117" w:name="_Toc174117991"/>
      <w:r>
        <w:t xml:space="preserve">9.2 </w:t>
      </w:r>
      <w:r>
        <w:rPr>
          <w:rFonts w:hint="eastAsia"/>
        </w:rPr>
        <w:t>人员编制与安全管理人员设置</w:t>
      </w:r>
      <w:bookmarkEnd w:id="117"/>
    </w:p>
    <w:p w14:paraId="180788D9">
      <w:pPr>
        <w:pStyle w:val="155"/>
        <w:rPr>
          <w:rFonts w:ascii="黑体" w:eastAsia="黑体"/>
        </w:rPr>
      </w:pPr>
      <w:r>
        <w:rPr>
          <w:rFonts w:hint="eastAsia"/>
        </w:rPr>
        <w:t>说明建设项目定员编制与安全管理人员设置情况，依托原有管理机构的项目，应说明依托管理机构原定员编制和安全管理人员情况，以及新增定员编制和安全管理人员情况，并进行合规性评价。</w:t>
      </w:r>
    </w:p>
    <w:p w14:paraId="74199EF5">
      <w:pPr>
        <w:pStyle w:val="4"/>
        <w:rPr>
          <w:rFonts w:hint="eastAsia"/>
        </w:rPr>
      </w:pPr>
      <w:bookmarkStart w:id="118" w:name="_Toc174117992"/>
      <w:r>
        <w:t xml:space="preserve">9.3 </w:t>
      </w:r>
      <w:r>
        <w:rPr>
          <w:rFonts w:hint="eastAsia"/>
        </w:rPr>
        <w:t>个体安全防护用品配备</w:t>
      </w:r>
      <w:bookmarkEnd w:id="118"/>
    </w:p>
    <w:p w14:paraId="15F40AB4">
      <w:pPr>
        <w:pStyle w:val="155"/>
      </w:pPr>
      <w:r>
        <w:rPr>
          <w:rFonts w:hint="eastAsia"/>
        </w:rPr>
        <w:t>说明个体安全防护用品配备情况，并进行合规性评价。</w:t>
      </w:r>
    </w:p>
    <w:p w14:paraId="4E4B4BDE">
      <w:pPr>
        <w:pStyle w:val="4"/>
        <w:rPr>
          <w:rFonts w:hint="eastAsia"/>
        </w:rPr>
      </w:pPr>
      <w:bookmarkStart w:id="119" w:name="_Toc174117993"/>
      <w:r>
        <w:t xml:space="preserve">9.4 </w:t>
      </w:r>
      <w:r>
        <w:rPr>
          <w:rFonts w:hint="eastAsia"/>
        </w:rPr>
        <w:t>抢修机构设置及设备配备</w:t>
      </w:r>
      <w:bookmarkEnd w:id="119"/>
    </w:p>
    <w:p w14:paraId="39AA717E">
      <w:pPr>
        <w:pStyle w:val="155"/>
      </w:pPr>
      <w:r>
        <w:rPr>
          <w:rFonts w:hint="eastAsia"/>
        </w:rPr>
        <w:t>说明抢修机构的设置和隶属关系、定员编制、设备配备情况，并进行适用性和满足性评价。</w:t>
      </w:r>
    </w:p>
    <w:p w14:paraId="5AD0D38D">
      <w:pPr>
        <w:pStyle w:val="4"/>
        <w:rPr>
          <w:rFonts w:hint="eastAsia"/>
        </w:rPr>
      </w:pPr>
      <w:bookmarkStart w:id="120" w:name="_Toc174117994"/>
      <w:r>
        <w:t xml:space="preserve">9.5 </w:t>
      </w:r>
      <w:r>
        <w:rPr>
          <w:rFonts w:hint="eastAsia"/>
        </w:rPr>
        <w:t>外部依托力量</w:t>
      </w:r>
    </w:p>
    <w:p w14:paraId="1850ADD4">
      <w:pPr>
        <w:pStyle w:val="155"/>
      </w:pPr>
      <w:r>
        <w:rPr>
          <w:rFonts w:hint="eastAsia"/>
        </w:rPr>
        <w:t>说明建设项目外部力量的可依托性，并进行合理性评价。</w:t>
      </w:r>
    </w:p>
    <w:p w14:paraId="6A295D2E">
      <w:pPr>
        <w:pStyle w:val="4"/>
        <w:rPr>
          <w:rFonts w:hint="eastAsia"/>
        </w:rPr>
      </w:pPr>
      <w:r>
        <w:t xml:space="preserve">9.6 </w:t>
      </w:r>
      <w:r>
        <w:rPr>
          <w:rFonts w:hint="eastAsia"/>
        </w:rPr>
        <w:t>应急预案</w:t>
      </w:r>
    </w:p>
    <w:p w14:paraId="4FE88C45">
      <w:pPr>
        <w:pStyle w:val="155"/>
        <w:ind w:firstLineChars="0"/>
        <w:rPr>
          <w:color w:val="000000" w:themeColor="text1"/>
          <w14:textFill>
            <w14:solidFill>
              <w14:schemeClr w14:val="tx1"/>
            </w14:solidFill>
          </w14:textFill>
        </w:rPr>
      </w:pPr>
      <w:r>
        <w:rPr>
          <w:rFonts w:hint="eastAsia"/>
        </w:rPr>
        <w:t>根据</w:t>
      </w:r>
      <w:r>
        <w:rPr>
          <w:rFonts w:hint="eastAsia"/>
          <w:color w:val="000000" w:themeColor="text1"/>
          <w14:textFill>
            <w14:solidFill>
              <w14:schemeClr w14:val="tx1"/>
            </w14:solidFill>
          </w14:textFill>
        </w:rPr>
        <w:t>危险有害因素辨识结果，针对生产安全事故、自然灾害事件等</w:t>
      </w:r>
      <w:r>
        <w:rPr>
          <w:rFonts w:hint="eastAsia"/>
        </w:rPr>
        <w:t>列出</w:t>
      </w:r>
      <w:r>
        <w:rPr>
          <w:rFonts w:hint="eastAsia"/>
          <w:color w:val="000000" w:themeColor="text1"/>
          <w14:textFill>
            <w14:solidFill>
              <w14:schemeClr w14:val="tx1"/>
            </w14:solidFill>
          </w14:textFill>
        </w:rPr>
        <w:t>需要编制</w:t>
      </w:r>
      <w:r>
        <w:rPr>
          <w:rFonts w:hint="eastAsia"/>
        </w:rPr>
        <w:t>的</w:t>
      </w:r>
      <w:r>
        <w:rPr>
          <w:rFonts w:hint="eastAsia"/>
          <w:color w:val="000000" w:themeColor="text1"/>
          <w14:textFill>
            <w14:solidFill>
              <w14:schemeClr w14:val="tx1"/>
            </w14:solidFill>
          </w14:textFill>
        </w:rPr>
        <w:t>应急预案。</w:t>
      </w:r>
    </w:p>
    <w:p w14:paraId="275A15C0">
      <w:pPr>
        <w:pStyle w:val="4"/>
        <w:rPr>
          <w:rFonts w:hint="eastAsia"/>
        </w:rPr>
      </w:pPr>
      <w:r>
        <w:t xml:space="preserve">9.7 </w:t>
      </w:r>
      <w:r>
        <w:rPr>
          <w:rFonts w:hint="eastAsia"/>
        </w:rPr>
        <w:t>安全投入</w:t>
      </w:r>
      <w:bookmarkEnd w:id="120"/>
    </w:p>
    <w:p w14:paraId="460122B1">
      <w:pPr>
        <w:pStyle w:val="155"/>
      </w:pPr>
      <w:r>
        <w:rPr>
          <w:rFonts w:hint="eastAsia"/>
        </w:rPr>
        <w:t>列出建设项目安全设施投入估算情况。</w:t>
      </w:r>
    </w:p>
    <w:p w14:paraId="349CC621">
      <w:pPr>
        <w:pStyle w:val="3"/>
        <w:rPr>
          <w:rFonts w:hint="eastAsia"/>
        </w:rPr>
      </w:pPr>
      <w:bookmarkStart w:id="121" w:name="_Toc180478635"/>
      <w:bookmarkStart w:id="122" w:name="_Toc174117997"/>
      <w:r>
        <w:t xml:space="preserve">10 </w:t>
      </w:r>
      <w:r>
        <w:rPr>
          <w:rFonts w:hint="eastAsia"/>
        </w:rPr>
        <w:t>结论与建议</w:t>
      </w:r>
      <w:bookmarkEnd w:id="121"/>
      <w:bookmarkEnd w:id="122"/>
    </w:p>
    <w:p w14:paraId="7D69B40E">
      <w:pPr>
        <w:pStyle w:val="4"/>
        <w:rPr>
          <w:rFonts w:hint="eastAsia"/>
        </w:rPr>
      </w:pPr>
      <w:bookmarkStart w:id="123" w:name="_Toc464326131"/>
      <w:bookmarkStart w:id="124" w:name="_Toc174117998"/>
      <w:bookmarkStart w:id="125" w:name="_Toc464326130"/>
      <w:r>
        <w:t xml:space="preserve">10.1 </w:t>
      </w:r>
      <w:r>
        <w:rPr>
          <w:rFonts w:hint="eastAsia"/>
        </w:rPr>
        <w:t>结论</w:t>
      </w:r>
      <w:bookmarkEnd w:id="123"/>
      <w:bookmarkEnd w:id="124"/>
    </w:p>
    <w:p w14:paraId="5B2D75A5">
      <w:pPr>
        <w:pStyle w:val="65"/>
        <w:ind w:firstLine="420"/>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根据上述安全预评价结果，从以下方面给出结论：</w:t>
      </w:r>
    </w:p>
    <w:p w14:paraId="7A071ED1">
      <w:pPr>
        <w:pStyle w:val="65"/>
        <w:ind w:left="850" w:leftChars="200" w:hanging="430" w:hangingChars="205"/>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a</w:t>
      </w:r>
      <w:r>
        <w:rPr>
          <w:rFonts w:hint="eastAsia" w:ascii="Times New Roman"/>
          <w:color w:val="000000" w:themeColor="text1"/>
          <w14:textFill>
            <w14:solidFill>
              <w14:schemeClr w14:val="tx1"/>
            </w14:solidFill>
          </w14:textFill>
        </w:rPr>
        <w:t>）</w:t>
      </w:r>
      <w:r>
        <w:rPr>
          <w:rFonts w:ascii="Times New Roman"/>
          <w:color w:val="000000" w:themeColor="text1"/>
          <w14:textFill>
            <w14:solidFill>
              <w14:schemeClr w14:val="tx1"/>
            </w14:solidFill>
          </w14:textFill>
        </w:rPr>
        <w:t xml:space="preserve"> </w:t>
      </w:r>
      <w:r>
        <w:rPr>
          <w:rFonts w:hint="eastAsia" w:ascii="Times New Roman"/>
          <w:color w:val="000000" w:themeColor="text1"/>
          <w14:textFill>
            <w14:solidFill>
              <w14:schemeClr w14:val="tx1"/>
            </w14:solidFill>
          </w14:textFill>
        </w:rPr>
        <w:t>法规标准的适用性、全面性；</w:t>
      </w:r>
    </w:p>
    <w:p w14:paraId="7E363CFF">
      <w:pPr>
        <w:pStyle w:val="65"/>
        <w:ind w:left="850" w:leftChars="200" w:hanging="430" w:hangingChars="205"/>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b</w:t>
      </w:r>
      <w:r>
        <w:rPr>
          <w:rFonts w:hint="eastAsia" w:ascii="Times New Roman"/>
          <w:color w:val="000000" w:themeColor="text1"/>
          <w14:textFill>
            <w14:solidFill>
              <w14:schemeClr w14:val="tx1"/>
            </w14:solidFill>
          </w14:textFill>
        </w:rPr>
        <w:t>）</w:t>
      </w:r>
      <w:r>
        <w:rPr>
          <w:rFonts w:ascii="Times New Roman"/>
          <w:color w:val="000000" w:themeColor="text1"/>
          <w14:textFill>
            <w14:solidFill>
              <w14:schemeClr w14:val="tx1"/>
            </w14:solidFill>
          </w14:textFill>
        </w:rPr>
        <w:t xml:space="preserve"> </w:t>
      </w:r>
      <w:r>
        <w:rPr>
          <w:rFonts w:hint="eastAsia" w:ascii="Times New Roman"/>
          <w:color w:val="000000" w:themeColor="text1"/>
          <w14:textFill>
            <w14:solidFill>
              <w14:schemeClr w14:val="tx1"/>
            </w14:solidFill>
          </w14:textFill>
        </w:rPr>
        <w:t>危险有害因素辨识结论；</w:t>
      </w:r>
    </w:p>
    <w:p w14:paraId="01CEF342">
      <w:pPr>
        <w:pStyle w:val="65"/>
        <w:ind w:left="850" w:leftChars="200" w:hanging="430" w:hangingChars="205"/>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 xml:space="preserve">c） </w:t>
      </w:r>
      <w:r>
        <w:rPr>
          <w:rFonts w:hint="eastAsia" w:ascii="Times New Roman"/>
          <w:color w:val="000000" w:themeColor="text1"/>
          <w14:textFill>
            <w14:solidFill>
              <w14:schemeClr w14:val="tx1"/>
            </w14:solidFill>
          </w14:textFill>
        </w:rPr>
        <w:t>选用的主要技术、工艺的安全可靠性；</w:t>
      </w:r>
    </w:p>
    <w:p w14:paraId="7B56DEC0">
      <w:pPr>
        <w:pStyle w:val="65"/>
        <w:ind w:left="850" w:leftChars="200" w:hanging="430" w:hangingChars="205"/>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 xml:space="preserve">d） </w:t>
      </w:r>
      <w:r>
        <w:rPr>
          <w:rFonts w:hint="eastAsia" w:ascii="Times New Roman"/>
          <w:color w:val="000000" w:themeColor="text1"/>
          <w14:textFill>
            <w14:solidFill>
              <w14:schemeClr w14:val="tx1"/>
            </w14:solidFill>
          </w14:textFill>
        </w:rPr>
        <w:t>基本安全条件、线路、站场和公用工程的合规性；</w:t>
      </w:r>
    </w:p>
    <w:p w14:paraId="4EAC594C">
      <w:pPr>
        <w:pStyle w:val="65"/>
        <w:ind w:left="850" w:leftChars="200" w:hanging="430" w:hangingChars="205"/>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e</w:t>
      </w:r>
      <w:r>
        <w:rPr>
          <w:rFonts w:hint="eastAsia" w:ascii="Times New Roman"/>
          <w:color w:val="000000" w:themeColor="text1"/>
          <w14:textFill>
            <w14:solidFill>
              <w14:schemeClr w14:val="tx1"/>
            </w14:solidFill>
          </w14:textFill>
        </w:rPr>
        <w:t>）</w:t>
      </w:r>
      <w:r>
        <w:rPr>
          <w:rFonts w:ascii="Times New Roman"/>
          <w:color w:val="000000" w:themeColor="text1"/>
          <w14:textFill>
            <w14:solidFill>
              <w14:schemeClr w14:val="tx1"/>
            </w14:solidFill>
          </w14:textFill>
        </w:rPr>
        <w:t xml:space="preserve"> </w:t>
      </w:r>
      <w:r>
        <w:rPr>
          <w:rFonts w:hint="eastAsia" w:ascii="Times New Roman"/>
          <w:color w:val="000000" w:themeColor="text1"/>
          <w14:textFill>
            <w14:solidFill>
              <w14:schemeClr w14:val="tx1"/>
            </w14:solidFill>
          </w14:textFill>
        </w:rPr>
        <w:t>安全管理的合理性；</w:t>
      </w:r>
    </w:p>
    <w:p w14:paraId="44EA9898">
      <w:pPr>
        <w:pStyle w:val="65"/>
        <w:ind w:left="850" w:leftChars="200" w:hanging="430" w:hangingChars="205"/>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 xml:space="preserve">f） </w:t>
      </w:r>
      <w:r>
        <w:rPr>
          <w:rFonts w:hint="eastAsia" w:ascii="Times New Roman"/>
          <w:color w:val="000000" w:themeColor="text1"/>
          <w14:textFill>
            <w14:solidFill>
              <w14:schemeClr w14:val="tx1"/>
            </w14:solidFill>
          </w14:textFill>
        </w:rPr>
        <w:t>提出的安全对策与建议的可行性；</w:t>
      </w:r>
    </w:p>
    <w:p w14:paraId="76ECCCD7">
      <w:pPr>
        <w:pStyle w:val="65"/>
        <w:ind w:left="850" w:leftChars="200" w:hanging="430" w:hangingChars="205"/>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 xml:space="preserve">g） </w:t>
      </w:r>
      <w:r>
        <w:rPr>
          <w:rFonts w:hint="eastAsia" w:ascii="Times New Roman"/>
          <w:color w:val="000000" w:themeColor="text1"/>
          <w14:textFill>
            <w14:solidFill>
              <w14:schemeClr w14:val="tx1"/>
            </w14:solidFill>
          </w14:textFill>
        </w:rPr>
        <w:t>给出明确结论。</w:t>
      </w:r>
    </w:p>
    <w:p w14:paraId="757B5B33">
      <w:pPr>
        <w:pStyle w:val="4"/>
        <w:rPr>
          <w:rFonts w:hint="eastAsia"/>
        </w:rPr>
      </w:pPr>
      <w:bookmarkStart w:id="126" w:name="_Toc174117999"/>
      <w:r>
        <w:t xml:space="preserve">10.2 </w:t>
      </w:r>
      <w:bookmarkEnd w:id="125"/>
      <w:r>
        <w:rPr>
          <w:rFonts w:hint="eastAsia"/>
        </w:rPr>
        <w:t>对安全</w:t>
      </w:r>
      <w:r>
        <w:t>设施</w:t>
      </w:r>
      <w:r>
        <w:rPr>
          <w:rFonts w:hint="eastAsia"/>
        </w:rPr>
        <w:t>设计的建议</w:t>
      </w:r>
      <w:bookmarkEnd w:id="126"/>
    </w:p>
    <w:p w14:paraId="1866A08D">
      <w:pPr>
        <w:pStyle w:val="65"/>
        <w:ind w:firstLine="420"/>
        <w:rPr>
          <w:rFonts w:ascii="Times New Roman"/>
          <w:color w:val="000000" w:themeColor="text1"/>
          <w:u w:color="000000"/>
          <w14:textFill>
            <w14:solidFill>
              <w14:schemeClr w14:val="tx1"/>
            </w14:solidFill>
          </w14:textFill>
        </w:rPr>
      </w:pPr>
      <w:r>
        <w:rPr>
          <w:rFonts w:hint="eastAsia"/>
          <w:color w:val="000000" w:themeColor="text1"/>
          <w14:textFill>
            <w14:solidFill>
              <w14:schemeClr w14:val="tx1"/>
            </w14:solidFill>
          </w14:textFill>
        </w:rPr>
        <w:t>对项目安全设施设计提出有针对性的安全设施设计建议。</w:t>
      </w:r>
    </w:p>
    <w:p w14:paraId="3429FFCA">
      <w:pPr>
        <w:pStyle w:val="4"/>
        <w:rPr>
          <w:rFonts w:hint="eastAsia"/>
        </w:rPr>
      </w:pPr>
      <w:bookmarkStart w:id="127" w:name="_Toc174118000"/>
      <w:r>
        <w:t>10.3</w:t>
      </w:r>
      <w:r>
        <w:rPr>
          <w:rFonts w:hint="eastAsia"/>
        </w:rPr>
        <w:t xml:space="preserve"> 对施工的建议</w:t>
      </w:r>
      <w:bookmarkEnd w:id="127"/>
    </w:p>
    <w:p w14:paraId="4A46B58F">
      <w:pPr>
        <w:pStyle w:val="65"/>
        <w:ind w:firstLine="420"/>
        <w:rPr>
          <w:rFonts w:ascii="Times New Roman"/>
          <w:color w:val="000000" w:themeColor="text1"/>
          <w:u w:color="000000"/>
          <w14:textFill>
            <w14:solidFill>
              <w14:schemeClr w14:val="tx1"/>
            </w14:solidFill>
          </w14:textFill>
        </w:rPr>
      </w:pPr>
      <w:bookmarkStart w:id="128" w:name="_Hlk512942514"/>
      <w:r>
        <w:rPr>
          <w:rFonts w:hint="eastAsia"/>
          <w:color w:val="000000" w:themeColor="text1"/>
          <w14:textFill>
            <w14:solidFill>
              <w14:schemeClr w14:val="tx1"/>
            </w14:solidFill>
          </w14:textFill>
        </w:rPr>
        <w:t>对项目施工提出有针对性的安全对策与建议。</w:t>
      </w:r>
      <w:bookmarkEnd w:id="128"/>
    </w:p>
    <w:p w14:paraId="15B00C3D">
      <w:pPr>
        <w:pStyle w:val="4"/>
        <w:rPr>
          <w:rFonts w:hint="eastAsia"/>
        </w:rPr>
      </w:pPr>
      <w:bookmarkStart w:id="129" w:name="_Toc174118001"/>
      <w:r>
        <w:t>10.4</w:t>
      </w:r>
      <w:r>
        <w:rPr>
          <w:rFonts w:hint="eastAsia"/>
        </w:rPr>
        <w:t xml:space="preserve"> 对生产运行的建议</w:t>
      </w:r>
      <w:bookmarkEnd w:id="129"/>
    </w:p>
    <w:p w14:paraId="1DD2391C">
      <w:pPr>
        <w:pStyle w:val="65"/>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对项目生产运行提出有针对性的安全对策与建议。</w:t>
      </w:r>
    </w:p>
    <w:p w14:paraId="24E59C73">
      <w:pPr>
        <w:pStyle w:val="3"/>
        <w:rPr>
          <w:rFonts w:hint="eastAsia"/>
        </w:rPr>
      </w:pPr>
      <w:bookmarkStart w:id="130" w:name="_Toc174118002"/>
      <w:bookmarkStart w:id="131" w:name="_Toc180478636"/>
      <w:r>
        <w:t xml:space="preserve">11 </w:t>
      </w:r>
      <w:r>
        <w:rPr>
          <w:rFonts w:hint="eastAsia"/>
        </w:rPr>
        <w:t>与建设单位交换意见</w:t>
      </w:r>
      <w:bookmarkEnd w:id="130"/>
      <w:bookmarkEnd w:id="131"/>
    </w:p>
    <w:p w14:paraId="17AFA0E0">
      <w:pPr>
        <w:pStyle w:val="65"/>
        <w:ind w:firstLine="0" w:firstLineChars="0"/>
        <w:rPr>
          <w:rFonts w:ascii="Times New Roman"/>
        </w:rPr>
      </w:pPr>
      <w:r>
        <w:rPr>
          <w:rFonts w:ascii="黑体" w:eastAsia="黑体"/>
          <w:color w:val="000000" w:themeColor="text1"/>
          <w14:textFill>
            <w14:solidFill>
              <w14:schemeClr w14:val="tx1"/>
            </w14:solidFill>
          </w14:textFill>
        </w:rPr>
        <w:t xml:space="preserve">11.1 </w:t>
      </w:r>
      <w:r>
        <w:rPr>
          <w:rFonts w:hint="eastAsia" w:hAnsi="宋体"/>
          <w:szCs w:val="21"/>
        </w:rPr>
        <w:t>列出建设单位对</w:t>
      </w:r>
      <w:r>
        <w:rPr>
          <w:rStyle w:val="156"/>
          <w:rFonts w:hint="eastAsia"/>
        </w:rPr>
        <w:t>安全预评价报告的内审意</w:t>
      </w:r>
      <w:r>
        <w:rPr>
          <w:rFonts w:hint="eastAsia" w:ascii="Times New Roman"/>
        </w:rPr>
        <w:t>见，见</w:t>
      </w:r>
      <w:r>
        <w:rPr>
          <w:rFonts w:ascii="Times New Roman"/>
        </w:rPr>
        <w:t>12.1</w:t>
      </w:r>
      <w:r>
        <w:rPr>
          <w:rFonts w:hint="eastAsia" w:ascii="Times New Roman"/>
        </w:rPr>
        <w:t>的j）。</w:t>
      </w:r>
    </w:p>
    <w:p w14:paraId="47BB7496">
      <w:pPr>
        <w:pStyle w:val="65"/>
        <w:ind w:firstLine="0" w:firstLineChars="0"/>
        <w:rPr>
          <w:rFonts w:hint="eastAsia" w:hAnsi="宋体"/>
          <w:color w:val="000000" w:themeColor="text1"/>
          <w14:textFill>
            <w14:solidFill>
              <w14:schemeClr w14:val="tx1"/>
            </w14:solidFill>
          </w14:textFill>
        </w:rPr>
      </w:pPr>
      <w:r>
        <w:rPr>
          <w:rFonts w:ascii="黑体" w:eastAsia="黑体"/>
          <w:color w:val="000000" w:themeColor="text1"/>
          <w14:textFill>
            <w14:solidFill>
              <w14:schemeClr w14:val="tx1"/>
            </w14:solidFill>
          </w14:textFill>
        </w:rPr>
        <w:t xml:space="preserve">11.2 </w:t>
      </w:r>
      <w:r>
        <w:rPr>
          <w:rFonts w:hint="eastAsia" w:ascii="Times New Roman"/>
          <w:color w:val="000000" w:themeColor="text1"/>
          <w14:textFill>
            <w14:solidFill>
              <w14:schemeClr w14:val="tx1"/>
            </w14:solidFill>
          </w14:textFill>
        </w:rPr>
        <w:t>安全评价机构</w:t>
      </w:r>
      <w:r>
        <w:rPr>
          <w:rFonts w:hint="eastAsia" w:hAnsi="宋体"/>
          <w:color w:val="000000" w:themeColor="text1"/>
          <w14:textFill>
            <w14:solidFill>
              <w14:schemeClr w14:val="tx1"/>
            </w14:solidFill>
          </w14:textFill>
        </w:rPr>
        <w:t>与建设单位对安全预评价报告中某些内容未达成一致意见时，应在安全预评价报告中如实说明建设单位的意见及其理由。</w:t>
      </w:r>
    </w:p>
    <w:p w14:paraId="7D7475B5">
      <w:pPr>
        <w:pStyle w:val="3"/>
        <w:tabs>
          <w:tab w:val="left" w:pos="3664"/>
        </w:tabs>
        <w:rPr>
          <w:rFonts w:hint="eastAsia" w:hAnsi="宋体"/>
        </w:rPr>
      </w:pPr>
      <w:bookmarkStart w:id="132" w:name="_Toc180478637"/>
      <w:bookmarkStart w:id="133" w:name="_Toc174118003"/>
      <w:r>
        <w:t xml:space="preserve">12 </w:t>
      </w:r>
      <w:r>
        <w:rPr>
          <w:rFonts w:hint="eastAsia"/>
        </w:rPr>
        <w:t>附件与附图</w:t>
      </w:r>
      <w:bookmarkEnd w:id="132"/>
      <w:bookmarkEnd w:id="133"/>
      <w:r>
        <w:tab/>
      </w:r>
    </w:p>
    <w:p w14:paraId="77D48B13">
      <w:pPr>
        <w:pStyle w:val="4"/>
        <w:rPr>
          <w:rFonts w:hint="eastAsia"/>
        </w:rPr>
      </w:pPr>
      <w:bookmarkStart w:id="134" w:name="_Toc174118004"/>
      <w:r>
        <w:t xml:space="preserve">12.1 </w:t>
      </w:r>
      <w:r>
        <w:rPr>
          <w:rFonts w:hint="eastAsia"/>
        </w:rPr>
        <w:t>附件</w:t>
      </w:r>
      <w:bookmarkEnd w:id="134"/>
    </w:p>
    <w:p w14:paraId="2FE84E84">
      <w:pPr>
        <w:ind w:firstLine="420" w:firstLineChars="200"/>
        <w:jc w:val="left"/>
        <w:rPr>
          <w:lang w:val="zh-CN"/>
        </w:rPr>
      </w:pPr>
      <w:r>
        <w:rPr>
          <w:rFonts w:hint="eastAsia"/>
          <w:lang w:val="zh-CN"/>
        </w:rPr>
        <w:t>附件应包括但不限于以下建设项目内容的复印件：</w:t>
      </w:r>
    </w:p>
    <w:p w14:paraId="7E18E61B">
      <w:pPr>
        <w:ind w:firstLine="420" w:firstLineChars="200"/>
        <w:jc w:val="left"/>
        <w:rPr>
          <w:lang w:val="zh-CN"/>
        </w:rPr>
      </w:pPr>
      <w:r>
        <w:rPr>
          <w:lang w:val="zh-CN"/>
        </w:rPr>
        <w:t>a</w:t>
      </w:r>
      <w:r>
        <w:rPr>
          <w:rFonts w:hint="eastAsia"/>
          <w:lang w:val="zh-CN"/>
        </w:rPr>
        <w:t>） 审批（核准、备案）文件；</w:t>
      </w:r>
    </w:p>
    <w:p w14:paraId="1C4096F1">
      <w:pPr>
        <w:ind w:firstLine="420" w:firstLineChars="200"/>
        <w:jc w:val="left"/>
        <w:rPr>
          <w:lang w:val="zh-CN"/>
        </w:rPr>
      </w:pPr>
      <w:r>
        <w:rPr>
          <w:rFonts w:hint="eastAsia"/>
          <w:lang w:val="zh-CN"/>
        </w:rPr>
        <w:t>b） 可行性研究报告批复文件；</w:t>
      </w:r>
    </w:p>
    <w:p w14:paraId="74EB5C36">
      <w:pPr>
        <w:ind w:firstLine="420" w:firstLineChars="200"/>
        <w:jc w:val="left"/>
        <w:rPr>
          <w:lang w:val="zh-CN"/>
        </w:rPr>
      </w:pPr>
      <w:r>
        <w:rPr>
          <w:rFonts w:hint="eastAsia"/>
          <w:lang w:val="zh-CN"/>
        </w:rPr>
        <w:t>c） 路由规划许可意见；</w:t>
      </w:r>
    </w:p>
    <w:p w14:paraId="043D7A75">
      <w:pPr>
        <w:ind w:firstLine="420" w:firstLineChars="200"/>
        <w:jc w:val="left"/>
        <w:rPr>
          <w:lang w:val="zh-CN"/>
        </w:rPr>
      </w:pPr>
      <w:r>
        <w:rPr>
          <w:rFonts w:hint="eastAsia"/>
          <w:lang w:val="zh-CN"/>
        </w:rPr>
        <w:t>d） 站场规划选址许可意见；</w:t>
      </w:r>
    </w:p>
    <w:p w14:paraId="458F9147">
      <w:pPr>
        <w:ind w:firstLine="420" w:firstLineChars="200"/>
        <w:jc w:val="left"/>
        <w:rPr>
          <w:lang w:val="zh-CN"/>
        </w:rPr>
      </w:pPr>
      <w:r>
        <w:rPr>
          <w:rFonts w:hint="eastAsia"/>
          <w:lang w:val="zh-CN"/>
        </w:rPr>
        <w:t>e） 建设单位的营业执照；</w:t>
      </w:r>
    </w:p>
    <w:p w14:paraId="2FC5222B">
      <w:pPr>
        <w:ind w:firstLine="420" w:firstLineChars="200"/>
        <w:jc w:val="left"/>
        <w:rPr>
          <w:lang w:val="zh-CN"/>
        </w:rPr>
      </w:pPr>
      <w:r>
        <w:rPr>
          <w:lang w:val="zh-CN"/>
        </w:rPr>
        <w:t>f</w:t>
      </w:r>
      <w:r>
        <w:rPr>
          <w:rFonts w:hint="eastAsia"/>
          <w:lang w:val="zh-CN"/>
        </w:rPr>
        <w:t>） 可行性研究报告编制单位的营业执照；</w:t>
      </w:r>
    </w:p>
    <w:p w14:paraId="38BC8923">
      <w:pPr>
        <w:ind w:firstLine="420" w:firstLineChars="200"/>
        <w:jc w:val="left"/>
        <w:rPr>
          <w:lang w:val="zh-CN"/>
        </w:rPr>
      </w:pPr>
      <w:r>
        <w:rPr>
          <w:lang w:val="zh-CN"/>
        </w:rPr>
        <w:t>g</w:t>
      </w:r>
      <w:r>
        <w:rPr>
          <w:rFonts w:hint="eastAsia"/>
          <w:lang w:val="zh-CN"/>
        </w:rPr>
        <w:t>） 安全</w:t>
      </w:r>
      <w:r>
        <w:rPr>
          <w:rFonts w:hint="eastAsia"/>
        </w:rPr>
        <w:t>预</w:t>
      </w:r>
      <w:r>
        <w:rPr>
          <w:rFonts w:hint="eastAsia"/>
          <w:lang w:val="zh-CN"/>
        </w:rPr>
        <w:t>评价委托书；</w:t>
      </w:r>
    </w:p>
    <w:p w14:paraId="33E5E26D">
      <w:pPr>
        <w:ind w:firstLine="420" w:firstLineChars="200"/>
        <w:jc w:val="left"/>
        <w:rPr>
          <w:lang w:val="zh-CN"/>
        </w:rPr>
      </w:pPr>
      <w:r>
        <w:rPr>
          <w:lang w:val="zh-CN"/>
        </w:rPr>
        <w:t>h</w:t>
      </w:r>
      <w:r>
        <w:rPr>
          <w:rFonts w:hint="eastAsia"/>
          <w:lang w:val="zh-CN"/>
        </w:rPr>
        <w:t>） 历次安全条件审查意见及修改情况；</w:t>
      </w:r>
    </w:p>
    <w:p w14:paraId="152C39DB">
      <w:pPr>
        <w:ind w:firstLine="420" w:firstLineChars="200"/>
        <w:jc w:val="left"/>
      </w:pPr>
      <w:r>
        <w:rPr>
          <w:lang w:val="zh-CN"/>
        </w:rPr>
        <w:t>i</w:t>
      </w:r>
      <w:r>
        <w:rPr>
          <w:rFonts w:hint="eastAsia"/>
          <w:lang w:val="zh-CN"/>
        </w:rPr>
        <w:t>） 人员密集型</w:t>
      </w:r>
      <w:r>
        <w:rPr>
          <w:lang w:val="zh-CN"/>
        </w:rPr>
        <w:t>高后果</w:t>
      </w:r>
      <w:r>
        <w:rPr>
          <w:rFonts w:hint="eastAsia"/>
          <w:lang w:val="zh-CN"/>
        </w:rPr>
        <w:t>区示意图</w:t>
      </w:r>
      <w:r>
        <w:rPr>
          <w:rFonts w:hint="eastAsia"/>
        </w:rPr>
        <w:t>及说明</w:t>
      </w:r>
      <w:r>
        <w:rPr>
          <w:rFonts w:hint="eastAsia"/>
          <w:lang w:val="zh-CN"/>
        </w:rPr>
        <w:t>；</w:t>
      </w:r>
    </w:p>
    <w:p w14:paraId="5CB43A42">
      <w:pPr>
        <w:ind w:firstLine="420" w:firstLineChars="200"/>
        <w:jc w:val="left"/>
        <w:rPr>
          <w:lang w:val="zh-CN"/>
        </w:rPr>
      </w:pPr>
      <w:r>
        <w:rPr>
          <w:lang w:val="zh-CN"/>
        </w:rPr>
        <w:t>j</w:t>
      </w:r>
      <w:r>
        <w:rPr>
          <w:rFonts w:hint="eastAsia"/>
          <w:lang w:val="zh-CN"/>
        </w:rPr>
        <w:t>） 建设单位内审意见。</w:t>
      </w:r>
    </w:p>
    <w:p w14:paraId="092BDC8F">
      <w:pPr>
        <w:pStyle w:val="4"/>
        <w:rPr>
          <w:rFonts w:hint="eastAsia"/>
        </w:rPr>
      </w:pPr>
      <w:bookmarkStart w:id="135" w:name="_Toc174118005"/>
      <w:r>
        <w:t xml:space="preserve">12.2 </w:t>
      </w:r>
      <w:r>
        <w:rPr>
          <w:rFonts w:hint="eastAsia"/>
        </w:rPr>
        <w:t>附图</w:t>
      </w:r>
      <w:bookmarkEnd w:id="135"/>
    </w:p>
    <w:p w14:paraId="72B9009C">
      <w:pPr>
        <w:pStyle w:val="65"/>
        <w:ind w:firstLine="420"/>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附图应包括但不限于以下清晰、合规的图纸：</w:t>
      </w:r>
    </w:p>
    <w:p w14:paraId="3E595662">
      <w:pPr>
        <w:pStyle w:val="65"/>
        <w:ind w:firstLine="420"/>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 xml:space="preserve">a） </w:t>
      </w:r>
      <w:r>
        <w:rPr>
          <w:rFonts w:hint="eastAsia" w:ascii="Times New Roman"/>
          <w:color w:val="000000" w:themeColor="text1"/>
          <w14:textFill>
            <w14:solidFill>
              <w14:schemeClr w14:val="tx1"/>
            </w14:solidFill>
          </w14:textFill>
        </w:rPr>
        <w:t>油气管道线路走向示意图；</w:t>
      </w:r>
    </w:p>
    <w:p w14:paraId="0453D53B">
      <w:pPr>
        <w:pStyle w:val="65"/>
        <w:ind w:firstLine="420"/>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 xml:space="preserve">b） </w:t>
      </w:r>
      <w:r>
        <w:rPr>
          <w:rFonts w:hint="eastAsia" w:ascii="Times New Roman"/>
          <w:color w:val="000000" w:themeColor="text1"/>
          <w14:textFill>
            <w14:solidFill>
              <w14:schemeClr w14:val="tx1"/>
            </w14:solidFill>
          </w14:textFill>
        </w:rPr>
        <w:t>站场区域位置图；</w:t>
      </w:r>
    </w:p>
    <w:p w14:paraId="1F27F3EE">
      <w:pPr>
        <w:pStyle w:val="65"/>
        <w:ind w:firstLine="420"/>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 xml:space="preserve">c） </w:t>
      </w:r>
      <w:r>
        <w:rPr>
          <w:rFonts w:hint="eastAsia" w:ascii="Times New Roman"/>
          <w:color w:val="000000" w:themeColor="text1"/>
          <w14:textFill>
            <w14:solidFill>
              <w14:schemeClr w14:val="tx1"/>
            </w14:solidFill>
          </w14:textFill>
        </w:rPr>
        <w:t>站场和典型阀室总平面布置图；</w:t>
      </w:r>
    </w:p>
    <w:p w14:paraId="5AC5AD7A">
      <w:pPr>
        <w:pStyle w:val="65"/>
        <w:ind w:firstLine="420"/>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d）</w:t>
      </w:r>
      <w:r>
        <w:rPr>
          <w:rFonts w:hint="eastAsia" w:ascii="Times New Roman"/>
          <w:color w:val="000000" w:themeColor="text1"/>
          <w14:textFill>
            <w14:solidFill>
              <w14:schemeClr w14:val="tx1"/>
            </w14:solidFill>
          </w14:textFill>
        </w:rPr>
        <w:t xml:space="preserve"> </w:t>
      </w:r>
      <w:r>
        <w:rPr>
          <w:rFonts w:hint="eastAsia"/>
        </w:rPr>
        <w:t>工艺系统图；</w:t>
      </w:r>
    </w:p>
    <w:p w14:paraId="6C9D0E1D">
      <w:pPr>
        <w:pStyle w:val="65"/>
        <w:ind w:firstLine="420"/>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 xml:space="preserve">e） </w:t>
      </w:r>
      <w:r>
        <w:rPr>
          <w:rFonts w:hint="eastAsia" w:ascii="Times New Roman"/>
          <w:color w:val="000000" w:themeColor="text1"/>
          <w14:textFill>
            <w14:solidFill>
              <w14:schemeClr w14:val="tx1"/>
            </w14:solidFill>
          </w14:textFill>
        </w:rPr>
        <w:t>站场和典型阀室工艺流程图；</w:t>
      </w:r>
    </w:p>
    <w:p w14:paraId="603364D8">
      <w:pPr>
        <w:pStyle w:val="65"/>
        <w:ind w:firstLine="420"/>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 xml:space="preserve">f） </w:t>
      </w:r>
      <w:r>
        <w:rPr>
          <w:rFonts w:hint="eastAsia" w:ascii="Times New Roman"/>
          <w:color w:val="000000" w:themeColor="text1"/>
          <w14:textFill>
            <w14:solidFill>
              <w14:schemeClr w14:val="tx1"/>
            </w14:solidFill>
          </w14:textFill>
        </w:rPr>
        <w:t>典型穿（跨）越平面图；输油管道纵断面图；</w:t>
      </w:r>
    </w:p>
    <w:p w14:paraId="2EB0AB7B">
      <w:pPr>
        <w:pStyle w:val="65"/>
        <w:ind w:firstLine="420"/>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 xml:space="preserve">g） </w:t>
      </w:r>
      <w:r>
        <w:rPr>
          <w:rFonts w:hint="eastAsia" w:ascii="Times New Roman"/>
          <w:color w:val="000000" w:themeColor="text1"/>
          <w14:textFill>
            <w14:solidFill>
              <w14:schemeClr w14:val="tx1"/>
            </w14:solidFill>
          </w14:textFill>
        </w:rPr>
        <w:t>爆炸危险区域划分图；</w:t>
      </w:r>
    </w:p>
    <w:p w14:paraId="4AAF4E92">
      <w:pPr>
        <w:pStyle w:val="65"/>
        <w:ind w:firstLine="420"/>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h） SCADA</w:t>
      </w:r>
      <w:r>
        <w:rPr>
          <w:rFonts w:hint="eastAsia" w:ascii="Times New Roman"/>
          <w:color w:val="000000" w:themeColor="text1"/>
          <w14:textFill>
            <w14:solidFill>
              <w14:schemeClr w14:val="tx1"/>
            </w14:solidFill>
          </w14:textFill>
        </w:rPr>
        <w:t>系统和站控系统结构图；</w:t>
      </w:r>
    </w:p>
    <w:p w14:paraId="42661C6B">
      <w:pPr>
        <w:pStyle w:val="65"/>
        <w:ind w:firstLine="420"/>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 xml:space="preserve">i） </w:t>
      </w:r>
      <w:r>
        <w:rPr>
          <w:rFonts w:hint="eastAsia" w:ascii="Times New Roman"/>
          <w:color w:val="000000" w:themeColor="text1"/>
          <w14:textFill>
            <w14:solidFill>
              <w14:schemeClr w14:val="tx1"/>
            </w14:solidFill>
          </w14:textFill>
        </w:rPr>
        <w:t>其他安全评价过程制作的图表。</w:t>
      </w:r>
    </w:p>
    <w:p w14:paraId="625D057E">
      <w:pPr>
        <w:pStyle w:val="3"/>
        <w:rPr>
          <w:rFonts w:hint="eastAsia"/>
        </w:rPr>
      </w:pPr>
      <w:bookmarkStart w:id="136" w:name="_Toc180478638"/>
      <w:bookmarkStart w:id="137" w:name="_Toc174118006"/>
      <w:r>
        <w:t xml:space="preserve">13 </w:t>
      </w:r>
      <w:r>
        <w:rPr>
          <w:rFonts w:hint="eastAsia"/>
        </w:rPr>
        <w:t>报告编制要求</w:t>
      </w:r>
      <w:bookmarkEnd w:id="136"/>
      <w:bookmarkEnd w:id="137"/>
    </w:p>
    <w:p w14:paraId="25A89DB3">
      <w:pPr>
        <w:pStyle w:val="4"/>
        <w:rPr>
          <w:rFonts w:hint="eastAsia"/>
          <w:lang w:val="en-US"/>
        </w:rPr>
      </w:pPr>
      <w:bookmarkStart w:id="138" w:name="_Toc174118007"/>
      <w:r>
        <w:t xml:space="preserve">13.1 </w:t>
      </w:r>
      <w:r>
        <w:rPr>
          <w:rFonts w:hint="eastAsia"/>
        </w:rPr>
        <w:t>结构</w:t>
      </w:r>
      <w:bookmarkEnd w:id="138"/>
      <w:r>
        <w:rPr>
          <w:rFonts w:hint="eastAsia"/>
          <w:lang w:val="en-US"/>
        </w:rPr>
        <w:t>与格式</w:t>
      </w:r>
    </w:p>
    <w:p w14:paraId="50B69738">
      <w:pPr>
        <w:pStyle w:val="153"/>
        <w:spacing w:before="156" w:after="156"/>
        <w:rPr>
          <w:rFonts w:hint="eastAsia"/>
        </w:rPr>
      </w:pPr>
      <w:r>
        <w:t>13</w:t>
      </w:r>
      <w:r>
        <w:rPr>
          <w:rFonts w:hint="eastAsia"/>
        </w:rPr>
        <w:t>.1.1</w:t>
      </w:r>
      <w:r>
        <w:t xml:space="preserve"> </w:t>
      </w:r>
      <w:r>
        <w:rPr>
          <w:rFonts w:hint="eastAsia"/>
        </w:rPr>
        <w:t>封面</w:t>
      </w:r>
    </w:p>
    <w:p w14:paraId="07D42C38">
      <w:pPr>
        <w:pStyle w:val="155"/>
      </w:pPr>
      <w:bookmarkStart w:id="139" w:name="_Hlk512928545"/>
      <w:r>
        <w:rPr>
          <w:rFonts w:hint="eastAsia"/>
        </w:rPr>
        <w:t>封面格式应符合附</w:t>
      </w:r>
      <w:r>
        <w:rPr>
          <w:rFonts w:hint="eastAsia" w:ascii="Times New Roman"/>
        </w:rPr>
        <w:t>录</w:t>
      </w:r>
      <w:r>
        <w:rPr>
          <w:rFonts w:ascii="Times New Roman"/>
        </w:rPr>
        <w:t>C</w:t>
      </w:r>
      <w:r>
        <w:rPr>
          <w:rFonts w:hint="eastAsia"/>
        </w:rPr>
        <w:t>的要求。</w:t>
      </w:r>
      <w:bookmarkEnd w:id="139"/>
    </w:p>
    <w:p w14:paraId="71B110E5">
      <w:pPr>
        <w:pStyle w:val="153"/>
        <w:spacing w:before="156" w:after="156"/>
        <w:rPr>
          <w:rFonts w:hint="eastAsia"/>
        </w:rPr>
      </w:pPr>
      <w:r>
        <w:t>13</w:t>
      </w:r>
      <w:r>
        <w:rPr>
          <w:rFonts w:hint="eastAsia"/>
        </w:rPr>
        <w:t>.1.2</w:t>
      </w:r>
      <w:r>
        <w:t xml:space="preserve"> </w:t>
      </w:r>
      <w:r>
        <w:rPr>
          <w:rFonts w:hint="eastAsia"/>
        </w:rPr>
        <w:t>扉页</w:t>
      </w:r>
    </w:p>
    <w:p w14:paraId="30E21602">
      <w:pPr>
        <w:pStyle w:val="155"/>
      </w:pPr>
      <w:r>
        <w:rPr>
          <w:rFonts w:hint="eastAsia"/>
        </w:rPr>
        <w:t>扉页格式应符合附</w:t>
      </w:r>
      <w:r>
        <w:rPr>
          <w:rFonts w:hint="eastAsia" w:ascii="Times New Roman"/>
        </w:rPr>
        <w:t>录</w:t>
      </w:r>
      <w:r>
        <w:rPr>
          <w:rFonts w:ascii="Times New Roman"/>
        </w:rPr>
        <w:t>D</w:t>
      </w:r>
      <w:r>
        <w:rPr>
          <w:rFonts w:hint="eastAsia" w:ascii="Times New Roman"/>
        </w:rPr>
        <w:t>的</w:t>
      </w:r>
      <w:r>
        <w:rPr>
          <w:rFonts w:hint="eastAsia"/>
        </w:rPr>
        <w:t>要求。</w:t>
      </w:r>
    </w:p>
    <w:p w14:paraId="6C730518">
      <w:pPr>
        <w:pStyle w:val="153"/>
        <w:spacing w:before="156" w:after="156"/>
        <w:rPr>
          <w:rFonts w:hint="eastAsia"/>
        </w:rPr>
      </w:pPr>
      <w:r>
        <w:t>13</w:t>
      </w:r>
      <w:r>
        <w:rPr>
          <w:rFonts w:hint="eastAsia"/>
        </w:rPr>
        <w:t>.1.3</w:t>
      </w:r>
      <w:r>
        <w:t xml:space="preserve"> </w:t>
      </w:r>
      <w:r>
        <w:rPr>
          <w:rFonts w:hint="eastAsia"/>
        </w:rPr>
        <w:t>评价机构资质</w:t>
      </w:r>
    </w:p>
    <w:p w14:paraId="139756AB">
      <w:pPr>
        <w:pStyle w:val="155"/>
      </w:pPr>
      <w:r>
        <w:rPr>
          <w:rFonts w:hint="eastAsia"/>
        </w:rPr>
        <w:t>列出安全评价机构的资质证书。</w:t>
      </w:r>
    </w:p>
    <w:p w14:paraId="2FE495CB">
      <w:pPr>
        <w:pStyle w:val="153"/>
        <w:spacing w:before="156" w:after="156"/>
        <w:rPr>
          <w:rFonts w:hint="eastAsia"/>
        </w:rPr>
      </w:pPr>
      <w:r>
        <w:t>13</w:t>
      </w:r>
      <w:r>
        <w:rPr>
          <w:rFonts w:hint="eastAsia"/>
        </w:rPr>
        <w:t>.1.</w:t>
      </w:r>
      <w:r>
        <w:t xml:space="preserve">4 </w:t>
      </w:r>
      <w:r>
        <w:rPr>
          <w:rFonts w:hint="eastAsia"/>
        </w:rPr>
        <w:t>评价人员名单</w:t>
      </w:r>
    </w:p>
    <w:p w14:paraId="6F536502">
      <w:pPr>
        <w:pStyle w:val="155"/>
      </w:pPr>
      <w:r>
        <w:rPr>
          <w:rFonts w:hint="eastAsia"/>
        </w:rPr>
        <w:t>评价人员名单格式应符合</w:t>
      </w:r>
      <w:r>
        <w:rPr>
          <w:rFonts w:hint="eastAsia" w:ascii="Times New Roman"/>
        </w:rPr>
        <w:t>附录</w:t>
      </w:r>
      <w:r>
        <w:rPr>
          <w:rFonts w:ascii="Times New Roman"/>
        </w:rPr>
        <w:t>E</w:t>
      </w:r>
      <w:r>
        <w:rPr>
          <w:rFonts w:hint="eastAsia"/>
        </w:rPr>
        <w:t>的要求。</w:t>
      </w:r>
    </w:p>
    <w:p w14:paraId="6D56FCE1">
      <w:pPr>
        <w:pStyle w:val="153"/>
        <w:spacing w:before="156" w:after="156"/>
        <w:rPr>
          <w:rFonts w:hint="eastAsia"/>
        </w:rPr>
      </w:pPr>
      <w:r>
        <w:t xml:space="preserve">13.1.5 </w:t>
      </w:r>
      <w:r>
        <w:rPr>
          <w:rFonts w:hint="eastAsia"/>
        </w:rPr>
        <w:t>前言</w:t>
      </w:r>
    </w:p>
    <w:p w14:paraId="3D302705">
      <w:pPr>
        <w:pStyle w:val="155"/>
      </w:pPr>
      <w:r>
        <w:rPr>
          <w:rFonts w:hint="eastAsia"/>
        </w:rPr>
        <w:t>前言中应包括评价目的、评价过程等，采用三号黑体字，内容的文字表述部分采用小四号宋体字。</w:t>
      </w:r>
    </w:p>
    <w:p w14:paraId="7B55B837">
      <w:pPr>
        <w:pStyle w:val="153"/>
        <w:spacing w:before="156" w:after="156"/>
        <w:rPr>
          <w:rFonts w:hint="eastAsia"/>
        </w:rPr>
      </w:pPr>
      <w:r>
        <w:t xml:space="preserve">13.1.6 </w:t>
      </w:r>
      <w:r>
        <w:rPr>
          <w:rFonts w:hint="eastAsia"/>
        </w:rPr>
        <w:t>目录</w:t>
      </w:r>
    </w:p>
    <w:p w14:paraId="2289082C">
      <w:pPr>
        <w:pStyle w:val="155"/>
      </w:pPr>
      <w:r>
        <w:rPr>
          <w:rFonts w:hint="eastAsia"/>
        </w:rPr>
        <w:t>目录的编排应列出章、节的名称，采用三号黑体字，章、节标题采用小四号宋体字。</w:t>
      </w:r>
    </w:p>
    <w:p w14:paraId="7E0B52ED">
      <w:pPr>
        <w:pStyle w:val="153"/>
        <w:spacing w:before="156" w:after="156"/>
        <w:rPr>
          <w:rFonts w:hint="eastAsia"/>
        </w:rPr>
      </w:pPr>
      <w:r>
        <w:t xml:space="preserve">13.1.7 </w:t>
      </w:r>
      <w:r>
        <w:rPr>
          <w:rFonts w:hint="eastAsia"/>
        </w:rPr>
        <w:t>正文</w:t>
      </w:r>
    </w:p>
    <w:p w14:paraId="1379513A">
      <w:pPr>
        <w:pStyle w:val="155"/>
      </w:pPr>
      <w:r>
        <w:rPr>
          <w:rFonts w:hint="eastAsia" w:ascii="Times New Roman"/>
        </w:rPr>
        <w:t>正文应包括第4章-第11章的相关内容，报告主要内容的章、节标题分别采用三号黑体、四号黑体字，内容的文字表述部分采用小四号宋体字，表名、图名采用五号黑体，表格文字可选择采用五号或者小五号宋体字；页眉报告名称采用五号楷体</w:t>
      </w:r>
      <w:r>
        <w:rPr>
          <w:rFonts w:ascii="Times New Roman"/>
        </w:rPr>
        <w:t>_GB2312</w:t>
      </w:r>
      <w:r>
        <w:rPr>
          <w:rFonts w:hint="eastAsia" w:ascii="Times New Roman"/>
        </w:rPr>
        <w:t>字，页脚页码采用五号楷体</w:t>
      </w:r>
      <w:r>
        <w:rPr>
          <w:rFonts w:ascii="Times New Roman"/>
        </w:rPr>
        <w:t>_GB2312</w:t>
      </w:r>
      <w:r>
        <w:rPr>
          <w:rFonts w:hint="eastAsia" w:ascii="Times New Roman"/>
        </w:rPr>
        <w:t>字</w:t>
      </w:r>
      <w:r>
        <w:rPr>
          <w:rFonts w:hint="eastAsia"/>
        </w:rPr>
        <w:t>。</w:t>
      </w:r>
    </w:p>
    <w:p w14:paraId="302DCCC0">
      <w:pPr>
        <w:pStyle w:val="153"/>
        <w:spacing w:before="156" w:after="156"/>
        <w:rPr>
          <w:rFonts w:hint="eastAsia"/>
        </w:rPr>
      </w:pPr>
      <w:r>
        <w:t>13.1.8</w:t>
      </w:r>
      <w:r>
        <w:rPr>
          <w:rFonts w:hint="eastAsia"/>
        </w:rPr>
        <w:t xml:space="preserve"> 附件与附图</w:t>
      </w:r>
    </w:p>
    <w:p w14:paraId="6814C1CE">
      <w:pPr>
        <w:pStyle w:val="35"/>
        <w:spacing w:after="0" w:line="240" w:lineRule="auto"/>
        <w:ind w:firstLine="424" w:firstLineChars="202"/>
        <w:rPr>
          <w:rFonts w:ascii="Times New Roman" w:hAnsi="Times New Roman"/>
          <w:color w:val="auto"/>
          <w:kern w:val="0"/>
          <w:szCs w:val="20"/>
        </w:rPr>
      </w:pPr>
      <w:r>
        <w:rPr>
          <w:rFonts w:hint="eastAsia" w:ascii="Times New Roman" w:hAnsi="Times New Roman"/>
          <w:color w:val="auto"/>
          <w:kern w:val="0"/>
          <w:szCs w:val="20"/>
        </w:rPr>
        <w:t>附件与附图采用原件复制件（复印比例为</w:t>
      </w:r>
      <w:r>
        <w:rPr>
          <w:rFonts w:ascii="Times New Roman" w:hAnsi="Times New Roman"/>
          <w:color w:val="auto"/>
          <w:kern w:val="0"/>
          <w:szCs w:val="20"/>
        </w:rPr>
        <w:t>1:1</w:t>
      </w:r>
      <w:r>
        <w:rPr>
          <w:rFonts w:hint="eastAsia" w:ascii="Times New Roman" w:hAnsi="Times New Roman"/>
          <w:color w:val="auto"/>
          <w:kern w:val="0"/>
          <w:szCs w:val="20"/>
        </w:rPr>
        <w:t>）；附件、附图的标题采用三号黑体字。</w:t>
      </w:r>
    </w:p>
    <w:p w14:paraId="7F5BF6CA">
      <w:pPr>
        <w:pStyle w:val="4"/>
        <w:rPr>
          <w:rFonts w:hint="eastAsia"/>
        </w:rPr>
      </w:pPr>
      <w:bookmarkStart w:id="140" w:name="_Toc174118009"/>
      <w:r>
        <w:t>13</w:t>
      </w:r>
      <w:r>
        <w:rPr>
          <w:rFonts w:hint="eastAsia"/>
        </w:rPr>
        <w:t>.</w:t>
      </w:r>
      <w:r>
        <w:rPr>
          <w:rFonts w:hint="eastAsia"/>
          <w:lang w:val="en-US"/>
        </w:rPr>
        <w:t>2</w:t>
      </w:r>
      <w:r>
        <w:t xml:space="preserve"> </w:t>
      </w:r>
      <w:r>
        <w:rPr>
          <w:rFonts w:hint="eastAsia"/>
        </w:rPr>
        <w:t>纸张、排版</w:t>
      </w:r>
      <w:bookmarkEnd w:id="140"/>
    </w:p>
    <w:p w14:paraId="0617A65C">
      <w:pPr>
        <w:pStyle w:val="35"/>
        <w:spacing w:after="0" w:line="240" w:lineRule="auto"/>
        <w:ind w:firstLine="424" w:firstLineChars="202"/>
        <w:rPr>
          <w:rFonts w:ascii="Times New Roman" w:hAnsi="Times New Roman"/>
          <w:color w:val="auto"/>
          <w:kern w:val="0"/>
          <w:szCs w:val="20"/>
        </w:rPr>
      </w:pPr>
      <w:r>
        <w:rPr>
          <w:rFonts w:hint="eastAsia" w:ascii="Times New Roman" w:hAnsi="Times New Roman"/>
          <w:color w:val="auto"/>
          <w:kern w:val="0"/>
          <w:szCs w:val="20"/>
        </w:rPr>
        <w:t>采用</w:t>
      </w:r>
      <w:r>
        <w:rPr>
          <w:rFonts w:ascii="Times New Roman" w:hAnsi="Times New Roman"/>
          <w:color w:val="auto"/>
          <w:kern w:val="0"/>
          <w:szCs w:val="20"/>
        </w:rPr>
        <w:t>A4</w:t>
      </w:r>
      <w:r>
        <w:rPr>
          <w:rFonts w:hint="eastAsia" w:ascii="Times New Roman" w:hAnsi="Times New Roman"/>
          <w:color w:val="auto"/>
          <w:kern w:val="0"/>
          <w:szCs w:val="20"/>
        </w:rPr>
        <w:t>白色胶版纸</w:t>
      </w:r>
      <w:r>
        <w:rPr>
          <w:rFonts w:ascii="Times New Roman" w:hAnsi="Times New Roman"/>
          <w:color w:val="auto"/>
          <w:kern w:val="0"/>
          <w:szCs w:val="20"/>
        </w:rPr>
        <w:t>（70g</w:t>
      </w:r>
      <w:r>
        <w:rPr>
          <w:rFonts w:hint="eastAsia" w:ascii="Times New Roman" w:hAnsi="Times New Roman"/>
          <w:color w:val="auto"/>
          <w:kern w:val="0"/>
          <w:szCs w:val="20"/>
        </w:rPr>
        <w:t>以上</w:t>
      </w:r>
      <w:r>
        <w:rPr>
          <w:rFonts w:ascii="Times New Roman" w:hAnsi="Times New Roman"/>
          <w:color w:val="auto"/>
          <w:kern w:val="0"/>
          <w:szCs w:val="20"/>
        </w:rPr>
        <w:t>）</w:t>
      </w:r>
      <w:r>
        <w:rPr>
          <w:rFonts w:hint="eastAsia" w:ascii="Times New Roman" w:hAnsi="Times New Roman"/>
          <w:color w:val="auto"/>
          <w:kern w:val="0"/>
          <w:szCs w:val="20"/>
        </w:rPr>
        <w:t>；纵向排版，左边距</w:t>
      </w:r>
      <w:r>
        <w:rPr>
          <w:rFonts w:ascii="Times New Roman" w:hAnsi="Times New Roman"/>
          <w:color w:val="auto"/>
          <w:kern w:val="0"/>
          <w:szCs w:val="20"/>
        </w:rPr>
        <w:t>28mm</w:t>
      </w:r>
      <w:r>
        <w:rPr>
          <w:rFonts w:hint="eastAsia" w:ascii="Times New Roman" w:hAnsi="Times New Roman"/>
          <w:color w:val="auto"/>
          <w:kern w:val="0"/>
          <w:szCs w:val="20"/>
        </w:rPr>
        <w:t>、右边距</w:t>
      </w:r>
      <w:r>
        <w:rPr>
          <w:rFonts w:ascii="Times New Roman" w:hAnsi="Times New Roman"/>
          <w:color w:val="auto"/>
          <w:kern w:val="0"/>
          <w:szCs w:val="20"/>
        </w:rPr>
        <w:t>20mm</w:t>
      </w:r>
      <w:r>
        <w:rPr>
          <w:rFonts w:hint="eastAsia" w:ascii="Times New Roman" w:hAnsi="Times New Roman"/>
          <w:color w:val="auto"/>
          <w:kern w:val="0"/>
          <w:szCs w:val="20"/>
        </w:rPr>
        <w:t>、上边距</w:t>
      </w:r>
      <w:r>
        <w:rPr>
          <w:rFonts w:ascii="Times New Roman" w:hAnsi="Times New Roman"/>
          <w:color w:val="auto"/>
          <w:kern w:val="0"/>
          <w:szCs w:val="20"/>
        </w:rPr>
        <w:t>25mm</w:t>
      </w:r>
      <w:r>
        <w:rPr>
          <w:rFonts w:hint="eastAsia" w:ascii="Times New Roman" w:hAnsi="Times New Roman"/>
          <w:color w:val="auto"/>
          <w:kern w:val="0"/>
          <w:szCs w:val="20"/>
        </w:rPr>
        <w:t>、下边距</w:t>
      </w:r>
      <w:r>
        <w:rPr>
          <w:rFonts w:ascii="Times New Roman" w:hAnsi="Times New Roman"/>
          <w:color w:val="auto"/>
          <w:kern w:val="0"/>
          <w:szCs w:val="20"/>
        </w:rPr>
        <w:t>20mm</w:t>
      </w:r>
      <w:r>
        <w:rPr>
          <w:rFonts w:hint="eastAsia" w:ascii="Times New Roman" w:hAnsi="Times New Roman"/>
          <w:color w:val="auto"/>
          <w:kern w:val="0"/>
          <w:szCs w:val="20"/>
        </w:rPr>
        <w:t>；页眉顶端距离</w:t>
      </w:r>
      <w:r>
        <w:rPr>
          <w:rFonts w:ascii="Times New Roman" w:hAnsi="Times New Roman"/>
          <w:color w:val="auto"/>
          <w:kern w:val="0"/>
          <w:szCs w:val="20"/>
        </w:rPr>
        <w:t>20mm</w:t>
      </w:r>
      <w:r>
        <w:rPr>
          <w:rFonts w:hint="eastAsia" w:ascii="Times New Roman" w:hAnsi="Times New Roman"/>
          <w:color w:val="auto"/>
          <w:kern w:val="0"/>
          <w:szCs w:val="20"/>
        </w:rPr>
        <w:t>，页脚底端距离</w:t>
      </w:r>
      <w:r>
        <w:rPr>
          <w:rFonts w:ascii="Times New Roman" w:hAnsi="Times New Roman"/>
          <w:color w:val="auto"/>
          <w:kern w:val="0"/>
          <w:szCs w:val="20"/>
        </w:rPr>
        <w:t>15mm</w:t>
      </w:r>
      <w:r>
        <w:rPr>
          <w:rFonts w:hint="eastAsia" w:ascii="Times New Roman" w:hAnsi="Times New Roman"/>
          <w:color w:val="auto"/>
          <w:kern w:val="0"/>
          <w:szCs w:val="20"/>
        </w:rPr>
        <w:t>，页码位于页面底端，对齐方式为居中。前言、目录、正文排版要求见表</w:t>
      </w:r>
      <w:r>
        <w:rPr>
          <w:rFonts w:ascii="Times New Roman" w:hAnsi="Times New Roman"/>
          <w:color w:val="auto"/>
          <w:kern w:val="0"/>
          <w:szCs w:val="20"/>
        </w:rPr>
        <w:t>33</w:t>
      </w:r>
      <w:r>
        <w:rPr>
          <w:rFonts w:hint="eastAsia" w:ascii="Times New Roman" w:hAnsi="Times New Roman"/>
          <w:color w:val="auto"/>
          <w:kern w:val="0"/>
          <w:szCs w:val="20"/>
        </w:rPr>
        <w:t>。</w:t>
      </w:r>
    </w:p>
    <w:p w14:paraId="5455DE61">
      <w:pPr>
        <w:pStyle w:val="5"/>
        <w:rPr>
          <w:rFonts w:hint="eastAsia"/>
        </w:rPr>
      </w:pPr>
      <w:r>
        <w:t>表</w:t>
      </w:r>
      <w:r>
        <w:rPr>
          <w:rFonts w:ascii="Times New Roman" w:hAnsi="Times New Roman"/>
        </w:rPr>
        <w:t>33</w:t>
      </w:r>
      <w:r>
        <w:t xml:space="preserve"> 排版要求</w:t>
      </w:r>
    </w:p>
    <w:tbl>
      <w:tblPr>
        <w:tblStyle w:val="3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215"/>
        <w:gridCol w:w="1960"/>
        <w:gridCol w:w="6395"/>
      </w:tblGrid>
      <w:tr w14:paraId="1A1F1A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635" w:type="pct"/>
            <w:vAlign w:val="center"/>
          </w:tcPr>
          <w:p w14:paraId="7D410999">
            <w:pPr>
              <w:jc w:val="center"/>
              <w:rPr>
                <w:b/>
                <w:color w:val="000000" w:themeColor="text1"/>
                <w:sz w:val="18"/>
                <w:szCs w:val="18"/>
                <w14:textFill>
                  <w14:solidFill>
                    <w14:schemeClr w14:val="tx1"/>
                  </w14:solidFill>
                </w14:textFill>
              </w:rPr>
            </w:pPr>
            <w:r>
              <w:rPr>
                <w:rFonts w:hint="eastAsia"/>
                <w:b/>
                <w:color w:val="000000" w:themeColor="text1"/>
                <w:sz w:val="18"/>
                <w:szCs w:val="18"/>
                <w14:textFill>
                  <w14:solidFill>
                    <w14:schemeClr w14:val="tx1"/>
                  </w14:solidFill>
                </w14:textFill>
              </w:rPr>
              <w:t>序号</w:t>
            </w:r>
          </w:p>
        </w:tc>
        <w:tc>
          <w:tcPr>
            <w:tcW w:w="1024" w:type="pct"/>
            <w:vAlign w:val="center"/>
          </w:tcPr>
          <w:p w14:paraId="431A3508">
            <w:pPr>
              <w:jc w:val="center"/>
              <w:rPr>
                <w:b/>
                <w:color w:val="000000" w:themeColor="text1"/>
                <w:sz w:val="18"/>
                <w:szCs w:val="18"/>
                <w14:textFill>
                  <w14:solidFill>
                    <w14:schemeClr w14:val="tx1"/>
                  </w14:solidFill>
                </w14:textFill>
              </w:rPr>
            </w:pPr>
            <w:r>
              <w:rPr>
                <w:rFonts w:hint="eastAsia"/>
                <w:b/>
                <w:color w:val="000000" w:themeColor="text1"/>
                <w:sz w:val="18"/>
                <w:szCs w:val="18"/>
                <w14:textFill>
                  <w14:solidFill>
                    <w14:schemeClr w14:val="tx1"/>
                  </w14:solidFill>
                </w14:textFill>
              </w:rPr>
              <w:t>页别</w:t>
            </w:r>
          </w:p>
        </w:tc>
        <w:tc>
          <w:tcPr>
            <w:tcW w:w="3341" w:type="pct"/>
            <w:noWrap/>
            <w:vAlign w:val="center"/>
          </w:tcPr>
          <w:p w14:paraId="5F7156E3">
            <w:pPr>
              <w:jc w:val="center"/>
              <w:rPr>
                <w:b/>
                <w:color w:val="000000" w:themeColor="text1"/>
                <w:sz w:val="18"/>
                <w:szCs w:val="18"/>
                <w14:textFill>
                  <w14:solidFill>
                    <w14:schemeClr w14:val="tx1"/>
                  </w14:solidFill>
                </w14:textFill>
              </w:rPr>
            </w:pPr>
            <w:r>
              <w:rPr>
                <w:rFonts w:hint="eastAsia"/>
                <w:b/>
                <w:color w:val="000000" w:themeColor="text1"/>
                <w:sz w:val="18"/>
                <w:szCs w:val="18"/>
                <w14:textFill>
                  <w14:solidFill>
                    <w14:schemeClr w14:val="tx1"/>
                  </w14:solidFill>
                </w14:textFill>
              </w:rPr>
              <w:t>排版要求</w:t>
            </w:r>
          </w:p>
        </w:tc>
      </w:tr>
      <w:tr w14:paraId="6131E7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635" w:type="pct"/>
            <w:vAlign w:val="center"/>
          </w:tcPr>
          <w:p w14:paraId="36401180">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1024" w:type="pct"/>
            <w:vAlign w:val="center"/>
          </w:tcPr>
          <w:p w14:paraId="52EC3111">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前言</w:t>
            </w:r>
          </w:p>
        </w:tc>
        <w:tc>
          <w:tcPr>
            <w:tcW w:w="3341" w:type="pct"/>
            <w:noWrap/>
          </w:tcPr>
          <w:p w14:paraId="4A2343A6">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前言标题居中；</w:t>
            </w:r>
          </w:p>
          <w:p w14:paraId="45E7156A">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前言每段文字首行缩进</w:t>
            </w:r>
            <w:r>
              <w:rPr>
                <w:color w:val="000000" w:themeColor="text1"/>
                <w:sz w:val="18"/>
                <w:szCs w:val="18"/>
                <w14:textFill>
                  <w14:solidFill>
                    <w14:schemeClr w14:val="tx1"/>
                  </w14:solidFill>
                </w14:textFill>
              </w:rPr>
              <w:t>2</w:t>
            </w:r>
            <w:r>
              <w:rPr>
                <w:rFonts w:hint="eastAsia"/>
                <w:color w:val="000000" w:themeColor="text1"/>
                <w:sz w:val="18"/>
                <w:szCs w:val="18"/>
                <w14:textFill>
                  <w14:solidFill>
                    <w14:schemeClr w14:val="tx1"/>
                  </w14:solidFill>
                </w14:textFill>
              </w:rPr>
              <w:t>字符，回行时顶格；</w:t>
            </w:r>
          </w:p>
          <w:p w14:paraId="4D2D62BE">
            <w:pPr>
              <w:rPr>
                <w:b/>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行间距为</w:t>
            </w:r>
            <w:r>
              <w:rPr>
                <w:color w:val="000000" w:themeColor="text1"/>
                <w:sz w:val="18"/>
                <w:szCs w:val="18"/>
                <w14:textFill>
                  <w14:solidFill>
                    <w14:schemeClr w14:val="tx1"/>
                  </w14:solidFill>
                </w14:textFill>
              </w:rPr>
              <w:t>1.5</w:t>
            </w:r>
            <w:r>
              <w:rPr>
                <w:rFonts w:hint="eastAsia"/>
                <w:color w:val="000000" w:themeColor="text1"/>
                <w:sz w:val="18"/>
                <w:szCs w:val="18"/>
                <w14:textFill>
                  <w14:solidFill>
                    <w14:schemeClr w14:val="tx1"/>
                  </w14:solidFill>
                </w14:textFill>
              </w:rPr>
              <w:t>倍行距</w:t>
            </w:r>
          </w:p>
        </w:tc>
      </w:tr>
      <w:tr w14:paraId="3FAEE3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635" w:type="pct"/>
            <w:vAlign w:val="center"/>
          </w:tcPr>
          <w:p w14:paraId="529254E1">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p>
        </w:tc>
        <w:tc>
          <w:tcPr>
            <w:tcW w:w="1024" w:type="pct"/>
            <w:vAlign w:val="center"/>
          </w:tcPr>
          <w:p w14:paraId="52CF24F0">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目录</w:t>
            </w:r>
          </w:p>
        </w:tc>
        <w:tc>
          <w:tcPr>
            <w:tcW w:w="3341" w:type="pct"/>
            <w:noWrap/>
          </w:tcPr>
          <w:p w14:paraId="6FC8E5EC">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目录标题居中；</w:t>
            </w:r>
          </w:p>
          <w:p w14:paraId="09298DAB">
            <w:pPr>
              <w:pStyle w:val="18"/>
              <w:tabs>
                <w:tab w:val="right" w:leader="dot" w:pos="8494"/>
              </w:tabs>
              <w:rPr>
                <w:rFonts w:ascii="Times New Roman"/>
                <w:b w:val="0"/>
                <w:bCs w:val="0"/>
                <w:color w:val="000000" w:themeColor="text1"/>
                <w:sz w:val="18"/>
                <w:szCs w:val="18"/>
                <w14:textFill>
                  <w14:solidFill>
                    <w14:schemeClr w14:val="tx1"/>
                  </w14:solidFill>
                </w14:textFill>
              </w:rPr>
            </w:pPr>
            <w:r>
              <w:rPr>
                <w:rFonts w:ascii="Times New Roman"/>
                <w:b w:val="0"/>
                <w:bCs w:val="0"/>
                <w:color w:val="000000" w:themeColor="text1"/>
                <w:sz w:val="18"/>
                <w:szCs w:val="18"/>
                <w14:textFill>
                  <w14:solidFill>
                    <w14:schemeClr w14:val="tx1"/>
                  </w14:solidFill>
                </w14:textFill>
              </w:rPr>
              <w:t xml:space="preserve">1 </w:t>
            </w:r>
            <w:r>
              <w:rPr>
                <w:rFonts w:hint="eastAsia" w:ascii="Times New Roman"/>
                <w:b w:val="0"/>
                <w:bCs w:val="0"/>
                <w:color w:val="000000" w:themeColor="text1"/>
                <w:sz w:val="18"/>
                <w:szCs w:val="18"/>
                <w14:textFill>
                  <w14:solidFill>
                    <w14:schemeClr w14:val="tx1"/>
                  </w14:solidFill>
                </w14:textFill>
              </w:rPr>
              <w:t>章名（顶格）</w:t>
            </w:r>
            <w:r>
              <w:rPr>
                <w:rFonts w:ascii="Times New Roman"/>
                <w:b w:val="0"/>
                <w:bCs w:val="0"/>
                <w:color w:val="000000" w:themeColor="text1"/>
                <w:sz w:val="18"/>
                <w:szCs w:val="18"/>
                <w14:textFill>
                  <w14:solidFill>
                    <w14:schemeClr w14:val="tx1"/>
                  </w14:solidFill>
                </w14:textFill>
              </w:rPr>
              <w:t>................××</w:t>
            </w:r>
          </w:p>
          <w:p w14:paraId="1A2C8136">
            <w:pPr>
              <w:pStyle w:val="18"/>
              <w:tabs>
                <w:tab w:val="right" w:leader="dot" w:pos="8494"/>
              </w:tabs>
              <w:ind w:firstLine="360" w:firstLineChars="200"/>
              <w:rPr>
                <w:rFonts w:ascii="Times New Roman"/>
                <w:b w:val="0"/>
                <w:bCs w:val="0"/>
                <w:color w:val="000000" w:themeColor="text1"/>
                <w:sz w:val="18"/>
                <w:szCs w:val="18"/>
                <w14:textFill>
                  <w14:solidFill>
                    <w14:schemeClr w14:val="tx1"/>
                  </w14:solidFill>
                </w14:textFill>
              </w:rPr>
            </w:pPr>
            <w:r>
              <w:rPr>
                <w:rFonts w:ascii="Times New Roman"/>
                <w:b w:val="0"/>
                <w:bCs w:val="0"/>
                <w:color w:val="000000" w:themeColor="text1"/>
                <w:sz w:val="18"/>
                <w:szCs w:val="18"/>
                <w14:textFill>
                  <w14:solidFill>
                    <w14:schemeClr w14:val="tx1"/>
                  </w14:solidFill>
                </w14:textFill>
              </w:rPr>
              <w:t xml:space="preserve">1.1 </w:t>
            </w:r>
            <w:r>
              <w:rPr>
                <w:rFonts w:hint="eastAsia" w:ascii="Times New Roman"/>
                <w:b w:val="0"/>
                <w:bCs w:val="0"/>
                <w:color w:val="000000" w:themeColor="text1"/>
                <w:sz w:val="18"/>
                <w:szCs w:val="18"/>
                <w14:textFill>
                  <w14:solidFill>
                    <w14:schemeClr w14:val="tx1"/>
                  </w14:solidFill>
                </w14:textFill>
              </w:rPr>
              <w:t>节名（缩进</w:t>
            </w:r>
            <w:r>
              <w:rPr>
                <w:rFonts w:ascii="Times New Roman"/>
                <w:b w:val="0"/>
                <w:bCs w:val="0"/>
                <w:color w:val="000000" w:themeColor="text1"/>
                <w:sz w:val="18"/>
                <w:szCs w:val="18"/>
                <w14:textFill>
                  <w14:solidFill>
                    <w14:schemeClr w14:val="tx1"/>
                  </w14:solidFill>
                </w14:textFill>
              </w:rPr>
              <w:t>2</w:t>
            </w:r>
            <w:r>
              <w:rPr>
                <w:rFonts w:hint="eastAsia" w:ascii="Times New Roman"/>
                <w:b w:val="0"/>
                <w:bCs w:val="0"/>
                <w:color w:val="000000" w:themeColor="text1"/>
                <w:sz w:val="18"/>
                <w:szCs w:val="18"/>
                <w14:textFill>
                  <w14:solidFill>
                    <w14:schemeClr w14:val="tx1"/>
                  </w14:solidFill>
                </w14:textFill>
              </w:rPr>
              <w:t>字符）</w:t>
            </w:r>
            <w:r>
              <w:rPr>
                <w:rFonts w:ascii="Times New Roman"/>
                <w:b w:val="0"/>
                <w:bCs w:val="0"/>
                <w:color w:val="000000" w:themeColor="text1"/>
                <w:sz w:val="18"/>
                <w:szCs w:val="18"/>
                <w14:textFill>
                  <w14:solidFill>
                    <w14:schemeClr w14:val="tx1"/>
                  </w14:solidFill>
                </w14:textFill>
              </w:rPr>
              <w:t>....××</w:t>
            </w:r>
          </w:p>
          <w:p w14:paraId="3865AEEA">
            <w:pPr>
              <w:ind w:firstLine="360" w:firstLineChars="200"/>
              <w:rPr>
                <w:snapToGrid w:val="0"/>
                <w:color w:val="000000" w:themeColor="text1"/>
                <w:sz w:val="18"/>
                <w:szCs w:val="18"/>
                <w14:textFill>
                  <w14:solidFill>
                    <w14:schemeClr w14:val="tx1"/>
                  </w14:solidFill>
                </w14:textFill>
              </w:rPr>
            </w:pPr>
            <w:r>
              <w:rPr>
                <w:snapToGrid w:val="0"/>
                <w:color w:val="000000" w:themeColor="text1"/>
                <w:sz w:val="18"/>
                <w:szCs w:val="18"/>
                <w14:textFill>
                  <w14:solidFill>
                    <w14:schemeClr w14:val="tx1"/>
                  </w14:solidFill>
                </w14:textFill>
              </w:rPr>
              <w:t xml:space="preserve">1.2 </w:t>
            </w:r>
            <w:r>
              <w:rPr>
                <w:rFonts w:hint="eastAsia"/>
                <w:snapToGrid w:val="0"/>
                <w:color w:val="000000" w:themeColor="text1"/>
                <w:sz w:val="18"/>
                <w:szCs w:val="18"/>
                <w14:textFill>
                  <w14:solidFill>
                    <w14:schemeClr w14:val="tx1"/>
                  </w14:solidFill>
                </w14:textFill>
              </w:rPr>
              <w:t>节名</w:t>
            </w:r>
            <w:r>
              <w:rPr>
                <w:color w:val="000000" w:themeColor="text1"/>
                <w:sz w:val="18"/>
                <w:szCs w:val="18"/>
                <w14:textFill>
                  <w14:solidFill>
                    <w14:schemeClr w14:val="tx1"/>
                  </w14:solidFill>
                </w14:textFill>
              </w:rPr>
              <w:t>..................</w:t>
            </w:r>
            <w:r>
              <w:rPr>
                <w:snapToGrid w:val="0"/>
                <w:color w:val="000000" w:themeColor="text1"/>
                <w:sz w:val="18"/>
                <w:szCs w:val="18"/>
                <w14:textFill>
                  <w14:solidFill>
                    <w14:schemeClr w14:val="tx1"/>
                  </w14:solidFill>
                </w14:textFill>
              </w:rPr>
              <w:t>××</w:t>
            </w:r>
          </w:p>
          <w:p w14:paraId="2FF406A0">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行间距为</w:t>
            </w:r>
            <w:r>
              <w:rPr>
                <w:color w:val="000000" w:themeColor="text1"/>
                <w:sz w:val="18"/>
                <w:szCs w:val="18"/>
                <w14:textFill>
                  <w14:solidFill>
                    <w14:schemeClr w14:val="tx1"/>
                  </w14:solidFill>
                </w14:textFill>
              </w:rPr>
              <w:t>1.5</w:t>
            </w:r>
            <w:r>
              <w:rPr>
                <w:rFonts w:hint="eastAsia"/>
                <w:color w:val="000000" w:themeColor="text1"/>
                <w:sz w:val="18"/>
                <w:szCs w:val="18"/>
                <w14:textFill>
                  <w14:solidFill>
                    <w14:schemeClr w14:val="tx1"/>
                  </w14:solidFill>
                </w14:textFill>
              </w:rPr>
              <w:t>倍行距</w:t>
            </w:r>
          </w:p>
        </w:tc>
      </w:tr>
      <w:tr w14:paraId="7B2C40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635" w:type="pct"/>
            <w:vMerge w:val="restart"/>
            <w:vAlign w:val="center"/>
          </w:tcPr>
          <w:p w14:paraId="3364C686">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w:t>
            </w:r>
          </w:p>
        </w:tc>
        <w:tc>
          <w:tcPr>
            <w:tcW w:w="1024" w:type="pct"/>
            <w:vMerge w:val="restart"/>
            <w:vAlign w:val="center"/>
          </w:tcPr>
          <w:p w14:paraId="3C20C0DF">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正文</w:t>
            </w:r>
          </w:p>
        </w:tc>
        <w:tc>
          <w:tcPr>
            <w:tcW w:w="3341" w:type="pct"/>
            <w:noWrap/>
            <w:vAlign w:val="center"/>
          </w:tcPr>
          <w:p w14:paraId="4F93FBB5">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 xml:space="preserve">1 </w:t>
            </w:r>
            <w:r>
              <w:rPr>
                <w:rFonts w:hint="eastAsia"/>
                <w:color w:val="000000" w:themeColor="text1"/>
                <w:sz w:val="18"/>
                <w:szCs w:val="18"/>
                <w14:textFill>
                  <w14:solidFill>
                    <w14:schemeClr w14:val="tx1"/>
                  </w14:solidFill>
                </w14:textFill>
              </w:rPr>
              <w:t>章名标题居中，遇章分页</w:t>
            </w:r>
          </w:p>
        </w:tc>
      </w:tr>
      <w:tr w14:paraId="50ADF2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635" w:type="pct"/>
            <w:vMerge w:val="continue"/>
            <w:vAlign w:val="center"/>
          </w:tcPr>
          <w:p w14:paraId="6BB8D760">
            <w:pPr>
              <w:jc w:val="center"/>
              <w:rPr>
                <w:color w:val="000000" w:themeColor="text1"/>
                <w:sz w:val="18"/>
                <w:szCs w:val="18"/>
                <w14:textFill>
                  <w14:solidFill>
                    <w14:schemeClr w14:val="tx1"/>
                  </w14:solidFill>
                </w14:textFill>
              </w:rPr>
            </w:pPr>
          </w:p>
        </w:tc>
        <w:tc>
          <w:tcPr>
            <w:tcW w:w="1024" w:type="pct"/>
            <w:vMerge w:val="continue"/>
            <w:vAlign w:val="center"/>
          </w:tcPr>
          <w:p w14:paraId="2D2B6B32">
            <w:pPr>
              <w:jc w:val="center"/>
              <w:rPr>
                <w:color w:val="000000" w:themeColor="text1"/>
                <w:sz w:val="18"/>
                <w:szCs w:val="18"/>
                <w14:textFill>
                  <w14:solidFill>
                    <w14:schemeClr w14:val="tx1"/>
                  </w14:solidFill>
                </w14:textFill>
              </w:rPr>
            </w:pPr>
          </w:p>
        </w:tc>
        <w:tc>
          <w:tcPr>
            <w:tcW w:w="3341" w:type="pct"/>
            <w:noWrap/>
            <w:vAlign w:val="center"/>
          </w:tcPr>
          <w:p w14:paraId="75BC3799">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 xml:space="preserve">1.1 </w:t>
            </w:r>
            <w:r>
              <w:rPr>
                <w:rFonts w:hint="eastAsia"/>
                <w:color w:val="000000" w:themeColor="text1"/>
                <w:sz w:val="18"/>
                <w:szCs w:val="18"/>
                <w14:textFill>
                  <w14:solidFill>
                    <w14:schemeClr w14:val="tx1"/>
                  </w14:solidFill>
                </w14:textFill>
              </w:rPr>
              <w:t>节名标题顶格</w:t>
            </w:r>
          </w:p>
        </w:tc>
      </w:tr>
      <w:tr w14:paraId="027854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635" w:type="pct"/>
            <w:vMerge w:val="continue"/>
            <w:vAlign w:val="center"/>
          </w:tcPr>
          <w:p w14:paraId="3C29C8EF">
            <w:pPr>
              <w:jc w:val="center"/>
              <w:rPr>
                <w:color w:val="000000" w:themeColor="text1"/>
                <w:sz w:val="18"/>
                <w:szCs w:val="18"/>
                <w14:textFill>
                  <w14:solidFill>
                    <w14:schemeClr w14:val="tx1"/>
                  </w14:solidFill>
                </w14:textFill>
              </w:rPr>
            </w:pPr>
          </w:p>
        </w:tc>
        <w:tc>
          <w:tcPr>
            <w:tcW w:w="1024" w:type="pct"/>
            <w:vMerge w:val="continue"/>
            <w:vAlign w:val="center"/>
          </w:tcPr>
          <w:p w14:paraId="2A0E57FC">
            <w:pPr>
              <w:jc w:val="center"/>
              <w:rPr>
                <w:color w:val="000000" w:themeColor="text1"/>
                <w:sz w:val="18"/>
                <w:szCs w:val="18"/>
                <w14:textFill>
                  <w14:solidFill>
                    <w14:schemeClr w14:val="tx1"/>
                  </w14:solidFill>
                </w14:textFill>
              </w:rPr>
            </w:pPr>
          </w:p>
        </w:tc>
        <w:tc>
          <w:tcPr>
            <w:tcW w:w="3341" w:type="pct"/>
            <w:noWrap/>
            <w:vAlign w:val="center"/>
          </w:tcPr>
          <w:p w14:paraId="03522C40">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1.1.1</w:t>
            </w:r>
            <w:r>
              <w:rPr>
                <w:rFonts w:hint="eastAsia"/>
                <w:color w:val="000000" w:themeColor="text1"/>
                <w:sz w:val="18"/>
                <w:szCs w:val="18"/>
                <w14:textFill>
                  <w14:solidFill>
                    <w14:schemeClr w14:val="tx1"/>
                  </w14:solidFill>
                </w14:textFill>
              </w:rPr>
              <w:t>条名标题顶格</w:t>
            </w:r>
          </w:p>
        </w:tc>
      </w:tr>
      <w:tr w14:paraId="2F0291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635" w:type="pct"/>
            <w:vMerge w:val="continue"/>
            <w:vAlign w:val="center"/>
          </w:tcPr>
          <w:p w14:paraId="5D51E751">
            <w:pPr>
              <w:jc w:val="center"/>
              <w:rPr>
                <w:color w:val="000000" w:themeColor="text1"/>
                <w:sz w:val="18"/>
                <w:szCs w:val="18"/>
                <w14:textFill>
                  <w14:solidFill>
                    <w14:schemeClr w14:val="tx1"/>
                  </w14:solidFill>
                </w14:textFill>
              </w:rPr>
            </w:pPr>
          </w:p>
        </w:tc>
        <w:tc>
          <w:tcPr>
            <w:tcW w:w="1024" w:type="pct"/>
            <w:vMerge w:val="continue"/>
            <w:vAlign w:val="center"/>
          </w:tcPr>
          <w:p w14:paraId="2A2403AF">
            <w:pPr>
              <w:jc w:val="center"/>
              <w:rPr>
                <w:color w:val="000000" w:themeColor="text1"/>
                <w:sz w:val="18"/>
                <w:szCs w:val="18"/>
                <w14:textFill>
                  <w14:solidFill>
                    <w14:schemeClr w14:val="tx1"/>
                  </w14:solidFill>
                </w14:textFill>
              </w:rPr>
            </w:pPr>
          </w:p>
        </w:tc>
        <w:tc>
          <w:tcPr>
            <w:tcW w:w="3341" w:type="pct"/>
            <w:noWrap/>
            <w:vAlign w:val="center"/>
          </w:tcPr>
          <w:p w14:paraId="42AE2D09">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 xml:space="preserve">1.1.1.1 </w:t>
            </w:r>
            <w:r>
              <w:rPr>
                <w:rFonts w:hint="eastAsia"/>
                <w:color w:val="000000" w:themeColor="text1"/>
                <w:sz w:val="18"/>
                <w:szCs w:val="18"/>
                <w14:textFill>
                  <w14:solidFill>
                    <w14:schemeClr w14:val="tx1"/>
                  </w14:solidFill>
                </w14:textFill>
              </w:rPr>
              <w:t>条名标题顶格</w:t>
            </w:r>
          </w:p>
        </w:tc>
      </w:tr>
      <w:tr w14:paraId="063392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635" w:type="pct"/>
            <w:vMerge w:val="continue"/>
            <w:vAlign w:val="center"/>
          </w:tcPr>
          <w:p w14:paraId="109A9647">
            <w:pPr>
              <w:jc w:val="center"/>
              <w:rPr>
                <w:color w:val="000000" w:themeColor="text1"/>
                <w:sz w:val="18"/>
                <w:szCs w:val="18"/>
                <w14:textFill>
                  <w14:solidFill>
                    <w14:schemeClr w14:val="tx1"/>
                  </w14:solidFill>
                </w14:textFill>
              </w:rPr>
            </w:pPr>
          </w:p>
        </w:tc>
        <w:tc>
          <w:tcPr>
            <w:tcW w:w="1024" w:type="pct"/>
            <w:vMerge w:val="continue"/>
            <w:vAlign w:val="center"/>
          </w:tcPr>
          <w:p w14:paraId="1583D6C5">
            <w:pPr>
              <w:jc w:val="center"/>
              <w:rPr>
                <w:color w:val="000000" w:themeColor="text1"/>
                <w:sz w:val="18"/>
                <w:szCs w:val="18"/>
                <w14:textFill>
                  <w14:solidFill>
                    <w14:schemeClr w14:val="tx1"/>
                  </w14:solidFill>
                </w14:textFill>
              </w:rPr>
            </w:pPr>
          </w:p>
        </w:tc>
        <w:tc>
          <w:tcPr>
            <w:tcW w:w="3341" w:type="pct"/>
            <w:noWrap/>
            <w:vAlign w:val="center"/>
          </w:tcPr>
          <w:p w14:paraId="7DD30726">
            <w:pPr>
              <w:ind w:left="-2" w:leftChars="-1"/>
              <w:jc w:val="left"/>
              <w:rPr>
                <w:snapToGrid w:val="0"/>
                <w:color w:val="000000" w:themeColor="text1"/>
                <w:sz w:val="18"/>
                <w:szCs w:val="18"/>
                <w14:textFill>
                  <w14:solidFill>
                    <w14:schemeClr w14:val="tx1"/>
                  </w14:solidFill>
                </w14:textFill>
              </w:rPr>
            </w:pPr>
            <w:r>
              <w:rPr>
                <w:rFonts w:hint="eastAsia"/>
                <w:snapToGrid w:val="0"/>
                <w:color w:val="000000" w:themeColor="text1"/>
                <w:sz w:val="18"/>
                <w:szCs w:val="18"/>
                <w14:textFill>
                  <w14:solidFill>
                    <w14:schemeClr w14:val="tx1"/>
                  </w14:solidFill>
                </w14:textFill>
              </w:rPr>
              <w:t>每段文字首行缩进</w:t>
            </w:r>
            <w:r>
              <w:rPr>
                <w:snapToGrid w:val="0"/>
                <w:color w:val="000000" w:themeColor="text1"/>
                <w:sz w:val="18"/>
                <w:szCs w:val="18"/>
                <w14:textFill>
                  <w14:solidFill>
                    <w14:schemeClr w14:val="tx1"/>
                  </w14:solidFill>
                </w14:textFill>
              </w:rPr>
              <w:t>2</w:t>
            </w:r>
            <w:r>
              <w:rPr>
                <w:rFonts w:hint="eastAsia"/>
                <w:snapToGrid w:val="0"/>
                <w:color w:val="000000" w:themeColor="text1"/>
                <w:sz w:val="18"/>
                <w:szCs w:val="18"/>
                <w14:textFill>
                  <w14:solidFill>
                    <w14:schemeClr w14:val="tx1"/>
                  </w14:solidFill>
                </w14:textFill>
              </w:rPr>
              <w:t>字符，回行时顶格；</w:t>
            </w:r>
          </w:p>
          <w:p w14:paraId="23C636DD">
            <w:pPr>
              <w:ind w:left="-2" w:leftChars="-1"/>
              <w:jc w:val="left"/>
              <w:rPr>
                <w:color w:val="000000" w:themeColor="text1"/>
                <w:sz w:val="18"/>
                <w:szCs w:val="18"/>
                <w14:textFill>
                  <w14:solidFill>
                    <w14:schemeClr w14:val="tx1"/>
                  </w14:solidFill>
                </w14:textFill>
              </w:rPr>
            </w:pPr>
            <w:r>
              <w:rPr>
                <w:rFonts w:hint="eastAsia"/>
                <w:snapToGrid w:val="0"/>
                <w:color w:val="000000" w:themeColor="text1"/>
                <w:sz w:val="18"/>
                <w:szCs w:val="18"/>
                <w14:textFill>
                  <w14:solidFill>
                    <w14:schemeClr w14:val="tx1"/>
                  </w14:solidFill>
                </w14:textFill>
              </w:rPr>
              <w:t>行间距为</w:t>
            </w:r>
            <w:r>
              <w:rPr>
                <w:color w:val="000000" w:themeColor="text1"/>
                <w:sz w:val="18"/>
                <w:szCs w:val="18"/>
                <w14:textFill>
                  <w14:solidFill>
                    <w14:schemeClr w14:val="tx1"/>
                  </w14:solidFill>
                </w14:textFill>
              </w:rPr>
              <w:t>1.5</w:t>
            </w:r>
            <w:r>
              <w:rPr>
                <w:rFonts w:hint="eastAsia"/>
                <w:color w:val="000000" w:themeColor="text1"/>
                <w:sz w:val="18"/>
                <w:szCs w:val="18"/>
                <w14:textFill>
                  <w14:solidFill>
                    <w14:schemeClr w14:val="tx1"/>
                  </w14:solidFill>
                </w14:textFill>
              </w:rPr>
              <w:t>倍行距。</w:t>
            </w:r>
          </w:p>
        </w:tc>
      </w:tr>
      <w:tr w14:paraId="5FEB50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635" w:type="pct"/>
            <w:vMerge w:val="continue"/>
            <w:vAlign w:val="center"/>
          </w:tcPr>
          <w:p w14:paraId="0377E249">
            <w:pPr>
              <w:jc w:val="center"/>
              <w:rPr>
                <w:color w:val="000000" w:themeColor="text1"/>
                <w:sz w:val="18"/>
                <w:szCs w:val="18"/>
                <w14:textFill>
                  <w14:solidFill>
                    <w14:schemeClr w14:val="tx1"/>
                  </w14:solidFill>
                </w14:textFill>
              </w:rPr>
            </w:pPr>
          </w:p>
        </w:tc>
        <w:tc>
          <w:tcPr>
            <w:tcW w:w="1024" w:type="pct"/>
            <w:vMerge w:val="continue"/>
            <w:vAlign w:val="center"/>
          </w:tcPr>
          <w:p w14:paraId="2930B5E8">
            <w:pPr>
              <w:jc w:val="center"/>
              <w:rPr>
                <w:color w:val="000000" w:themeColor="text1"/>
                <w:sz w:val="18"/>
                <w:szCs w:val="18"/>
                <w14:textFill>
                  <w14:solidFill>
                    <w14:schemeClr w14:val="tx1"/>
                  </w14:solidFill>
                </w14:textFill>
              </w:rPr>
            </w:pPr>
          </w:p>
        </w:tc>
        <w:tc>
          <w:tcPr>
            <w:tcW w:w="3341" w:type="pct"/>
            <w:noWrap/>
            <w:vAlign w:val="center"/>
          </w:tcPr>
          <w:p w14:paraId="4CBF3F46">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表名</w:t>
            </w:r>
            <w:r>
              <w:rPr>
                <w:rFonts w:hint="eastAsia"/>
                <w:snapToGrid w:val="0"/>
                <w:color w:val="000000" w:themeColor="text1"/>
                <w:sz w:val="18"/>
                <w:szCs w:val="18"/>
                <w14:textFill>
                  <w14:solidFill>
                    <w14:schemeClr w14:val="tx1"/>
                  </w14:solidFill>
                </w14:textFill>
              </w:rPr>
              <w:t>位于表的上方，居中；图名位于图的下方，居中</w:t>
            </w:r>
          </w:p>
        </w:tc>
      </w:tr>
      <w:tr w14:paraId="48AEB5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635" w:type="pct"/>
            <w:vAlign w:val="center"/>
          </w:tcPr>
          <w:p w14:paraId="618B53AE">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w:t>
            </w:r>
          </w:p>
        </w:tc>
        <w:tc>
          <w:tcPr>
            <w:tcW w:w="1024" w:type="pct"/>
            <w:vAlign w:val="center"/>
          </w:tcPr>
          <w:p w14:paraId="39162908">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附件、附图</w:t>
            </w:r>
          </w:p>
        </w:tc>
        <w:tc>
          <w:tcPr>
            <w:tcW w:w="3341" w:type="pct"/>
            <w:noWrap/>
            <w:vAlign w:val="center"/>
          </w:tcPr>
          <w:p w14:paraId="2230E42F">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附件、附图的标题居中</w:t>
            </w:r>
          </w:p>
        </w:tc>
      </w:tr>
    </w:tbl>
    <w:p w14:paraId="717480A0">
      <w:pPr>
        <w:pStyle w:val="65"/>
        <w:ind w:firstLine="0" w:firstLineChars="0"/>
        <w:jc w:val="left"/>
        <w:rPr>
          <w:color w:val="000000" w:themeColor="text1"/>
          <w14:textFill>
            <w14:solidFill>
              <w14:schemeClr w14:val="tx1"/>
            </w14:solidFill>
          </w14:textFill>
        </w:rPr>
      </w:pPr>
    </w:p>
    <w:p w14:paraId="1D7777A2">
      <w:pPr>
        <w:pStyle w:val="4"/>
        <w:rPr>
          <w:rFonts w:hint="eastAsia"/>
        </w:rPr>
      </w:pPr>
      <w:bookmarkStart w:id="141" w:name="_Toc174118010"/>
      <w:r>
        <w:t>13</w:t>
      </w:r>
      <w:r>
        <w:rPr>
          <w:rFonts w:hint="eastAsia"/>
        </w:rPr>
        <w:t>.</w:t>
      </w:r>
      <w:r>
        <w:rPr>
          <w:rFonts w:hint="eastAsia"/>
          <w:lang w:val="en-US"/>
        </w:rPr>
        <w:t>3</w:t>
      </w:r>
      <w:r>
        <w:t xml:space="preserve"> </w:t>
      </w:r>
      <w:r>
        <w:rPr>
          <w:rFonts w:hint="eastAsia"/>
        </w:rPr>
        <w:t>印刷</w:t>
      </w:r>
      <w:bookmarkEnd w:id="141"/>
    </w:p>
    <w:p w14:paraId="0B353EEC">
      <w:pPr>
        <w:pStyle w:val="155"/>
      </w:pPr>
      <w:r>
        <w:rPr>
          <w:rFonts w:hint="eastAsia"/>
        </w:rPr>
        <w:t>除附件、附图外，双面打印文本。</w:t>
      </w:r>
    </w:p>
    <w:p w14:paraId="14BB98A3">
      <w:pPr>
        <w:pStyle w:val="4"/>
        <w:rPr>
          <w:rFonts w:hint="eastAsia"/>
        </w:rPr>
      </w:pPr>
      <w:bookmarkStart w:id="142" w:name="_Toc174118011"/>
      <w:r>
        <w:t>13</w:t>
      </w:r>
      <w:r>
        <w:rPr>
          <w:rFonts w:hint="eastAsia"/>
        </w:rPr>
        <w:t>.</w:t>
      </w:r>
      <w:r>
        <w:rPr>
          <w:rFonts w:hint="eastAsia"/>
          <w:lang w:val="en-US"/>
        </w:rPr>
        <w:t>4</w:t>
      </w:r>
      <w:r>
        <w:t xml:space="preserve"> </w:t>
      </w:r>
      <w:r>
        <w:rPr>
          <w:rFonts w:hint="eastAsia"/>
        </w:rPr>
        <w:t>封装</w:t>
      </w:r>
      <w:bookmarkEnd w:id="142"/>
    </w:p>
    <w:p w14:paraId="7BDB61D4">
      <w:pPr>
        <w:pStyle w:val="65"/>
        <w:ind w:firstLine="420"/>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报告装订线左侧，正式文本装订后，在报告以下位置加盖公章或签字：</w:t>
      </w:r>
    </w:p>
    <w:p w14:paraId="2A450032">
      <w:pPr>
        <w:pStyle w:val="65"/>
        <w:ind w:firstLine="420"/>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a</w:t>
      </w:r>
      <w:r>
        <w:rPr>
          <w:rFonts w:hint="eastAsia"/>
          <w:lang w:val="zh-CN"/>
        </w:rPr>
        <w:t xml:space="preserve">） </w:t>
      </w:r>
      <w:r>
        <w:rPr>
          <w:rFonts w:hint="eastAsia" w:ascii="Times New Roman"/>
          <w:color w:val="000000" w:themeColor="text1"/>
          <w14:textFill>
            <w14:solidFill>
              <w14:schemeClr w14:val="tx1"/>
            </w14:solidFill>
          </w14:textFill>
        </w:rPr>
        <w:t>封面加盖建设单位公章；</w:t>
      </w:r>
    </w:p>
    <w:p w14:paraId="34255382">
      <w:pPr>
        <w:pStyle w:val="65"/>
        <w:ind w:firstLine="420"/>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b</w:t>
      </w:r>
      <w:r>
        <w:rPr>
          <w:rFonts w:hint="eastAsia"/>
          <w:lang w:val="zh-CN"/>
        </w:rPr>
        <w:t xml:space="preserve">） </w:t>
      </w:r>
      <w:r>
        <w:rPr>
          <w:rFonts w:hint="eastAsia" w:ascii="Times New Roman"/>
          <w:color w:val="000000" w:themeColor="text1"/>
          <w14:textFill>
            <w14:solidFill>
              <w14:schemeClr w14:val="tx1"/>
            </w14:solidFill>
          </w14:textFill>
        </w:rPr>
        <w:t>扉页加盖安全评价机构公章；</w:t>
      </w:r>
    </w:p>
    <w:p w14:paraId="170177CC">
      <w:pPr>
        <w:pStyle w:val="65"/>
        <w:ind w:firstLine="420"/>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c</w:t>
      </w:r>
      <w:r>
        <w:rPr>
          <w:rFonts w:hint="eastAsia"/>
          <w:lang w:val="zh-CN"/>
        </w:rPr>
        <w:t xml:space="preserve">） </w:t>
      </w:r>
      <w:r>
        <w:rPr>
          <w:rFonts w:hint="eastAsia" w:ascii="Times New Roman"/>
          <w:color w:val="000000" w:themeColor="text1"/>
          <w14:textFill>
            <w14:solidFill>
              <w14:schemeClr w14:val="tx1"/>
            </w14:solidFill>
          </w14:textFill>
        </w:rPr>
        <w:t>评价人员名单进行手签字；</w:t>
      </w:r>
    </w:p>
    <w:p w14:paraId="2E5D9138">
      <w:pPr>
        <w:pStyle w:val="65"/>
        <w:ind w:firstLine="420"/>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d</w:t>
      </w:r>
      <w:r>
        <w:rPr>
          <w:rFonts w:hint="eastAsia"/>
          <w:lang w:val="zh-CN"/>
        </w:rPr>
        <w:t xml:space="preserve">） </w:t>
      </w:r>
      <w:r>
        <w:rPr>
          <w:rFonts w:hint="eastAsia" w:ascii="Times New Roman"/>
          <w:color w:val="000000" w:themeColor="text1"/>
          <w14:textFill>
            <w14:solidFill>
              <w14:schemeClr w14:val="tx1"/>
            </w14:solidFill>
          </w14:textFill>
        </w:rPr>
        <w:t>结论加盖安全评价机构公章；</w:t>
      </w:r>
    </w:p>
    <w:p w14:paraId="5698EF74">
      <w:pPr>
        <w:pStyle w:val="65"/>
        <w:ind w:firstLine="420"/>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e</w:t>
      </w:r>
      <w:r>
        <w:rPr>
          <w:rFonts w:hint="eastAsia"/>
          <w:lang w:val="zh-CN"/>
        </w:rPr>
        <w:t xml:space="preserve">） </w:t>
      </w:r>
      <w:r>
        <w:rPr>
          <w:rFonts w:ascii="Times New Roman"/>
          <w:color w:val="000000" w:themeColor="text1"/>
          <w14:textFill>
            <w14:solidFill>
              <w14:schemeClr w14:val="tx1"/>
            </w14:solidFill>
          </w14:textFill>
        </w:rPr>
        <w:t>报告侧面加盖安全评价机构骑缝章。</w:t>
      </w:r>
    </w:p>
    <w:p w14:paraId="3C5EAB20">
      <w:pPr>
        <w:pStyle w:val="65"/>
        <w:ind w:firstLine="420"/>
        <w:rPr>
          <w:color w:val="000000" w:themeColor="text1"/>
          <w14:textFill>
            <w14:solidFill>
              <w14:schemeClr w14:val="tx1"/>
            </w14:solidFill>
          </w14:textFill>
        </w:rPr>
        <w:sectPr>
          <w:footerReference r:id="rId12" w:type="default"/>
          <w:pgSz w:w="11906" w:h="16838"/>
          <w:pgMar w:top="567" w:right="1134" w:bottom="1134" w:left="1418" w:header="851" w:footer="992" w:gutter="0"/>
          <w:pgNumType w:start="1"/>
          <w:cols w:space="720" w:num="1"/>
          <w:docGrid w:type="lines" w:linePitch="312" w:charSpace="0"/>
        </w:sectPr>
      </w:pPr>
    </w:p>
    <w:p w14:paraId="2A457B8C">
      <w:pPr>
        <w:pStyle w:val="109"/>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br w:type="textWrapping"/>
      </w:r>
      <w:bookmarkStart w:id="143" w:name="_Toc180478639"/>
      <w:bookmarkStart w:id="144" w:name="_Toc174118012"/>
      <w:r>
        <w:rPr>
          <w:rFonts w:ascii="Times New Roman"/>
          <w:color w:val="000000" w:themeColor="text1"/>
          <w:szCs w:val="21"/>
          <w14:textFill>
            <w14:solidFill>
              <w14:schemeClr w14:val="tx1"/>
            </w14:solidFill>
          </w14:textFill>
        </w:rPr>
        <w:t>（</w:t>
      </w:r>
      <w:r>
        <w:rPr>
          <w:rFonts w:hint="eastAsia" w:ascii="Times New Roman"/>
          <w:color w:val="000000" w:themeColor="text1"/>
          <w:szCs w:val="21"/>
          <w14:textFill>
            <w14:solidFill>
              <w14:schemeClr w14:val="tx1"/>
            </w14:solidFill>
          </w14:textFill>
        </w:rPr>
        <w:t>资料性</w:t>
      </w:r>
      <w:r>
        <w:rPr>
          <w:rFonts w:ascii="Times New Roman"/>
          <w:color w:val="000000" w:themeColor="text1"/>
          <w:szCs w:val="21"/>
          <w14:textFill>
            <w14:solidFill>
              <w14:schemeClr w14:val="tx1"/>
            </w14:solidFill>
          </w14:textFill>
        </w:rPr>
        <w:t>）</w:t>
      </w:r>
      <w:r>
        <w:rPr>
          <w:rFonts w:ascii="Times New Roman"/>
          <w:color w:val="000000" w:themeColor="text1"/>
          <w:szCs w:val="21"/>
          <w14:textFill>
            <w14:solidFill>
              <w14:schemeClr w14:val="tx1"/>
            </w14:solidFill>
          </w14:textFill>
        </w:rPr>
        <w:br w:type="textWrapping"/>
      </w:r>
      <w:r>
        <w:rPr>
          <w:rFonts w:hAnsi="黑体"/>
          <w:color w:val="000000" w:themeColor="text1"/>
          <w:szCs w:val="21"/>
          <w14:textFill>
            <w14:solidFill>
              <w14:schemeClr w14:val="tx1"/>
            </w14:solidFill>
          </w14:textFill>
        </w:rPr>
        <w:t>主要安全设施</w:t>
      </w:r>
      <w:bookmarkEnd w:id="143"/>
      <w:bookmarkEnd w:id="144"/>
    </w:p>
    <w:tbl>
      <w:tblPr>
        <w:tblStyle w:val="3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232"/>
        <w:gridCol w:w="2477"/>
        <w:gridCol w:w="5352"/>
      </w:tblGrid>
      <w:tr w14:paraId="3D5B19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2047" w:type="pct"/>
            <w:gridSpan w:val="2"/>
            <w:vAlign w:val="center"/>
          </w:tcPr>
          <w:p w14:paraId="46A16713">
            <w:pPr>
              <w:pStyle w:val="65"/>
              <w:tabs>
                <w:tab w:val="center" w:pos="4201"/>
                <w:tab w:val="right" w:leader="dot" w:pos="9298"/>
              </w:tabs>
              <w:ind w:firstLine="0" w:firstLineChars="0"/>
              <w:jc w:val="center"/>
              <w:rPr>
                <w:rFonts w:ascii="Times New Roman"/>
                <w:sz w:val="18"/>
                <w:szCs w:val="18"/>
              </w:rPr>
            </w:pPr>
            <w:r>
              <w:rPr>
                <w:rFonts w:ascii="Times New Roman"/>
                <w:sz w:val="18"/>
                <w:szCs w:val="18"/>
              </w:rPr>
              <w:t>类别</w:t>
            </w:r>
          </w:p>
        </w:tc>
        <w:tc>
          <w:tcPr>
            <w:tcW w:w="2952" w:type="pct"/>
            <w:vAlign w:val="center"/>
          </w:tcPr>
          <w:p w14:paraId="38FC2D1A">
            <w:pPr>
              <w:pStyle w:val="65"/>
              <w:tabs>
                <w:tab w:val="center" w:pos="4201"/>
                <w:tab w:val="right" w:leader="dot" w:pos="9298"/>
              </w:tabs>
              <w:ind w:firstLine="0" w:firstLineChars="0"/>
              <w:jc w:val="center"/>
              <w:rPr>
                <w:rFonts w:ascii="Times New Roman"/>
                <w:sz w:val="18"/>
                <w:szCs w:val="18"/>
              </w:rPr>
            </w:pPr>
            <w:r>
              <w:rPr>
                <w:rFonts w:ascii="Times New Roman"/>
                <w:sz w:val="18"/>
                <w:szCs w:val="18"/>
              </w:rPr>
              <w:t>主要安全设施</w:t>
            </w:r>
          </w:p>
        </w:tc>
      </w:tr>
      <w:tr w14:paraId="33A579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80" w:type="pct"/>
            <w:vMerge w:val="restart"/>
            <w:vAlign w:val="center"/>
          </w:tcPr>
          <w:p w14:paraId="6AE1F8A3">
            <w:pPr>
              <w:pStyle w:val="65"/>
              <w:tabs>
                <w:tab w:val="center" w:pos="4201"/>
                <w:tab w:val="right" w:leader="dot" w:pos="9298"/>
              </w:tabs>
              <w:ind w:firstLine="0" w:firstLineChars="0"/>
              <w:jc w:val="center"/>
              <w:rPr>
                <w:rFonts w:ascii="Times New Roman"/>
                <w:sz w:val="18"/>
                <w:szCs w:val="18"/>
              </w:rPr>
            </w:pPr>
            <w:r>
              <w:rPr>
                <w:rFonts w:ascii="Times New Roman"/>
                <w:sz w:val="18"/>
                <w:szCs w:val="18"/>
              </w:rPr>
              <w:t>安全防护</w:t>
            </w:r>
          </w:p>
        </w:tc>
        <w:tc>
          <w:tcPr>
            <w:tcW w:w="1366" w:type="pct"/>
            <w:vAlign w:val="center"/>
          </w:tcPr>
          <w:p w14:paraId="7A0C79E0">
            <w:pPr>
              <w:pStyle w:val="65"/>
              <w:tabs>
                <w:tab w:val="center" w:pos="4201"/>
                <w:tab w:val="right" w:leader="dot" w:pos="9298"/>
              </w:tabs>
              <w:ind w:firstLine="0" w:firstLineChars="0"/>
              <w:jc w:val="center"/>
              <w:rPr>
                <w:rFonts w:ascii="Times New Roman"/>
                <w:sz w:val="18"/>
                <w:szCs w:val="18"/>
              </w:rPr>
            </w:pPr>
            <w:r>
              <w:rPr>
                <w:rFonts w:ascii="Times New Roman"/>
                <w:sz w:val="18"/>
                <w:szCs w:val="18"/>
              </w:rPr>
              <w:t>个体防护</w:t>
            </w:r>
          </w:p>
        </w:tc>
        <w:tc>
          <w:tcPr>
            <w:tcW w:w="2952" w:type="pct"/>
          </w:tcPr>
          <w:p w14:paraId="4BAC7F89">
            <w:pPr>
              <w:pStyle w:val="65"/>
              <w:tabs>
                <w:tab w:val="center" w:pos="4201"/>
                <w:tab w:val="right" w:leader="dot" w:pos="9298"/>
              </w:tabs>
              <w:ind w:firstLine="0" w:firstLineChars="0"/>
              <w:rPr>
                <w:rFonts w:ascii="Times New Roman"/>
                <w:sz w:val="18"/>
                <w:szCs w:val="18"/>
              </w:rPr>
            </w:pPr>
            <w:r>
              <w:rPr>
                <w:rFonts w:ascii="Times New Roman"/>
                <w:sz w:val="18"/>
                <w:szCs w:val="18"/>
              </w:rPr>
              <w:t>头部防护（安全帽、面罩、耳塞、眼镜、口罩）和身体防护（工作服、</w:t>
            </w:r>
            <w:r>
              <w:rPr>
                <w:rFonts w:hint="eastAsia" w:ascii="Times New Roman"/>
                <w:sz w:val="18"/>
                <w:szCs w:val="18"/>
              </w:rPr>
              <w:t>防护服、</w:t>
            </w:r>
            <w:r>
              <w:rPr>
                <w:rFonts w:ascii="Times New Roman"/>
                <w:sz w:val="18"/>
                <w:szCs w:val="18"/>
              </w:rPr>
              <w:t>手套、鞋）、空气呼吸器、洗眼器等</w:t>
            </w:r>
          </w:p>
        </w:tc>
      </w:tr>
      <w:tr w14:paraId="1C9862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Merge w:val="continue"/>
            <w:vAlign w:val="center"/>
          </w:tcPr>
          <w:p w14:paraId="6E397939">
            <w:pPr>
              <w:pStyle w:val="65"/>
              <w:tabs>
                <w:tab w:val="center" w:pos="4201"/>
                <w:tab w:val="right" w:leader="dot" w:pos="9298"/>
              </w:tabs>
              <w:ind w:firstLine="0" w:firstLineChars="0"/>
              <w:jc w:val="center"/>
              <w:rPr>
                <w:rFonts w:ascii="Times New Roman"/>
                <w:sz w:val="18"/>
                <w:szCs w:val="18"/>
              </w:rPr>
            </w:pPr>
          </w:p>
        </w:tc>
        <w:tc>
          <w:tcPr>
            <w:tcW w:w="1366" w:type="pct"/>
            <w:vAlign w:val="center"/>
          </w:tcPr>
          <w:p w14:paraId="2DEC7353">
            <w:pPr>
              <w:pStyle w:val="65"/>
              <w:tabs>
                <w:tab w:val="center" w:pos="4201"/>
                <w:tab w:val="right" w:leader="dot" w:pos="9298"/>
              </w:tabs>
              <w:ind w:firstLine="0" w:firstLineChars="0"/>
              <w:jc w:val="center"/>
              <w:rPr>
                <w:rFonts w:ascii="Times New Roman"/>
                <w:sz w:val="18"/>
                <w:szCs w:val="18"/>
              </w:rPr>
            </w:pPr>
            <w:r>
              <w:rPr>
                <w:rFonts w:ascii="Times New Roman"/>
                <w:sz w:val="18"/>
                <w:szCs w:val="18"/>
              </w:rPr>
              <w:t>安全泄放设施</w:t>
            </w:r>
          </w:p>
        </w:tc>
        <w:tc>
          <w:tcPr>
            <w:tcW w:w="2952" w:type="pct"/>
          </w:tcPr>
          <w:p w14:paraId="6310F51E">
            <w:pPr>
              <w:pStyle w:val="65"/>
              <w:tabs>
                <w:tab w:val="center" w:pos="4201"/>
                <w:tab w:val="right" w:leader="dot" w:pos="9298"/>
              </w:tabs>
              <w:ind w:firstLine="0" w:firstLineChars="0"/>
              <w:rPr>
                <w:rFonts w:ascii="Times New Roman"/>
                <w:sz w:val="18"/>
                <w:szCs w:val="18"/>
              </w:rPr>
            </w:pPr>
            <w:r>
              <w:rPr>
                <w:rFonts w:ascii="Times New Roman"/>
                <w:sz w:val="18"/>
                <w:szCs w:val="18"/>
              </w:rPr>
              <w:t>放空设施、安全阀、呼吸阀、流量开关阀等</w:t>
            </w:r>
          </w:p>
        </w:tc>
      </w:tr>
      <w:tr w14:paraId="72ADFE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Merge w:val="continue"/>
            <w:vAlign w:val="center"/>
          </w:tcPr>
          <w:p w14:paraId="1CF68AFB">
            <w:pPr>
              <w:pStyle w:val="65"/>
              <w:tabs>
                <w:tab w:val="center" w:pos="4201"/>
                <w:tab w:val="right" w:leader="dot" w:pos="9298"/>
              </w:tabs>
              <w:ind w:firstLine="0" w:firstLineChars="0"/>
              <w:jc w:val="center"/>
              <w:rPr>
                <w:rFonts w:ascii="Times New Roman"/>
                <w:sz w:val="18"/>
                <w:szCs w:val="18"/>
              </w:rPr>
            </w:pPr>
          </w:p>
        </w:tc>
        <w:tc>
          <w:tcPr>
            <w:tcW w:w="1366" w:type="pct"/>
            <w:vAlign w:val="center"/>
          </w:tcPr>
          <w:p w14:paraId="393E7522">
            <w:pPr>
              <w:pStyle w:val="65"/>
              <w:tabs>
                <w:tab w:val="center" w:pos="4201"/>
                <w:tab w:val="right" w:leader="dot" w:pos="9298"/>
              </w:tabs>
              <w:ind w:firstLine="0" w:firstLineChars="0"/>
              <w:jc w:val="center"/>
              <w:rPr>
                <w:rFonts w:ascii="Times New Roman"/>
                <w:sz w:val="18"/>
                <w:szCs w:val="18"/>
              </w:rPr>
            </w:pPr>
            <w:r>
              <w:rPr>
                <w:rFonts w:ascii="Times New Roman"/>
                <w:sz w:val="18"/>
                <w:szCs w:val="18"/>
              </w:rPr>
              <w:t>安全标志</w:t>
            </w:r>
          </w:p>
        </w:tc>
        <w:tc>
          <w:tcPr>
            <w:tcW w:w="2952" w:type="pct"/>
          </w:tcPr>
          <w:p w14:paraId="2C206ACD">
            <w:pPr>
              <w:pStyle w:val="65"/>
              <w:tabs>
                <w:tab w:val="center" w:pos="4201"/>
                <w:tab w:val="right" w:leader="dot" w:pos="9298"/>
              </w:tabs>
              <w:ind w:firstLine="0" w:firstLineChars="0"/>
              <w:rPr>
                <w:rFonts w:ascii="Times New Roman"/>
                <w:sz w:val="18"/>
                <w:szCs w:val="18"/>
              </w:rPr>
            </w:pPr>
            <w:r>
              <w:rPr>
                <w:rFonts w:ascii="Times New Roman"/>
                <w:sz w:val="18"/>
                <w:szCs w:val="18"/>
              </w:rPr>
              <w:t>危险区警示标志、“三桩”、逃生避难标志、风向标等</w:t>
            </w:r>
          </w:p>
        </w:tc>
      </w:tr>
      <w:tr w14:paraId="09D5B9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Merge w:val="continue"/>
            <w:vAlign w:val="center"/>
          </w:tcPr>
          <w:p w14:paraId="181AD798">
            <w:pPr>
              <w:pStyle w:val="65"/>
              <w:tabs>
                <w:tab w:val="center" w:pos="4201"/>
                <w:tab w:val="right" w:leader="dot" w:pos="9298"/>
              </w:tabs>
              <w:ind w:firstLine="0" w:firstLineChars="0"/>
              <w:jc w:val="center"/>
              <w:rPr>
                <w:rFonts w:ascii="Times New Roman"/>
                <w:sz w:val="18"/>
                <w:szCs w:val="18"/>
              </w:rPr>
            </w:pPr>
          </w:p>
        </w:tc>
        <w:tc>
          <w:tcPr>
            <w:tcW w:w="1366" w:type="pct"/>
            <w:vAlign w:val="center"/>
          </w:tcPr>
          <w:p w14:paraId="58CDACEC">
            <w:pPr>
              <w:pStyle w:val="65"/>
              <w:tabs>
                <w:tab w:val="center" w:pos="4201"/>
                <w:tab w:val="right" w:leader="dot" w:pos="9298"/>
              </w:tabs>
              <w:ind w:firstLine="0" w:firstLineChars="0"/>
              <w:jc w:val="center"/>
              <w:rPr>
                <w:rFonts w:ascii="Times New Roman"/>
                <w:sz w:val="18"/>
                <w:szCs w:val="18"/>
              </w:rPr>
            </w:pPr>
            <w:r>
              <w:rPr>
                <w:rFonts w:ascii="Times New Roman"/>
                <w:sz w:val="18"/>
                <w:szCs w:val="18"/>
              </w:rPr>
              <w:t>雷电、静电防护</w:t>
            </w:r>
          </w:p>
        </w:tc>
        <w:tc>
          <w:tcPr>
            <w:tcW w:w="2952" w:type="pct"/>
          </w:tcPr>
          <w:p w14:paraId="656FB73E">
            <w:pPr>
              <w:pStyle w:val="65"/>
              <w:tabs>
                <w:tab w:val="center" w:pos="4201"/>
                <w:tab w:val="right" w:leader="dot" w:pos="9298"/>
              </w:tabs>
              <w:ind w:firstLine="0" w:firstLineChars="0"/>
              <w:rPr>
                <w:rFonts w:ascii="Times New Roman"/>
                <w:sz w:val="18"/>
                <w:szCs w:val="18"/>
              </w:rPr>
            </w:pPr>
            <w:r>
              <w:rPr>
                <w:rFonts w:ascii="Times New Roman"/>
                <w:sz w:val="18"/>
                <w:szCs w:val="18"/>
              </w:rPr>
              <w:t>防雷设施、静电接地设施等</w:t>
            </w:r>
          </w:p>
        </w:tc>
      </w:tr>
      <w:tr w14:paraId="0A21F6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Merge w:val="continue"/>
            <w:vAlign w:val="center"/>
          </w:tcPr>
          <w:p w14:paraId="674356EF">
            <w:pPr>
              <w:pStyle w:val="65"/>
              <w:tabs>
                <w:tab w:val="center" w:pos="4201"/>
                <w:tab w:val="right" w:leader="dot" w:pos="9298"/>
              </w:tabs>
              <w:ind w:firstLine="0" w:firstLineChars="0"/>
              <w:jc w:val="center"/>
              <w:rPr>
                <w:rFonts w:ascii="Times New Roman"/>
                <w:sz w:val="18"/>
                <w:szCs w:val="18"/>
              </w:rPr>
            </w:pPr>
          </w:p>
        </w:tc>
        <w:tc>
          <w:tcPr>
            <w:tcW w:w="1366" w:type="pct"/>
            <w:vAlign w:val="center"/>
          </w:tcPr>
          <w:p w14:paraId="1D6AEF69">
            <w:pPr>
              <w:pStyle w:val="65"/>
              <w:tabs>
                <w:tab w:val="center" w:pos="4201"/>
                <w:tab w:val="right" w:leader="dot" w:pos="9298"/>
              </w:tabs>
              <w:ind w:firstLine="0" w:firstLineChars="0"/>
              <w:jc w:val="center"/>
              <w:rPr>
                <w:rFonts w:ascii="Times New Roman"/>
                <w:sz w:val="18"/>
                <w:szCs w:val="18"/>
              </w:rPr>
            </w:pPr>
            <w:r>
              <w:rPr>
                <w:rFonts w:hint="eastAsia" w:ascii="Times New Roman"/>
                <w:sz w:val="18"/>
                <w:szCs w:val="18"/>
              </w:rPr>
              <w:t>数据采集与监视控制（SCADA）系统</w:t>
            </w:r>
          </w:p>
        </w:tc>
        <w:tc>
          <w:tcPr>
            <w:tcW w:w="2952" w:type="pct"/>
          </w:tcPr>
          <w:p w14:paraId="2A6F47CB">
            <w:pPr>
              <w:pStyle w:val="65"/>
              <w:tabs>
                <w:tab w:val="center" w:pos="4201"/>
                <w:tab w:val="right" w:leader="dot" w:pos="9298"/>
              </w:tabs>
              <w:ind w:firstLine="0" w:firstLineChars="0"/>
              <w:rPr>
                <w:rFonts w:ascii="Times New Roman"/>
                <w:sz w:val="18"/>
                <w:szCs w:val="18"/>
              </w:rPr>
            </w:pPr>
            <w:r>
              <w:rPr>
                <w:rFonts w:ascii="Times New Roman"/>
                <w:sz w:val="18"/>
                <w:szCs w:val="18"/>
              </w:rPr>
              <w:t>调控控制中心的计算机系统、管道各站场的控制系统、远程终端装置（RTU）、数据通信系统等</w:t>
            </w:r>
          </w:p>
        </w:tc>
      </w:tr>
      <w:tr w14:paraId="05EB6E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Merge w:val="restart"/>
            <w:vAlign w:val="center"/>
          </w:tcPr>
          <w:p w14:paraId="53FAC92B">
            <w:pPr>
              <w:pStyle w:val="65"/>
              <w:tabs>
                <w:tab w:val="center" w:pos="4201"/>
                <w:tab w:val="right" w:leader="dot" w:pos="9298"/>
              </w:tabs>
              <w:ind w:firstLine="0" w:firstLineChars="0"/>
              <w:jc w:val="center"/>
              <w:rPr>
                <w:rFonts w:ascii="Times New Roman"/>
                <w:sz w:val="18"/>
                <w:szCs w:val="18"/>
              </w:rPr>
            </w:pPr>
            <w:r>
              <w:rPr>
                <w:rFonts w:ascii="Times New Roman"/>
                <w:sz w:val="18"/>
                <w:szCs w:val="18"/>
              </w:rPr>
              <w:t>防火防爆</w:t>
            </w:r>
          </w:p>
        </w:tc>
        <w:tc>
          <w:tcPr>
            <w:tcW w:w="1366" w:type="pct"/>
            <w:vAlign w:val="center"/>
          </w:tcPr>
          <w:p w14:paraId="57045EB2">
            <w:pPr>
              <w:pStyle w:val="65"/>
              <w:tabs>
                <w:tab w:val="center" w:pos="4201"/>
                <w:tab w:val="right" w:leader="dot" w:pos="9298"/>
              </w:tabs>
              <w:ind w:firstLine="0" w:firstLineChars="0"/>
              <w:jc w:val="center"/>
              <w:rPr>
                <w:rFonts w:ascii="Times New Roman"/>
                <w:sz w:val="18"/>
                <w:szCs w:val="18"/>
              </w:rPr>
            </w:pPr>
            <w:r>
              <w:rPr>
                <w:rFonts w:ascii="Times New Roman"/>
                <w:sz w:val="18"/>
                <w:szCs w:val="18"/>
              </w:rPr>
              <w:t>防火设施</w:t>
            </w:r>
          </w:p>
        </w:tc>
        <w:tc>
          <w:tcPr>
            <w:tcW w:w="2952" w:type="pct"/>
          </w:tcPr>
          <w:p w14:paraId="5DB1B7F7">
            <w:pPr>
              <w:pStyle w:val="65"/>
              <w:tabs>
                <w:tab w:val="center" w:pos="4201"/>
                <w:tab w:val="right" w:leader="dot" w:pos="9298"/>
              </w:tabs>
              <w:ind w:firstLine="0" w:firstLineChars="0"/>
              <w:rPr>
                <w:rFonts w:ascii="Times New Roman"/>
                <w:sz w:val="18"/>
                <w:szCs w:val="18"/>
              </w:rPr>
            </w:pPr>
            <w:r>
              <w:rPr>
                <w:rFonts w:ascii="Times New Roman"/>
                <w:sz w:val="18"/>
                <w:szCs w:val="18"/>
              </w:rPr>
              <w:t>阻火器、防液（火）堤、防火（爆）墙、防火门（窗）、防火涂料等</w:t>
            </w:r>
          </w:p>
        </w:tc>
      </w:tr>
      <w:tr w14:paraId="5B5361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Merge w:val="continue"/>
            <w:vAlign w:val="center"/>
          </w:tcPr>
          <w:p w14:paraId="3404846E">
            <w:pPr>
              <w:pStyle w:val="65"/>
              <w:tabs>
                <w:tab w:val="center" w:pos="4201"/>
                <w:tab w:val="right" w:leader="dot" w:pos="9298"/>
              </w:tabs>
              <w:ind w:firstLine="0" w:firstLineChars="0"/>
              <w:jc w:val="center"/>
              <w:rPr>
                <w:rFonts w:ascii="Times New Roman"/>
                <w:sz w:val="18"/>
                <w:szCs w:val="18"/>
              </w:rPr>
            </w:pPr>
          </w:p>
        </w:tc>
        <w:tc>
          <w:tcPr>
            <w:tcW w:w="1366" w:type="pct"/>
            <w:vAlign w:val="center"/>
          </w:tcPr>
          <w:p w14:paraId="2C595125">
            <w:pPr>
              <w:pStyle w:val="65"/>
              <w:tabs>
                <w:tab w:val="center" w:pos="4201"/>
                <w:tab w:val="right" w:leader="dot" w:pos="9298"/>
              </w:tabs>
              <w:ind w:firstLine="0" w:firstLineChars="0"/>
              <w:jc w:val="center"/>
              <w:rPr>
                <w:rFonts w:ascii="Times New Roman"/>
                <w:sz w:val="18"/>
                <w:szCs w:val="18"/>
              </w:rPr>
            </w:pPr>
            <w:r>
              <w:rPr>
                <w:rFonts w:ascii="Times New Roman"/>
                <w:sz w:val="18"/>
                <w:szCs w:val="18"/>
              </w:rPr>
              <w:t>防爆设施设备</w:t>
            </w:r>
          </w:p>
        </w:tc>
        <w:tc>
          <w:tcPr>
            <w:tcW w:w="2952" w:type="pct"/>
          </w:tcPr>
          <w:p w14:paraId="798AC278">
            <w:pPr>
              <w:pStyle w:val="65"/>
              <w:tabs>
                <w:tab w:val="center" w:pos="4201"/>
                <w:tab w:val="right" w:leader="dot" w:pos="9298"/>
              </w:tabs>
              <w:ind w:firstLine="0" w:firstLineChars="0"/>
              <w:rPr>
                <w:rFonts w:ascii="Times New Roman"/>
                <w:sz w:val="18"/>
                <w:szCs w:val="18"/>
              </w:rPr>
            </w:pPr>
            <w:r>
              <w:rPr>
                <w:rFonts w:ascii="Times New Roman"/>
                <w:sz w:val="18"/>
                <w:szCs w:val="18"/>
              </w:rPr>
              <w:t>电气设备、风机、电磁阀、仪表、工器具、对讲机/移动电话等</w:t>
            </w:r>
          </w:p>
        </w:tc>
      </w:tr>
      <w:tr w14:paraId="6140AC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Merge w:val="restart"/>
            <w:vAlign w:val="center"/>
          </w:tcPr>
          <w:p w14:paraId="28C1888D">
            <w:pPr>
              <w:pStyle w:val="65"/>
              <w:tabs>
                <w:tab w:val="center" w:pos="4201"/>
                <w:tab w:val="right" w:leader="dot" w:pos="9298"/>
              </w:tabs>
              <w:ind w:firstLine="0" w:firstLineChars="0"/>
              <w:jc w:val="center"/>
              <w:rPr>
                <w:rFonts w:ascii="Times New Roman"/>
                <w:sz w:val="18"/>
                <w:szCs w:val="18"/>
              </w:rPr>
            </w:pPr>
            <w:r>
              <w:rPr>
                <w:rFonts w:ascii="Times New Roman"/>
                <w:sz w:val="18"/>
                <w:szCs w:val="18"/>
              </w:rPr>
              <w:t>检测报警</w:t>
            </w:r>
          </w:p>
        </w:tc>
        <w:tc>
          <w:tcPr>
            <w:tcW w:w="1366" w:type="pct"/>
            <w:vAlign w:val="center"/>
          </w:tcPr>
          <w:p w14:paraId="23A05C18">
            <w:pPr>
              <w:pStyle w:val="65"/>
              <w:tabs>
                <w:tab w:val="center" w:pos="4201"/>
                <w:tab w:val="right" w:leader="dot" w:pos="9298"/>
              </w:tabs>
              <w:ind w:firstLine="0" w:firstLineChars="0"/>
              <w:jc w:val="center"/>
              <w:rPr>
                <w:rFonts w:ascii="Times New Roman"/>
                <w:sz w:val="18"/>
                <w:szCs w:val="18"/>
              </w:rPr>
            </w:pPr>
            <w:r>
              <w:rPr>
                <w:rFonts w:ascii="Times New Roman"/>
                <w:sz w:val="18"/>
                <w:szCs w:val="18"/>
              </w:rPr>
              <w:t>监测</w:t>
            </w:r>
          </w:p>
        </w:tc>
        <w:tc>
          <w:tcPr>
            <w:tcW w:w="2952" w:type="pct"/>
          </w:tcPr>
          <w:p w14:paraId="59F9DA83">
            <w:pPr>
              <w:pStyle w:val="65"/>
              <w:tabs>
                <w:tab w:val="center" w:pos="4201"/>
                <w:tab w:val="right" w:leader="dot" w:pos="9298"/>
              </w:tabs>
              <w:ind w:firstLine="0" w:firstLineChars="0"/>
              <w:rPr>
                <w:rFonts w:ascii="Times New Roman"/>
                <w:sz w:val="18"/>
                <w:szCs w:val="18"/>
              </w:rPr>
            </w:pPr>
            <w:r>
              <w:rPr>
                <w:rFonts w:ascii="Times New Roman"/>
                <w:sz w:val="18"/>
                <w:szCs w:val="18"/>
              </w:rPr>
              <w:t>地质灾害监测设施、管道本体监测设施</w:t>
            </w:r>
            <w:r>
              <w:rPr>
                <w:rFonts w:hint="eastAsia" w:ascii="Times New Roman"/>
                <w:sz w:val="18"/>
                <w:szCs w:val="18"/>
              </w:rPr>
              <w:t>、</w:t>
            </w:r>
            <w:r>
              <w:rPr>
                <w:rFonts w:ascii="Times New Roman"/>
                <w:sz w:val="18"/>
                <w:szCs w:val="18"/>
              </w:rPr>
              <w:t>管道泄漏监测系统等</w:t>
            </w:r>
          </w:p>
        </w:tc>
      </w:tr>
      <w:tr w14:paraId="77BFE6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Merge w:val="continue"/>
            <w:vAlign w:val="center"/>
          </w:tcPr>
          <w:p w14:paraId="092A880F">
            <w:pPr>
              <w:pStyle w:val="65"/>
              <w:tabs>
                <w:tab w:val="center" w:pos="4201"/>
                <w:tab w:val="right" w:leader="dot" w:pos="9298"/>
              </w:tabs>
              <w:ind w:firstLine="0" w:firstLineChars="0"/>
              <w:jc w:val="center"/>
              <w:rPr>
                <w:rFonts w:ascii="Times New Roman"/>
                <w:sz w:val="18"/>
                <w:szCs w:val="18"/>
              </w:rPr>
            </w:pPr>
          </w:p>
        </w:tc>
        <w:tc>
          <w:tcPr>
            <w:tcW w:w="1366" w:type="pct"/>
            <w:vAlign w:val="center"/>
          </w:tcPr>
          <w:p w14:paraId="3FB26172">
            <w:pPr>
              <w:pStyle w:val="65"/>
              <w:tabs>
                <w:tab w:val="center" w:pos="4201"/>
                <w:tab w:val="right" w:leader="dot" w:pos="9298"/>
              </w:tabs>
              <w:ind w:firstLine="0" w:firstLineChars="0"/>
              <w:jc w:val="center"/>
              <w:rPr>
                <w:rFonts w:ascii="Times New Roman"/>
                <w:sz w:val="18"/>
                <w:szCs w:val="18"/>
              </w:rPr>
            </w:pPr>
            <w:r>
              <w:rPr>
                <w:rFonts w:ascii="Times New Roman"/>
                <w:sz w:val="18"/>
                <w:szCs w:val="18"/>
              </w:rPr>
              <w:t>可燃（有毒）气体检测系统、火灾自动报警系统</w:t>
            </w:r>
          </w:p>
        </w:tc>
        <w:tc>
          <w:tcPr>
            <w:tcW w:w="2952" w:type="pct"/>
          </w:tcPr>
          <w:p w14:paraId="39511C85">
            <w:pPr>
              <w:pStyle w:val="65"/>
              <w:tabs>
                <w:tab w:val="center" w:pos="4201"/>
                <w:tab w:val="right" w:leader="dot" w:pos="9298"/>
              </w:tabs>
              <w:ind w:firstLine="0" w:firstLineChars="0"/>
              <w:rPr>
                <w:rFonts w:ascii="Times New Roman"/>
                <w:sz w:val="18"/>
                <w:szCs w:val="18"/>
              </w:rPr>
            </w:pPr>
            <w:r>
              <w:rPr>
                <w:rFonts w:ascii="Times New Roman"/>
                <w:sz w:val="18"/>
                <w:szCs w:val="18"/>
              </w:rPr>
              <w:t>火灾探测器、手动火灾报警按钮、火灾报警器、火灾报警控制器、火灾报警电话、可燃及有毒气体探测器等</w:t>
            </w:r>
          </w:p>
        </w:tc>
      </w:tr>
      <w:tr w14:paraId="299330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Merge w:val="continue"/>
            <w:vAlign w:val="center"/>
          </w:tcPr>
          <w:p w14:paraId="17F86BDF">
            <w:pPr>
              <w:pStyle w:val="65"/>
              <w:tabs>
                <w:tab w:val="center" w:pos="4201"/>
                <w:tab w:val="right" w:leader="dot" w:pos="9298"/>
              </w:tabs>
              <w:ind w:firstLine="0" w:firstLineChars="0"/>
              <w:jc w:val="center"/>
              <w:rPr>
                <w:rFonts w:ascii="Times New Roman"/>
                <w:sz w:val="18"/>
                <w:szCs w:val="18"/>
              </w:rPr>
            </w:pPr>
          </w:p>
        </w:tc>
        <w:tc>
          <w:tcPr>
            <w:tcW w:w="1366" w:type="pct"/>
            <w:vAlign w:val="center"/>
          </w:tcPr>
          <w:p w14:paraId="304F165D">
            <w:pPr>
              <w:pStyle w:val="65"/>
              <w:tabs>
                <w:tab w:val="center" w:pos="4201"/>
                <w:tab w:val="right" w:leader="dot" w:pos="9298"/>
              </w:tabs>
              <w:ind w:firstLine="0" w:firstLineChars="0"/>
              <w:jc w:val="center"/>
              <w:rPr>
                <w:rFonts w:ascii="Times New Roman"/>
                <w:sz w:val="18"/>
                <w:szCs w:val="18"/>
              </w:rPr>
            </w:pPr>
            <w:r>
              <w:rPr>
                <w:rFonts w:ascii="Times New Roman"/>
                <w:sz w:val="18"/>
                <w:szCs w:val="18"/>
              </w:rPr>
              <w:t>检测报警系统</w:t>
            </w:r>
          </w:p>
        </w:tc>
        <w:tc>
          <w:tcPr>
            <w:tcW w:w="2952" w:type="pct"/>
          </w:tcPr>
          <w:p w14:paraId="6519CB25">
            <w:pPr>
              <w:pStyle w:val="65"/>
              <w:tabs>
                <w:tab w:val="center" w:pos="4201"/>
                <w:tab w:val="right" w:leader="dot" w:pos="9298"/>
              </w:tabs>
              <w:ind w:firstLine="0" w:firstLineChars="0"/>
              <w:rPr>
                <w:rFonts w:ascii="Times New Roman"/>
                <w:sz w:val="18"/>
                <w:szCs w:val="18"/>
              </w:rPr>
            </w:pPr>
            <w:r>
              <w:rPr>
                <w:rFonts w:ascii="Times New Roman"/>
                <w:sz w:val="18"/>
                <w:szCs w:val="18"/>
              </w:rPr>
              <w:t>检测仪表（温度、压力、流量、液位</w:t>
            </w:r>
            <w:r>
              <w:rPr>
                <w:rFonts w:hint="eastAsia" w:ascii="Times New Roman"/>
                <w:sz w:val="18"/>
                <w:szCs w:val="18"/>
              </w:rPr>
              <w:t>等</w:t>
            </w:r>
            <w:r>
              <w:rPr>
                <w:rFonts w:ascii="Times New Roman"/>
                <w:sz w:val="18"/>
                <w:szCs w:val="18"/>
              </w:rPr>
              <w:t>）等</w:t>
            </w:r>
          </w:p>
        </w:tc>
      </w:tr>
      <w:tr w14:paraId="7E598C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Merge w:val="continue"/>
            <w:vAlign w:val="center"/>
          </w:tcPr>
          <w:p w14:paraId="0EC0DA5D">
            <w:pPr>
              <w:pStyle w:val="65"/>
              <w:tabs>
                <w:tab w:val="center" w:pos="4201"/>
                <w:tab w:val="right" w:leader="dot" w:pos="9298"/>
              </w:tabs>
              <w:ind w:firstLine="0" w:firstLineChars="0"/>
              <w:jc w:val="center"/>
              <w:rPr>
                <w:rFonts w:ascii="Times New Roman"/>
                <w:sz w:val="18"/>
                <w:szCs w:val="18"/>
              </w:rPr>
            </w:pPr>
          </w:p>
        </w:tc>
        <w:tc>
          <w:tcPr>
            <w:tcW w:w="1366" w:type="pct"/>
            <w:vAlign w:val="center"/>
          </w:tcPr>
          <w:p w14:paraId="1785DB42">
            <w:pPr>
              <w:pStyle w:val="65"/>
              <w:tabs>
                <w:tab w:val="center" w:pos="4201"/>
                <w:tab w:val="right" w:leader="dot" w:pos="9298"/>
              </w:tabs>
              <w:ind w:firstLine="0" w:firstLineChars="0"/>
              <w:jc w:val="center"/>
              <w:rPr>
                <w:rFonts w:ascii="Times New Roman"/>
                <w:sz w:val="18"/>
                <w:szCs w:val="18"/>
              </w:rPr>
            </w:pPr>
            <w:r>
              <w:rPr>
                <w:rFonts w:ascii="Times New Roman"/>
                <w:sz w:val="18"/>
                <w:szCs w:val="18"/>
              </w:rPr>
              <w:t>安防系统</w:t>
            </w:r>
          </w:p>
        </w:tc>
        <w:tc>
          <w:tcPr>
            <w:tcW w:w="2952" w:type="pct"/>
          </w:tcPr>
          <w:p w14:paraId="053932AB">
            <w:pPr>
              <w:pStyle w:val="65"/>
              <w:tabs>
                <w:tab w:val="center" w:pos="4201"/>
                <w:tab w:val="right" w:leader="dot" w:pos="9298"/>
              </w:tabs>
              <w:ind w:firstLine="0" w:firstLineChars="0"/>
              <w:rPr>
                <w:rFonts w:ascii="Times New Roman"/>
                <w:sz w:val="18"/>
                <w:szCs w:val="18"/>
              </w:rPr>
            </w:pPr>
            <w:r>
              <w:rPr>
                <w:rFonts w:ascii="Times New Roman"/>
                <w:sz w:val="18"/>
                <w:szCs w:val="18"/>
              </w:rPr>
              <w:t>周界报警系统、视频监控、出入口控制、电子巡查巡检系统等</w:t>
            </w:r>
          </w:p>
        </w:tc>
      </w:tr>
      <w:tr w14:paraId="5B7658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680" w:type="pct"/>
            <w:vMerge w:val="continue"/>
            <w:vAlign w:val="center"/>
          </w:tcPr>
          <w:p w14:paraId="4C78CE21">
            <w:pPr>
              <w:pStyle w:val="65"/>
              <w:tabs>
                <w:tab w:val="center" w:pos="4201"/>
                <w:tab w:val="right" w:leader="dot" w:pos="9298"/>
              </w:tabs>
              <w:ind w:firstLine="0" w:firstLineChars="0"/>
              <w:jc w:val="center"/>
              <w:rPr>
                <w:rFonts w:ascii="Times New Roman"/>
                <w:sz w:val="18"/>
                <w:szCs w:val="18"/>
              </w:rPr>
            </w:pPr>
          </w:p>
        </w:tc>
        <w:tc>
          <w:tcPr>
            <w:tcW w:w="1366" w:type="pct"/>
            <w:vAlign w:val="center"/>
          </w:tcPr>
          <w:p w14:paraId="5188ACEA">
            <w:pPr>
              <w:pStyle w:val="65"/>
              <w:tabs>
                <w:tab w:val="center" w:pos="4201"/>
                <w:tab w:val="right" w:leader="dot" w:pos="9298"/>
              </w:tabs>
              <w:ind w:firstLine="0" w:firstLineChars="0"/>
              <w:jc w:val="center"/>
              <w:rPr>
                <w:rFonts w:ascii="Times New Roman"/>
                <w:sz w:val="18"/>
                <w:szCs w:val="18"/>
              </w:rPr>
            </w:pPr>
            <w:r>
              <w:rPr>
                <w:rFonts w:ascii="Times New Roman"/>
                <w:sz w:val="18"/>
                <w:szCs w:val="18"/>
              </w:rPr>
              <w:t>防腐与阴极保护</w:t>
            </w:r>
          </w:p>
        </w:tc>
        <w:tc>
          <w:tcPr>
            <w:tcW w:w="2952" w:type="pct"/>
          </w:tcPr>
          <w:p w14:paraId="035E808D">
            <w:pPr>
              <w:pStyle w:val="65"/>
              <w:tabs>
                <w:tab w:val="center" w:pos="4201"/>
                <w:tab w:val="right" w:leader="dot" w:pos="9298"/>
              </w:tabs>
              <w:ind w:firstLine="0" w:firstLineChars="0"/>
              <w:rPr>
                <w:rFonts w:ascii="Times New Roman"/>
                <w:sz w:val="18"/>
                <w:szCs w:val="18"/>
              </w:rPr>
            </w:pPr>
            <w:r>
              <w:rPr>
                <w:rFonts w:ascii="Times New Roman"/>
                <w:sz w:val="18"/>
                <w:szCs w:val="18"/>
              </w:rPr>
              <w:t>防腐层漏点检测仪、测试桩、阴极保护电位检测仪、去耦隔直装置、极性排流装置等</w:t>
            </w:r>
          </w:p>
        </w:tc>
      </w:tr>
      <w:tr w14:paraId="50CA2C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Merge w:val="restart"/>
            <w:vAlign w:val="center"/>
          </w:tcPr>
          <w:p w14:paraId="662062C0">
            <w:pPr>
              <w:pStyle w:val="65"/>
              <w:tabs>
                <w:tab w:val="center" w:pos="4201"/>
                <w:tab w:val="right" w:leader="dot" w:pos="9298"/>
              </w:tabs>
              <w:ind w:firstLine="0" w:firstLineChars="0"/>
              <w:jc w:val="center"/>
              <w:rPr>
                <w:rFonts w:ascii="Times New Roman"/>
                <w:sz w:val="18"/>
                <w:szCs w:val="18"/>
              </w:rPr>
            </w:pPr>
            <w:r>
              <w:rPr>
                <w:rFonts w:ascii="Times New Roman"/>
                <w:sz w:val="18"/>
                <w:szCs w:val="18"/>
              </w:rPr>
              <w:t>应急处置</w:t>
            </w:r>
          </w:p>
        </w:tc>
        <w:tc>
          <w:tcPr>
            <w:tcW w:w="1366" w:type="pct"/>
            <w:vAlign w:val="center"/>
          </w:tcPr>
          <w:p w14:paraId="03793B64">
            <w:pPr>
              <w:pStyle w:val="65"/>
              <w:tabs>
                <w:tab w:val="center" w:pos="4201"/>
                <w:tab w:val="right" w:leader="dot" w:pos="9298"/>
              </w:tabs>
              <w:ind w:firstLine="0" w:firstLineChars="0"/>
              <w:jc w:val="center"/>
              <w:rPr>
                <w:rFonts w:ascii="Times New Roman"/>
                <w:sz w:val="18"/>
                <w:szCs w:val="18"/>
              </w:rPr>
            </w:pPr>
            <w:r>
              <w:rPr>
                <w:rFonts w:ascii="Times New Roman"/>
                <w:sz w:val="18"/>
                <w:szCs w:val="18"/>
              </w:rPr>
              <w:t>紧急处理设施</w:t>
            </w:r>
          </w:p>
        </w:tc>
        <w:tc>
          <w:tcPr>
            <w:tcW w:w="2952" w:type="pct"/>
          </w:tcPr>
          <w:p w14:paraId="5CE8246C">
            <w:pPr>
              <w:pStyle w:val="65"/>
              <w:tabs>
                <w:tab w:val="center" w:pos="4201"/>
                <w:tab w:val="right" w:leader="dot" w:pos="9298"/>
              </w:tabs>
              <w:ind w:firstLine="0" w:firstLineChars="0"/>
              <w:rPr>
                <w:rFonts w:ascii="Times New Roman"/>
                <w:sz w:val="18"/>
                <w:szCs w:val="18"/>
              </w:rPr>
            </w:pPr>
            <w:r>
              <w:rPr>
                <w:rFonts w:hint="eastAsia" w:ascii="Times New Roman"/>
                <w:sz w:val="18"/>
                <w:szCs w:val="18"/>
              </w:rPr>
              <w:t>线路截断阀、</w:t>
            </w:r>
            <w:r>
              <w:rPr>
                <w:rFonts w:ascii="Times New Roman"/>
                <w:sz w:val="18"/>
                <w:szCs w:val="18"/>
              </w:rPr>
              <w:t>紧急切断阀、紧急放空阀、事故收集池等</w:t>
            </w:r>
          </w:p>
        </w:tc>
      </w:tr>
      <w:tr w14:paraId="4ADC3B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680" w:type="pct"/>
            <w:vMerge w:val="continue"/>
            <w:vAlign w:val="center"/>
          </w:tcPr>
          <w:p w14:paraId="7725D86A">
            <w:pPr>
              <w:pStyle w:val="65"/>
              <w:tabs>
                <w:tab w:val="center" w:pos="4201"/>
                <w:tab w:val="right" w:leader="dot" w:pos="9298"/>
              </w:tabs>
              <w:ind w:firstLine="0" w:firstLineChars="0"/>
              <w:jc w:val="center"/>
              <w:rPr>
                <w:rFonts w:ascii="Times New Roman"/>
                <w:sz w:val="18"/>
                <w:szCs w:val="18"/>
              </w:rPr>
            </w:pPr>
          </w:p>
        </w:tc>
        <w:tc>
          <w:tcPr>
            <w:tcW w:w="1366" w:type="pct"/>
            <w:vAlign w:val="center"/>
          </w:tcPr>
          <w:p w14:paraId="01EC44D6">
            <w:pPr>
              <w:pStyle w:val="65"/>
              <w:tabs>
                <w:tab w:val="center" w:pos="4201"/>
                <w:tab w:val="right" w:leader="dot" w:pos="9298"/>
              </w:tabs>
              <w:ind w:firstLine="0" w:firstLineChars="0"/>
              <w:jc w:val="center"/>
              <w:rPr>
                <w:rFonts w:ascii="Times New Roman"/>
                <w:sz w:val="18"/>
                <w:szCs w:val="18"/>
              </w:rPr>
            </w:pPr>
            <w:r>
              <w:rPr>
                <w:rFonts w:hint="eastAsia" w:ascii="Times New Roman"/>
                <w:sz w:val="18"/>
                <w:szCs w:val="18"/>
              </w:rPr>
              <w:t>控制系统</w:t>
            </w:r>
          </w:p>
        </w:tc>
        <w:tc>
          <w:tcPr>
            <w:tcW w:w="2952" w:type="pct"/>
          </w:tcPr>
          <w:p w14:paraId="60196FA0">
            <w:pPr>
              <w:pStyle w:val="65"/>
              <w:tabs>
                <w:tab w:val="center" w:pos="4201"/>
                <w:tab w:val="right" w:leader="dot" w:pos="9298"/>
              </w:tabs>
              <w:ind w:firstLine="0" w:firstLineChars="0"/>
              <w:rPr>
                <w:rFonts w:ascii="Times New Roman"/>
                <w:sz w:val="18"/>
                <w:szCs w:val="18"/>
              </w:rPr>
            </w:pPr>
            <w:r>
              <w:rPr>
                <w:rFonts w:ascii="Times New Roman"/>
                <w:sz w:val="18"/>
                <w:szCs w:val="18"/>
              </w:rPr>
              <w:t>紧急停车系统（ESD）</w:t>
            </w:r>
            <w:r>
              <w:rPr>
                <w:rFonts w:hint="eastAsia" w:ascii="Times New Roman"/>
                <w:sz w:val="18"/>
                <w:szCs w:val="18"/>
              </w:rPr>
              <w:t>、</w:t>
            </w:r>
            <w:r>
              <w:rPr>
                <w:rFonts w:ascii="Times New Roman"/>
                <w:sz w:val="18"/>
                <w:szCs w:val="18"/>
              </w:rPr>
              <w:t>水击保护系统、压力</w:t>
            </w:r>
            <w:r>
              <w:rPr>
                <w:rFonts w:hint="eastAsia" w:ascii="Times New Roman"/>
                <w:sz w:val="18"/>
                <w:szCs w:val="18"/>
              </w:rPr>
              <w:t>控制</w:t>
            </w:r>
            <w:r>
              <w:rPr>
                <w:rFonts w:ascii="Times New Roman"/>
                <w:sz w:val="18"/>
                <w:szCs w:val="18"/>
              </w:rPr>
              <w:t>系统等</w:t>
            </w:r>
          </w:p>
        </w:tc>
      </w:tr>
      <w:tr w14:paraId="676BE7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680" w:type="pct"/>
            <w:vMerge w:val="continue"/>
            <w:vAlign w:val="center"/>
          </w:tcPr>
          <w:p w14:paraId="7DE636D6">
            <w:pPr>
              <w:pStyle w:val="65"/>
              <w:tabs>
                <w:tab w:val="center" w:pos="4201"/>
                <w:tab w:val="right" w:leader="dot" w:pos="9298"/>
              </w:tabs>
              <w:ind w:firstLine="0" w:firstLineChars="0"/>
              <w:jc w:val="center"/>
              <w:rPr>
                <w:rFonts w:ascii="Times New Roman"/>
                <w:sz w:val="18"/>
                <w:szCs w:val="18"/>
              </w:rPr>
            </w:pPr>
          </w:p>
        </w:tc>
        <w:tc>
          <w:tcPr>
            <w:tcW w:w="1366" w:type="pct"/>
            <w:vAlign w:val="center"/>
          </w:tcPr>
          <w:p w14:paraId="03D2B80A">
            <w:pPr>
              <w:pStyle w:val="65"/>
              <w:tabs>
                <w:tab w:val="center" w:pos="4201"/>
                <w:tab w:val="right" w:leader="dot" w:pos="9298"/>
              </w:tabs>
              <w:ind w:firstLine="0" w:firstLineChars="0"/>
              <w:jc w:val="center"/>
              <w:rPr>
                <w:rFonts w:ascii="Times New Roman"/>
                <w:sz w:val="18"/>
                <w:szCs w:val="18"/>
              </w:rPr>
            </w:pPr>
            <w:r>
              <w:rPr>
                <w:rFonts w:ascii="Times New Roman"/>
                <w:sz w:val="18"/>
                <w:szCs w:val="18"/>
              </w:rPr>
              <w:t>电气设施</w:t>
            </w:r>
          </w:p>
        </w:tc>
        <w:tc>
          <w:tcPr>
            <w:tcW w:w="2952" w:type="pct"/>
          </w:tcPr>
          <w:p w14:paraId="45EB1AB2">
            <w:pPr>
              <w:pStyle w:val="65"/>
              <w:tabs>
                <w:tab w:val="center" w:pos="4201"/>
                <w:tab w:val="right" w:leader="dot" w:pos="9298"/>
              </w:tabs>
              <w:ind w:firstLine="0" w:firstLineChars="0"/>
              <w:rPr>
                <w:rFonts w:ascii="Times New Roman"/>
                <w:sz w:val="18"/>
                <w:szCs w:val="18"/>
              </w:rPr>
            </w:pPr>
            <w:r>
              <w:rPr>
                <w:rFonts w:ascii="Times New Roman"/>
                <w:sz w:val="18"/>
                <w:szCs w:val="18"/>
              </w:rPr>
              <w:t>应急电源（应急发电机、不间断电源）、应急照明、电气“五防”、继电保护系统等</w:t>
            </w:r>
          </w:p>
        </w:tc>
      </w:tr>
      <w:tr w14:paraId="303C2A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680" w:type="pct"/>
            <w:vMerge w:val="continue"/>
            <w:vAlign w:val="center"/>
          </w:tcPr>
          <w:p w14:paraId="31ADFB1E">
            <w:pPr>
              <w:pStyle w:val="65"/>
              <w:tabs>
                <w:tab w:val="center" w:pos="4201"/>
                <w:tab w:val="right" w:leader="dot" w:pos="9298"/>
              </w:tabs>
              <w:ind w:firstLine="0" w:firstLineChars="0"/>
              <w:jc w:val="center"/>
              <w:rPr>
                <w:rFonts w:ascii="Times New Roman"/>
                <w:sz w:val="18"/>
                <w:szCs w:val="18"/>
              </w:rPr>
            </w:pPr>
          </w:p>
        </w:tc>
        <w:tc>
          <w:tcPr>
            <w:tcW w:w="1366" w:type="pct"/>
            <w:vAlign w:val="center"/>
          </w:tcPr>
          <w:p w14:paraId="7A877D52">
            <w:pPr>
              <w:pStyle w:val="65"/>
              <w:tabs>
                <w:tab w:val="center" w:pos="4201"/>
                <w:tab w:val="right" w:leader="dot" w:pos="9298"/>
              </w:tabs>
              <w:ind w:firstLine="0" w:firstLineChars="0"/>
              <w:jc w:val="center"/>
              <w:rPr>
                <w:rFonts w:ascii="Times New Roman"/>
                <w:sz w:val="18"/>
                <w:szCs w:val="18"/>
              </w:rPr>
            </w:pPr>
            <w:r>
              <w:rPr>
                <w:rFonts w:ascii="Times New Roman"/>
                <w:sz w:val="18"/>
                <w:szCs w:val="18"/>
              </w:rPr>
              <w:t>应急装备及设施</w:t>
            </w:r>
          </w:p>
        </w:tc>
        <w:tc>
          <w:tcPr>
            <w:tcW w:w="2952" w:type="pct"/>
          </w:tcPr>
          <w:p w14:paraId="3ADFA14F">
            <w:pPr>
              <w:pStyle w:val="65"/>
              <w:tabs>
                <w:tab w:val="center" w:pos="4201"/>
                <w:tab w:val="right" w:leader="dot" w:pos="9298"/>
              </w:tabs>
              <w:ind w:firstLine="0" w:firstLineChars="0"/>
              <w:rPr>
                <w:rFonts w:ascii="Times New Roman"/>
                <w:sz w:val="18"/>
                <w:szCs w:val="18"/>
              </w:rPr>
            </w:pPr>
            <w:r>
              <w:rPr>
                <w:rFonts w:ascii="Times New Roman"/>
                <w:sz w:val="18"/>
                <w:szCs w:val="18"/>
              </w:rPr>
              <w:t>抢修设施、堵漏器材、破拆器材、攀登器材、应急人员装备、防洪物资等</w:t>
            </w:r>
          </w:p>
        </w:tc>
      </w:tr>
      <w:tr w14:paraId="13A8A4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5000" w:type="pct"/>
            <w:gridSpan w:val="3"/>
          </w:tcPr>
          <w:p w14:paraId="0F38DDFB">
            <w:pPr>
              <w:pStyle w:val="65"/>
              <w:tabs>
                <w:tab w:val="center" w:pos="4201"/>
                <w:tab w:val="right" w:leader="dot" w:pos="9298"/>
              </w:tabs>
              <w:ind w:firstLine="360"/>
              <w:rPr>
                <w:rFonts w:ascii="Times New Roman"/>
                <w:sz w:val="18"/>
                <w:szCs w:val="18"/>
              </w:rPr>
            </w:pPr>
            <w:r>
              <w:rPr>
                <w:rFonts w:ascii="Times New Roman"/>
                <w:sz w:val="18"/>
                <w:szCs w:val="18"/>
              </w:rPr>
              <w:t>注：安全设施包括但不限于本表列出的设施。</w:t>
            </w:r>
          </w:p>
        </w:tc>
      </w:tr>
    </w:tbl>
    <w:p w14:paraId="47BF672F">
      <w:pPr>
        <w:pStyle w:val="155"/>
        <w:ind w:firstLine="0" w:firstLineChars="0"/>
        <w:jc w:val="center"/>
        <w:rPr>
          <w:rFonts w:ascii="Times New Roman"/>
          <w:color w:val="000000" w:themeColor="text1"/>
          <w:szCs w:val="21"/>
          <w14:textFill>
            <w14:solidFill>
              <w14:schemeClr w14:val="tx1"/>
            </w14:solidFill>
          </w14:textFill>
        </w:rPr>
      </w:pPr>
    </w:p>
    <w:p w14:paraId="14E65B9B">
      <w:pPr>
        <w:pStyle w:val="155"/>
        <w:ind w:firstLine="0" w:firstLineChars="0"/>
        <w:jc w:val="center"/>
        <w:rPr>
          <w:rFonts w:ascii="Times New Roman"/>
          <w:color w:val="000000" w:themeColor="text1"/>
          <w:szCs w:val="21"/>
          <w14:textFill>
            <w14:solidFill>
              <w14:schemeClr w14:val="tx1"/>
            </w14:solidFill>
          </w14:textFill>
        </w:rPr>
      </w:pPr>
    </w:p>
    <w:p w14:paraId="64550181">
      <w:pPr>
        <w:pStyle w:val="155"/>
        <w:ind w:firstLine="0" w:firstLineChars="0"/>
        <w:jc w:val="center"/>
        <w:rPr>
          <w:rFonts w:ascii="Times New Roman"/>
          <w:color w:val="000000" w:themeColor="text1"/>
          <w:szCs w:val="21"/>
          <w14:textFill>
            <w14:solidFill>
              <w14:schemeClr w14:val="tx1"/>
            </w14:solidFill>
          </w14:textFill>
        </w:rPr>
      </w:pPr>
    </w:p>
    <w:p w14:paraId="2C27948C">
      <w:pPr>
        <w:pStyle w:val="155"/>
        <w:ind w:firstLine="0" w:firstLineChars="0"/>
        <w:jc w:val="center"/>
        <w:rPr>
          <w:rFonts w:ascii="Times New Roman"/>
          <w:color w:val="000000" w:themeColor="text1"/>
          <w:szCs w:val="21"/>
          <w14:textFill>
            <w14:solidFill>
              <w14:schemeClr w14:val="tx1"/>
            </w14:solidFill>
          </w14:textFill>
        </w:rPr>
      </w:pPr>
    </w:p>
    <w:p w14:paraId="057A7ACE">
      <w:pPr>
        <w:pStyle w:val="155"/>
        <w:ind w:firstLine="0" w:firstLineChars="0"/>
        <w:jc w:val="center"/>
        <w:rPr>
          <w:rFonts w:ascii="Times New Roman"/>
          <w:color w:val="000000" w:themeColor="text1"/>
          <w:szCs w:val="21"/>
          <w14:textFill>
            <w14:solidFill>
              <w14:schemeClr w14:val="tx1"/>
            </w14:solidFill>
          </w14:textFill>
        </w:rPr>
      </w:pPr>
    </w:p>
    <w:p w14:paraId="46C5F04D">
      <w:pPr>
        <w:pStyle w:val="155"/>
        <w:ind w:firstLine="0" w:firstLineChars="0"/>
        <w:jc w:val="center"/>
        <w:rPr>
          <w:rFonts w:ascii="Times New Roman"/>
          <w:color w:val="000000" w:themeColor="text1"/>
          <w:szCs w:val="21"/>
          <w14:textFill>
            <w14:solidFill>
              <w14:schemeClr w14:val="tx1"/>
            </w14:solidFill>
          </w14:textFill>
        </w:rPr>
      </w:pPr>
    </w:p>
    <w:p w14:paraId="32A08E0B">
      <w:pPr>
        <w:pStyle w:val="155"/>
        <w:ind w:firstLine="0" w:firstLineChars="0"/>
        <w:jc w:val="center"/>
        <w:rPr>
          <w:rFonts w:ascii="Times New Roman"/>
          <w:color w:val="000000" w:themeColor="text1"/>
          <w:szCs w:val="21"/>
          <w14:textFill>
            <w14:solidFill>
              <w14:schemeClr w14:val="tx1"/>
            </w14:solidFill>
          </w14:textFill>
        </w:rPr>
      </w:pPr>
    </w:p>
    <w:p w14:paraId="54760E31">
      <w:pPr>
        <w:pStyle w:val="155"/>
        <w:ind w:firstLine="0" w:firstLineChars="0"/>
        <w:jc w:val="center"/>
        <w:rPr>
          <w:rFonts w:ascii="Times New Roman"/>
          <w:color w:val="000000" w:themeColor="text1"/>
          <w:szCs w:val="21"/>
          <w14:textFill>
            <w14:solidFill>
              <w14:schemeClr w14:val="tx1"/>
            </w14:solidFill>
          </w14:textFill>
        </w:rPr>
      </w:pPr>
    </w:p>
    <w:p w14:paraId="500B519B">
      <w:pPr>
        <w:pStyle w:val="155"/>
        <w:ind w:firstLine="0" w:firstLineChars="0"/>
        <w:jc w:val="center"/>
        <w:rPr>
          <w:rFonts w:ascii="Times New Roman"/>
          <w:color w:val="000000" w:themeColor="text1"/>
          <w:szCs w:val="21"/>
          <w14:textFill>
            <w14:solidFill>
              <w14:schemeClr w14:val="tx1"/>
            </w14:solidFill>
          </w14:textFill>
        </w:rPr>
      </w:pPr>
    </w:p>
    <w:p w14:paraId="5D467F0C">
      <w:pPr>
        <w:pStyle w:val="109"/>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br w:type="textWrapping"/>
      </w:r>
      <w:bookmarkStart w:id="145" w:name="_Toc174118013"/>
      <w:bookmarkStart w:id="146" w:name="_Toc180478640"/>
      <w:r>
        <w:rPr>
          <w:rFonts w:ascii="Times New Roman"/>
          <w:color w:val="000000" w:themeColor="text1"/>
          <w:szCs w:val="21"/>
          <w14:textFill>
            <w14:solidFill>
              <w14:schemeClr w14:val="tx1"/>
            </w14:solidFill>
          </w14:textFill>
        </w:rPr>
        <w:t>（</w:t>
      </w:r>
      <w:r>
        <w:rPr>
          <w:rFonts w:hint="eastAsia" w:ascii="Times New Roman"/>
          <w:color w:val="000000" w:themeColor="text1"/>
          <w:szCs w:val="21"/>
          <w14:textFill>
            <w14:solidFill>
              <w14:schemeClr w14:val="tx1"/>
            </w14:solidFill>
          </w14:textFill>
        </w:rPr>
        <w:t>资料性</w:t>
      </w:r>
      <w:r>
        <w:rPr>
          <w:rFonts w:ascii="Times New Roman"/>
          <w:color w:val="000000" w:themeColor="text1"/>
          <w:szCs w:val="21"/>
          <w14:textFill>
            <w14:solidFill>
              <w14:schemeClr w14:val="tx1"/>
            </w14:solidFill>
          </w14:textFill>
        </w:rPr>
        <w:t>）</w:t>
      </w:r>
      <w:r>
        <w:rPr>
          <w:rFonts w:ascii="Times New Roman"/>
          <w:color w:val="000000" w:themeColor="text1"/>
          <w:szCs w:val="21"/>
          <w14:textFill>
            <w14:solidFill>
              <w14:schemeClr w14:val="tx1"/>
            </w14:solidFill>
          </w14:textFill>
        </w:rPr>
        <w:br w:type="textWrapping"/>
      </w:r>
      <w:bookmarkEnd w:id="145"/>
      <w:r>
        <w:rPr>
          <w:rFonts w:hint="eastAsia" w:ascii="Times New Roman"/>
          <w:color w:val="000000" w:themeColor="text1"/>
          <w:szCs w:val="21"/>
          <w14:textFill>
            <w14:solidFill>
              <w14:schemeClr w14:val="tx1"/>
            </w14:solidFill>
          </w14:textFill>
        </w:rPr>
        <w:t>定量风险评价法</w:t>
      </w:r>
      <w:bookmarkEnd w:id="146"/>
    </w:p>
    <w:p w14:paraId="7484E418">
      <w:pPr>
        <w:widowControl w:val="0"/>
        <w:spacing w:before="156" w:beforeLines="50" w:after="156" w:afterLines="50" w:line="240" w:lineRule="auto"/>
        <w:textAlignment w:val="auto"/>
        <w:outlineLvl w:val="1"/>
        <w:rPr>
          <w:rFonts w:hint="eastAsia" w:ascii="黑体" w:hAnsi="黑体" w:eastAsia="黑体"/>
          <w:color w:val="auto"/>
          <w:kern w:val="2"/>
          <w:szCs w:val="21"/>
        </w:rPr>
      </w:pPr>
      <w:r>
        <w:rPr>
          <w:rFonts w:hint="eastAsia" w:ascii="黑体" w:eastAsia="黑体"/>
          <w:color w:val="auto"/>
        </w:rPr>
        <w:t>B.</w:t>
      </w:r>
      <w:r>
        <w:rPr>
          <w:rFonts w:ascii="黑体" w:eastAsia="黑体"/>
          <w:color w:val="auto"/>
        </w:rPr>
        <w:t>1</w:t>
      </w:r>
      <w:r>
        <w:rPr>
          <w:rFonts w:hint="eastAsia" w:ascii="黑体" w:eastAsia="黑体"/>
          <w:color w:val="auto"/>
        </w:rPr>
        <w:t xml:space="preserve"> 计算程序</w:t>
      </w:r>
    </w:p>
    <w:p w14:paraId="292F6CC6">
      <w:pPr>
        <w:rPr>
          <w:rFonts w:ascii="黑体" w:eastAsia="黑体"/>
          <w:szCs w:val="21"/>
        </w:rPr>
      </w:pPr>
      <w:r>
        <w:rPr>
          <w:rFonts w:hint="eastAsia" w:ascii="黑体" w:hAnsi="黑体" w:eastAsia="黑体"/>
        </w:rPr>
        <w:t xml:space="preserve">    </w:t>
      </w:r>
      <w:r>
        <w:rPr>
          <w:rFonts w:hint="eastAsia" w:hAnsi="宋体"/>
          <w:szCs w:val="21"/>
        </w:rPr>
        <w:t>定量风险评价工作流程见图</w:t>
      </w:r>
      <w:r>
        <w:rPr>
          <w:rFonts w:hint="eastAsia"/>
        </w:rPr>
        <w:t>B.1</w:t>
      </w:r>
      <w:r>
        <w:rPr>
          <w:rFonts w:hint="eastAsia" w:hAnsi="宋体"/>
          <w:szCs w:val="21"/>
        </w:rPr>
        <w:t>，包括以下步骤：</w:t>
      </w:r>
    </w:p>
    <w:p w14:paraId="1B6CABBE">
      <w:pPr>
        <w:ind w:firstLine="420" w:firstLineChars="200"/>
        <w:rPr>
          <w:szCs w:val="21"/>
        </w:rPr>
      </w:pPr>
      <w:r>
        <w:rPr>
          <w:szCs w:val="21"/>
        </w:rPr>
        <w:t>a</w:t>
      </w:r>
      <w:r>
        <w:rPr>
          <w:rFonts w:hint="eastAsia"/>
          <w:szCs w:val="21"/>
        </w:rPr>
        <w:t>）</w:t>
      </w:r>
      <w:r>
        <w:rPr>
          <w:szCs w:val="21"/>
        </w:rPr>
        <w:t xml:space="preserve"> </w:t>
      </w:r>
      <w:r>
        <w:rPr>
          <w:rFonts w:hint="eastAsia"/>
          <w:szCs w:val="21"/>
        </w:rPr>
        <w:t>收集资料数据；</w:t>
      </w:r>
    </w:p>
    <w:p w14:paraId="33055A43">
      <w:pPr>
        <w:ind w:firstLine="420" w:firstLineChars="200"/>
        <w:rPr>
          <w:szCs w:val="21"/>
        </w:rPr>
      </w:pPr>
      <w:r>
        <w:rPr>
          <w:rFonts w:hint="eastAsia"/>
          <w:szCs w:val="21"/>
        </w:rPr>
        <w:t>b）</w:t>
      </w:r>
      <w:r>
        <w:rPr>
          <w:szCs w:val="21"/>
        </w:rPr>
        <w:t xml:space="preserve"> </w:t>
      </w:r>
      <w:r>
        <w:rPr>
          <w:rFonts w:hint="eastAsia"/>
          <w:szCs w:val="21"/>
        </w:rPr>
        <w:t>危险识别和泄漏场景辨识；</w:t>
      </w:r>
    </w:p>
    <w:p w14:paraId="6F6485B1">
      <w:pPr>
        <w:ind w:firstLine="420" w:firstLineChars="200"/>
        <w:rPr>
          <w:szCs w:val="21"/>
        </w:rPr>
      </w:pPr>
      <w:r>
        <w:rPr>
          <w:rFonts w:hint="eastAsia"/>
          <w:szCs w:val="21"/>
        </w:rPr>
        <w:t>c）</w:t>
      </w:r>
      <w:r>
        <w:rPr>
          <w:szCs w:val="21"/>
        </w:rPr>
        <w:t xml:space="preserve"> </w:t>
      </w:r>
      <w:r>
        <w:rPr>
          <w:rFonts w:hint="eastAsia"/>
          <w:szCs w:val="21"/>
        </w:rPr>
        <w:t>分析事故概率；</w:t>
      </w:r>
    </w:p>
    <w:p w14:paraId="7E69D0D5">
      <w:pPr>
        <w:ind w:firstLine="420" w:firstLineChars="200"/>
        <w:rPr>
          <w:szCs w:val="21"/>
        </w:rPr>
      </w:pPr>
      <w:r>
        <w:rPr>
          <w:rFonts w:hint="eastAsia"/>
          <w:szCs w:val="21"/>
        </w:rPr>
        <w:t>d）</w:t>
      </w:r>
      <w:r>
        <w:rPr>
          <w:szCs w:val="21"/>
        </w:rPr>
        <w:t xml:space="preserve"> </w:t>
      </w:r>
      <w:r>
        <w:rPr>
          <w:rFonts w:hint="eastAsia"/>
          <w:szCs w:val="21"/>
        </w:rPr>
        <w:t>分析事故后果；</w:t>
      </w:r>
    </w:p>
    <w:p w14:paraId="3C7D6D32">
      <w:pPr>
        <w:ind w:firstLine="420" w:firstLineChars="200"/>
        <w:rPr>
          <w:szCs w:val="21"/>
        </w:rPr>
      </w:pPr>
      <w:r>
        <w:rPr>
          <w:rFonts w:hint="eastAsia"/>
          <w:szCs w:val="21"/>
        </w:rPr>
        <w:t>e）</w:t>
      </w:r>
      <w:r>
        <w:rPr>
          <w:szCs w:val="21"/>
        </w:rPr>
        <w:t xml:space="preserve"> </w:t>
      </w:r>
      <w:r>
        <w:rPr>
          <w:rFonts w:hint="eastAsia"/>
          <w:szCs w:val="21"/>
        </w:rPr>
        <w:t>定量风险计算。</w:t>
      </w:r>
    </w:p>
    <w:p w14:paraId="32D2EDB5">
      <w:pPr>
        <w:widowControl w:val="0"/>
        <w:spacing w:line="240" w:lineRule="auto"/>
        <w:textAlignment w:val="auto"/>
        <w:rPr>
          <w:rFonts w:hint="eastAsia" w:ascii="黑体" w:hAnsi="黑体" w:eastAsia="黑体" w:cs="宋体"/>
          <w:color w:val="auto"/>
          <w:kern w:val="2"/>
          <w:szCs w:val="21"/>
        </w:rPr>
      </w:pPr>
    </w:p>
    <w:p w14:paraId="60F60AB9">
      <w:pPr>
        <w:widowControl w:val="0"/>
        <w:spacing w:line="240" w:lineRule="auto"/>
        <w:jc w:val="center"/>
        <w:textAlignment w:val="auto"/>
        <w:rPr>
          <w:kern w:val="2"/>
          <w:szCs w:val="24"/>
        </w:rPr>
      </w:pPr>
      <w:r>
        <w:rPr>
          <w:kern w:val="2"/>
          <w:szCs w:val="24"/>
        </w:rPr>
        <mc:AlternateContent>
          <mc:Choice Requires="wpg">
            <w:drawing>
              <wp:inline distT="0" distB="0" distL="0" distR="0">
                <wp:extent cx="2334260" cy="2023745"/>
                <wp:effectExtent l="4445" t="4445" r="10795" b="16510"/>
                <wp:docPr id="4" name="Group 52"/>
                <wp:cNvGraphicFramePr/>
                <a:graphic xmlns:a="http://schemas.openxmlformats.org/drawingml/2006/main">
                  <a:graphicData uri="http://schemas.microsoft.com/office/word/2010/wordprocessingGroup">
                    <wpg:wgp>
                      <wpg:cNvGrpSpPr/>
                      <wpg:grpSpPr>
                        <a:xfrm>
                          <a:off x="0" y="0"/>
                          <a:ext cx="2334545" cy="2023619"/>
                          <a:chOff x="0" y="5143"/>
                          <a:chExt cx="23347" cy="20236"/>
                        </a:xfrm>
                      </wpg:grpSpPr>
                      <wpg:grpSp>
                        <wpg:cNvPr id="5" name="Group 54"/>
                        <wpg:cNvGrpSpPr/>
                        <wpg:grpSpPr>
                          <a:xfrm>
                            <a:off x="0" y="5143"/>
                            <a:ext cx="23347" cy="20236"/>
                            <a:chOff x="0" y="5144"/>
                            <a:chExt cx="23350" cy="20238"/>
                          </a:xfrm>
                        </wpg:grpSpPr>
                        <wps:wsp>
                          <wps:cNvPr id="101" name="AutoShape 55"/>
                          <wps:cNvSpPr>
                            <a:spLocks noChangeArrowheads="1"/>
                          </wps:cNvSpPr>
                          <wps:spPr bwMode="auto">
                            <a:xfrm>
                              <a:off x="5126" y="5144"/>
                              <a:ext cx="12602" cy="2864"/>
                            </a:xfrm>
                            <a:prstGeom prst="flowChartProcess">
                              <a:avLst/>
                            </a:prstGeom>
                            <a:noFill/>
                            <a:ln w="9525">
                              <a:solidFill>
                                <a:srgbClr val="000000"/>
                              </a:solidFill>
                              <a:miter lim="800000"/>
                            </a:ln>
                          </wps:spPr>
                          <wps:txbx>
                            <w:txbxContent>
                              <w:p w14:paraId="74EEFAFD">
                                <w:pPr>
                                  <w:widowControl w:val="0"/>
                                  <w:spacing w:line="240" w:lineRule="auto"/>
                                  <w:jc w:val="center"/>
                                  <w:textAlignment w:val="auto"/>
                                  <w:rPr>
                                    <w:rFonts w:ascii="宋体"/>
                                    <w:kern w:val="2"/>
                                    <w:sz w:val="15"/>
                                    <w:szCs w:val="15"/>
                                  </w:rPr>
                                </w:pPr>
                                <w:r>
                                  <w:rPr>
                                    <w:rFonts w:hint="eastAsia" w:ascii="宋体" w:hAnsi="宋体"/>
                                    <w:kern w:val="2"/>
                                    <w:sz w:val="15"/>
                                    <w:szCs w:val="15"/>
                                  </w:rPr>
                                  <w:t>收集资料数据</w:t>
                                </w:r>
                              </w:p>
                            </w:txbxContent>
                          </wps:txbx>
                          <wps:bodyPr rot="0" vert="horz" wrap="square" lIns="91440" tIns="45720" rIns="91440" bIns="45720" anchor="ctr" anchorCtr="0" upright="1">
                            <a:noAutofit/>
                          </wps:bodyPr>
                        </wps:wsp>
                        <wps:wsp>
                          <wps:cNvPr id="103" name="AutoShape 57"/>
                          <wps:cNvSpPr>
                            <a:spLocks noChangeArrowheads="1"/>
                          </wps:cNvSpPr>
                          <wps:spPr bwMode="auto">
                            <a:xfrm>
                              <a:off x="5389" y="10440"/>
                              <a:ext cx="12598" cy="2866"/>
                            </a:xfrm>
                            <a:prstGeom prst="flowChartProcess">
                              <a:avLst/>
                            </a:prstGeom>
                            <a:noFill/>
                            <a:ln w="9525">
                              <a:solidFill>
                                <a:srgbClr val="000000"/>
                              </a:solidFill>
                              <a:miter lim="800000"/>
                            </a:ln>
                          </wps:spPr>
                          <wps:txbx>
                            <w:txbxContent>
                              <w:p w14:paraId="4FAB946B">
                                <w:pPr>
                                  <w:widowControl w:val="0"/>
                                  <w:spacing w:before="62" w:beforeLines="20" w:line="160" w:lineRule="exact"/>
                                  <w:textAlignment w:val="auto"/>
                                  <w:rPr>
                                    <w:rFonts w:ascii="宋体"/>
                                    <w:kern w:val="2"/>
                                    <w:sz w:val="15"/>
                                    <w:szCs w:val="15"/>
                                  </w:rPr>
                                </w:pPr>
                                <w:r>
                                  <w:rPr>
                                    <w:rFonts w:hint="eastAsia" w:ascii="宋体" w:hAnsi="宋体"/>
                                    <w:kern w:val="2"/>
                                    <w:sz w:val="15"/>
                                    <w:szCs w:val="15"/>
                                  </w:rPr>
                                  <w:t>危险识别和泄漏场景辨识</w:t>
                                </w:r>
                              </w:p>
                            </w:txbxContent>
                          </wps:txbx>
                          <wps:bodyPr rot="0" vert="horz" wrap="square" lIns="91440" tIns="45720" rIns="91440" bIns="45720" anchor="t" anchorCtr="0" upright="1">
                            <a:noAutofit/>
                          </wps:bodyPr>
                        </wps:wsp>
                        <wps:wsp>
                          <wps:cNvPr id="104" name="AutoShape 58"/>
                          <wps:cNvSpPr>
                            <a:spLocks noChangeArrowheads="1"/>
                          </wps:cNvSpPr>
                          <wps:spPr bwMode="auto">
                            <a:xfrm>
                              <a:off x="0" y="16513"/>
                              <a:ext cx="10795" cy="2864"/>
                            </a:xfrm>
                            <a:prstGeom prst="flowChartProcess">
                              <a:avLst/>
                            </a:prstGeom>
                            <a:noFill/>
                            <a:ln w="9525">
                              <a:solidFill>
                                <a:srgbClr val="000000"/>
                              </a:solidFill>
                              <a:miter lim="800000"/>
                            </a:ln>
                          </wps:spPr>
                          <wps:txbx>
                            <w:txbxContent>
                              <w:p w14:paraId="62AF16FD">
                                <w:pPr>
                                  <w:widowControl w:val="0"/>
                                  <w:spacing w:line="240" w:lineRule="auto"/>
                                  <w:jc w:val="center"/>
                                  <w:textAlignment w:val="auto"/>
                                  <w:rPr>
                                    <w:rFonts w:ascii="宋体"/>
                                    <w:kern w:val="2"/>
                                    <w:sz w:val="15"/>
                                    <w:szCs w:val="15"/>
                                  </w:rPr>
                                </w:pPr>
                                <w:r>
                                  <w:rPr>
                                    <w:rFonts w:hint="eastAsia" w:ascii="宋体" w:hAnsi="宋体"/>
                                    <w:kern w:val="2"/>
                                    <w:sz w:val="15"/>
                                    <w:szCs w:val="15"/>
                                  </w:rPr>
                                  <w:t>分析事故概率</w:t>
                                </w:r>
                              </w:p>
                            </w:txbxContent>
                          </wps:txbx>
                          <wps:bodyPr rot="0" vert="horz" wrap="square" lIns="91440" tIns="45720" rIns="91440" bIns="45720" anchor="ctr" anchorCtr="0" upright="1">
                            <a:noAutofit/>
                          </wps:bodyPr>
                        </wps:wsp>
                        <wps:wsp>
                          <wps:cNvPr id="105" name="AutoShape 59"/>
                          <wps:cNvSpPr>
                            <a:spLocks noChangeArrowheads="1"/>
                          </wps:cNvSpPr>
                          <wps:spPr bwMode="auto">
                            <a:xfrm>
                              <a:off x="12555" y="16582"/>
                              <a:ext cx="10795" cy="2863"/>
                            </a:xfrm>
                            <a:prstGeom prst="flowChartProcess">
                              <a:avLst/>
                            </a:prstGeom>
                            <a:noFill/>
                            <a:ln w="9525">
                              <a:solidFill>
                                <a:srgbClr val="000000"/>
                              </a:solidFill>
                              <a:miter lim="800000"/>
                            </a:ln>
                          </wps:spPr>
                          <wps:txbx>
                            <w:txbxContent>
                              <w:p w14:paraId="2FD80230">
                                <w:pPr>
                                  <w:widowControl w:val="0"/>
                                  <w:spacing w:line="240" w:lineRule="auto"/>
                                  <w:jc w:val="center"/>
                                  <w:textAlignment w:val="auto"/>
                                  <w:rPr>
                                    <w:rFonts w:ascii="宋体"/>
                                    <w:kern w:val="2"/>
                                    <w:sz w:val="15"/>
                                    <w:szCs w:val="15"/>
                                  </w:rPr>
                                </w:pPr>
                                <w:r>
                                  <w:rPr>
                                    <w:rFonts w:hint="eastAsia" w:ascii="宋体" w:hAnsi="宋体"/>
                                    <w:kern w:val="2"/>
                                    <w:sz w:val="15"/>
                                    <w:szCs w:val="15"/>
                                  </w:rPr>
                                  <w:t>分析事故后果</w:t>
                                </w:r>
                              </w:p>
                            </w:txbxContent>
                          </wps:txbx>
                          <wps:bodyPr rot="0" vert="horz" wrap="square" lIns="91440" tIns="45720" rIns="91440" bIns="45720" anchor="ctr" anchorCtr="0" upright="1">
                            <a:noAutofit/>
                          </wps:bodyPr>
                        </wps:wsp>
                        <wps:wsp>
                          <wps:cNvPr id="106" name="AutoShape 60"/>
                          <wps:cNvSpPr>
                            <a:spLocks noChangeArrowheads="1"/>
                          </wps:cNvSpPr>
                          <wps:spPr bwMode="auto">
                            <a:xfrm>
                              <a:off x="5390" y="22518"/>
                              <a:ext cx="12599" cy="2864"/>
                            </a:xfrm>
                            <a:prstGeom prst="flowChartProcess">
                              <a:avLst/>
                            </a:prstGeom>
                            <a:noFill/>
                            <a:ln w="9525">
                              <a:solidFill>
                                <a:srgbClr val="000000"/>
                              </a:solidFill>
                              <a:miter lim="800000"/>
                            </a:ln>
                          </wps:spPr>
                          <wps:txbx>
                            <w:txbxContent>
                              <w:p w14:paraId="722F10CF">
                                <w:pPr>
                                  <w:widowControl w:val="0"/>
                                  <w:spacing w:line="240" w:lineRule="auto"/>
                                  <w:jc w:val="center"/>
                                  <w:textAlignment w:val="auto"/>
                                  <w:rPr>
                                    <w:rFonts w:ascii="宋体"/>
                                    <w:kern w:val="2"/>
                                    <w:sz w:val="15"/>
                                    <w:szCs w:val="15"/>
                                  </w:rPr>
                                </w:pPr>
                                <w:r>
                                  <w:rPr>
                                    <w:rFonts w:hint="eastAsia" w:ascii="宋体" w:hAnsi="宋体"/>
                                    <w:kern w:val="2"/>
                                    <w:sz w:val="15"/>
                                    <w:szCs w:val="15"/>
                                  </w:rPr>
                                  <w:t>定量风险计算</w:t>
                                </w:r>
                              </w:p>
                            </w:txbxContent>
                          </wps:txbx>
                          <wps:bodyPr rot="0" vert="horz" wrap="square" lIns="91440" tIns="45720" rIns="91440" bIns="45720" anchor="ctr" anchorCtr="0" upright="1">
                            <a:noAutofit/>
                          </wps:bodyPr>
                        </wps:wsp>
                        <wps:wsp>
                          <wps:cNvPr id="110" name="AutoShape 64"/>
                          <wps:cNvCnPr>
                            <a:cxnSpLocks noChangeShapeType="1"/>
                          </wps:cNvCnPr>
                          <wps:spPr bwMode="auto">
                            <a:xfrm>
                              <a:off x="11668" y="8120"/>
                              <a:ext cx="0" cy="2390"/>
                            </a:xfrm>
                            <a:prstGeom prst="bentConnector3">
                              <a:avLst>
                                <a:gd name="adj1" fmla="val 50000"/>
                              </a:avLst>
                            </a:prstGeom>
                            <a:noFill/>
                            <a:ln w="6350">
                              <a:solidFill>
                                <a:srgbClr val="000000"/>
                              </a:solidFill>
                              <a:miter lim="800000"/>
                              <a:tailEnd type="triangle" w="med" len="med"/>
                            </a:ln>
                          </wps:spPr>
                          <wps:bodyPr/>
                        </wps:wsp>
                        <wps:wsp>
                          <wps:cNvPr id="111" name="AutoShape 65"/>
                          <wps:cNvCnPr>
                            <a:cxnSpLocks noChangeShapeType="1"/>
                          </wps:cNvCnPr>
                          <wps:spPr bwMode="auto">
                            <a:xfrm>
                              <a:off x="11668" y="13306"/>
                              <a:ext cx="0" cy="1354"/>
                            </a:xfrm>
                            <a:prstGeom prst="bentConnector3">
                              <a:avLst>
                                <a:gd name="adj1" fmla="val 50000"/>
                              </a:avLst>
                            </a:prstGeom>
                            <a:noFill/>
                            <a:ln w="6350">
                              <a:solidFill>
                                <a:srgbClr val="000000"/>
                              </a:solidFill>
                              <a:miter lim="800000"/>
                            </a:ln>
                          </wps:spPr>
                          <wps:bodyPr/>
                        </wps:wsp>
                        <wps:wsp>
                          <wps:cNvPr id="112" name="AutoShape 66"/>
                          <wps:cNvCnPr>
                            <a:cxnSpLocks noChangeShapeType="1"/>
                          </wps:cNvCnPr>
                          <wps:spPr bwMode="auto">
                            <a:xfrm flipV="1">
                              <a:off x="5390" y="14671"/>
                              <a:ext cx="12553" cy="0"/>
                            </a:xfrm>
                            <a:prstGeom prst="bentConnector3">
                              <a:avLst>
                                <a:gd name="adj1" fmla="val 50000"/>
                              </a:avLst>
                            </a:prstGeom>
                            <a:noFill/>
                            <a:ln w="6350">
                              <a:solidFill>
                                <a:srgbClr val="000000"/>
                              </a:solidFill>
                              <a:miter lim="800000"/>
                            </a:ln>
                          </wps:spPr>
                          <wps:bodyPr/>
                        </wps:wsp>
                        <wps:wsp>
                          <wps:cNvPr id="113" name="AutoShape 67"/>
                          <wps:cNvCnPr>
                            <a:cxnSpLocks noChangeShapeType="1"/>
                          </wps:cNvCnPr>
                          <wps:spPr bwMode="auto">
                            <a:xfrm>
                              <a:off x="5390" y="14671"/>
                              <a:ext cx="0" cy="1905"/>
                            </a:xfrm>
                            <a:prstGeom prst="bentConnector3">
                              <a:avLst>
                                <a:gd name="adj1" fmla="val 50000"/>
                              </a:avLst>
                            </a:prstGeom>
                            <a:noFill/>
                            <a:ln w="6350">
                              <a:solidFill>
                                <a:srgbClr val="000000"/>
                              </a:solidFill>
                              <a:miter lim="800000"/>
                              <a:tailEnd type="triangle" w="med" len="med"/>
                            </a:ln>
                          </wps:spPr>
                          <wps:bodyPr/>
                        </wps:wsp>
                        <wps:wsp>
                          <wps:cNvPr id="114" name="AutoShape 68"/>
                          <wps:cNvCnPr>
                            <a:cxnSpLocks noChangeShapeType="1"/>
                          </wps:cNvCnPr>
                          <wps:spPr bwMode="auto">
                            <a:xfrm>
                              <a:off x="17946" y="14671"/>
                              <a:ext cx="0" cy="1905"/>
                            </a:xfrm>
                            <a:prstGeom prst="bentConnector3">
                              <a:avLst>
                                <a:gd name="adj1" fmla="val 50000"/>
                              </a:avLst>
                            </a:prstGeom>
                            <a:noFill/>
                            <a:ln w="6350">
                              <a:solidFill>
                                <a:srgbClr val="000000"/>
                              </a:solidFill>
                              <a:miter lim="800000"/>
                              <a:tailEnd type="triangle" w="med" len="med"/>
                            </a:ln>
                          </wps:spPr>
                          <wps:bodyPr/>
                        </wps:wsp>
                        <wps:wsp>
                          <wps:cNvPr id="115" name="AutoShape 69"/>
                          <wps:cNvCnPr>
                            <a:cxnSpLocks noChangeShapeType="1"/>
                          </wps:cNvCnPr>
                          <wps:spPr bwMode="auto">
                            <a:xfrm flipV="1">
                              <a:off x="5390" y="21031"/>
                              <a:ext cx="12548" cy="0"/>
                            </a:xfrm>
                            <a:prstGeom prst="bentConnector3">
                              <a:avLst>
                                <a:gd name="adj1" fmla="val 50000"/>
                              </a:avLst>
                            </a:prstGeom>
                            <a:noFill/>
                            <a:ln w="6350">
                              <a:solidFill>
                                <a:srgbClr val="000000"/>
                              </a:solidFill>
                              <a:miter lim="800000"/>
                            </a:ln>
                          </wps:spPr>
                          <wps:bodyPr/>
                        </wps:wsp>
                      </wpg:grpSp>
                      <wps:wsp>
                        <wps:cNvPr id="118" name="AutoShape 72"/>
                        <wps:cNvCnPr>
                          <a:cxnSpLocks noChangeShapeType="1"/>
                        </wps:cNvCnPr>
                        <wps:spPr bwMode="auto">
                          <a:xfrm>
                            <a:off x="5397" y="19431"/>
                            <a:ext cx="0" cy="1585"/>
                          </a:xfrm>
                          <a:prstGeom prst="bentConnector3">
                            <a:avLst>
                              <a:gd name="adj1" fmla="val 50000"/>
                            </a:avLst>
                          </a:prstGeom>
                          <a:noFill/>
                          <a:ln w="6350">
                            <a:solidFill>
                              <a:srgbClr val="000000"/>
                            </a:solidFill>
                            <a:miter lim="800000"/>
                          </a:ln>
                        </wps:spPr>
                        <wps:bodyPr/>
                      </wps:wsp>
                      <wps:wsp>
                        <wps:cNvPr id="119" name="AutoShape 73"/>
                        <wps:cNvCnPr>
                          <a:cxnSpLocks noChangeShapeType="1"/>
                        </wps:cNvCnPr>
                        <wps:spPr bwMode="auto">
                          <a:xfrm>
                            <a:off x="17907" y="19431"/>
                            <a:ext cx="0" cy="1581"/>
                          </a:xfrm>
                          <a:prstGeom prst="bentConnector3">
                            <a:avLst>
                              <a:gd name="adj1" fmla="val 50000"/>
                            </a:avLst>
                          </a:prstGeom>
                          <a:noFill/>
                          <a:ln w="6350">
                            <a:solidFill>
                              <a:srgbClr val="000000"/>
                            </a:solidFill>
                            <a:miter lim="800000"/>
                          </a:ln>
                        </wps:spPr>
                        <wps:bodyPr/>
                      </wps:wsp>
                      <wps:wsp>
                        <wps:cNvPr id="120" name="AutoShape 74"/>
                        <wps:cNvCnPr>
                          <a:cxnSpLocks noChangeShapeType="1"/>
                        </wps:cNvCnPr>
                        <wps:spPr bwMode="auto">
                          <a:xfrm>
                            <a:off x="11684" y="21018"/>
                            <a:ext cx="0" cy="1504"/>
                          </a:xfrm>
                          <a:prstGeom prst="bentConnector3">
                            <a:avLst>
                              <a:gd name="adj1" fmla="val 50000"/>
                            </a:avLst>
                          </a:prstGeom>
                          <a:noFill/>
                          <a:ln w="6350">
                            <a:solidFill>
                              <a:srgbClr val="000000"/>
                            </a:solidFill>
                            <a:miter lim="800000"/>
                            <a:tailEnd type="triangle" w="med" len="med"/>
                          </a:ln>
                        </wps:spPr>
                        <wps:bodyPr/>
                      </wps:wsp>
                    </wpg:wgp>
                  </a:graphicData>
                </a:graphic>
              </wp:inline>
            </w:drawing>
          </mc:Choice>
          <mc:Fallback>
            <w:pict>
              <v:group id="Group 52" o:spid="_x0000_s1026" o:spt="203" style="height:159.35pt;width:183.8pt;" coordorigin="0,5143" coordsize="23347,20236" o:gfxdata="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">
                <o:lock v:ext="edit" aspectratio="f"/>
                <v:group id="Group 54" o:spid="_x0000_s1026" o:spt="203" style="position:absolute;left:0;top:5143;height:20236;width:23347;" coordorigin="0,5144" coordsize="23350,20238" o:gfxdata="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HTySXu7AAAA2gAAAA8AAAAAAAAAAQAgAAAAIgAAAGRycy9kb3ducmV2LnhtbFBL&#10;AQIUABQAAAAIAIdO4kAzLwWeOwAAADkAAAAVAAAAAAAAAAEAIAAAAAoBAABkcnMvZ3JvdXBzaGFw&#10;ZXhtbC54bWxQSwUGAAAAAAYABgBgAQAAxwMAAAAA&#10;">
                  <o:lock v:ext="edit" aspectratio="f"/>
                  <v:shape id="AutoShape 55" o:spid="_x0000_s1026" o:spt="109" type="#_x0000_t109" style="position:absolute;left:5126;top:5144;height:2864;width:12602;v-text-anchor:middle;" filled="f" stroked="t" coordsize="21600,21600" o:gfxdata="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GJtvm8AAAA&#10;3AAAAA8AAAAAAAAAAQAgAAAAIgAAAGRycy9kb3ducmV2LnhtbFBLAQIUABQAAAAIAIdO4kAzLwWe&#10;OwAAADkAAAAQAAAAAAAAAAEAIAAAAAsBAABkcnMvc2hhcGV4bWwueG1sUEsFBgAAAAAGAAYAWwEA&#10;ALUDAAAAAA==&#10;">
                    <v:fill on="f" focussize="0,0"/>
                    <v:stroke color="#000000" miterlimit="8" joinstyle="miter"/>
                    <v:imagedata o:title=""/>
                    <o:lock v:ext="edit" aspectratio="f"/>
                    <v:textbox>
                      <w:txbxContent>
                        <w:p w14:paraId="74EEFAFD">
                          <w:pPr>
                            <w:widowControl w:val="0"/>
                            <w:spacing w:line="240" w:lineRule="auto"/>
                            <w:jc w:val="center"/>
                            <w:textAlignment w:val="auto"/>
                            <w:rPr>
                              <w:rFonts w:ascii="宋体"/>
                              <w:kern w:val="2"/>
                              <w:sz w:val="15"/>
                              <w:szCs w:val="15"/>
                            </w:rPr>
                          </w:pPr>
                          <w:r>
                            <w:rPr>
                              <w:rFonts w:hint="eastAsia" w:ascii="宋体" w:hAnsi="宋体"/>
                              <w:kern w:val="2"/>
                              <w:sz w:val="15"/>
                              <w:szCs w:val="15"/>
                            </w:rPr>
                            <w:t>收集资料数据</w:t>
                          </w:r>
                        </w:p>
                      </w:txbxContent>
                    </v:textbox>
                  </v:shape>
                  <v:shape id="AutoShape 57" o:spid="_x0000_s1026" o:spt="109" type="#_x0000_t109" style="position:absolute;left:5389;top:10440;height:2866;width:12598;" filled="f" stroked="t" coordsize="21600,21600" o:gfxdata="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2Xgg+ugAAANwA&#10;AAAPAAAAAAAAAAEAIAAAACIAAABkcnMvZG93bnJldi54bWxQSwECFAAUAAAACACHTuJAMy8FnjsA&#10;AAA5AAAAEAAAAAAAAAABACAAAAAJAQAAZHJzL3NoYXBleG1sLnhtbFBLBQYAAAAABgAGAFsBAACz&#10;AwAAAAA=&#10;">
                    <v:fill on="f" focussize="0,0"/>
                    <v:stroke color="#000000" miterlimit="8" joinstyle="miter"/>
                    <v:imagedata o:title=""/>
                    <o:lock v:ext="edit" aspectratio="f"/>
                    <v:textbox>
                      <w:txbxContent>
                        <w:p w14:paraId="4FAB946B">
                          <w:pPr>
                            <w:widowControl w:val="0"/>
                            <w:spacing w:before="62" w:beforeLines="20" w:line="160" w:lineRule="exact"/>
                            <w:textAlignment w:val="auto"/>
                            <w:rPr>
                              <w:rFonts w:ascii="宋体"/>
                              <w:kern w:val="2"/>
                              <w:sz w:val="15"/>
                              <w:szCs w:val="15"/>
                            </w:rPr>
                          </w:pPr>
                          <w:r>
                            <w:rPr>
                              <w:rFonts w:hint="eastAsia" w:ascii="宋体" w:hAnsi="宋体"/>
                              <w:kern w:val="2"/>
                              <w:sz w:val="15"/>
                              <w:szCs w:val="15"/>
                            </w:rPr>
                            <w:t>危险识别和泄漏场景辨识</w:t>
                          </w:r>
                        </w:p>
                      </w:txbxContent>
                    </v:textbox>
                  </v:shape>
                  <v:shape id="AutoShape 58" o:spid="_x0000_s1026" o:spt="109" type="#_x0000_t109" style="position:absolute;left:0;top:16513;height:2864;width:10795;v-text-anchor:middle;" filled="f" stroked="t" coordsize="21600,21600" o:gfxdata="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x/hVhugAAANwA&#10;AAAPAAAAAAAAAAEAIAAAACIAAABkcnMvZG93bnJldi54bWxQSwECFAAUAAAACACHTuJAMy8FnjsA&#10;AAA5AAAAEAAAAAAAAAABACAAAAAJAQAAZHJzL3NoYXBleG1sLnhtbFBLBQYAAAAABgAGAFsBAACz&#10;AwAAAAA=&#10;">
                    <v:fill on="f" focussize="0,0"/>
                    <v:stroke color="#000000" miterlimit="8" joinstyle="miter"/>
                    <v:imagedata o:title=""/>
                    <o:lock v:ext="edit" aspectratio="f"/>
                    <v:textbox>
                      <w:txbxContent>
                        <w:p w14:paraId="62AF16FD">
                          <w:pPr>
                            <w:widowControl w:val="0"/>
                            <w:spacing w:line="240" w:lineRule="auto"/>
                            <w:jc w:val="center"/>
                            <w:textAlignment w:val="auto"/>
                            <w:rPr>
                              <w:rFonts w:ascii="宋体"/>
                              <w:kern w:val="2"/>
                              <w:sz w:val="15"/>
                              <w:szCs w:val="15"/>
                            </w:rPr>
                          </w:pPr>
                          <w:r>
                            <w:rPr>
                              <w:rFonts w:hint="eastAsia" w:ascii="宋体" w:hAnsi="宋体"/>
                              <w:kern w:val="2"/>
                              <w:sz w:val="15"/>
                              <w:szCs w:val="15"/>
                            </w:rPr>
                            <w:t>分析事故概率</w:t>
                          </w:r>
                        </w:p>
                      </w:txbxContent>
                    </v:textbox>
                  </v:shape>
                  <v:shape id="AutoShape 59" o:spid="_x0000_s1026" o:spt="109" type="#_x0000_t109" style="position:absolute;left:12555;top:16582;height:2863;width:10795;v-text-anchor:middle;" filled="f" stroked="t" coordsize="21600,21600" o:gfxdata="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6ysPq8AAAA&#10;3AAAAA8AAAAAAAAAAQAgAAAAIgAAAGRycy9kb3ducmV2LnhtbFBLAQIUABQAAAAIAIdO4kAzLwWe&#10;OwAAADkAAAAQAAAAAAAAAAEAIAAAAAsBAABkcnMvc2hhcGV4bWwueG1sUEsFBgAAAAAGAAYAWwEA&#10;ALUDAAAAAA==&#10;">
                    <v:fill on="f" focussize="0,0"/>
                    <v:stroke color="#000000" miterlimit="8" joinstyle="miter"/>
                    <v:imagedata o:title=""/>
                    <o:lock v:ext="edit" aspectratio="f"/>
                    <v:textbox>
                      <w:txbxContent>
                        <w:p w14:paraId="2FD80230">
                          <w:pPr>
                            <w:widowControl w:val="0"/>
                            <w:spacing w:line="240" w:lineRule="auto"/>
                            <w:jc w:val="center"/>
                            <w:textAlignment w:val="auto"/>
                            <w:rPr>
                              <w:rFonts w:ascii="宋体"/>
                              <w:kern w:val="2"/>
                              <w:sz w:val="15"/>
                              <w:szCs w:val="15"/>
                            </w:rPr>
                          </w:pPr>
                          <w:r>
                            <w:rPr>
                              <w:rFonts w:hint="eastAsia" w:ascii="宋体" w:hAnsi="宋体"/>
                              <w:kern w:val="2"/>
                              <w:sz w:val="15"/>
                              <w:szCs w:val="15"/>
                            </w:rPr>
                            <w:t>分析事故后果</w:t>
                          </w:r>
                        </w:p>
                      </w:txbxContent>
                    </v:textbox>
                  </v:shape>
                  <v:shape id="AutoShape 60" o:spid="_x0000_s1026" o:spt="109" type="#_x0000_t109" style="position:absolute;left:5390;top:22518;height:2864;width:12599;v-text-anchor:middle;" filled="f" stroked="t" coordsize="21600,21600" o:gfxdata="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uYC6NugAAANwA&#10;AAAPAAAAAAAAAAEAIAAAACIAAABkcnMvZG93bnJldi54bWxQSwECFAAUAAAACACHTuJAMy8FnjsA&#10;AAA5AAAAEAAAAAAAAAABACAAAAAJAQAAZHJzL3NoYXBleG1sLnhtbFBLBQYAAAAABgAGAFsBAACz&#10;AwAAAAA=&#10;">
                    <v:fill on="f" focussize="0,0"/>
                    <v:stroke color="#000000" miterlimit="8" joinstyle="miter"/>
                    <v:imagedata o:title=""/>
                    <o:lock v:ext="edit" aspectratio="f"/>
                    <v:textbox>
                      <w:txbxContent>
                        <w:p w14:paraId="722F10CF">
                          <w:pPr>
                            <w:widowControl w:val="0"/>
                            <w:spacing w:line="240" w:lineRule="auto"/>
                            <w:jc w:val="center"/>
                            <w:textAlignment w:val="auto"/>
                            <w:rPr>
                              <w:rFonts w:ascii="宋体"/>
                              <w:kern w:val="2"/>
                              <w:sz w:val="15"/>
                              <w:szCs w:val="15"/>
                            </w:rPr>
                          </w:pPr>
                          <w:r>
                            <w:rPr>
                              <w:rFonts w:hint="eastAsia" w:ascii="宋体" w:hAnsi="宋体"/>
                              <w:kern w:val="2"/>
                              <w:sz w:val="15"/>
                              <w:szCs w:val="15"/>
                            </w:rPr>
                            <w:t>定量风险计算</w:t>
                          </w:r>
                        </w:p>
                      </w:txbxContent>
                    </v:textbox>
                  </v:shape>
                  <v:shape id="AutoShape 64" o:spid="_x0000_s1026" o:spt="34" type="#_x0000_t34" style="position:absolute;left:11668;top:8120;height:2390;width:0;" filled="f" stroked="t" coordsize="21600,21600" o:gfxdata="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x5jbK8AAAA&#10;3AAAAA8AAAAAAAAAAQAgAAAAIgAAAGRycy9kb3ducmV2LnhtbFBLAQIUABQAAAAIAIdO4kAzLwWe&#10;OwAAADkAAAAQAAAAAAAAAAEAIAAAAAsBAABkcnMvc2hhcGV4bWwueG1sUEsFBgAAAAAGAAYAWwEA&#10;ALUDAAAAAA==&#10;" adj="10800">
                    <v:fill on="f" focussize="0,0"/>
                    <v:stroke weight="0.5pt" color="#000000" miterlimit="8" joinstyle="miter" endarrow="block"/>
                    <v:imagedata o:title=""/>
                    <o:lock v:ext="edit" aspectratio="f"/>
                  </v:shape>
                  <v:shape id="AutoShape 65" o:spid="_x0000_s1026" o:spt="34" type="#_x0000_t34" style="position:absolute;left:11668;top:13306;height:1354;width:0;" filled="f" stroked="t" coordsize="21600,21600" o:gfxdata="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ztfjy8AAAA&#10;3AAAAA8AAAAAAAAAAQAgAAAAIgAAAGRycy9kb3ducmV2LnhtbFBLAQIUABQAAAAIAIdO4kAzLwWe&#10;OwAAADkAAAAQAAAAAAAAAAEAIAAAAAsBAABkcnMvc2hhcGV4bWwueG1sUEsFBgAAAAAGAAYAWwEA&#10;ALUDAAAAAA==&#10;" adj="10800">
                    <v:fill on="f" focussize="0,0"/>
                    <v:stroke weight="0.5pt" color="#000000" miterlimit="8" joinstyle="miter"/>
                    <v:imagedata o:title=""/>
                    <o:lock v:ext="edit" aspectratio="f"/>
                  </v:shape>
                  <v:shape id="AutoShape 66" o:spid="_x0000_s1026" o:spt="34" type="#_x0000_t34" style="position:absolute;left:5390;top:14671;flip:y;height:0;width:12553;" filled="f" stroked="t" coordsize="21600,21600" o:gfxdata="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LxRmqvQAA&#10;ANwAAAAPAAAAAAAAAAEAIAAAACIAAABkcnMvZG93bnJldi54bWxQSwECFAAUAAAACACHTuJAMy8F&#10;njsAAAA5AAAAEAAAAAAAAAABACAAAAAMAQAAZHJzL3NoYXBleG1sLnhtbFBLBQYAAAAABgAGAFsB&#10;AAC2AwAAAAA=&#10;" adj="10800">
                    <v:fill on="f" focussize="0,0"/>
                    <v:stroke weight="0.5pt" color="#000000" miterlimit="8" joinstyle="miter"/>
                    <v:imagedata o:title=""/>
                    <o:lock v:ext="edit" aspectratio="f"/>
                  </v:shape>
                  <v:shape id="AutoShape 67" o:spid="_x0000_s1026" o:spt="34" type="#_x0000_t34" style="position:absolute;left:5390;top:14671;height:1905;width:0;" filled="f" stroked="t" coordsize="21600,21600" o:gfxdata="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XKsTxbgAAADcAAAA&#10;DwAAAAAAAAABACAAAAAiAAAAZHJzL2Rvd25yZXYueG1sUEsBAhQAFAAAAAgAh07iQDMvBZ47AAAA&#10;OQAAABAAAAAAAAAAAQAgAAAABwEAAGRycy9zaGFwZXhtbC54bWxQSwUGAAAAAAYABgBbAQAAsQMA&#10;AAAA&#10;" adj="10800">
                    <v:fill on="f" focussize="0,0"/>
                    <v:stroke weight="0.5pt" color="#000000" miterlimit="8" joinstyle="miter" endarrow="block"/>
                    <v:imagedata o:title=""/>
                    <o:lock v:ext="edit" aspectratio="f"/>
                  </v:shape>
                  <v:shape id="AutoShape 68" o:spid="_x0000_s1026" o:spt="34" type="#_x0000_t34" style="position:absolute;left:17946;top:14671;height:1905;width:0;" filled="f" stroked="t" coordsize="21600,21600" o:gfxdata="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NCi7G5AAAA3AAA&#10;AA8AAAAAAAAAAQAgAAAAIgAAAGRycy9kb3ducmV2LnhtbFBLAQIUABQAAAAIAIdO4kAzLwWeOwAA&#10;ADkAAAAQAAAAAAAAAAEAIAAAAAgBAABkcnMvc2hhcGV4bWwueG1sUEsFBgAAAAAGAAYAWwEAALID&#10;AAAAAA==&#10;" adj="10800">
                    <v:fill on="f" focussize="0,0"/>
                    <v:stroke weight="0.5pt" color="#000000" miterlimit="8" joinstyle="miter" endarrow="block"/>
                    <v:imagedata o:title=""/>
                    <o:lock v:ext="edit" aspectratio="f"/>
                  </v:shape>
                  <v:shape id="AutoShape 69" o:spid="_x0000_s1026" o:spt="34" type="#_x0000_t34" style="position:absolute;left:5390;top:21031;flip:y;height:0;width:12548;" filled="f" stroked="t" coordsize="21600,21600" o:gfxdata="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LIHevQAA&#10;ANwAAAAPAAAAAAAAAAEAIAAAACIAAABkcnMvZG93bnJldi54bWxQSwECFAAUAAAACACHTuJAMy8F&#10;njsAAAA5AAAAEAAAAAAAAAABACAAAAAMAQAAZHJzL3NoYXBleG1sLnhtbFBLBQYAAAAABgAGAFsB&#10;AAC2AwAAAAA=&#10;" adj="10800">
                    <v:fill on="f" focussize="0,0"/>
                    <v:stroke weight="0.5pt" color="#000000" miterlimit="8" joinstyle="miter"/>
                    <v:imagedata o:title=""/>
                    <o:lock v:ext="edit" aspectratio="f"/>
                  </v:shape>
                </v:group>
                <v:shape id="AutoShape 72" o:spid="_x0000_s1026" o:spt="34" type="#_x0000_t34" style="position:absolute;left:5397;top:19431;height:1585;width:0;" filled="f" stroked="t" coordsize="21600,21600" o:gfxdata="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dfXobsAAADc&#10;AAAADwAAAAAAAAABACAAAAAiAAAAZHJzL2Rvd25yZXYueG1sUEsBAhQAFAAAAAgAh07iQDMvBZ47&#10;AAAAOQAAABAAAAAAAAAAAQAgAAAACgEAAGRycy9zaGFwZXhtbC54bWxQSwUGAAAAAAYABgBbAQAA&#10;tAMAAAAA&#10;" adj="10800">
                  <v:fill on="f" focussize="0,0"/>
                  <v:stroke weight="0.5pt" color="#000000" miterlimit="8" joinstyle="miter"/>
                  <v:imagedata o:title=""/>
                  <o:lock v:ext="edit" aspectratio="f"/>
                </v:shape>
                <v:shape id="AutoShape 73" o:spid="_x0000_s1026" o:spt="34" type="#_x0000_t34" style="position:absolute;left:17907;top:19431;height:1581;width:0;" filled="f" stroked="t" coordsize="21600,21600" o:gfxdata="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Kbcjq8AAAA&#10;3AAAAA8AAAAAAAAAAQAgAAAAIgAAAGRycy9kb3ducmV2LnhtbFBLAQIUABQAAAAIAIdO4kAzLwWe&#10;OwAAADkAAAAQAAAAAAAAAAEAIAAAAAsBAABkcnMvc2hhcGV4bWwueG1sUEsFBgAAAAAGAAYAWwEA&#10;ALUDAAAAAA==&#10;" adj="10800">
                  <v:fill on="f" focussize="0,0"/>
                  <v:stroke weight="0.5pt" color="#000000" miterlimit="8" joinstyle="miter"/>
                  <v:imagedata o:title=""/>
                  <o:lock v:ext="edit" aspectratio="f"/>
                </v:shape>
                <v:shape id="AutoShape 74" o:spid="_x0000_s1026" o:spt="34" type="#_x0000_t34" style="position:absolute;left:11684;top:21018;height:1504;width:0;" filled="f" stroked="t" coordsize="21600,21600" o:gfxdata="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IVRw+8AAAA&#10;3AAAAA8AAAAAAAAAAQAgAAAAIgAAAGRycy9kb3ducmV2LnhtbFBLAQIUABQAAAAIAIdO4kAzLwWe&#10;OwAAADkAAAAQAAAAAAAAAAEAIAAAAAsBAABkcnMvc2hhcGV4bWwueG1sUEsFBgAAAAAGAAYAWwEA&#10;ALUDAAAAAA==&#10;" adj="10800">
                  <v:fill on="f" focussize="0,0"/>
                  <v:stroke weight="0.5pt" color="#000000" miterlimit="8" joinstyle="miter" endarrow="block"/>
                  <v:imagedata o:title=""/>
                  <o:lock v:ext="edit" aspectratio="f"/>
                </v:shape>
                <w10:wrap type="none"/>
                <w10:anchorlock/>
              </v:group>
            </w:pict>
          </mc:Fallback>
        </mc:AlternateContent>
      </w:r>
    </w:p>
    <w:p w14:paraId="5A065078">
      <w:pPr>
        <w:pStyle w:val="161"/>
        <w:spacing w:before="156" w:after="156"/>
        <w:rPr>
          <w:rFonts w:hint="eastAsia"/>
        </w:rPr>
      </w:pPr>
      <w:bookmarkStart w:id="147" w:name="_Toc508891564"/>
      <w:r>
        <w:rPr>
          <w:rFonts w:hint="eastAsia"/>
        </w:rPr>
        <w:t>图</w:t>
      </w:r>
      <w:r>
        <w:t xml:space="preserve"> </w:t>
      </w:r>
      <w:r>
        <w:rPr>
          <w:rFonts w:hint="eastAsia"/>
        </w:rPr>
        <w:t>B.1</w:t>
      </w:r>
      <w:r>
        <w:t xml:space="preserve">  </w:t>
      </w:r>
      <w:r>
        <w:rPr>
          <w:rFonts w:hint="eastAsia"/>
        </w:rPr>
        <w:t>定量风险评价工作流程</w:t>
      </w:r>
      <w:bookmarkEnd w:id="147"/>
    </w:p>
    <w:p w14:paraId="3F49EFB3">
      <w:pPr>
        <w:widowControl w:val="0"/>
        <w:spacing w:before="156" w:beforeLines="50" w:after="156" w:afterLines="50" w:line="240" w:lineRule="auto"/>
        <w:textAlignment w:val="auto"/>
        <w:outlineLvl w:val="1"/>
        <w:rPr>
          <w:rFonts w:ascii="黑体" w:eastAsia="黑体"/>
          <w:color w:val="auto"/>
        </w:rPr>
      </w:pPr>
      <w:r>
        <w:rPr>
          <w:rFonts w:hint="eastAsia" w:ascii="黑体" w:eastAsia="黑体"/>
          <w:color w:val="auto"/>
        </w:rPr>
        <w:t>B.2 资料数据收集</w:t>
      </w:r>
    </w:p>
    <w:p w14:paraId="127D7348">
      <w:pPr>
        <w:pStyle w:val="162"/>
        <w:spacing w:before="156" w:beforeLines="50" w:after="156" w:afterLines="50" w:line="240" w:lineRule="auto"/>
        <w:ind w:firstLine="0"/>
        <w:outlineLvl w:val="2"/>
        <w:rPr>
          <w:rFonts w:ascii="黑体" w:eastAsia="黑体"/>
        </w:rPr>
      </w:pPr>
      <w:r>
        <w:rPr>
          <w:rFonts w:hint="eastAsia" w:ascii="黑体" w:eastAsia="黑体"/>
        </w:rPr>
        <w:t>B</w:t>
      </w:r>
      <w:r>
        <w:rPr>
          <w:rFonts w:ascii="黑体" w:eastAsia="黑体"/>
        </w:rPr>
        <w:t xml:space="preserve">.2.1 </w:t>
      </w:r>
      <w:r>
        <w:rPr>
          <w:rFonts w:hint="eastAsia" w:ascii="黑体" w:eastAsia="黑体"/>
        </w:rPr>
        <w:t>一般资料数据</w:t>
      </w:r>
    </w:p>
    <w:p w14:paraId="71BC4F0B">
      <w:pPr>
        <w:rPr>
          <w:szCs w:val="21"/>
        </w:rPr>
      </w:pPr>
      <w:r>
        <w:rPr>
          <w:rFonts w:hint="eastAsia" w:eastAsia="黑体"/>
        </w:rPr>
        <w:t xml:space="preserve">    </w:t>
      </w:r>
      <w:r>
        <w:rPr>
          <w:rFonts w:hint="eastAsia" w:hAnsi="宋体"/>
          <w:szCs w:val="21"/>
        </w:rPr>
        <w:t>根据评估范围确定所需收集的资料数据，包括但不限于下表所列的资料数据。</w:t>
      </w:r>
    </w:p>
    <w:p w14:paraId="60315A8C">
      <w:pPr>
        <w:pStyle w:val="161"/>
        <w:spacing w:before="156" w:after="156"/>
        <w:rPr>
          <w:rFonts w:hint="eastAsia"/>
        </w:rPr>
      </w:pPr>
      <w:bookmarkStart w:id="148" w:name="_Toc508891837"/>
      <w:r>
        <w:rPr>
          <w:rFonts w:hint="eastAsia"/>
        </w:rPr>
        <w:t>表</w:t>
      </w:r>
      <w:r>
        <w:t xml:space="preserve"> </w:t>
      </w:r>
      <w:r>
        <w:rPr>
          <w:rFonts w:hint="eastAsia"/>
        </w:rPr>
        <w:t>B.1</w:t>
      </w:r>
      <w:r>
        <w:t xml:space="preserve">  </w:t>
      </w:r>
      <w:r>
        <w:rPr>
          <w:rFonts w:hint="eastAsia"/>
        </w:rPr>
        <w:t>定量风险评价收集的一般资料数据</w:t>
      </w:r>
      <w:bookmarkEnd w:id="148"/>
    </w:p>
    <w:tbl>
      <w:tblPr>
        <w:tblStyle w:val="36"/>
        <w:tblW w:w="932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790"/>
        <w:gridCol w:w="7534"/>
      </w:tblGrid>
      <w:tr w14:paraId="5780DF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tblHeader/>
          <w:jc w:val="center"/>
        </w:trPr>
        <w:tc>
          <w:tcPr>
            <w:tcW w:w="1790" w:type="dxa"/>
            <w:tcBorders>
              <w:top w:val="single" w:color="auto" w:sz="12" w:space="0"/>
              <w:bottom w:val="single" w:color="auto" w:sz="12" w:space="0"/>
            </w:tcBorders>
            <w:vAlign w:val="center"/>
          </w:tcPr>
          <w:p w14:paraId="606B88F2">
            <w:pPr>
              <w:jc w:val="center"/>
              <w:rPr>
                <w:sz w:val="18"/>
                <w:szCs w:val="18"/>
              </w:rPr>
            </w:pPr>
            <w:r>
              <w:rPr>
                <w:rFonts w:hint="eastAsia"/>
                <w:sz w:val="18"/>
                <w:szCs w:val="18"/>
              </w:rPr>
              <w:t>类别</w:t>
            </w:r>
          </w:p>
        </w:tc>
        <w:tc>
          <w:tcPr>
            <w:tcW w:w="7534" w:type="dxa"/>
            <w:tcBorders>
              <w:top w:val="single" w:color="auto" w:sz="12" w:space="0"/>
              <w:bottom w:val="single" w:color="auto" w:sz="12" w:space="0"/>
            </w:tcBorders>
            <w:vAlign w:val="center"/>
          </w:tcPr>
          <w:p w14:paraId="18718ED2">
            <w:pPr>
              <w:jc w:val="center"/>
              <w:rPr>
                <w:sz w:val="18"/>
                <w:szCs w:val="18"/>
              </w:rPr>
            </w:pPr>
            <w:r>
              <w:rPr>
                <w:rFonts w:hint="eastAsia"/>
                <w:sz w:val="18"/>
                <w:szCs w:val="18"/>
              </w:rPr>
              <w:t>一般资料数据</w:t>
            </w:r>
          </w:p>
        </w:tc>
      </w:tr>
      <w:tr w14:paraId="1478F3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1790" w:type="dxa"/>
            <w:tcBorders>
              <w:top w:val="single" w:color="auto" w:sz="12" w:space="0"/>
            </w:tcBorders>
            <w:vAlign w:val="center"/>
          </w:tcPr>
          <w:p w14:paraId="05FD1B2F">
            <w:pPr>
              <w:jc w:val="center"/>
              <w:rPr>
                <w:sz w:val="18"/>
                <w:szCs w:val="18"/>
              </w:rPr>
            </w:pPr>
            <w:r>
              <w:rPr>
                <w:rFonts w:hint="eastAsia"/>
                <w:sz w:val="18"/>
                <w:szCs w:val="18"/>
              </w:rPr>
              <w:t>危害信息</w:t>
            </w:r>
          </w:p>
        </w:tc>
        <w:tc>
          <w:tcPr>
            <w:tcW w:w="7534" w:type="dxa"/>
            <w:tcBorders>
              <w:top w:val="single" w:color="auto" w:sz="12" w:space="0"/>
            </w:tcBorders>
            <w:vAlign w:val="center"/>
          </w:tcPr>
          <w:p w14:paraId="5A0888E7">
            <w:pPr>
              <w:rPr>
                <w:sz w:val="18"/>
                <w:szCs w:val="18"/>
              </w:rPr>
            </w:pPr>
            <w:r>
              <w:rPr>
                <w:rFonts w:hint="eastAsia"/>
                <w:sz w:val="18"/>
                <w:szCs w:val="18"/>
              </w:rPr>
              <w:t>化学品安全技术说明书（</w:t>
            </w:r>
            <w:r>
              <w:rPr>
                <w:sz w:val="18"/>
                <w:szCs w:val="18"/>
              </w:rPr>
              <w:t>Safety Data Sheet, SDS</w:t>
            </w:r>
            <w:r>
              <w:rPr>
                <w:rFonts w:hint="eastAsia"/>
                <w:sz w:val="18"/>
                <w:szCs w:val="18"/>
              </w:rPr>
              <w:t>）、危险有害因素分析结果、点火源等。</w:t>
            </w:r>
          </w:p>
        </w:tc>
      </w:tr>
      <w:tr w14:paraId="276F71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1790" w:type="dxa"/>
            <w:vAlign w:val="center"/>
          </w:tcPr>
          <w:p w14:paraId="7F32245B">
            <w:pPr>
              <w:jc w:val="center"/>
              <w:rPr>
                <w:sz w:val="18"/>
                <w:szCs w:val="18"/>
              </w:rPr>
            </w:pPr>
            <w:r>
              <w:rPr>
                <w:rFonts w:hint="eastAsia"/>
                <w:sz w:val="18"/>
                <w:szCs w:val="18"/>
              </w:rPr>
              <w:t>设计和运行数据</w:t>
            </w:r>
          </w:p>
        </w:tc>
        <w:tc>
          <w:tcPr>
            <w:tcW w:w="7534" w:type="dxa"/>
            <w:vAlign w:val="center"/>
          </w:tcPr>
          <w:p w14:paraId="41A9BAC8">
            <w:pPr>
              <w:rPr>
                <w:sz w:val="18"/>
                <w:szCs w:val="18"/>
              </w:rPr>
            </w:pPr>
            <w:r>
              <w:rPr>
                <w:rFonts w:hint="eastAsia" w:hAnsi="宋体"/>
                <w:sz w:val="18"/>
                <w:szCs w:val="18"/>
              </w:rPr>
              <w:t>设计说明、线路走向图、管道数据。</w:t>
            </w:r>
          </w:p>
        </w:tc>
      </w:tr>
      <w:tr w14:paraId="149F0C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1790" w:type="dxa"/>
            <w:vAlign w:val="center"/>
          </w:tcPr>
          <w:p w14:paraId="79521814">
            <w:pPr>
              <w:jc w:val="center"/>
              <w:rPr>
                <w:sz w:val="18"/>
                <w:szCs w:val="18"/>
              </w:rPr>
            </w:pPr>
            <w:r>
              <w:rPr>
                <w:rFonts w:hint="eastAsia"/>
                <w:sz w:val="18"/>
                <w:szCs w:val="18"/>
              </w:rPr>
              <w:t>减缓控制系统</w:t>
            </w:r>
          </w:p>
        </w:tc>
        <w:tc>
          <w:tcPr>
            <w:tcW w:w="7534" w:type="dxa"/>
            <w:vAlign w:val="center"/>
          </w:tcPr>
          <w:p w14:paraId="5D72B538">
            <w:pPr>
              <w:rPr>
                <w:rFonts w:hint="eastAsia" w:hAnsi="宋体"/>
                <w:bCs/>
                <w:sz w:val="18"/>
                <w:szCs w:val="18"/>
              </w:rPr>
            </w:pPr>
            <w:r>
              <w:rPr>
                <w:rFonts w:hint="eastAsia"/>
                <w:sz w:val="18"/>
                <w:szCs w:val="18"/>
              </w:rPr>
              <w:t>监测、监视等减缓控制系统。</w:t>
            </w:r>
          </w:p>
        </w:tc>
      </w:tr>
      <w:tr w14:paraId="3A4072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1790" w:type="dxa"/>
            <w:vAlign w:val="center"/>
          </w:tcPr>
          <w:p w14:paraId="34A4A93F">
            <w:pPr>
              <w:jc w:val="center"/>
              <w:rPr>
                <w:sz w:val="18"/>
                <w:szCs w:val="18"/>
              </w:rPr>
            </w:pPr>
            <w:r>
              <w:rPr>
                <w:rFonts w:hint="eastAsia"/>
                <w:sz w:val="18"/>
                <w:szCs w:val="18"/>
              </w:rPr>
              <w:t>管理系统</w:t>
            </w:r>
          </w:p>
        </w:tc>
        <w:tc>
          <w:tcPr>
            <w:tcW w:w="7534" w:type="dxa"/>
            <w:vAlign w:val="center"/>
          </w:tcPr>
          <w:p w14:paraId="2BFD94C1">
            <w:pPr>
              <w:rPr>
                <w:sz w:val="18"/>
                <w:szCs w:val="18"/>
              </w:rPr>
            </w:pPr>
            <w:r>
              <w:rPr>
                <w:rFonts w:hint="eastAsia" w:hAnsi="宋体"/>
                <w:bCs/>
                <w:sz w:val="18"/>
                <w:szCs w:val="18"/>
              </w:rPr>
              <w:t>管理制度、操作和维护手册、应急、变更和作业程序等。</w:t>
            </w:r>
          </w:p>
        </w:tc>
      </w:tr>
      <w:tr w14:paraId="0E35BE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1790" w:type="dxa"/>
            <w:vAlign w:val="center"/>
          </w:tcPr>
          <w:p w14:paraId="5580EF46">
            <w:pPr>
              <w:jc w:val="center"/>
              <w:rPr>
                <w:sz w:val="18"/>
                <w:szCs w:val="18"/>
              </w:rPr>
            </w:pPr>
            <w:r>
              <w:rPr>
                <w:rFonts w:hint="eastAsia"/>
                <w:sz w:val="18"/>
                <w:szCs w:val="18"/>
              </w:rPr>
              <w:t>自然条件</w:t>
            </w:r>
          </w:p>
        </w:tc>
        <w:tc>
          <w:tcPr>
            <w:tcW w:w="7534" w:type="dxa"/>
            <w:vAlign w:val="center"/>
          </w:tcPr>
          <w:p w14:paraId="4E68313D">
            <w:pPr>
              <w:rPr>
                <w:sz w:val="18"/>
                <w:szCs w:val="18"/>
              </w:rPr>
            </w:pPr>
            <w:r>
              <w:rPr>
                <w:rFonts w:hint="eastAsia"/>
                <w:sz w:val="18"/>
                <w:szCs w:val="18"/>
              </w:rPr>
              <w:t>大气参数</w:t>
            </w:r>
            <w:r>
              <w:rPr>
                <w:rFonts w:hint="eastAsia" w:hAnsi="宋体"/>
                <w:sz w:val="18"/>
                <w:szCs w:val="18"/>
              </w:rPr>
              <w:t>（气压、温度、湿度等）、风向、风速及大气稳定度联合频率；现场周边地形、现场建筑物等。</w:t>
            </w:r>
          </w:p>
        </w:tc>
      </w:tr>
      <w:tr w14:paraId="57EED1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1790" w:type="dxa"/>
            <w:vAlign w:val="center"/>
          </w:tcPr>
          <w:p w14:paraId="3EE225E2">
            <w:pPr>
              <w:jc w:val="center"/>
              <w:rPr>
                <w:sz w:val="18"/>
                <w:szCs w:val="18"/>
              </w:rPr>
            </w:pPr>
            <w:r>
              <w:rPr>
                <w:rFonts w:hint="eastAsia"/>
                <w:sz w:val="18"/>
                <w:szCs w:val="18"/>
              </w:rPr>
              <w:t>历史数据</w:t>
            </w:r>
          </w:p>
        </w:tc>
        <w:tc>
          <w:tcPr>
            <w:tcW w:w="7534" w:type="dxa"/>
            <w:vAlign w:val="center"/>
          </w:tcPr>
          <w:p w14:paraId="04D419CF">
            <w:pPr>
              <w:rPr>
                <w:sz w:val="18"/>
                <w:szCs w:val="18"/>
              </w:rPr>
            </w:pPr>
            <w:r>
              <w:rPr>
                <w:rFonts w:hint="eastAsia" w:hAnsi="宋体"/>
                <w:sz w:val="18"/>
                <w:szCs w:val="18"/>
              </w:rPr>
              <w:t>事故案例、失效统计资料等。</w:t>
            </w:r>
          </w:p>
        </w:tc>
      </w:tr>
      <w:tr w14:paraId="61B8C2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1790" w:type="dxa"/>
            <w:tcBorders>
              <w:bottom w:val="single" w:color="auto" w:sz="12" w:space="0"/>
            </w:tcBorders>
            <w:vAlign w:val="center"/>
          </w:tcPr>
          <w:p w14:paraId="7FE2112E">
            <w:pPr>
              <w:jc w:val="center"/>
              <w:rPr>
                <w:sz w:val="18"/>
                <w:szCs w:val="18"/>
              </w:rPr>
            </w:pPr>
            <w:r>
              <w:rPr>
                <w:rFonts w:hint="eastAsia"/>
                <w:sz w:val="18"/>
                <w:szCs w:val="18"/>
              </w:rPr>
              <w:t>人口数据</w:t>
            </w:r>
          </w:p>
        </w:tc>
        <w:tc>
          <w:tcPr>
            <w:tcW w:w="7534" w:type="dxa"/>
            <w:tcBorders>
              <w:bottom w:val="single" w:color="auto" w:sz="12" w:space="0"/>
            </w:tcBorders>
            <w:vAlign w:val="center"/>
          </w:tcPr>
          <w:p w14:paraId="1EBA075A">
            <w:pPr>
              <w:rPr>
                <w:sz w:val="18"/>
                <w:szCs w:val="18"/>
              </w:rPr>
            </w:pPr>
            <w:r>
              <w:rPr>
                <w:rFonts w:hint="eastAsia"/>
                <w:sz w:val="18"/>
                <w:szCs w:val="18"/>
              </w:rPr>
              <w:t>周边人口分布。</w:t>
            </w:r>
          </w:p>
        </w:tc>
      </w:tr>
    </w:tbl>
    <w:p w14:paraId="07F9CCC3">
      <w:pPr>
        <w:pStyle w:val="162"/>
        <w:spacing w:before="156" w:beforeLines="50" w:after="156" w:afterLines="50" w:line="240" w:lineRule="auto"/>
        <w:ind w:firstLine="0"/>
        <w:outlineLvl w:val="2"/>
        <w:rPr>
          <w:rFonts w:ascii="黑体" w:eastAsia="黑体"/>
        </w:rPr>
      </w:pPr>
      <w:r>
        <w:rPr>
          <w:rFonts w:hint="eastAsia" w:ascii="黑体" w:eastAsia="黑体"/>
        </w:rPr>
        <w:t>B.2.2 人口数据统计原则</w:t>
      </w:r>
    </w:p>
    <w:p w14:paraId="15310C5D">
      <w:pPr>
        <w:rPr>
          <w:rFonts w:hint="eastAsia" w:hAnsi="宋体"/>
          <w:szCs w:val="21"/>
        </w:rPr>
      </w:pPr>
      <w:r>
        <w:rPr>
          <w:rFonts w:hint="eastAsia" w:hAnsi="宋体"/>
          <w:szCs w:val="21"/>
        </w:rPr>
        <w:t>B.2.2.1  遵循以下原则开展人口分布统计：</w:t>
      </w:r>
    </w:p>
    <w:p w14:paraId="15B4161E">
      <w:pPr>
        <w:ind w:firstLine="840" w:firstLineChars="400"/>
        <w:rPr>
          <w:rFonts w:hint="eastAsia" w:hAnsi="宋体"/>
          <w:szCs w:val="21"/>
        </w:rPr>
      </w:pPr>
      <w:r>
        <w:rPr>
          <w:rFonts w:hint="eastAsia" w:hAnsi="宋体"/>
          <w:szCs w:val="21"/>
        </w:rPr>
        <w:t>a） 根据事故状态下可能影响的最大范围，确定人口统计的地域边界；</w:t>
      </w:r>
    </w:p>
    <w:p w14:paraId="38C13791">
      <w:pPr>
        <w:ind w:firstLine="840" w:firstLineChars="400"/>
        <w:rPr>
          <w:rFonts w:hint="eastAsia" w:hAnsi="宋体"/>
          <w:szCs w:val="21"/>
        </w:rPr>
      </w:pPr>
      <w:r>
        <w:rPr>
          <w:rFonts w:hint="eastAsia" w:hAnsi="宋体"/>
          <w:szCs w:val="21"/>
        </w:rPr>
        <w:t>b） 考虑人员分布在白天和夜间的区别；</w:t>
      </w:r>
    </w:p>
    <w:p w14:paraId="677D9821">
      <w:pPr>
        <w:ind w:firstLine="840" w:firstLineChars="400"/>
        <w:rPr>
          <w:rFonts w:hint="eastAsia" w:hAnsi="宋体"/>
          <w:szCs w:val="21"/>
        </w:rPr>
      </w:pPr>
      <w:r>
        <w:rPr>
          <w:rFonts w:hint="eastAsia" w:hAnsi="宋体"/>
          <w:szCs w:val="21"/>
        </w:rPr>
        <w:t>c） 考虑娱乐场所、体育馆等场所人员的流动性；</w:t>
      </w:r>
    </w:p>
    <w:p w14:paraId="58421DC0">
      <w:pPr>
        <w:ind w:firstLine="840" w:firstLineChars="400"/>
        <w:rPr>
          <w:rFonts w:hint="eastAsia" w:hAnsi="宋体"/>
          <w:szCs w:val="21"/>
        </w:rPr>
      </w:pPr>
      <w:r>
        <w:rPr>
          <w:rFonts w:hint="eastAsia" w:hAnsi="宋体"/>
          <w:szCs w:val="21"/>
        </w:rPr>
        <w:t>d） 考虑已批准的规划区内可能存在的人口。</w:t>
      </w:r>
    </w:p>
    <w:p w14:paraId="7B7C40F0">
      <w:pPr>
        <w:rPr>
          <w:rFonts w:hint="eastAsia" w:hAnsi="宋体"/>
          <w:szCs w:val="21"/>
        </w:rPr>
      </w:pPr>
      <w:r>
        <w:rPr>
          <w:rFonts w:hint="eastAsia" w:hAnsi="宋体"/>
          <w:szCs w:val="21"/>
        </w:rPr>
        <w:t>B.2.2.2  对人口数据可采用实地统计数据，也可采用通过政府主管部门、地理信息系统等途径获得的数据。</w:t>
      </w:r>
    </w:p>
    <w:p w14:paraId="68D4307F">
      <w:pPr>
        <w:pStyle w:val="162"/>
        <w:spacing w:before="156" w:beforeLines="50" w:after="156" w:afterLines="50" w:line="240" w:lineRule="auto"/>
        <w:ind w:firstLine="0"/>
        <w:outlineLvl w:val="2"/>
        <w:rPr>
          <w:rFonts w:ascii="黑体" w:eastAsia="黑体"/>
        </w:rPr>
      </w:pPr>
      <w:r>
        <w:rPr>
          <w:rFonts w:hint="eastAsia" w:ascii="黑体" w:eastAsia="黑体"/>
        </w:rPr>
        <w:t>B.2.3 点火源统计原则</w:t>
      </w:r>
    </w:p>
    <w:p w14:paraId="2F5554F9">
      <w:pPr>
        <w:rPr>
          <w:rFonts w:hint="eastAsia" w:hAnsi="宋体"/>
          <w:szCs w:val="21"/>
        </w:rPr>
      </w:pPr>
      <w:r>
        <w:rPr>
          <w:rFonts w:hint="eastAsia" w:hAnsi="宋体"/>
          <w:szCs w:val="21"/>
        </w:rPr>
        <w:t>B.2.3.1  典型点火源分为：</w:t>
      </w:r>
    </w:p>
    <w:p w14:paraId="77A9B051">
      <w:pPr>
        <w:ind w:firstLine="840" w:firstLineChars="400"/>
        <w:rPr>
          <w:rFonts w:hint="eastAsia" w:hAnsi="宋体"/>
          <w:szCs w:val="21"/>
        </w:rPr>
      </w:pPr>
      <w:r>
        <w:rPr>
          <w:rFonts w:hint="eastAsia" w:hAnsi="宋体"/>
          <w:szCs w:val="21"/>
        </w:rPr>
        <w:t>a） 点源，如车辆、火炬、人员等；</w:t>
      </w:r>
    </w:p>
    <w:p w14:paraId="43DE07CA">
      <w:pPr>
        <w:ind w:firstLine="840" w:firstLineChars="400"/>
        <w:rPr>
          <w:rFonts w:hint="eastAsia" w:hAnsi="宋体"/>
          <w:szCs w:val="21"/>
        </w:rPr>
      </w:pPr>
      <w:r>
        <w:rPr>
          <w:rFonts w:hint="eastAsia" w:hAnsi="宋体"/>
          <w:szCs w:val="21"/>
        </w:rPr>
        <w:t>b） 线源，如公路、铁路、输电线路等；</w:t>
      </w:r>
    </w:p>
    <w:p w14:paraId="37DDADAB">
      <w:pPr>
        <w:ind w:firstLine="840" w:firstLineChars="400"/>
        <w:rPr>
          <w:rFonts w:hint="eastAsia" w:hAnsi="宋体"/>
          <w:szCs w:val="21"/>
        </w:rPr>
      </w:pPr>
      <w:r>
        <w:rPr>
          <w:rFonts w:hint="eastAsia" w:hAnsi="宋体"/>
          <w:szCs w:val="21"/>
        </w:rPr>
        <w:t>c） 面源，如周边的化工厂、冶炼厂等。</w:t>
      </w:r>
    </w:p>
    <w:p w14:paraId="4E5C586E">
      <w:pPr>
        <w:rPr>
          <w:rFonts w:hint="eastAsia" w:hAnsi="宋体"/>
          <w:szCs w:val="21"/>
        </w:rPr>
      </w:pPr>
      <w:r>
        <w:rPr>
          <w:rFonts w:hint="eastAsia" w:hAnsi="宋体"/>
          <w:szCs w:val="21"/>
        </w:rPr>
        <w:t>B.2.3.2  应对结合现场调研，根据事故状态下可能影响的最大范围辨识潜在点火源，并统计点火源的名称、种类、方位、数目以及出现的概率等要素。</w:t>
      </w:r>
    </w:p>
    <w:p w14:paraId="47B94F99">
      <w:pPr>
        <w:widowControl w:val="0"/>
        <w:spacing w:before="156" w:beforeLines="50" w:after="156" w:afterLines="50" w:line="240" w:lineRule="auto"/>
        <w:textAlignment w:val="auto"/>
        <w:outlineLvl w:val="1"/>
        <w:rPr>
          <w:rFonts w:ascii="黑体" w:eastAsia="黑体"/>
          <w:color w:val="auto"/>
        </w:rPr>
      </w:pPr>
      <w:r>
        <w:rPr>
          <w:rFonts w:hint="eastAsia" w:ascii="黑体" w:eastAsia="黑体"/>
          <w:color w:val="auto"/>
        </w:rPr>
        <w:t>B.3 危险识别和泄漏场景辨识</w:t>
      </w:r>
    </w:p>
    <w:p w14:paraId="2B2F800B">
      <w:pPr>
        <w:rPr>
          <w:szCs w:val="21"/>
        </w:rPr>
      </w:pPr>
      <w:r>
        <w:rPr>
          <w:rFonts w:hint="eastAsia" w:ascii="黑体" w:hAnsi="黑体" w:eastAsia="黑体"/>
          <w:szCs w:val="21"/>
        </w:rPr>
        <w:t>B</w:t>
      </w:r>
      <w:r>
        <w:rPr>
          <w:rFonts w:ascii="黑体" w:hAnsi="黑体" w:eastAsia="黑体"/>
          <w:szCs w:val="21"/>
        </w:rPr>
        <w:t>.</w:t>
      </w:r>
      <w:r>
        <w:rPr>
          <w:rFonts w:hint="eastAsia" w:ascii="黑体" w:hAnsi="黑体" w:eastAsia="黑体"/>
          <w:szCs w:val="21"/>
        </w:rPr>
        <w:t>3</w:t>
      </w:r>
      <w:r>
        <w:rPr>
          <w:rFonts w:ascii="黑体" w:hAnsi="黑体" w:eastAsia="黑体"/>
          <w:szCs w:val="21"/>
        </w:rPr>
        <w:t>.1</w:t>
      </w:r>
      <w:r>
        <w:rPr>
          <w:rFonts w:hAnsi="宋体"/>
          <w:szCs w:val="21"/>
        </w:rPr>
        <w:t xml:space="preserve">  </w:t>
      </w:r>
      <w:r>
        <w:rPr>
          <w:rFonts w:hint="eastAsia"/>
          <w:szCs w:val="32"/>
        </w:rPr>
        <w:t>应</w:t>
      </w:r>
      <w:r>
        <w:rPr>
          <w:rFonts w:hint="eastAsia" w:hAnsi="宋体"/>
          <w:szCs w:val="21"/>
        </w:rPr>
        <w:t>根据具体情况</w:t>
      </w:r>
      <w:r>
        <w:rPr>
          <w:rFonts w:hint="eastAsia"/>
          <w:szCs w:val="32"/>
        </w:rPr>
        <w:t>进行系统的危险识别</w:t>
      </w:r>
      <w:r>
        <w:rPr>
          <w:rFonts w:hint="eastAsia" w:hAnsi="宋体"/>
          <w:szCs w:val="21"/>
        </w:rPr>
        <w:t>，识别系统中可能对人造成急性伤亡或对物造成突发性损坏的危险，确定其存在的部位、方式以及发生作用的途径和变化规律。</w:t>
      </w:r>
    </w:p>
    <w:p w14:paraId="584FE935">
      <w:r>
        <w:rPr>
          <w:rFonts w:hint="eastAsia" w:ascii="黑体" w:hAnsi="黑体" w:eastAsia="黑体"/>
          <w:szCs w:val="21"/>
        </w:rPr>
        <w:t>B</w:t>
      </w:r>
      <w:r>
        <w:rPr>
          <w:rFonts w:ascii="黑体" w:hAnsi="黑体" w:eastAsia="黑体"/>
          <w:szCs w:val="21"/>
        </w:rPr>
        <w:t>.</w:t>
      </w:r>
      <w:r>
        <w:rPr>
          <w:rFonts w:hint="eastAsia" w:ascii="黑体" w:hAnsi="黑体" w:eastAsia="黑体"/>
          <w:szCs w:val="21"/>
        </w:rPr>
        <w:t>3</w:t>
      </w:r>
      <w:r>
        <w:rPr>
          <w:rFonts w:ascii="黑体" w:hAnsi="黑体" w:eastAsia="黑体"/>
          <w:szCs w:val="21"/>
        </w:rPr>
        <w:t>.2</w:t>
      </w:r>
      <w:bookmarkStart w:id="149" w:name="_Toc233773223"/>
      <w:r>
        <w:rPr>
          <w:rFonts w:ascii="黑体" w:hAnsi="黑体" w:eastAsia="黑体"/>
          <w:szCs w:val="21"/>
        </w:rPr>
        <w:t xml:space="preserve"> </w:t>
      </w:r>
      <w:r>
        <w:rPr>
          <w:rFonts w:hAnsi="宋体"/>
          <w:szCs w:val="21"/>
        </w:rPr>
        <w:t xml:space="preserve"> </w:t>
      </w:r>
      <w:r>
        <w:rPr>
          <w:rFonts w:hint="eastAsia" w:hAnsi="宋体"/>
          <w:szCs w:val="32"/>
        </w:rPr>
        <w:t>危险识别可采用如下方法</w:t>
      </w:r>
      <w:r>
        <w:rPr>
          <w:rFonts w:hint="eastAsia"/>
        </w:rPr>
        <w:t>：</w:t>
      </w:r>
    </w:p>
    <w:p w14:paraId="0CB26D79">
      <w:pPr>
        <w:ind w:firstLine="420" w:firstLineChars="200"/>
      </w:pPr>
      <w:r>
        <w:rPr>
          <w:szCs w:val="21"/>
        </w:rPr>
        <w:t>a</w:t>
      </w:r>
      <w:r>
        <w:rPr>
          <w:rFonts w:hint="eastAsia"/>
          <w:szCs w:val="21"/>
        </w:rPr>
        <w:t>）</w:t>
      </w:r>
      <w:r>
        <w:rPr>
          <w:szCs w:val="21"/>
        </w:rPr>
        <w:t xml:space="preserve"> </w:t>
      </w:r>
      <w:r>
        <w:rPr>
          <w:rFonts w:hint="eastAsia"/>
        </w:rPr>
        <w:t>系统危险识别方法，如安全检查表法（</w:t>
      </w:r>
      <w:r>
        <w:t>Checklist</w:t>
      </w:r>
      <w:r>
        <w:rPr>
          <w:rFonts w:hint="eastAsia"/>
        </w:rPr>
        <w:t>）、故障假设分析法（</w:t>
      </w:r>
      <w:r>
        <w:t>What-if</w:t>
      </w:r>
      <w:r>
        <w:rPr>
          <w:rFonts w:hint="eastAsia"/>
        </w:rPr>
        <w:t>）、危险与可操作性分析法（</w:t>
      </w:r>
      <w:r>
        <w:t>Hazard and Operability Analysis, HAZOP</w:t>
      </w:r>
      <w:r>
        <w:rPr>
          <w:rFonts w:hint="eastAsia"/>
        </w:rPr>
        <w:t>）、故障类型和影响分析法（</w:t>
      </w:r>
      <w:r>
        <w:t>Failure Mode and Effect Analysis, FMEA</w:t>
      </w:r>
      <w:r>
        <w:rPr>
          <w:rFonts w:hint="eastAsia"/>
        </w:rPr>
        <w:t>）、故障树分析法（</w:t>
      </w:r>
      <w:r>
        <w:t>Fault Tree Analysis, FTA</w:t>
      </w:r>
      <w:r>
        <w:rPr>
          <w:rFonts w:hint="eastAsia"/>
        </w:rPr>
        <w:t>）等；</w:t>
      </w:r>
    </w:p>
    <w:p w14:paraId="341E7EEB">
      <w:pPr>
        <w:ind w:firstLine="420" w:firstLineChars="200"/>
      </w:pPr>
      <w:r>
        <w:rPr>
          <w:rFonts w:hint="eastAsia"/>
          <w:szCs w:val="21"/>
        </w:rPr>
        <w:t>b）</w:t>
      </w:r>
      <w:r>
        <w:rPr>
          <w:szCs w:val="21"/>
        </w:rPr>
        <w:t xml:space="preserve"> </w:t>
      </w:r>
      <w:r>
        <w:rPr>
          <w:rFonts w:hint="eastAsia"/>
        </w:rPr>
        <w:t>其它危险识别方法，如事故案例分析等。</w:t>
      </w:r>
    </w:p>
    <w:bookmarkEnd w:id="149"/>
    <w:p w14:paraId="10F7CD8C">
      <w:pPr>
        <w:rPr>
          <w:rFonts w:hint="eastAsia" w:hAnsi="宋体"/>
          <w:szCs w:val="21"/>
        </w:rPr>
      </w:pPr>
      <w:r>
        <w:rPr>
          <w:rFonts w:hint="eastAsia" w:ascii="黑体" w:hAnsi="黑体" w:eastAsia="黑体"/>
          <w:szCs w:val="21"/>
        </w:rPr>
        <w:t>B</w:t>
      </w:r>
      <w:r>
        <w:rPr>
          <w:rFonts w:ascii="黑体" w:hAnsi="黑体" w:eastAsia="黑体"/>
          <w:szCs w:val="21"/>
        </w:rPr>
        <w:t>.</w:t>
      </w:r>
      <w:r>
        <w:rPr>
          <w:rFonts w:hint="eastAsia" w:ascii="黑体" w:hAnsi="黑体" w:eastAsia="黑体"/>
          <w:szCs w:val="21"/>
        </w:rPr>
        <w:t>3</w:t>
      </w:r>
      <w:r>
        <w:rPr>
          <w:rFonts w:ascii="黑体" w:hAnsi="黑体" w:eastAsia="黑体"/>
          <w:szCs w:val="21"/>
        </w:rPr>
        <w:t xml:space="preserve">.3 </w:t>
      </w:r>
      <w:r>
        <w:rPr>
          <w:rFonts w:hAnsi="宋体"/>
          <w:szCs w:val="21"/>
        </w:rPr>
        <w:t xml:space="preserve"> </w:t>
      </w:r>
      <w:r>
        <w:rPr>
          <w:rFonts w:hint="eastAsia" w:hAnsi="宋体"/>
          <w:szCs w:val="21"/>
        </w:rPr>
        <w:t>对</w:t>
      </w:r>
      <w:r>
        <w:rPr>
          <w:rFonts w:hint="eastAsia" w:hAnsi="宋体"/>
          <w:szCs w:val="32"/>
        </w:rPr>
        <w:t>泄漏场景的设定</w:t>
      </w:r>
      <w:r>
        <w:rPr>
          <w:rFonts w:hint="eastAsia" w:hAnsi="宋体"/>
          <w:szCs w:val="21"/>
        </w:rPr>
        <w:t>应同时满足以下两个条件：</w:t>
      </w:r>
    </w:p>
    <w:p w14:paraId="0D9534FA">
      <w:pPr>
        <w:ind w:firstLine="420" w:firstLineChars="200"/>
        <w:rPr>
          <w:szCs w:val="21"/>
        </w:rPr>
      </w:pPr>
      <w:r>
        <w:rPr>
          <w:szCs w:val="21"/>
        </w:rPr>
        <w:t>a</w:t>
      </w:r>
      <w:r>
        <w:rPr>
          <w:rFonts w:hint="eastAsia"/>
          <w:szCs w:val="21"/>
        </w:rPr>
        <w:t>）</w:t>
      </w:r>
      <w:r>
        <w:rPr>
          <w:szCs w:val="21"/>
        </w:rPr>
        <w:t xml:space="preserve"> </w:t>
      </w:r>
      <w:r>
        <w:rPr>
          <w:rFonts w:hint="eastAsia"/>
          <w:szCs w:val="21"/>
        </w:rPr>
        <w:t>泄漏发生的频率≥</w:t>
      </w:r>
      <w:bookmarkStart w:id="150" w:name="OLE_LINK1"/>
      <w:r>
        <w:rPr>
          <w:szCs w:val="21"/>
        </w:rPr>
        <w:t>10</w:t>
      </w:r>
      <w:r>
        <w:rPr>
          <w:szCs w:val="21"/>
          <w:vertAlign w:val="superscript"/>
        </w:rPr>
        <w:t>-8</w:t>
      </w:r>
      <w:bookmarkEnd w:id="150"/>
      <w:r>
        <w:rPr>
          <w:rFonts w:hint="eastAsia"/>
          <w:szCs w:val="21"/>
        </w:rPr>
        <w:t>次</w:t>
      </w:r>
      <w:r>
        <w:rPr>
          <w:szCs w:val="21"/>
        </w:rPr>
        <w:t>/</w:t>
      </w:r>
      <w:r>
        <w:rPr>
          <w:rFonts w:hint="eastAsia"/>
          <w:szCs w:val="21"/>
        </w:rPr>
        <w:t>年；</w:t>
      </w:r>
    </w:p>
    <w:p w14:paraId="301E0861">
      <w:pPr>
        <w:ind w:firstLine="420" w:firstLineChars="200"/>
        <w:rPr>
          <w:szCs w:val="21"/>
        </w:rPr>
      </w:pPr>
      <w:r>
        <w:rPr>
          <w:szCs w:val="21"/>
        </w:rPr>
        <w:t>b</w:t>
      </w:r>
      <w:r>
        <w:rPr>
          <w:rFonts w:hint="eastAsia"/>
          <w:szCs w:val="21"/>
        </w:rPr>
        <w:t>）</w:t>
      </w:r>
      <w:r>
        <w:rPr>
          <w:szCs w:val="21"/>
        </w:rPr>
        <w:t xml:space="preserve"> </w:t>
      </w:r>
      <w:r>
        <w:rPr>
          <w:rFonts w:hint="eastAsia"/>
          <w:szCs w:val="21"/>
        </w:rPr>
        <w:t>至少导致</w:t>
      </w:r>
      <w:r>
        <w:rPr>
          <w:szCs w:val="21"/>
        </w:rPr>
        <w:t>1</w:t>
      </w:r>
      <w:r>
        <w:rPr>
          <w:rFonts w:hint="eastAsia"/>
          <w:szCs w:val="21"/>
        </w:rPr>
        <w:t>％的致死概率。</w:t>
      </w:r>
    </w:p>
    <w:p w14:paraId="0B343580">
      <w:pPr>
        <w:rPr>
          <w:rFonts w:hint="eastAsia" w:hAnsi="宋体"/>
          <w:szCs w:val="21"/>
        </w:rPr>
      </w:pPr>
      <w:r>
        <w:rPr>
          <w:rFonts w:hint="eastAsia" w:ascii="黑体" w:hAnsi="黑体" w:eastAsia="黑体"/>
          <w:szCs w:val="21"/>
        </w:rPr>
        <w:t>B</w:t>
      </w:r>
      <w:r>
        <w:rPr>
          <w:rFonts w:ascii="黑体" w:hAnsi="黑体" w:eastAsia="黑体"/>
          <w:szCs w:val="21"/>
        </w:rPr>
        <w:t>.</w:t>
      </w:r>
      <w:r>
        <w:rPr>
          <w:rFonts w:hint="eastAsia" w:ascii="黑体" w:hAnsi="黑体" w:eastAsia="黑体"/>
          <w:szCs w:val="21"/>
        </w:rPr>
        <w:t>3</w:t>
      </w:r>
      <w:r>
        <w:rPr>
          <w:rFonts w:ascii="黑体" w:hAnsi="黑体" w:eastAsia="黑体"/>
          <w:szCs w:val="21"/>
        </w:rPr>
        <w:t xml:space="preserve">.4 </w:t>
      </w:r>
      <w:r>
        <w:rPr>
          <w:rFonts w:hAnsi="宋体"/>
          <w:szCs w:val="21"/>
        </w:rPr>
        <w:t xml:space="preserve"> </w:t>
      </w:r>
      <w:r>
        <w:rPr>
          <w:rFonts w:hint="eastAsia" w:hAnsi="宋体"/>
          <w:szCs w:val="21"/>
        </w:rPr>
        <w:t>泄漏场景根据泄漏孔径大小可分为完全破裂和孔泄漏两大类，各泄漏孔径的取值范围和代表值见下表。</w:t>
      </w:r>
    </w:p>
    <w:p w14:paraId="6CF5352E">
      <w:pPr>
        <w:pStyle w:val="161"/>
        <w:spacing w:before="156" w:after="156"/>
        <w:rPr>
          <w:rFonts w:hint="eastAsia"/>
        </w:rPr>
      </w:pPr>
      <w:bookmarkStart w:id="151" w:name="_Toc508891838"/>
      <w:r>
        <w:rPr>
          <w:rFonts w:hint="eastAsia"/>
        </w:rPr>
        <w:t>表 B.2  泄漏孔径取值</w:t>
      </w:r>
      <w:bookmarkEnd w:id="151"/>
    </w:p>
    <w:p w14:paraId="16062312">
      <w:pPr>
        <w:jc w:val="right"/>
        <w:rPr>
          <w:rFonts w:hint="eastAsia" w:ascii="宋体" w:hAnsi="宋体"/>
          <w:sz w:val="18"/>
          <w:szCs w:val="18"/>
        </w:rPr>
      </w:pPr>
      <w:r>
        <w:rPr>
          <w:rFonts w:hint="eastAsia" w:ascii="宋体" w:hAnsi="宋体"/>
          <w:sz w:val="18"/>
          <w:szCs w:val="18"/>
        </w:rPr>
        <w:t>单位为毫米</w:t>
      </w:r>
    </w:p>
    <w:tbl>
      <w:tblPr>
        <w:tblStyle w:val="36"/>
        <w:tblW w:w="932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380"/>
        <w:gridCol w:w="2107"/>
        <w:gridCol w:w="5837"/>
      </w:tblGrid>
      <w:tr w14:paraId="3E46C0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1380" w:type="dxa"/>
            <w:tcBorders>
              <w:top w:val="single" w:color="auto" w:sz="12" w:space="0"/>
              <w:bottom w:val="single" w:color="auto" w:sz="12" w:space="0"/>
            </w:tcBorders>
          </w:tcPr>
          <w:p w14:paraId="047C18AC">
            <w:pPr>
              <w:jc w:val="center"/>
              <w:rPr>
                <w:sz w:val="18"/>
                <w:szCs w:val="32"/>
              </w:rPr>
            </w:pPr>
            <w:r>
              <w:rPr>
                <w:rFonts w:hint="eastAsia" w:hAnsi="宋体"/>
                <w:sz w:val="18"/>
                <w:szCs w:val="32"/>
              </w:rPr>
              <w:t>泄漏场景</w:t>
            </w:r>
          </w:p>
        </w:tc>
        <w:tc>
          <w:tcPr>
            <w:tcW w:w="2107" w:type="dxa"/>
            <w:tcBorders>
              <w:top w:val="single" w:color="auto" w:sz="12" w:space="0"/>
              <w:bottom w:val="single" w:color="auto" w:sz="12" w:space="0"/>
            </w:tcBorders>
          </w:tcPr>
          <w:p w14:paraId="27CB3BA1">
            <w:pPr>
              <w:jc w:val="center"/>
              <w:rPr>
                <w:sz w:val="18"/>
                <w:szCs w:val="32"/>
              </w:rPr>
            </w:pPr>
            <w:r>
              <w:rPr>
                <w:rFonts w:hint="eastAsia" w:hAnsi="宋体"/>
                <w:sz w:val="18"/>
                <w:szCs w:val="32"/>
              </w:rPr>
              <w:t>范围</w:t>
            </w:r>
          </w:p>
        </w:tc>
        <w:tc>
          <w:tcPr>
            <w:tcW w:w="5837" w:type="dxa"/>
            <w:tcBorders>
              <w:top w:val="single" w:color="auto" w:sz="12" w:space="0"/>
              <w:bottom w:val="single" w:color="auto" w:sz="12" w:space="0"/>
            </w:tcBorders>
          </w:tcPr>
          <w:p w14:paraId="3ABB4B5B">
            <w:pPr>
              <w:jc w:val="center"/>
              <w:rPr>
                <w:sz w:val="18"/>
                <w:szCs w:val="32"/>
              </w:rPr>
            </w:pPr>
            <w:r>
              <w:rPr>
                <w:rFonts w:hint="eastAsia" w:hAnsi="宋体"/>
                <w:sz w:val="18"/>
                <w:szCs w:val="32"/>
              </w:rPr>
              <w:t>代表值</w:t>
            </w:r>
          </w:p>
        </w:tc>
      </w:tr>
      <w:tr w14:paraId="29859D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1380" w:type="dxa"/>
            <w:tcBorders>
              <w:top w:val="single" w:color="auto" w:sz="12" w:space="0"/>
            </w:tcBorders>
          </w:tcPr>
          <w:p w14:paraId="3B63CF90">
            <w:pPr>
              <w:jc w:val="center"/>
              <w:rPr>
                <w:sz w:val="18"/>
                <w:szCs w:val="32"/>
              </w:rPr>
            </w:pPr>
            <w:r>
              <w:rPr>
                <w:rFonts w:hint="eastAsia" w:hAnsi="宋体"/>
                <w:sz w:val="18"/>
                <w:szCs w:val="32"/>
              </w:rPr>
              <w:t>小孔泄漏</w:t>
            </w:r>
          </w:p>
        </w:tc>
        <w:tc>
          <w:tcPr>
            <w:tcW w:w="2107" w:type="dxa"/>
            <w:tcBorders>
              <w:top w:val="single" w:color="auto" w:sz="12" w:space="0"/>
            </w:tcBorders>
          </w:tcPr>
          <w:p w14:paraId="7F1E9921">
            <w:pPr>
              <w:jc w:val="center"/>
              <w:rPr>
                <w:sz w:val="18"/>
                <w:szCs w:val="32"/>
              </w:rPr>
            </w:pPr>
            <w:r>
              <w:rPr>
                <w:sz w:val="18"/>
                <w:szCs w:val="32"/>
              </w:rPr>
              <w:t xml:space="preserve">0 </w:t>
            </w:r>
            <w:r>
              <w:rPr>
                <w:szCs w:val="21"/>
              </w:rPr>
              <w:t>~</w:t>
            </w:r>
            <w:r>
              <w:rPr>
                <w:sz w:val="18"/>
                <w:szCs w:val="32"/>
              </w:rPr>
              <w:t xml:space="preserve">5 </w:t>
            </w:r>
          </w:p>
        </w:tc>
        <w:tc>
          <w:tcPr>
            <w:tcW w:w="5837" w:type="dxa"/>
            <w:tcBorders>
              <w:top w:val="single" w:color="auto" w:sz="12" w:space="0"/>
            </w:tcBorders>
          </w:tcPr>
          <w:p w14:paraId="53E594AD">
            <w:pPr>
              <w:jc w:val="center"/>
              <w:rPr>
                <w:sz w:val="18"/>
                <w:szCs w:val="32"/>
              </w:rPr>
            </w:pPr>
            <w:r>
              <w:rPr>
                <w:sz w:val="18"/>
                <w:szCs w:val="32"/>
              </w:rPr>
              <w:t>5</w:t>
            </w:r>
          </w:p>
        </w:tc>
      </w:tr>
      <w:tr w14:paraId="5AF7FB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1380" w:type="dxa"/>
          </w:tcPr>
          <w:p w14:paraId="05EF338A">
            <w:pPr>
              <w:jc w:val="center"/>
              <w:rPr>
                <w:sz w:val="18"/>
                <w:szCs w:val="32"/>
              </w:rPr>
            </w:pPr>
            <w:r>
              <w:rPr>
                <w:rFonts w:hint="eastAsia" w:hAnsi="宋体"/>
                <w:sz w:val="18"/>
                <w:szCs w:val="32"/>
              </w:rPr>
              <w:t>中孔泄漏</w:t>
            </w:r>
          </w:p>
        </w:tc>
        <w:tc>
          <w:tcPr>
            <w:tcW w:w="2107" w:type="dxa"/>
          </w:tcPr>
          <w:p w14:paraId="4498F5F2">
            <w:pPr>
              <w:jc w:val="center"/>
              <w:rPr>
                <w:sz w:val="18"/>
                <w:szCs w:val="32"/>
              </w:rPr>
            </w:pPr>
            <w:r>
              <w:rPr>
                <w:sz w:val="18"/>
                <w:szCs w:val="32"/>
              </w:rPr>
              <w:t xml:space="preserve">5 </w:t>
            </w:r>
            <w:r>
              <w:rPr>
                <w:szCs w:val="21"/>
              </w:rPr>
              <w:t>~</w:t>
            </w:r>
            <w:r>
              <w:rPr>
                <w:sz w:val="18"/>
                <w:szCs w:val="32"/>
              </w:rPr>
              <w:t xml:space="preserve">50 </w:t>
            </w:r>
          </w:p>
        </w:tc>
        <w:tc>
          <w:tcPr>
            <w:tcW w:w="5837" w:type="dxa"/>
          </w:tcPr>
          <w:p w14:paraId="3B202353">
            <w:pPr>
              <w:jc w:val="center"/>
              <w:rPr>
                <w:sz w:val="18"/>
                <w:szCs w:val="32"/>
              </w:rPr>
            </w:pPr>
            <w:r>
              <w:rPr>
                <w:sz w:val="18"/>
                <w:szCs w:val="32"/>
              </w:rPr>
              <w:t>25</w:t>
            </w:r>
          </w:p>
        </w:tc>
      </w:tr>
      <w:tr w14:paraId="593CFA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1380" w:type="dxa"/>
          </w:tcPr>
          <w:p w14:paraId="76876ABD">
            <w:pPr>
              <w:jc w:val="center"/>
              <w:rPr>
                <w:sz w:val="18"/>
                <w:szCs w:val="32"/>
              </w:rPr>
            </w:pPr>
            <w:r>
              <w:rPr>
                <w:rFonts w:hint="eastAsia" w:hAnsi="宋体"/>
                <w:sz w:val="18"/>
                <w:szCs w:val="32"/>
              </w:rPr>
              <w:t>大孔泄漏</w:t>
            </w:r>
          </w:p>
        </w:tc>
        <w:tc>
          <w:tcPr>
            <w:tcW w:w="2107" w:type="dxa"/>
          </w:tcPr>
          <w:p w14:paraId="4416B9BD">
            <w:pPr>
              <w:jc w:val="center"/>
              <w:rPr>
                <w:sz w:val="18"/>
                <w:szCs w:val="32"/>
              </w:rPr>
            </w:pPr>
            <w:r>
              <w:rPr>
                <w:sz w:val="18"/>
                <w:szCs w:val="32"/>
              </w:rPr>
              <w:t>50</w:t>
            </w:r>
            <w:r>
              <w:rPr>
                <w:szCs w:val="21"/>
              </w:rPr>
              <w:t xml:space="preserve"> ~</w:t>
            </w:r>
            <w:r>
              <w:rPr>
                <w:sz w:val="18"/>
                <w:szCs w:val="32"/>
              </w:rPr>
              <w:t>150</w:t>
            </w:r>
          </w:p>
        </w:tc>
        <w:tc>
          <w:tcPr>
            <w:tcW w:w="5837" w:type="dxa"/>
          </w:tcPr>
          <w:p w14:paraId="36E062D9">
            <w:pPr>
              <w:jc w:val="center"/>
              <w:rPr>
                <w:sz w:val="18"/>
                <w:szCs w:val="32"/>
              </w:rPr>
            </w:pPr>
            <w:r>
              <w:rPr>
                <w:sz w:val="18"/>
                <w:szCs w:val="32"/>
              </w:rPr>
              <w:t>100</w:t>
            </w:r>
          </w:p>
        </w:tc>
      </w:tr>
      <w:tr w14:paraId="4EE0EC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1380" w:type="dxa"/>
            <w:tcBorders>
              <w:bottom w:val="single" w:color="auto" w:sz="12" w:space="0"/>
            </w:tcBorders>
            <w:vAlign w:val="center"/>
          </w:tcPr>
          <w:p w14:paraId="13700C69">
            <w:pPr>
              <w:jc w:val="center"/>
              <w:rPr>
                <w:sz w:val="18"/>
                <w:szCs w:val="32"/>
              </w:rPr>
            </w:pPr>
            <w:r>
              <w:rPr>
                <w:rFonts w:hint="eastAsia" w:hAnsi="宋体"/>
                <w:sz w:val="18"/>
                <w:szCs w:val="32"/>
              </w:rPr>
              <w:t>完全破裂</w:t>
            </w:r>
          </w:p>
        </w:tc>
        <w:tc>
          <w:tcPr>
            <w:tcW w:w="2107" w:type="dxa"/>
            <w:tcBorders>
              <w:bottom w:val="single" w:color="auto" w:sz="12" w:space="0"/>
            </w:tcBorders>
            <w:vAlign w:val="center"/>
          </w:tcPr>
          <w:p w14:paraId="4C98C6C0">
            <w:pPr>
              <w:jc w:val="center"/>
              <w:rPr>
                <w:sz w:val="18"/>
                <w:szCs w:val="32"/>
                <w:highlight w:val="yellow"/>
              </w:rPr>
            </w:pPr>
            <w:r>
              <w:rPr>
                <w:sz w:val="18"/>
                <w:szCs w:val="32"/>
              </w:rPr>
              <w:t>&gt;150</w:t>
            </w:r>
          </w:p>
        </w:tc>
        <w:tc>
          <w:tcPr>
            <w:tcW w:w="5837" w:type="dxa"/>
            <w:tcBorders>
              <w:bottom w:val="single" w:color="auto" w:sz="12" w:space="0"/>
            </w:tcBorders>
          </w:tcPr>
          <w:p w14:paraId="1C0D8CD8">
            <w:pPr>
              <w:jc w:val="center"/>
              <w:rPr>
                <w:sz w:val="18"/>
                <w:szCs w:val="32"/>
              </w:rPr>
            </w:pPr>
            <w:r>
              <w:rPr>
                <w:rFonts w:hint="eastAsia"/>
                <w:sz w:val="18"/>
                <w:szCs w:val="32"/>
              </w:rPr>
              <w:t>管径</w:t>
            </w:r>
          </w:p>
        </w:tc>
      </w:tr>
    </w:tbl>
    <w:p w14:paraId="25EA1087">
      <w:pPr>
        <w:rPr>
          <w:rFonts w:hint="eastAsia" w:ascii="黑体" w:hAnsi="黑体" w:eastAsia="黑体"/>
          <w:szCs w:val="21"/>
        </w:rPr>
      </w:pPr>
    </w:p>
    <w:p w14:paraId="1F88D586">
      <w:pPr>
        <w:rPr>
          <w:rFonts w:ascii="黑体" w:eastAsia="黑体"/>
        </w:rPr>
      </w:pPr>
      <w:r>
        <w:rPr>
          <w:rFonts w:hint="eastAsia" w:ascii="黑体" w:hAnsi="黑体" w:eastAsia="黑体"/>
          <w:szCs w:val="21"/>
        </w:rPr>
        <w:t>B</w:t>
      </w:r>
      <w:r>
        <w:rPr>
          <w:rFonts w:ascii="黑体" w:hAnsi="黑体" w:eastAsia="黑体"/>
          <w:szCs w:val="21"/>
        </w:rPr>
        <w:t>.</w:t>
      </w:r>
      <w:r>
        <w:rPr>
          <w:rFonts w:hint="eastAsia" w:ascii="黑体" w:hAnsi="黑体" w:eastAsia="黑体"/>
          <w:szCs w:val="21"/>
        </w:rPr>
        <w:t>3</w:t>
      </w:r>
      <w:r>
        <w:rPr>
          <w:rFonts w:ascii="黑体" w:hAnsi="黑体" w:eastAsia="黑体"/>
          <w:szCs w:val="21"/>
        </w:rPr>
        <w:t xml:space="preserve">.5 </w:t>
      </w:r>
      <w:r>
        <w:t xml:space="preserve"> </w:t>
      </w:r>
      <w:r>
        <w:rPr>
          <w:rFonts w:hint="eastAsia"/>
        </w:rPr>
        <w:t>泄漏场景的选择应考虑管道的工艺条件、历史事故和实际运行环境。</w:t>
      </w:r>
      <w:r>
        <w:rPr>
          <w:rFonts w:hint="eastAsia" w:hAnsi="宋体"/>
          <w:szCs w:val="21"/>
        </w:rPr>
        <w:t>沿管线选择一系列泄漏点，泄漏点的初始间距可取为</w:t>
      </w:r>
      <w:r>
        <w:rPr>
          <w:rFonts w:hAnsi="宋体"/>
          <w:szCs w:val="21"/>
        </w:rPr>
        <w:t>50 m</w:t>
      </w:r>
      <w:r>
        <w:rPr>
          <w:rFonts w:hint="eastAsia" w:hAnsi="宋体"/>
          <w:szCs w:val="21"/>
        </w:rPr>
        <w:t>，泄漏点数应确保当增加泄漏点数量时，风险曲线不会显著变化</w:t>
      </w:r>
      <w:r>
        <w:rPr>
          <w:rFonts w:hint="eastAsia"/>
        </w:rPr>
        <w:t>。</w:t>
      </w:r>
    </w:p>
    <w:p w14:paraId="5F743E49">
      <w:pPr>
        <w:widowControl w:val="0"/>
        <w:spacing w:before="156" w:beforeLines="50" w:after="156" w:afterLines="50" w:line="240" w:lineRule="auto"/>
        <w:textAlignment w:val="auto"/>
        <w:outlineLvl w:val="1"/>
        <w:rPr>
          <w:rFonts w:ascii="黑体" w:eastAsia="黑体"/>
          <w:color w:val="auto"/>
        </w:rPr>
      </w:pPr>
      <w:r>
        <w:rPr>
          <w:rFonts w:hint="eastAsia" w:ascii="黑体" w:eastAsia="黑体"/>
          <w:color w:val="auto"/>
        </w:rPr>
        <w:t>B.4 泄漏频率分析</w:t>
      </w:r>
    </w:p>
    <w:p w14:paraId="098650BD">
      <w:pPr>
        <w:rPr>
          <w:rFonts w:hint="eastAsia" w:hAnsi="宋体"/>
          <w:szCs w:val="32"/>
        </w:rPr>
      </w:pPr>
      <w:r>
        <w:rPr>
          <w:rFonts w:hint="eastAsia" w:ascii="黑体" w:hAnsi="黑体" w:eastAsia="黑体"/>
          <w:szCs w:val="21"/>
        </w:rPr>
        <w:t>B</w:t>
      </w:r>
      <w:r>
        <w:rPr>
          <w:rFonts w:ascii="黑体" w:hAnsi="黑体" w:eastAsia="黑体"/>
          <w:szCs w:val="21"/>
        </w:rPr>
        <w:t>.</w:t>
      </w:r>
      <w:r>
        <w:rPr>
          <w:rFonts w:hint="eastAsia" w:ascii="黑体" w:hAnsi="黑体" w:eastAsia="黑体"/>
          <w:szCs w:val="21"/>
        </w:rPr>
        <w:t>4</w:t>
      </w:r>
      <w:r>
        <w:rPr>
          <w:rFonts w:ascii="黑体" w:hAnsi="黑体" w:eastAsia="黑体"/>
          <w:szCs w:val="21"/>
        </w:rPr>
        <w:t xml:space="preserve">.1 </w:t>
      </w:r>
      <w:r>
        <w:rPr>
          <w:rFonts w:hAnsi="宋体"/>
          <w:szCs w:val="32"/>
        </w:rPr>
        <w:t xml:space="preserve"> </w:t>
      </w:r>
      <w:r>
        <w:rPr>
          <w:rFonts w:hint="eastAsia" w:hAnsi="宋体"/>
          <w:szCs w:val="32"/>
        </w:rPr>
        <w:t>泄漏频率可使用以下数据来源：</w:t>
      </w:r>
    </w:p>
    <w:p w14:paraId="00D40A74">
      <w:pPr>
        <w:ind w:firstLine="420" w:firstLineChars="200"/>
        <w:rPr>
          <w:rFonts w:hint="eastAsia" w:hAnsi="宋体"/>
          <w:szCs w:val="32"/>
        </w:rPr>
      </w:pPr>
      <w:r>
        <w:rPr>
          <w:szCs w:val="21"/>
        </w:rPr>
        <w:t>a</w:t>
      </w:r>
      <w:r>
        <w:rPr>
          <w:rFonts w:hint="eastAsia" w:ascii="宋体" w:hAnsi="宋体"/>
          <w:szCs w:val="21"/>
        </w:rPr>
        <w:t>）</w:t>
      </w:r>
      <w:r>
        <w:rPr>
          <w:rFonts w:ascii="宋体" w:hAnsi="宋体"/>
          <w:szCs w:val="21"/>
        </w:rPr>
        <w:t xml:space="preserve"> </w:t>
      </w:r>
      <w:r>
        <w:rPr>
          <w:rFonts w:hint="eastAsia" w:hAnsi="宋体"/>
          <w:szCs w:val="32"/>
        </w:rPr>
        <w:t>工业失效数据库；</w:t>
      </w:r>
    </w:p>
    <w:p w14:paraId="61A1A28F">
      <w:pPr>
        <w:ind w:firstLine="420" w:firstLineChars="200"/>
        <w:rPr>
          <w:rFonts w:hint="eastAsia" w:hAnsi="宋体"/>
          <w:szCs w:val="32"/>
        </w:rPr>
      </w:pPr>
      <w:r>
        <w:rPr>
          <w:szCs w:val="21"/>
        </w:rPr>
        <w:t>b</w:t>
      </w:r>
      <w:r>
        <w:rPr>
          <w:rFonts w:hint="eastAsia" w:ascii="宋体" w:hAnsi="宋体"/>
          <w:szCs w:val="21"/>
        </w:rPr>
        <w:t>）</w:t>
      </w:r>
      <w:r>
        <w:rPr>
          <w:rFonts w:ascii="宋体" w:hAnsi="宋体"/>
          <w:szCs w:val="21"/>
        </w:rPr>
        <w:t xml:space="preserve"> </w:t>
      </w:r>
      <w:r>
        <w:rPr>
          <w:rFonts w:hint="eastAsia" w:hAnsi="宋体"/>
          <w:szCs w:val="32"/>
        </w:rPr>
        <w:t>企业历史数据；</w:t>
      </w:r>
    </w:p>
    <w:p w14:paraId="10E63E6A">
      <w:pPr>
        <w:ind w:firstLine="420" w:firstLineChars="200"/>
        <w:rPr>
          <w:rFonts w:hint="eastAsia" w:hAnsi="宋体"/>
          <w:szCs w:val="32"/>
        </w:rPr>
      </w:pPr>
      <w:r>
        <w:rPr>
          <w:rFonts w:hint="eastAsia" w:hAnsi="宋体"/>
          <w:szCs w:val="32"/>
        </w:rPr>
        <w:t>c） 典型泄漏场景平均失效频率值参见表B</w:t>
      </w:r>
      <w:r>
        <w:rPr>
          <w:rFonts w:hAnsi="宋体"/>
          <w:szCs w:val="32"/>
        </w:rPr>
        <w:t>.</w:t>
      </w:r>
      <w:r>
        <w:rPr>
          <w:rFonts w:hint="eastAsia" w:hAnsi="宋体"/>
          <w:szCs w:val="32"/>
        </w:rPr>
        <w:t>3。</w:t>
      </w:r>
    </w:p>
    <w:p w14:paraId="6BF52E1D">
      <w:pPr>
        <w:pStyle w:val="161"/>
        <w:spacing w:before="156" w:after="156"/>
        <w:rPr>
          <w:rFonts w:hint="eastAsia" w:hAnsi="宋体"/>
          <w:szCs w:val="32"/>
        </w:rPr>
      </w:pPr>
      <w:r>
        <w:rPr>
          <w:rFonts w:hint="eastAsia"/>
        </w:rPr>
        <w:t>表 B</w:t>
      </w:r>
      <w:r>
        <w:t>.</w:t>
      </w:r>
      <w:r>
        <w:rPr>
          <w:rFonts w:hint="eastAsia"/>
        </w:rPr>
        <w:t>3 典型泄漏场景平均失效频率值</w:t>
      </w:r>
    </w:p>
    <w:tbl>
      <w:tblPr>
        <w:tblStyle w:val="37"/>
        <w:tblW w:w="934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51"/>
        <w:gridCol w:w="3692"/>
        <w:gridCol w:w="3800"/>
      </w:tblGrid>
      <w:tr w14:paraId="41C72C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1851" w:type="dxa"/>
            <w:vAlign w:val="center"/>
          </w:tcPr>
          <w:p w14:paraId="37F704EC">
            <w:pPr>
              <w:pStyle w:val="33"/>
              <w:spacing w:before="0" w:after="0" w:line="240" w:lineRule="auto"/>
              <w:rPr>
                <w:rFonts w:ascii="Times New Roman" w:hAnsi="Times New Roman" w:cs="Times New Roman"/>
                <w:b w:val="0"/>
                <w:bCs w:val="0"/>
                <w:kern w:val="2"/>
                <w:sz w:val="18"/>
                <w:szCs w:val="18"/>
              </w:rPr>
            </w:pPr>
            <w:r>
              <w:rPr>
                <w:rFonts w:hint="eastAsia" w:ascii="Times New Roman" w:hAnsi="Times New Roman" w:cs="Times New Roman"/>
                <w:b w:val="0"/>
                <w:bCs w:val="0"/>
                <w:kern w:val="2"/>
                <w:sz w:val="18"/>
                <w:szCs w:val="18"/>
              </w:rPr>
              <w:t>类别</w:t>
            </w:r>
          </w:p>
        </w:tc>
        <w:tc>
          <w:tcPr>
            <w:tcW w:w="3692" w:type="dxa"/>
            <w:vAlign w:val="center"/>
          </w:tcPr>
          <w:p w14:paraId="1A84AB47">
            <w:pPr>
              <w:pStyle w:val="33"/>
              <w:spacing w:before="0" w:after="0" w:line="240" w:lineRule="auto"/>
              <w:rPr>
                <w:rFonts w:ascii="Times New Roman" w:hAnsi="Times New Roman" w:cs="Times New Roman"/>
                <w:b w:val="0"/>
                <w:bCs w:val="0"/>
                <w:kern w:val="2"/>
                <w:sz w:val="18"/>
                <w:szCs w:val="18"/>
              </w:rPr>
            </w:pPr>
            <w:r>
              <w:rPr>
                <w:rFonts w:ascii="Times New Roman" w:hAnsi="Times New Roman" w:cs="Times New Roman"/>
                <w:b w:val="0"/>
                <w:bCs w:val="0"/>
                <w:kern w:val="2"/>
                <w:sz w:val="18"/>
                <w:szCs w:val="18"/>
              </w:rPr>
              <w:t>管径/mm</w:t>
            </w:r>
          </w:p>
        </w:tc>
        <w:tc>
          <w:tcPr>
            <w:tcW w:w="3800" w:type="dxa"/>
          </w:tcPr>
          <w:p w14:paraId="6EAB7897">
            <w:pPr>
              <w:pStyle w:val="33"/>
              <w:spacing w:before="0" w:after="0" w:line="240" w:lineRule="auto"/>
              <w:rPr>
                <w:rFonts w:ascii="Times New Roman" w:hAnsi="Times New Roman" w:cs="Times New Roman"/>
                <w:b w:val="0"/>
                <w:bCs w:val="0"/>
                <w:kern w:val="2"/>
                <w:sz w:val="18"/>
                <w:szCs w:val="18"/>
              </w:rPr>
            </w:pPr>
            <w:r>
              <w:rPr>
                <w:rFonts w:hint="eastAsia" w:ascii="Times New Roman" w:hAnsi="Times New Roman" w:cs="Times New Roman"/>
                <w:b w:val="0"/>
                <w:bCs w:val="0"/>
                <w:kern w:val="2"/>
                <w:sz w:val="18"/>
                <w:szCs w:val="18"/>
              </w:rPr>
              <w:t>失效频率</w:t>
            </w:r>
            <w:r>
              <w:rPr>
                <w:rFonts w:hint="eastAsia" w:ascii="Times New Roman" w:hAnsi="Times New Roman" w:cs="Times New Roman"/>
                <w:b w:val="0"/>
                <w:bCs w:val="0"/>
                <w:kern w:val="2"/>
                <w:sz w:val="18"/>
                <w:szCs w:val="18"/>
                <w:vertAlign w:val="superscript"/>
              </w:rPr>
              <w:t>3</w:t>
            </w:r>
          </w:p>
          <w:p w14:paraId="433E22BB">
            <w:pPr>
              <w:pStyle w:val="33"/>
              <w:spacing w:before="0" w:after="0" w:line="240" w:lineRule="auto"/>
              <w:rPr>
                <w:rFonts w:ascii="Times New Roman" w:hAnsi="Times New Roman" w:cs="Times New Roman"/>
                <w:b w:val="0"/>
                <w:bCs w:val="0"/>
                <w:kern w:val="2"/>
                <w:sz w:val="18"/>
                <w:szCs w:val="18"/>
              </w:rPr>
            </w:pPr>
            <w:r>
              <w:rPr>
                <w:rFonts w:hint="eastAsia" w:ascii="Times New Roman" w:hAnsi="Times New Roman" w:cs="Times New Roman"/>
                <w:b w:val="0"/>
                <w:bCs w:val="0"/>
                <w:kern w:val="2"/>
                <w:sz w:val="18"/>
                <w:szCs w:val="18"/>
              </w:rPr>
              <w:t>次/（km·a）</w:t>
            </w:r>
          </w:p>
        </w:tc>
      </w:tr>
      <w:tr w14:paraId="26A6C1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851" w:type="dxa"/>
            <w:vMerge w:val="restart"/>
            <w:vAlign w:val="center"/>
          </w:tcPr>
          <w:p w14:paraId="110C091B">
            <w:pPr>
              <w:pStyle w:val="33"/>
              <w:spacing w:before="0" w:after="0" w:line="240" w:lineRule="auto"/>
              <w:rPr>
                <w:rFonts w:ascii="Times New Roman" w:hAnsi="Times New Roman" w:cs="Times New Roman"/>
                <w:b w:val="0"/>
                <w:bCs w:val="0"/>
                <w:kern w:val="2"/>
                <w:sz w:val="18"/>
                <w:szCs w:val="18"/>
              </w:rPr>
            </w:pPr>
            <w:r>
              <w:rPr>
                <w:rFonts w:ascii="Times New Roman" w:hAnsi="Times New Roman" w:cs="Times New Roman"/>
                <w:b w:val="0"/>
                <w:bCs w:val="0"/>
                <w:kern w:val="2"/>
                <w:sz w:val="18"/>
                <w:szCs w:val="18"/>
              </w:rPr>
              <w:t>输油管道</w:t>
            </w:r>
            <w:r>
              <w:rPr>
                <w:rFonts w:hint="eastAsia" w:ascii="Times New Roman" w:hAnsi="Times New Roman" w:cs="Times New Roman"/>
                <w:b w:val="0"/>
                <w:bCs w:val="0"/>
                <w:kern w:val="2"/>
                <w:sz w:val="18"/>
                <w:szCs w:val="18"/>
                <w:vertAlign w:val="superscript"/>
              </w:rPr>
              <w:t>1</w:t>
            </w:r>
          </w:p>
        </w:tc>
        <w:tc>
          <w:tcPr>
            <w:tcW w:w="3692" w:type="dxa"/>
          </w:tcPr>
          <w:p w14:paraId="15C61E5D">
            <w:pPr>
              <w:pStyle w:val="33"/>
              <w:spacing w:before="0" w:after="0" w:line="240" w:lineRule="auto"/>
              <w:rPr>
                <w:rFonts w:ascii="Times New Roman" w:hAnsi="Times New Roman" w:cs="Times New Roman"/>
                <w:b w:val="0"/>
                <w:bCs w:val="0"/>
                <w:kern w:val="2"/>
                <w:sz w:val="18"/>
                <w:szCs w:val="18"/>
              </w:rPr>
            </w:pPr>
            <w:r>
              <w:rPr>
                <w:rFonts w:ascii="Times New Roman" w:hAnsi="Times New Roman" w:cs="Times New Roman"/>
                <w:b w:val="0"/>
                <w:bCs w:val="0"/>
                <w:kern w:val="2"/>
                <w:sz w:val="18"/>
                <w:szCs w:val="18"/>
              </w:rPr>
              <w:t>管径&lt;204</w:t>
            </w:r>
          </w:p>
        </w:tc>
        <w:tc>
          <w:tcPr>
            <w:tcW w:w="3800" w:type="dxa"/>
          </w:tcPr>
          <w:p w14:paraId="6C87892F">
            <w:pPr>
              <w:pStyle w:val="33"/>
              <w:spacing w:before="0" w:after="0" w:line="240" w:lineRule="auto"/>
              <w:rPr>
                <w:rFonts w:ascii="Times New Roman" w:hAnsi="Times New Roman" w:cs="Times New Roman"/>
                <w:b w:val="0"/>
                <w:bCs w:val="0"/>
                <w:kern w:val="2"/>
                <w:sz w:val="18"/>
                <w:szCs w:val="18"/>
              </w:rPr>
            </w:pPr>
            <w:r>
              <w:rPr>
                <w:rFonts w:ascii="Times New Roman" w:hAnsi="Times New Roman" w:cs="Times New Roman"/>
                <w:b w:val="0"/>
                <w:bCs w:val="0"/>
                <w:kern w:val="2"/>
                <w:sz w:val="18"/>
                <w:szCs w:val="18"/>
              </w:rPr>
              <w:t>4.7×10</w:t>
            </w:r>
            <w:r>
              <w:rPr>
                <w:rFonts w:ascii="Times New Roman" w:hAnsi="Times New Roman" w:cs="Times New Roman"/>
                <w:b w:val="0"/>
                <w:bCs w:val="0"/>
                <w:kern w:val="2"/>
                <w:sz w:val="18"/>
                <w:szCs w:val="18"/>
                <w:vertAlign w:val="superscript"/>
              </w:rPr>
              <w:t>-4</w:t>
            </w:r>
          </w:p>
        </w:tc>
      </w:tr>
      <w:tr w14:paraId="691349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1851" w:type="dxa"/>
            <w:vMerge w:val="continue"/>
          </w:tcPr>
          <w:p w14:paraId="664C5FA9">
            <w:pPr>
              <w:pStyle w:val="33"/>
              <w:spacing w:before="0" w:after="0" w:line="240" w:lineRule="auto"/>
              <w:rPr>
                <w:rFonts w:ascii="Times New Roman" w:hAnsi="Times New Roman" w:cs="Times New Roman"/>
                <w:b w:val="0"/>
                <w:bCs w:val="0"/>
                <w:kern w:val="2"/>
                <w:sz w:val="18"/>
                <w:szCs w:val="18"/>
              </w:rPr>
            </w:pPr>
          </w:p>
        </w:tc>
        <w:tc>
          <w:tcPr>
            <w:tcW w:w="3692" w:type="dxa"/>
          </w:tcPr>
          <w:p w14:paraId="1AFED194">
            <w:pPr>
              <w:pStyle w:val="33"/>
              <w:spacing w:before="0" w:after="0" w:line="240" w:lineRule="auto"/>
              <w:rPr>
                <w:rFonts w:ascii="Times New Roman" w:hAnsi="Times New Roman" w:cs="Times New Roman"/>
                <w:b w:val="0"/>
                <w:bCs w:val="0"/>
                <w:kern w:val="2"/>
                <w:sz w:val="18"/>
                <w:szCs w:val="18"/>
              </w:rPr>
            </w:pPr>
            <w:r>
              <w:rPr>
                <w:rFonts w:ascii="Times New Roman" w:hAnsi="Times New Roman" w:cs="Times New Roman"/>
                <w:b w:val="0"/>
                <w:bCs w:val="0"/>
                <w:kern w:val="2"/>
                <w:sz w:val="18"/>
                <w:szCs w:val="18"/>
              </w:rPr>
              <w:t>204≤管径&lt;305</w:t>
            </w:r>
          </w:p>
        </w:tc>
        <w:tc>
          <w:tcPr>
            <w:tcW w:w="3800" w:type="dxa"/>
          </w:tcPr>
          <w:p w14:paraId="3CBAE5EB">
            <w:pPr>
              <w:pStyle w:val="33"/>
              <w:spacing w:before="0" w:after="0" w:line="240" w:lineRule="auto"/>
              <w:rPr>
                <w:rFonts w:ascii="Times New Roman" w:hAnsi="Times New Roman" w:cs="Times New Roman"/>
                <w:b w:val="0"/>
                <w:bCs w:val="0"/>
                <w:kern w:val="2"/>
                <w:sz w:val="18"/>
                <w:szCs w:val="18"/>
              </w:rPr>
            </w:pPr>
            <w:r>
              <w:rPr>
                <w:rFonts w:ascii="Times New Roman" w:hAnsi="Times New Roman" w:cs="Times New Roman"/>
                <w:b w:val="0"/>
                <w:bCs w:val="0"/>
                <w:kern w:val="2"/>
                <w:sz w:val="18"/>
                <w:szCs w:val="18"/>
              </w:rPr>
              <w:t>3.5×10</w:t>
            </w:r>
            <w:r>
              <w:rPr>
                <w:rFonts w:ascii="Times New Roman" w:hAnsi="Times New Roman" w:cs="Times New Roman"/>
                <w:b w:val="0"/>
                <w:bCs w:val="0"/>
                <w:kern w:val="2"/>
                <w:sz w:val="18"/>
                <w:szCs w:val="18"/>
                <w:vertAlign w:val="superscript"/>
              </w:rPr>
              <w:t>-4</w:t>
            </w:r>
          </w:p>
        </w:tc>
      </w:tr>
      <w:tr w14:paraId="102102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1851" w:type="dxa"/>
            <w:vMerge w:val="continue"/>
          </w:tcPr>
          <w:p w14:paraId="23F0F701">
            <w:pPr>
              <w:pStyle w:val="33"/>
              <w:spacing w:before="0" w:after="0" w:line="240" w:lineRule="auto"/>
              <w:rPr>
                <w:rFonts w:ascii="Times New Roman" w:hAnsi="Times New Roman" w:cs="Times New Roman"/>
                <w:b w:val="0"/>
                <w:bCs w:val="0"/>
                <w:kern w:val="2"/>
                <w:sz w:val="18"/>
                <w:szCs w:val="18"/>
              </w:rPr>
            </w:pPr>
          </w:p>
        </w:tc>
        <w:tc>
          <w:tcPr>
            <w:tcW w:w="3692" w:type="dxa"/>
          </w:tcPr>
          <w:p w14:paraId="6E40B2E2">
            <w:pPr>
              <w:pStyle w:val="33"/>
              <w:spacing w:before="0" w:after="0" w:line="240" w:lineRule="auto"/>
              <w:rPr>
                <w:rFonts w:ascii="Times New Roman" w:hAnsi="Times New Roman" w:cs="Times New Roman"/>
                <w:b w:val="0"/>
                <w:bCs w:val="0"/>
                <w:kern w:val="2"/>
                <w:sz w:val="18"/>
                <w:szCs w:val="18"/>
              </w:rPr>
            </w:pPr>
            <w:r>
              <w:rPr>
                <w:rFonts w:ascii="Times New Roman" w:hAnsi="Times New Roman" w:cs="Times New Roman"/>
                <w:b w:val="0"/>
                <w:bCs w:val="0"/>
                <w:kern w:val="2"/>
                <w:sz w:val="18"/>
                <w:szCs w:val="18"/>
              </w:rPr>
              <w:t>305≤管径&lt;407</w:t>
            </w:r>
          </w:p>
        </w:tc>
        <w:tc>
          <w:tcPr>
            <w:tcW w:w="3800" w:type="dxa"/>
          </w:tcPr>
          <w:p w14:paraId="431B79EB">
            <w:pPr>
              <w:pStyle w:val="33"/>
              <w:spacing w:before="0" w:after="0" w:line="240" w:lineRule="auto"/>
              <w:rPr>
                <w:rFonts w:ascii="Times New Roman" w:hAnsi="Times New Roman" w:cs="Times New Roman"/>
                <w:b w:val="0"/>
                <w:bCs w:val="0"/>
                <w:kern w:val="2"/>
                <w:sz w:val="18"/>
                <w:szCs w:val="18"/>
              </w:rPr>
            </w:pPr>
            <w:r>
              <w:rPr>
                <w:rFonts w:ascii="Times New Roman" w:hAnsi="Times New Roman" w:cs="Times New Roman"/>
                <w:b w:val="0"/>
                <w:bCs w:val="0"/>
                <w:kern w:val="2"/>
                <w:sz w:val="18"/>
                <w:szCs w:val="18"/>
              </w:rPr>
              <w:t>2.7×10</w:t>
            </w:r>
            <w:r>
              <w:rPr>
                <w:rFonts w:ascii="Times New Roman" w:hAnsi="Times New Roman" w:cs="Times New Roman"/>
                <w:b w:val="0"/>
                <w:bCs w:val="0"/>
                <w:kern w:val="2"/>
                <w:sz w:val="18"/>
                <w:szCs w:val="18"/>
                <w:vertAlign w:val="superscript"/>
              </w:rPr>
              <w:t>-4</w:t>
            </w:r>
          </w:p>
        </w:tc>
      </w:tr>
      <w:tr w14:paraId="62E516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1851" w:type="dxa"/>
            <w:vMerge w:val="continue"/>
          </w:tcPr>
          <w:p w14:paraId="5D799CFA">
            <w:pPr>
              <w:pStyle w:val="33"/>
              <w:spacing w:before="0" w:after="0" w:line="240" w:lineRule="auto"/>
              <w:rPr>
                <w:rFonts w:ascii="Times New Roman" w:hAnsi="Times New Roman" w:cs="Times New Roman"/>
                <w:b w:val="0"/>
                <w:bCs w:val="0"/>
                <w:kern w:val="2"/>
                <w:sz w:val="18"/>
                <w:szCs w:val="18"/>
              </w:rPr>
            </w:pPr>
          </w:p>
        </w:tc>
        <w:tc>
          <w:tcPr>
            <w:tcW w:w="3692" w:type="dxa"/>
          </w:tcPr>
          <w:p w14:paraId="1D881816">
            <w:pPr>
              <w:pStyle w:val="33"/>
              <w:spacing w:before="0" w:after="0" w:line="240" w:lineRule="auto"/>
              <w:rPr>
                <w:rFonts w:ascii="Times New Roman" w:hAnsi="Times New Roman" w:cs="Times New Roman"/>
                <w:b w:val="0"/>
                <w:bCs w:val="0"/>
                <w:kern w:val="2"/>
                <w:sz w:val="18"/>
                <w:szCs w:val="18"/>
              </w:rPr>
            </w:pPr>
            <w:r>
              <w:rPr>
                <w:rFonts w:ascii="Times New Roman" w:hAnsi="Times New Roman" w:cs="Times New Roman"/>
                <w:b w:val="0"/>
                <w:bCs w:val="0"/>
                <w:kern w:val="2"/>
                <w:sz w:val="18"/>
                <w:szCs w:val="18"/>
              </w:rPr>
              <w:t>407≤管径&lt;610</w:t>
            </w:r>
          </w:p>
        </w:tc>
        <w:tc>
          <w:tcPr>
            <w:tcW w:w="3800" w:type="dxa"/>
          </w:tcPr>
          <w:p w14:paraId="0910C1BD">
            <w:pPr>
              <w:pStyle w:val="33"/>
              <w:spacing w:before="0" w:after="0" w:line="240" w:lineRule="auto"/>
              <w:rPr>
                <w:rFonts w:ascii="Times New Roman" w:hAnsi="Times New Roman" w:cs="Times New Roman"/>
                <w:b w:val="0"/>
                <w:bCs w:val="0"/>
                <w:kern w:val="2"/>
                <w:sz w:val="18"/>
                <w:szCs w:val="18"/>
              </w:rPr>
            </w:pPr>
            <w:r>
              <w:rPr>
                <w:rFonts w:ascii="Times New Roman" w:hAnsi="Times New Roman" w:cs="Times New Roman"/>
                <w:b w:val="0"/>
                <w:bCs w:val="0"/>
                <w:kern w:val="2"/>
                <w:sz w:val="18"/>
                <w:szCs w:val="18"/>
              </w:rPr>
              <w:t>3.3×10</w:t>
            </w:r>
            <w:r>
              <w:rPr>
                <w:rFonts w:ascii="Times New Roman" w:hAnsi="Times New Roman" w:cs="Times New Roman"/>
                <w:b w:val="0"/>
                <w:bCs w:val="0"/>
                <w:kern w:val="2"/>
                <w:sz w:val="18"/>
                <w:szCs w:val="18"/>
                <w:vertAlign w:val="superscript"/>
              </w:rPr>
              <w:t>-4</w:t>
            </w:r>
          </w:p>
        </w:tc>
      </w:tr>
      <w:tr w14:paraId="72DBBD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1851" w:type="dxa"/>
            <w:vMerge w:val="continue"/>
          </w:tcPr>
          <w:p w14:paraId="099EDD1E">
            <w:pPr>
              <w:pStyle w:val="33"/>
              <w:spacing w:before="0" w:after="0" w:line="240" w:lineRule="auto"/>
              <w:rPr>
                <w:rFonts w:ascii="Times New Roman" w:hAnsi="Times New Roman" w:cs="Times New Roman"/>
                <w:b w:val="0"/>
                <w:bCs w:val="0"/>
                <w:kern w:val="2"/>
                <w:sz w:val="18"/>
                <w:szCs w:val="18"/>
              </w:rPr>
            </w:pPr>
          </w:p>
        </w:tc>
        <w:tc>
          <w:tcPr>
            <w:tcW w:w="3692" w:type="dxa"/>
          </w:tcPr>
          <w:p w14:paraId="2E957CB9">
            <w:pPr>
              <w:pStyle w:val="33"/>
              <w:spacing w:before="0" w:after="0" w:line="240" w:lineRule="auto"/>
              <w:rPr>
                <w:rFonts w:ascii="Times New Roman" w:hAnsi="Times New Roman" w:cs="Times New Roman"/>
                <w:b w:val="0"/>
                <w:bCs w:val="0"/>
                <w:kern w:val="2"/>
                <w:sz w:val="18"/>
                <w:szCs w:val="18"/>
              </w:rPr>
            </w:pPr>
            <w:r>
              <w:rPr>
                <w:rFonts w:ascii="Times New Roman" w:hAnsi="Times New Roman" w:cs="Times New Roman"/>
                <w:b w:val="0"/>
                <w:bCs w:val="0"/>
                <w:kern w:val="2"/>
                <w:sz w:val="18"/>
                <w:szCs w:val="18"/>
              </w:rPr>
              <w:t>610≤管径&lt;762</w:t>
            </w:r>
          </w:p>
        </w:tc>
        <w:tc>
          <w:tcPr>
            <w:tcW w:w="3800" w:type="dxa"/>
          </w:tcPr>
          <w:p w14:paraId="37DEA138">
            <w:pPr>
              <w:pStyle w:val="33"/>
              <w:spacing w:before="0" w:after="0" w:line="240" w:lineRule="auto"/>
              <w:rPr>
                <w:rFonts w:ascii="Times New Roman" w:hAnsi="Times New Roman" w:cs="Times New Roman"/>
                <w:b w:val="0"/>
                <w:bCs w:val="0"/>
                <w:kern w:val="2"/>
                <w:sz w:val="18"/>
                <w:szCs w:val="18"/>
              </w:rPr>
            </w:pPr>
            <w:r>
              <w:rPr>
                <w:rFonts w:ascii="Times New Roman" w:hAnsi="Times New Roman" w:cs="Times New Roman"/>
                <w:b w:val="0"/>
                <w:bCs w:val="0"/>
                <w:kern w:val="2"/>
                <w:sz w:val="18"/>
                <w:szCs w:val="18"/>
              </w:rPr>
              <w:t>1.9×10</w:t>
            </w:r>
            <w:r>
              <w:rPr>
                <w:rFonts w:ascii="Times New Roman" w:hAnsi="Times New Roman" w:cs="Times New Roman"/>
                <w:b w:val="0"/>
                <w:bCs w:val="0"/>
                <w:kern w:val="2"/>
                <w:sz w:val="18"/>
                <w:szCs w:val="18"/>
                <w:vertAlign w:val="superscript"/>
              </w:rPr>
              <w:t>-4</w:t>
            </w:r>
          </w:p>
        </w:tc>
      </w:tr>
      <w:tr w14:paraId="498F4B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851" w:type="dxa"/>
            <w:vMerge w:val="continue"/>
          </w:tcPr>
          <w:p w14:paraId="72F9481F">
            <w:pPr>
              <w:pStyle w:val="33"/>
              <w:spacing w:before="0" w:after="0" w:line="240" w:lineRule="auto"/>
              <w:rPr>
                <w:rFonts w:ascii="Times New Roman" w:hAnsi="Times New Roman" w:cs="Times New Roman"/>
                <w:b w:val="0"/>
                <w:bCs w:val="0"/>
                <w:kern w:val="2"/>
                <w:sz w:val="18"/>
                <w:szCs w:val="18"/>
              </w:rPr>
            </w:pPr>
          </w:p>
        </w:tc>
        <w:tc>
          <w:tcPr>
            <w:tcW w:w="3692" w:type="dxa"/>
          </w:tcPr>
          <w:p w14:paraId="6050CCDD">
            <w:pPr>
              <w:pStyle w:val="33"/>
              <w:spacing w:before="0" w:after="0" w:line="240" w:lineRule="auto"/>
              <w:rPr>
                <w:rFonts w:ascii="Times New Roman" w:hAnsi="Times New Roman" w:cs="Times New Roman"/>
                <w:b w:val="0"/>
                <w:bCs w:val="0"/>
                <w:kern w:val="2"/>
                <w:sz w:val="18"/>
                <w:szCs w:val="18"/>
              </w:rPr>
            </w:pPr>
            <w:r>
              <w:rPr>
                <w:rFonts w:ascii="Times New Roman" w:hAnsi="Times New Roman" w:cs="Times New Roman"/>
                <w:b w:val="0"/>
                <w:bCs w:val="0"/>
                <w:kern w:val="2"/>
                <w:sz w:val="18"/>
                <w:szCs w:val="18"/>
              </w:rPr>
              <w:t>管径≥</w:t>
            </w:r>
            <w:r>
              <w:rPr>
                <w:rFonts w:hint="eastAsia" w:ascii="Times New Roman" w:hAnsi="Times New Roman" w:cs="Times New Roman"/>
                <w:b w:val="0"/>
                <w:bCs w:val="0"/>
                <w:kern w:val="2"/>
                <w:sz w:val="18"/>
                <w:szCs w:val="18"/>
              </w:rPr>
              <w:t>762</w:t>
            </w:r>
          </w:p>
        </w:tc>
        <w:tc>
          <w:tcPr>
            <w:tcW w:w="3800" w:type="dxa"/>
          </w:tcPr>
          <w:p w14:paraId="16D02104">
            <w:pPr>
              <w:pStyle w:val="33"/>
              <w:spacing w:before="0" w:after="0" w:line="240" w:lineRule="auto"/>
              <w:rPr>
                <w:rFonts w:ascii="Times New Roman" w:hAnsi="Times New Roman" w:cs="Times New Roman"/>
                <w:b w:val="0"/>
                <w:bCs w:val="0"/>
                <w:kern w:val="2"/>
                <w:sz w:val="18"/>
                <w:szCs w:val="18"/>
              </w:rPr>
            </w:pPr>
            <w:r>
              <w:rPr>
                <w:rFonts w:ascii="Times New Roman" w:hAnsi="Times New Roman" w:cs="Times New Roman"/>
                <w:b w:val="0"/>
                <w:bCs w:val="0"/>
                <w:kern w:val="2"/>
                <w:sz w:val="18"/>
                <w:szCs w:val="18"/>
              </w:rPr>
              <w:t>2.1×10</w:t>
            </w:r>
            <w:r>
              <w:rPr>
                <w:rFonts w:ascii="Times New Roman" w:hAnsi="Times New Roman" w:cs="Times New Roman"/>
                <w:b w:val="0"/>
                <w:bCs w:val="0"/>
                <w:kern w:val="2"/>
                <w:sz w:val="18"/>
                <w:szCs w:val="18"/>
                <w:vertAlign w:val="superscript"/>
              </w:rPr>
              <w:t>-4</w:t>
            </w:r>
          </w:p>
        </w:tc>
      </w:tr>
      <w:tr w14:paraId="3D3B0A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851" w:type="dxa"/>
            <w:vMerge w:val="restart"/>
            <w:vAlign w:val="center"/>
          </w:tcPr>
          <w:p w14:paraId="193F1F32">
            <w:pPr>
              <w:pStyle w:val="33"/>
              <w:spacing w:before="0" w:after="0" w:line="240" w:lineRule="auto"/>
              <w:rPr>
                <w:rFonts w:ascii="Times New Roman" w:hAnsi="Times New Roman" w:cs="Times New Roman"/>
                <w:b w:val="0"/>
                <w:bCs w:val="0"/>
                <w:kern w:val="2"/>
                <w:sz w:val="18"/>
                <w:szCs w:val="18"/>
              </w:rPr>
            </w:pPr>
            <w:r>
              <w:rPr>
                <w:rFonts w:ascii="Times New Roman" w:hAnsi="Times New Roman" w:cs="Times New Roman"/>
                <w:b w:val="0"/>
                <w:bCs w:val="0"/>
                <w:kern w:val="2"/>
                <w:sz w:val="18"/>
                <w:szCs w:val="18"/>
              </w:rPr>
              <w:t>输气管道</w:t>
            </w:r>
            <w:r>
              <w:rPr>
                <w:rFonts w:hint="eastAsia" w:ascii="Times New Roman" w:hAnsi="Times New Roman" w:cs="Times New Roman"/>
                <w:b w:val="0"/>
                <w:bCs w:val="0"/>
                <w:kern w:val="2"/>
                <w:sz w:val="18"/>
                <w:szCs w:val="18"/>
                <w:vertAlign w:val="superscript"/>
              </w:rPr>
              <w:t>2</w:t>
            </w:r>
          </w:p>
        </w:tc>
        <w:tc>
          <w:tcPr>
            <w:tcW w:w="3692" w:type="dxa"/>
          </w:tcPr>
          <w:p w14:paraId="259C831A">
            <w:pPr>
              <w:pStyle w:val="33"/>
              <w:spacing w:before="0" w:after="0" w:line="240" w:lineRule="auto"/>
              <w:rPr>
                <w:rFonts w:ascii="Times New Roman" w:hAnsi="Times New Roman" w:cs="Times New Roman"/>
                <w:b w:val="0"/>
                <w:bCs w:val="0"/>
                <w:kern w:val="2"/>
                <w:sz w:val="18"/>
                <w:szCs w:val="18"/>
              </w:rPr>
            </w:pPr>
            <w:r>
              <w:rPr>
                <w:rFonts w:ascii="Times New Roman" w:hAnsi="Times New Roman" w:cs="Times New Roman"/>
                <w:b w:val="0"/>
                <w:bCs w:val="0"/>
                <w:kern w:val="2"/>
                <w:sz w:val="18"/>
                <w:szCs w:val="18"/>
              </w:rPr>
              <w:t>管径&lt;127</w:t>
            </w:r>
          </w:p>
        </w:tc>
        <w:tc>
          <w:tcPr>
            <w:tcW w:w="3800" w:type="dxa"/>
          </w:tcPr>
          <w:p w14:paraId="005E504B">
            <w:pPr>
              <w:pStyle w:val="33"/>
              <w:spacing w:before="0" w:after="0" w:line="240" w:lineRule="auto"/>
              <w:rPr>
                <w:rFonts w:ascii="Times New Roman" w:hAnsi="Times New Roman" w:cs="Times New Roman"/>
                <w:b w:val="0"/>
                <w:bCs w:val="0"/>
                <w:kern w:val="2"/>
                <w:sz w:val="18"/>
                <w:szCs w:val="18"/>
              </w:rPr>
            </w:pPr>
            <w:r>
              <w:rPr>
                <w:rFonts w:ascii="Times New Roman" w:hAnsi="Times New Roman" w:cs="Times New Roman"/>
                <w:b w:val="0"/>
                <w:bCs w:val="0"/>
                <w:kern w:val="2"/>
                <w:sz w:val="18"/>
                <w:szCs w:val="18"/>
              </w:rPr>
              <w:t>4.1×10</w:t>
            </w:r>
            <w:r>
              <w:rPr>
                <w:rFonts w:ascii="Times New Roman" w:hAnsi="Times New Roman" w:cs="Times New Roman"/>
                <w:b w:val="0"/>
                <w:bCs w:val="0"/>
                <w:kern w:val="2"/>
                <w:sz w:val="18"/>
                <w:szCs w:val="18"/>
                <w:vertAlign w:val="superscript"/>
              </w:rPr>
              <w:t>-4</w:t>
            </w:r>
          </w:p>
        </w:tc>
      </w:tr>
      <w:tr w14:paraId="3F87F5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1851" w:type="dxa"/>
            <w:vMerge w:val="continue"/>
          </w:tcPr>
          <w:p w14:paraId="1D1019F1">
            <w:pPr>
              <w:pStyle w:val="33"/>
              <w:spacing w:before="0" w:after="0" w:line="240" w:lineRule="auto"/>
              <w:rPr>
                <w:rFonts w:ascii="Times New Roman" w:hAnsi="Times New Roman" w:cs="Times New Roman"/>
                <w:b w:val="0"/>
                <w:bCs w:val="0"/>
                <w:kern w:val="2"/>
                <w:sz w:val="18"/>
                <w:szCs w:val="18"/>
              </w:rPr>
            </w:pPr>
          </w:p>
        </w:tc>
        <w:tc>
          <w:tcPr>
            <w:tcW w:w="3692" w:type="dxa"/>
          </w:tcPr>
          <w:p w14:paraId="0DBFF132">
            <w:pPr>
              <w:pStyle w:val="33"/>
              <w:spacing w:before="0" w:after="0" w:line="240" w:lineRule="auto"/>
              <w:rPr>
                <w:rFonts w:ascii="Times New Roman" w:hAnsi="Times New Roman" w:cs="Times New Roman"/>
                <w:b w:val="0"/>
                <w:bCs w:val="0"/>
                <w:kern w:val="2"/>
                <w:sz w:val="18"/>
                <w:szCs w:val="18"/>
              </w:rPr>
            </w:pPr>
            <w:r>
              <w:rPr>
                <w:rFonts w:ascii="Times New Roman" w:hAnsi="Times New Roman" w:cs="Times New Roman"/>
                <w:b w:val="0"/>
                <w:bCs w:val="0"/>
                <w:kern w:val="2"/>
                <w:sz w:val="18"/>
                <w:szCs w:val="18"/>
              </w:rPr>
              <w:t>127≤管径&lt;280</w:t>
            </w:r>
          </w:p>
        </w:tc>
        <w:tc>
          <w:tcPr>
            <w:tcW w:w="3800" w:type="dxa"/>
          </w:tcPr>
          <w:p w14:paraId="1794B8F3">
            <w:pPr>
              <w:pStyle w:val="33"/>
              <w:spacing w:before="0" w:after="0" w:line="240" w:lineRule="auto"/>
              <w:rPr>
                <w:rFonts w:ascii="Times New Roman" w:hAnsi="Times New Roman" w:cs="Times New Roman"/>
                <w:b w:val="0"/>
                <w:bCs w:val="0"/>
                <w:kern w:val="2"/>
                <w:sz w:val="18"/>
                <w:szCs w:val="18"/>
              </w:rPr>
            </w:pPr>
            <w:r>
              <w:rPr>
                <w:rFonts w:ascii="Times New Roman" w:hAnsi="Times New Roman" w:cs="Times New Roman"/>
                <w:b w:val="0"/>
                <w:bCs w:val="0"/>
                <w:kern w:val="2"/>
                <w:sz w:val="18"/>
                <w:szCs w:val="18"/>
              </w:rPr>
              <w:t>2.6×10</w:t>
            </w:r>
            <w:r>
              <w:rPr>
                <w:rFonts w:ascii="Times New Roman" w:hAnsi="Times New Roman" w:cs="Times New Roman"/>
                <w:b w:val="0"/>
                <w:bCs w:val="0"/>
                <w:kern w:val="2"/>
                <w:sz w:val="18"/>
                <w:szCs w:val="18"/>
                <w:vertAlign w:val="superscript"/>
              </w:rPr>
              <w:t>-4</w:t>
            </w:r>
          </w:p>
        </w:tc>
      </w:tr>
      <w:tr w14:paraId="272D05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1851" w:type="dxa"/>
            <w:vMerge w:val="continue"/>
          </w:tcPr>
          <w:p w14:paraId="5DD1DFF3">
            <w:pPr>
              <w:pStyle w:val="33"/>
              <w:spacing w:before="0" w:after="0" w:line="240" w:lineRule="auto"/>
              <w:rPr>
                <w:rFonts w:ascii="Times New Roman" w:hAnsi="Times New Roman" w:cs="Times New Roman"/>
                <w:b w:val="0"/>
                <w:bCs w:val="0"/>
                <w:kern w:val="2"/>
                <w:sz w:val="18"/>
                <w:szCs w:val="18"/>
              </w:rPr>
            </w:pPr>
          </w:p>
        </w:tc>
        <w:tc>
          <w:tcPr>
            <w:tcW w:w="3692" w:type="dxa"/>
          </w:tcPr>
          <w:p w14:paraId="57894564">
            <w:pPr>
              <w:pStyle w:val="33"/>
              <w:spacing w:before="0" w:after="0" w:line="240" w:lineRule="auto"/>
              <w:rPr>
                <w:rFonts w:ascii="Times New Roman" w:hAnsi="Times New Roman" w:cs="Times New Roman"/>
                <w:b w:val="0"/>
                <w:bCs w:val="0"/>
                <w:kern w:val="2"/>
                <w:sz w:val="18"/>
                <w:szCs w:val="18"/>
              </w:rPr>
            </w:pPr>
            <w:r>
              <w:rPr>
                <w:rFonts w:ascii="Times New Roman" w:hAnsi="Times New Roman" w:cs="Times New Roman"/>
                <w:b w:val="0"/>
                <w:bCs w:val="0"/>
                <w:kern w:val="2"/>
                <w:sz w:val="18"/>
                <w:szCs w:val="18"/>
              </w:rPr>
              <w:t>280≤管径&lt;432</w:t>
            </w:r>
          </w:p>
        </w:tc>
        <w:tc>
          <w:tcPr>
            <w:tcW w:w="3800" w:type="dxa"/>
          </w:tcPr>
          <w:p w14:paraId="4837FE8B">
            <w:pPr>
              <w:pStyle w:val="33"/>
              <w:spacing w:before="0" w:after="0" w:line="240" w:lineRule="auto"/>
              <w:rPr>
                <w:rFonts w:ascii="Times New Roman" w:hAnsi="Times New Roman" w:cs="Times New Roman"/>
                <w:b w:val="0"/>
                <w:bCs w:val="0"/>
                <w:kern w:val="2"/>
                <w:sz w:val="18"/>
                <w:szCs w:val="18"/>
              </w:rPr>
            </w:pPr>
            <w:r>
              <w:rPr>
                <w:rFonts w:ascii="Times New Roman" w:hAnsi="Times New Roman" w:cs="Times New Roman"/>
                <w:b w:val="0"/>
                <w:bCs w:val="0"/>
                <w:kern w:val="2"/>
                <w:sz w:val="18"/>
                <w:szCs w:val="18"/>
              </w:rPr>
              <w:t>1.3×10</w:t>
            </w:r>
            <w:r>
              <w:rPr>
                <w:rFonts w:ascii="Times New Roman" w:hAnsi="Times New Roman" w:cs="Times New Roman"/>
                <w:b w:val="0"/>
                <w:bCs w:val="0"/>
                <w:kern w:val="2"/>
                <w:sz w:val="18"/>
                <w:szCs w:val="18"/>
                <w:vertAlign w:val="superscript"/>
              </w:rPr>
              <w:t>-4</w:t>
            </w:r>
          </w:p>
        </w:tc>
      </w:tr>
      <w:tr w14:paraId="0DBC16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1851" w:type="dxa"/>
            <w:vMerge w:val="continue"/>
          </w:tcPr>
          <w:p w14:paraId="0549DA87">
            <w:pPr>
              <w:pStyle w:val="33"/>
              <w:spacing w:before="0" w:after="0" w:line="240" w:lineRule="auto"/>
              <w:rPr>
                <w:rFonts w:ascii="Times New Roman" w:hAnsi="Times New Roman" w:cs="Times New Roman"/>
                <w:b w:val="0"/>
                <w:bCs w:val="0"/>
                <w:kern w:val="2"/>
                <w:sz w:val="18"/>
                <w:szCs w:val="18"/>
              </w:rPr>
            </w:pPr>
          </w:p>
        </w:tc>
        <w:tc>
          <w:tcPr>
            <w:tcW w:w="3692" w:type="dxa"/>
          </w:tcPr>
          <w:p w14:paraId="7D5116B3">
            <w:pPr>
              <w:pStyle w:val="33"/>
              <w:spacing w:before="0" w:after="0" w:line="240" w:lineRule="auto"/>
              <w:rPr>
                <w:rFonts w:ascii="Times New Roman" w:hAnsi="Times New Roman" w:cs="Times New Roman"/>
                <w:b w:val="0"/>
                <w:bCs w:val="0"/>
                <w:kern w:val="2"/>
                <w:sz w:val="18"/>
                <w:szCs w:val="18"/>
              </w:rPr>
            </w:pPr>
            <w:r>
              <w:rPr>
                <w:rFonts w:ascii="Times New Roman" w:hAnsi="Times New Roman" w:cs="Times New Roman"/>
                <w:b w:val="0"/>
                <w:bCs w:val="0"/>
                <w:kern w:val="2"/>
                <w:sz w:val="18"/>
                <w:szCs w:val="18"/>
              </w:rPr>
              <w:t>432≤管径&lt;585</w:t>
            </w:r>
          </w:p>
        </w:tc>
        <w:tc>
          <w:tcPr>
            <w:tcW w:w="3800" w:type="dxa"/>
          </w:tcPr>
          <w:p w14:paraId="2AE0D0EE">
            <w:pPr>
              <w:pStyle w:val="33"/>
              <w:spacing w:before="0" w:after="0" w:line="240" w:lineRule="auto"/>
              <w:rPr>
                <w:rFonts w:ascii="Times New Roman" w:hAnsi="Times New Roman" w:cs="Times New Roman"/>
                <w:b w:val="0"/>
                <w:bCs w:val="0"/>
                <w:kern w:val="2"/>
                <w:sz w:val="18"/>
                <w:szCs w:val="18"/>
              </w:rPr>
            </w:pPr>
            <w:r>
              <w:rPr>
                <w:rFonts w:ascii="Times New Roman" w:hAnsi="Times New Roman" w:cs="Times New Roman"/>
                <w:b w:val="0"/>
                <w:bCs w:val="0"/>
                <w:kern w:val="2"/>
                <w:sz w:val="18"/>
                <w:szCs w:val="18"/>
              </w:rPr>
              <w:t>9.1×10</w:t>
            </w:r>
            <w:r>
              <w:rPr>
                <w:rFonts w:ascii="Times New Roman" w:hAnsi="Times New Roman" w:cs="Times New Roman"/>
                <w:b w:val="0"/>
                <w:bCs w:val="0"/>
                <w:kern w:val="2"/>
                <w:sz w:val="18"/>
                <w:szCs w:val="18"/>
                <w:vertAlign w:val="superscript"/>
              </w:rPr>
              <w:t>-5</w:t>
            </w:r>
          </w:p>
        </w:tc>
      </w:tr>
      <w:tr w14:paraId="3F46C8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1851" w:type="dxa"/>
            <w:vMerge w:val="continue"/>
          </w:tcPr>
          <w:p w14:paraId="03BF9B83">
            <w:pPr>
              <w:pStyle w:val="33"/>
              <w:spacing w:before="0" w:after="0" w:line="240" w:lineRule="auto"/>
              <w:rPr>
                <w:rFonts w:ascii="Times New Roman" w:hAnsi="Times New Roman" w:cs="Times New Roman"/>
                <w:b w:val="0"/>
                <w:bCs w:val="0"/>
                <w:kern w:val="2"/>
                <w:sz w:val="18"/>
                <w:szCs w:val="18"/>
              </w:rPr>
            </w:pPr>
          </w:p>
        </w:tc>
        <w:tc>
          <w:tcPr>
            <w:tcW w:w="3692" w:type="dxa"/>
          </w:tcPr>
          <w:p w14:paraId="68BD92D4">
            <w:pPr>
              <w:pStyle w:val="33"/>
              <w:spacing w:before="0" w:after="0" w:line="240" w:lineRule="auto"/>
              <w:rPr>
                <w:rFonts w:ascii="Times New Roman" w:hAnsi="Times New Roman" w:cs="Times New Roman"/>
                <w:b w:val="0"/>
                <w:bCs w:val="0"/>
                <w:kern w:val="2"/>
                <w:sz w:val="18"/>
                <w:szCs w:val="18"/>
              </w:rPr>
            </w:pPr>
            <w:r>
              <w:rPr>
                <w:rFonts w:ascii="Times New Roman" w:hAnsi="Times New Roman" w:cs="Times New Roman"/>
                <w:b w:val="0"/>
                <w:bCs w:val="0"/>
                <w:kern w:val="2"/>
                <w:sz w:val="18"/>
                <w:szCs w:val="18"/>
              </w:rPr>
              <w:t>585≤管径&lt;737</w:t>
            </w:r>
          </w:p>
        </w:tc>
        <w:tc>
          <w:tcPr>
            <w:tcW w:w="3800" w:type="dxa"/>
          </w:tcPr>
          <w:p w14:paraId="4BB6CF98">
            <w:pPr>
              <w:pStyle w:val="33"/>
              <w:spacing w:before="0" w:after="0" w:line="240" w:lineRule="auto"/>
              <w:rPr>
                <w:rFonts w:ascii="Times New Roman" w:hAnsi="Times New Roman" w:cs="Times New Roman"/>
                <w:b w:val="0"/>
                <w:bCs w:val="0"/>
                <w:kern w:val="2"/>
                <w:sz w:val="18"/>
                <w:szCs w:val="18"/>
              </w:rPr>
            </w:pPr>
            <w:r>
              <w:rPr>
                <w:rFonts w:ascii="Times New Roman" w:hAnsi="Times New Roman" w:cs="Times New Roman"/>
                <w:b w:val="0"/>
                <w:bCs w:val="0"/>
                <w:kern w:val="2"/>
                <w:sz w:val="18"/>
                <w:szCs w:val="18"/>
              </w:rPr>
              <w:t>5.9×10</w:t>
            </w:r>
            <w:r>
              <w:rPr>
                <w:rFonts w:ascii="Times New Roman" w:hAnsi="Times New Roman" w:cs="Times New Roman"/>
                <w:b w:val="0"/>
                <w:bCs w:val="0"/>
                <w:kern w:val="2"/>
                <w:sz w:val="18"/>
                <w:szCs w:val="18"/>
                <w:vertAlign w:val="superscript"/>
              </w:rPr>
              <w:t>-5</w:t>
            </w:r>
          </w:p>
        </w:tc>
      </w:tr>
      <w:tr w14:paraId="2FD63A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851" w:type="dxa"/>
            <w:vMerge w:val="continue"/>
          </w:tcPr>
          <w:p w14:paraId="1981A94C">
            <w:pPr>
              <w:pStyle w:val="33"/>
              <w:spacing w:before="0" w:after="0" w:line="240" w:lineRule="auto"/>
              <w:rPr>
                <w:rFonts w:ascii="Times New Roman" w:hAnsi="Times New Roman" w:cs="Times New Roman"/>
                <w:b w:val="0"/>
                <w:bCs w:val="0"/>
                <w:kern w:val="2"/>
                <w:sz w:val="18"/>
                <w:szCs w:val="18"/>
              </w:rPr>
            </w:pPr>
          </w:p>
        </w:tc>
        <w:tc>
          <w:tcPr>
            <w:tcW w:w="3692" w:type="dxa"/>
          </w:tcPr>
          <w:p w14:paraId="1E4898B6">
            <w:pPr>
              <w:pStyle w:val="33"/>
              <w:spacing w:before="0" w:after="0" w:line="240" w:lineRule="auto"/>
              <w:rPr>
                <w:rFonts w:ascii="Times New Roman" w:hAnsi="Times New Roman" w:cs="Times New Roman"/>
                <w:b w:val="0"/>
                <w:bCs w:val="0"/>
                <w:kern w:val="2"/>
                <w:sz w:val="18"/>
                <w:szCs w:val="18"/>
              </w:rPr>
            </w:pPr>
            <w:r>
              <w:rPr>
                <w:rFonts w:ascii="Times New Roman" w:hAnsi="Times New Roman" w:cs="Times New Roman"/>
                <w:b w:val="0"/>
                <w:bCs w:val="0"/>
                <w:kern w:val="2"/>
                <w:sz w:val="18"/>
                <w:szCs w:val="18"/>
              </w:rPr>
              <w:t>737≤管径&lt;889</w:t>
            </w:r>
          </w:p>
        </w:tc>
        <w:tc>
          <w:tcPr>
            <w:tcW w:w="3800" w:type="dxa"/>
          </w:tcPr>
          <w:p w14:paraId="62173843">
            <w:pPr>
              <w:pStyle w:val="33"/>
              <w:spacing w:before="0" w:after="0" w:line="240" w:lineRule="auto"/>
              <w:rPr>
                <w:rFonts w:ascii="Times New Roman" w:hAnsi="Times New Roman" w:cs="Times New Roman"/>
                <w:b w:val="0"/>
                <w:bCs w:val="0"/>
                <w:kern w:val="2"/>
                <w:sz w:val="18"/>
                <w:szCs w:val="18"/>
              </w:rPr>
            </w:pPr>
            <w:r>
              <w:rPr>
                <w:rFonts w:ascii="Times New Roman" w:hAnsi="Times New Roman" w:cs="Times New Roman"/>
                <w:b w:val="0"/>
                <w:bCs w:val="0"/>
                <w:kern w:val="2"/>
                <w:sz w:val="18"/>
                <w:szCs w:val="18"/>
              </w:rPr>
              <w:t>2.0×10</w:t>
            </w:r>
            <w:r>
              <w:rPr>
                <w:rFonts w:ascii="Times New Roman" w:hAnsi="Times New Roman" w:cs="Times New Roman"/>
                <w:b w:val="0"/>
                <w:bCs w:val="0"/>
                <w:kern w:val="2"/>
                <w:sz w:val="18"/>
                <w:szCs w:val="18"/>
                <w:vertAlign w:val="superscript"/>
              </w:rPr>
              <w:t>-5</w:t>
            </w:r>
          </w:p>
        </w:tc>
      </w:tr>
      <w:tr w14:paraId="2E1DC1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1851" w:type="dxa"/>
            <w:vMerge w:val="continue"/>
          </w:tcPr>
          <w:p w14:paraId="488A857D">
            <w:pPr>
              <w:pStyle w:val="33"/>
              <w:spacing w:before="0" w:after="0" w:line="240" w:lineRule="auto"/>
              <w:rPr>
                <w:rFonts w:ascii="Times New Roman" w:hAnsi="Times New Roman" w:cs="Times New Roman"/>
                <w:b w:val="0"/>
                <w:bCs w:val="0"/>
                <w:kern w:val="2"/>
                <w:sz w:val="18"/>
                <w:szCs w:val="18"/>
              </w:rPr>
            </w:pPr>
          </w:p>
        </w:tc>
        <w:tc>
          <w:tcPr>
            <w:tcW w:w="3692" w:type="dxa"/>
          </w:tcPr>
          <w:p w14:paraId="052FD59E">
            <w:pPr>
              <w:pStyle w:val="33"/>
              <w:spacing w:before="0" w:after="0" w:line="240" w:lineRule="auto"/>
              <w:rPr>
                <w:rFonts w:ascii="Times New Roman" w:hAnsi="Times New Roman" w:cs="Times New Roman"/>
                <w:b w:val="0"/>
                <w:bCs w:val="0"/>
                <w:kern w:val="2"/>
                <w:sz w:val="18"/>
                <w:szCs w:val="18"/>
              </w:rPr>
            </w:pPr>
            <w:r>
              <w:rPr>
                <w:rFonts w:ascii="Times New Roman" w:hAnsi="Times New Roman" w:cs="Times New Roman"/>
                <w:b w:val="0"/>
                <w:bCs w:val="0"/>
                <w:kern w:val="2"/>
                <w:sz w:val="18"/>
                <w:szCs w:val="18"/>
              </w:rPr>
              <w:t>889≤管径&lt;1042</w:t>
            </w:r>
          </w:p>
        </w:tc>
        <w:tc>
          <w:tcPr>
            <w:tcW w:w="3800" w:type="dxa"/>
          </w:tcPr>
          <w:p w14:paraId="1722D3A3">
            <w:pPr>
              <w:pStyle w:val="33"/>
              <w:spacing w:before="0" w:after="0" w:line="240" w:lineRule="auto"/>
              <w:rPr>
                <w:rFonts w:ascii="Times New Roman" w:hAnsi="Times New Roman" w:cs="Times New Roman"/>
                <w:b w:val="0"/>
                <w:bCs w:val="0"/>
                <w:kern w:val="2"/>
                <w:sz w:val="18"/>
                <w:szCs w:val="18"/>
              </w:rPr>
            </w:pPr>
            <w:r>
              <w:rPr>
                <w:rFonts w:ascii="Times New Roman" w:hAnsi="Times New Roman" w:cs="Times New Roman"/>
                <w:b w:val="0"/>
                <w:bCs w:val="0"/>
                <w:kern w:val="2"/>
                <w:sz w:val="18"/>
                <w:szCs w:val="18"/>
              </w:rPr>
              <w:t>1.6×10</w:t>
            </w:r>
            <w:r>
              <w:rPr>
                <w:rFonts w:ascii="Times New Roman" w:hAnsi="Times New Roman" w:cs="Times New Roman"/>
                <w:b w:val="0"/>
                <w:bCs w:val="0"/>
                <w:kern w:val="2"/>
                <w:sz w:val="18"/>
                <w:szCs w:val="18"/>
                <w:vertAlign w:val="superscript"/>
              </w:rPr>
              <w:t>-5</w:t>
            </w:r>
          </w:p>
        </w:tc>
      </w:tr>
      <w:tr w14:paraId="7BD5E2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1851" w:type="dxa"/>
            <w:vMerge w:val="continue"/>
          </w:tcPr>
          <w:p w14:paraId="46912DD6">
            <w:pPr>
              <w:pStyle w:val="33"/>
              <w:spacing w:before="0" w:after="0" w:line="240" w:lineRule="auto"/>
              <w:rPr>
                <w:rFonts w:ascii="Times New Roman" w:hAnsi="Times New Roman" w:cs="Times New Roman"/>
                <w:b w:val="0"/>
                <w:bCs w:val="0"/>
                <w:kern w:val="2"/>
                <w:sz w:val="18"/>
                <w:szCs w:val="18"/>
              </w:rPr>
            </w:pPr>
          </w:p>
        </w:tc>
        <w:tc>
          <w:tcPr>
            <w:tcW w:w="3692" w:type="dxa"/>
          </w:tcPr>
          <w:p w14:paraId="4A984508">
            <w:pPr>
              <w:pStyle w:val="33"/>
              <w:spacing w:before="0" w:after="0" w:line="240" w:lineRule="auto"/>
              <w:rPr>
                <w:rFonts w:ascii="Times New Roman" w:hAnsi="Times New Roman" w:cs="Times New Roman"/>
                <w:b w:val="0"/>
                <w:bCs w:val="0"/>
                <w:kern w:val="2"/>
                <w:sz w:val="18"/>
                <w:szCs w:val="18"/>
              </w:rPr>
            </w:pPr>
            <w:r>
              <w:rPr>
                <w:rFonts w:ascii="Times New Roman" w:hAnsi="Times New Roman" w:cs="Times New Roman"/>
                <w:b w:val="0"/>
                <w:bCs w:val="0"/>
                <w:kern w:val="2"/>
                <w:sz w:val="18"/>
                <w:szCs w:val="18"/>
              </w:rPr>
              <w:t>1042≤管径&lt;1192</w:t>
            </w:r>
          </w:p>
        </w:tc>
        <w:tc>
          <w:tcPr>
            <w:tcW w:w="3800" w:type="dxa"/>
          </w:tcPr>
          <w:p w14:paraId="4E9D1906">
            <w:pPr>
              <w:pStyle w:val="33"/>
              <w:spacing w:before="0" w:after="0" w:line="240" w:lineRule="auto"/>
              <w:rPr>
                <w:rFonts w:ascii="Times New Roman" w:hAnsi="Times New Roman" w:cs="Times New Roman"/>
                <w:b w:val="0"/>
                <w:bCs w:val="0"/>
                <w:kern w:val="2"/>
                <w:sz w:val="18"/>
                <w:szCs w:val="18"/>
              </w:rPr>
            </w:pPr>
            <w:r>
              <w:rPr>
                <w:rFonts w:ascii="Times New Roman" w:hAnsi="Times New Roman" w:cs="Times New Roman"/>
                <w:b w:val="0"/>
                <w:bCs w:val="0"/>
                <w:kern w:val="2"/>
                <w:sz w:val="18"/>
                <w:szCs w:val="18"/>
              </w:rPr>
              <w:t>3.3×10</w:t>
            </w:r>
            <w:r>
              <w:rPr>
                <w:rFonts w:ascii="Times New Roman" w:hAnsi="Times New Roman" w:cs="Times New Roman"/>
                <w:b w:val="0"/>
                <w:bCs w:val="0"/>
                <w:kern w:val="2"/>
                <w:sz w:val="18"/>
                <w:szCs w:val="18"/>
                <w:vertAlign w:val="superscript"/>
              </w:rPr>
              <w:t>-6</w:t>
            </w:r>
          </w:p>
        </w:tc>
      </w:tr>
      <w:tr w14:paraId="48DD1F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851" w:type="dxa"/>
            <w:vMerge w:val="continue"/>
          </w:tcPr>
          <w:p w14:paraId="5753DBBA">
            <w:pPr>
              <w:pStyle w:val="33"/>
              <w:spacing w:before="0" w:after="0" w:line="240" w:lineRule="auto"/>
              <w:rPr>
                <w:rFonts w:ascii="Times New Roman" w:hAnsi="Times New Roman" w:cs="Times New Roman"/>
                <w:b w:val="0"/>
                <w:bCs w:val="0"/>
                <w:kern w:val="2"/>
                <w:sz w:val="18"/>
                <w:szCs w:val="18"/>
              </w:rPr>
            </w:pPr>
          </w:p>
        </w:tc>
        <w:tc>
          <w:tcPr>
            <w:tcW w:w="3692" w:type="dxa"/>
          </w:tcPr>
          <w:p w14:paraId="47214BB5">
            <w:pPr>
              <w:pStyle w:val="33"/>
              <w:spacing w:before="0" w:after="0" w:line="240" w:lineRule="auto"/>
              <w:rPr>
                <w:rFonts w:ascii="Times New Roman" w:hAnsi="Times New Roman" w:cs="Times New Roman"/>
                <w:b w:val="0"/>
                <w:bCs w:val="0"/>
                <w:kern w:val="2"/>
                <w:sz w:val="18"/>
                <w:szCs w:val="18"/>
              </w:rPr>
            </w:pPr>
            <w:r>
              <w:rPr>
                <w:rFonts w:ascii="Times New Roman" w:hAnsi="Times New Roman" w:cs="Times New Roman"/>
                <w:b w:val="0"/>
                <w:bCs w:val="0"/>
                <w:kern w:val="2"/>
                <w:sz w:val="18"/>
                <w:szCs w:val="18"/>
              </w:rPr>
              <w:t>管径≥1192</w:t>
            </w:r>
          </w:p>
        </w:tc>
        <w:tc>
          <w:tcPr>
            <w:tcW w:w="3800" w:type="dxa"/>
          </w:tcPr>
          <w:p w14:paraId="63623020">
            <w:pPr>
              <w:pStyle w:val="33"/>
              <w:spacing w:before="0" w:after="0" w:line="240" w:lineRule="auto"/>
              <w:rPr>
                <w:rFonts w:ascii="Times New Roman" w:hAnsi="Times New Roman" w:cs="Times New Roman"/>
                <w:b w:val="0"/>
                <w:bCs w:val="0"/>
                <w:kern w:val="2"/>
                <w:sz w:val="18"/>
                <w:szCs w:val="18"/>
              </w:rPr>
            </w:pPr>
            <w:r>
              <w:rPr>
                <w:rFonts w:ascii="Times New Roman" w:hAnsi="Times New Roman" w:cs="Times New Roman"/>
                <w:b w:val="0"/>
                <w:bCs w:val="0"/>
                <w:kern w:val="2"/>
                <w:sz w:val="18"/>
                <w:szCs w:val="18"/>
              </w:rPr>
              <w:t>8.6×10</w:t>
            </w:r>
            <w:r>
              <w:rPr>
                <w:rFonts w:ascii="Times New Roman" w:hAnsi="Times New Roman" w:cs="Times New Roman"/>
                <w:b w:val="0"/>
                <w:bCs w:val="0"/>
                <w:kern w:val="2"/>
                <w:sz w:val="18"/>
                <w:szCs w:val="18"/>
                <w:vertAlign w:val="superscript"/>
              </w:rPr>
              <w:t>-6</w:t>
            </w:r>
          </w:p>
        </w:tc>
      </w:tr>
    </w:tbl>
    <w:p w14:paraId="660E7692">
      <w:pPr>
        <w:rPr>
          <w:sz w:val="20"/>
          <w:szCs w:val="18"/>
        </w:rPr>
      </w:pPr>
      <w:r>
        <w:rPr>
          <w:rFonts w:hint="eastAsia"/>
          <w:sz w:val="20"/>
          <w:szCs w:val="18"/>
        </w:rPr>
        <w:t>注1：输油管道失效频率孔径占比：管径&lt;</w:t>
      </w:r>
      <w:r>
        <w:rPr>
          <w:sz w:val="20"/>
          <w:szCs w:val="18"/>
        </w:rPr>
        <w:t>5mm</w:t>
      </w:r>
      <w:r>
        <w:rPr>
          <w:rFonts w:hint="eastAsia"/>
          <w:sz w:val="20"/>
          <w:szCs w:val="18"/>
        </w:rPr>
        <w:t>（1</w:t>
      </w:r>
      <w:r>
        <w:rPr>
          <w:sz w:val="20"/>
          <w:szCs w:val="18"/>
        </w:rPr>
        <w:t>5%</w:t>
      </w:r>
      <w:r>
        <w:rPr>
          <w:rFonts w:hint="eastAsia"/>
          <w:sz w:val="20"/>
          <w:szCs w:val="18"/>
        </w:rPr>
        <w:t>），</w:t>
      </w:r>
      <w:r>
        <w:rPr>
          <w:sz w:val="20"/>
          <w:szCs w:val="18"/>
        </w:rPr>
        <w:t>5</w:t>
      </w:r>
      <w:r>
        <w:rPr>
          <w:rFonts w:hint="eastAsia"/>
          <w:sz w:val="20"/>
          <w:szCs w:val="18"/>
        </w:rPr>
        <w:t>≤管径&lt;</w:t>
      </w:r>
      <w:r>
        <w:rPr>
          <w:sz w:val="20"/>
          <w:szCs w:val="18"/>
        </w:rPr>
        <w:t>20mm</w:t>
      </w:r>
      <w:r>
        <w:rPr>
          <w:rFonts w:hint="eastAsia"/>
          <w:sz w:val="20"/>
          <w:szCs w:val="18"/>
        </w:rPr>
        <w:t>（1</w:t>
      </w:r>
      <w:r>
        <w:rPr>
          <w:sz w:val="20"/>
          <w:szCs w:val="18"/>
        </w:rPr>
        <w:t>6%</w:t>
      </w:r>
      <w:r>
        <w:rPr>
          <w:rFonts w:hint="eastAsia"/>
          <w:sz w:val="20"/>
          <w:szCs w:val="18"/>
        </w:rPr>
        <w:t>），</w:t>
      </w:r>
      <w:r>
        <w:rPr>
          <w:sz w:val="20"/>
          <w:szCs w:val="18"/>
        </w:rPr>
        <w:t>20</w:t>
      </w:r>
      <w:r>
        <w:rPr>
          <w:rFonts w:hint="eastAsia"/>
          <w:sz w:val="20"/>
          <w:szCs w:val="18"/>
        </w:rPr>
        <w:t>≤管径&lt;</w:t>
      </w:r>
      <w:r>
        <w:rPr>
          <w:sz w:val="20"/>
          <w:szCs w:val="18"/>
        </w:rPr>
        <w:t>80mm</w:t>
      </w:r>
      <w:r>
        <w:rPr>
          <w:rFonts w:hint="eastAsia"/>
          <w:sz w:val="20"/>
          <w:szCs w:val="18"/>
        </w:rPr>
        <w:t>（3</w:t>
      </w:r>
      <w:r>
        <w:rPr>
          <w:sz w:val="20"/>
          <w:szCs w:val="18"/>
        </w:rPr>
        <w:t>4%</w:t>
      </w:r>
      <w:r>
        <w:rPr>
          <w:rFonts w:hint="eastAsia"/>
          <w:sz w:val="20"/>
          <w:szCs w:val="18"/>
        </w:rPr>
        <w:t>），</w:t>
      </w:r>
      <w:r>
        <w:rPr>
          <w:sz w:val="20"/>
          <w:szCs w:val="18"/>
        </w:rPr>
        <w:t>80</w:t>
      </w:r>
      <w:r>
        <w:rPr>
          <w:rFonts w:hint="eastAsia"/>
          <w:sz w:val="20"/>
          <w:szCs w:val="18"/>
        </w:rPr>
        <w:t>mm≤管径&lt;直径（1</w:t>
      </w:r>
      <w:r>
        <w:rPr>
          <w:sz w:val="20"/>
          <w:szCs w:val="18"/>
        </w:rPr>
        <w:t>6%</w:t>
      </w:r>
      <w:r>
        <w:rPr>
          <w:rFonts w:hint="eastAsia"/>
          <w:sz w:val="20"/>
          <w:szCs w:val="18"/>
        </w:rPr>
        <w:t>），全管径破裂（1</w:t>
      </w:r>
      <w:r>
        <w:rPr>
          <w:sz w:val="20"/>
          <w:szCs w:val="18"/>
        </w:rPr>
        <w:t>9%</w:t>
      </w:r>
      <w:r>
        <w:rPr>
          <w:rFonts w:hint="eastAsia"/>
          <w:sz w:val="20"/>
          <w:szCs w:val="18"/>
        </w:rPr>
        <w:t>）。</w:t>
      </w:r>
    </w:p>
    <w:p w14:paraId="53E7AFA8">
      <w:pPr>
        <w:rPr>
          <w:sz w:val="20"/>
          <w:szCs w:val="18"/>
        </w:rPr>
      </w:pPr>
      <w:r>
        <w:rPr>
          <w:rFonts w:hint="eastAsia"/>
          <w:sz w:val="20"/>
          <w:szCs w:val="18"/>
        </w:rPr>
        <w:t>注2：输气管道失效频率孔径占比：管径&lt;</w:t>
      </w:r>
      <w:r>
        <w:rPr>
          <w:sz w:val="20"/>
          <w:szCs w:val="18"/>
        </w:rPr>
        <w:t>5mm</w:t>
      </w:r>
      <w:r>
        <w:rPr>
          <w:rFonts w:hint="eastAsia"/>
          <w:sz w:val="20"/>
          <w:szCs w:val="18"/>
        </w:rPr>
        <w:t>（5</w:t>
      </w:r>
      <w:r>
        <w:rPr>
          <w:sz w:val="20"/>
          <w:szCs w:val="18"/>
        </w:rPr>
        <w:t>5%</w:t>
      </w:r>
      <w:r>
        <w:rPr>
          <w:rFonts w:hint="eastAsia"/>
          <w:sz w:val="20"/>
          <w:szCs w:val="18"/>
        </w:rPr>
        <w:t>），</w:t>
      </w:r>
      <w:r>
        <w:rPr>
          <w:sz w:val="20"/>
          <w:szCs w:val="18"/>
        </w:rPr>
        <w:t>5</w:t>
      </w:r>
      <w:r>
        <w:rPr>
          <w:rFonts w:hint="eastAsia"/>
          <w:sz w:val="20"/>
          <w:szCs w:val="18"/>
        </w:rPr>
        <w:t>≤管径&lt;</w:t>
      </w:r>
      <w:r>
        <w:rPr>
          <w:sz w:val="20"/>
          <w:szCs w:val="18"/>
        </w:rPr>
        <w:t>20mm</w:t>
      </w:r>
      <w:r>
        <w:rPr>
          <w:rFonts w:hint="eastAsia"/>
          <w:sz w:val="20"/>
          <w:szCs w:val="18"/>
        </w:rPr>
        <w:t>（</w:t>
      </w:r>
      <w:r>
        <w:rPr>
          <w:sz w:val="20"/>
          <w:szCs w:val="18"/>
        </w:rPr>
        <w:t>15%</w:t>
      </w:r>
      <w:r>
        <w:rPr>
          <w:rFonts w:hint="eastAsia"/>
          <w:sz w:val="20"/>
          <w:szCs w:val="18"/>
        </w:rPr>
        <w:t>），</w:t>
      </w:r>
      <w:r>
        <w:rPr>
          <w:sz w:val="20"/>
          <w:szCs w:val="18"/>
        </w:rPr>
        <w:t>20</w:t>
      </w:r>
      <w:r>
        <w:rPr>
          <w:rFonts w:hint="eastAsia"/>
          <w:sz w:val="20"/>
          <w:szCs w:val="18"/>
        </w:rPr>
        <w:t>≤管径&lt;</w:t>
      </w:r>
      <w:r>
        <w:rPr>
          <w:sz w:val="20"/>
          <w:szCs w:val="18"/>
        </w:rPr>
        <w:t>80mm</w:t>
      </w:r>
      <w:r>
        <w:rPr>
          <w:rFonts w:hint="eastAsia"/>
          <w:sz w:val="20"/>
          <w:szCs w:val="18"/>
        </w:rPr>
        <w:t>（1</w:t>
      </w:r>
      <w:r>
        <w:rPr>
          <w:sz w:val="20"/>
          <w:szCs w:val="18"/>
        </w:rPr>
        <w:t>5%</w:t>
      </w:r>
      <w:r>
        <w:rPr>
          <w:rFonts w:hint="eastAsia"/>
          <w:sz w:val="20"/>
          <w:szCs w:val="18"/>
        </w:rPr>
        <w:t>），</w:t>
      </w:r>
      <w:r>
        <w:rPr>
          <w:sz w:val="20"/>
          <w:szCs w:val="18"/>
        </w:rPr>
        <w:t>80</w:t>
      </w:r>
      <w:r>
        <w:rPr>
          <w:rFonts w:hint="eastAsia"/>
          <w:sz w:val="20"/>
          <w:szCs w:val="18"/>
        </w:rPr>
        <w:t>mm≤管径&lt;直径（5</w:t>
      </w:r>
      <w:r>
        <w:rPr>
          <w:sz w:val="20"/>
          <w:szCs w:val="18"/>
        </w:rPr>
        <w:t>%</w:t>
      </w:r>
      <w:r>
        <w:rPr>
          <w:rFonts w:hint="eastAsia"/>
          <w:sz w:val="20"/>
          <w:szCs w:val="18"/>
        </w:rPr>
        <w:t>），全管径破裂（1</w:t>
      </w:r>
      <w:r>
        <w:rPr>
          <w:sz w:val="20"/>
          <w:szCs w:val="18"/>
        </w:rPr>
        <w:t>0%</w:t>
      </w:r>
      <w:r>
        <w:rPr>
          <w:rFonts w:hint="eastAsia"/>
          <w:sz w:val="20"/>
          <w:szCs w:val="18"/>
        </w:rPr>
        <w:t>）。</w:t>
      </w:r>
    </w:p>
    <w:p w14:paraId="7A4A9A18">
      <w:pPr>
        <w:rPr>
          <w:rFonts w:hint="eastAsia" w:hAnsi="宋体"/>
          <w:szCs w:val="32"/>
        </w:rPr>
      </w:pPr>
      <w:r>
        <w:rPr>
          <w:rFonts w:hint="eastAsia"/>
          <w:sz w:val="20"/>
          <w:szCs w:val="18"/>
        </w:rPr>
        <w:t>注</w:t>
      </w:r>
      <w:r>
        <w:rPr>
          <w:sz w:val="20"/>
          <w:szCs w:val="18"/>
        </w:rPr>
        <w:t>3</w:t>
      </w:r>
      <w:r>
        <w:rPr>
          <w:rFonts w:hint="eastAsia"/>
          <w:sz w:val="20"/>
          <w:szCs w:val="18"/>
        </w:rPr>
        <w:t>：以上数据来源于国际油气生产企业联合会(OGP)。</w:t>
      </w:r>
    </w:p>
    <w:p w14:paraId="1B06714C">
      <w:pPr>
        <w:ind w:firstLine="420" w:firstLineChars="200"/>
        <w:rPr>
          <w:rFonts w:hint="eastAsia" w:hAnsi="宋体"/>
          <w:szCs w:val="32"/>
        </w:rPr>
      </w:pPr>
    </w:p>
    <w:p w14:paraId="61353DB5">
      <w:pPr>
        <w:rPr>
          <w:rFonts w:hint="eastAsia" w:hAnsi="宋体"/>
          <w:szCs w:val="32"/>
        </w:rPr>
      </w:pPr>
      <w:r>
        <w:rPr>
          <w:rFonts w:hint="eastAsia" w:ascii="黑体" w:hAnsi="黑体" w:eastAsia="黑体"/>
          <w:szCs w:val="21"/>
        </w:rPr>
        <w:t>B</w:t>
      </w:r>
      <w:r>
        <w:rPr>
          <w:rFonts w:ascii="黑体" w:hAnsi="黑体" w:eastAsia="黑体"/>
          <w:szCs w:val="21"/>
        </w:rPr>
        <w:t>.</w:t>
      </w:r>
      <w:r>
        <w:rPr>
          <w:rFonts w:hint="eastAsia" w:ascii="黑体" w:hAnsi="黑体" w:eastAsia="黑体"/>
          <w:szCs w:val="21"/>
        </w:rPr>
        <w:t>4</w:t>
      </w:r>
      <w:r>
        <w:rPr>
          <w:rFonts w:ascii="黑体" w:hAnsi="黑体" w:eastAsia="黑体"/>
          <w:szCs w:val="21"/>
        </w:rPr>
        <w:t xml:space="preserve">.2 </w:t>
      </w:r>
      <w:r>
        <w:rPr>
          <w:rFonts w:hAnsi="宋体"/>
          <w:szCs w:val="32"/>
        </w:rPr>
        <w:t xml:space="preserve"> </w:t>
      </w:r>
      <w:r>
        <w:rPr>
          <w:rFonts w:hint="eastAsia" w:hAnsi="宋体"/>
          <w:szCs w:val="32"/>
        </w:rPr>
        <w:t>泄漏频率数据选择，应考虑以下事项：</w:t>
      </w:r>
    </w:p>
    <w:p w14:paraId="528D456F">
      <w:pPr>
        <w:ind w:firstLine="420" w:firstLineChars="200"/>
        <w:rPr>
          <w:rFonts w:hint="eastAsia" w:hAnsi="宋体"/>
          <w:szCs w:val="32"/>
        </w:rPr>
      </w:pPr>
      <w:r>
        <w:rPr>
          <w:szCs w:val="21"/>
        </w:rPr>
        <w:t>a</w:t>
      </w:r>
      <w:r>
        <w:rPr>
          <w:rFonts w:hint="eastAsia" w:ascii="宋体" w:hAnsi="宋体"/>
          <w:szCs w:val="21"/>
        </w:rPr>
        <w:t>）</w:t>
      </w:r>
      <w:r>
        <w:rPr>
          <w:rFonts w:ascii="宋体" w:hAnsi="宋体"/>
          <w:szCs w:val="21"/>
        </w:rPr>
        <w:t xml:space="preserve"> </w:t>
      </w:r>
      <w:r>
        <w:rPr>
          <w:rFonts w:hint="eastAsia" w:hAnsi="宋体"/>
          <w:szCs w:val="32"/>
        </w:rPr>
        <w:t>使用工业失效数据库时，应确保泄漏场景与</w:t>
      </w:r>
      <w:r>
        <w:rPr>
          <w:rFonts w:hint="eastAsia"/>
        </w:rPr>
        <w:t>失效数据场景基本假设相一致</w:t>
      </w:r>
      <w:r>
        <w:rPr>
          <w:rFonts w:hint="eastAsia" w:hAnsi="宋体"/>
          <w:szCs w:val="21"/>
        </w:rPr>
        <w:t>；</w:t>
      </w:r>
    </w:p>
    <w:p w14:paraId="10AD96C2">
      <w:pPr>
        <w:ind w:firstLine="420" w:firstLineChars="200"/>
      </w:pPr>
      <w:r>
        <w:rPr>
          <w:szCs w:val="21"/>
        </w:rPr>
        <w:t>b</w:t>
      </w:r>
      <w:r>
        <w:rPr>
          <w:rFonts w:hint="eastAsia" w:ascii="宋体" w:hAnsi="宋体"/>
          <w:szCs w:val="21"/>
        </w:rPr>
        <w:t>）</w:t>
      </w:r>
      <w:r>
        <w:t xml:space="preserve"> </w:t>
      </w:r>
      <w:r>
        <w:rPr>
          <w:rFonts w:hint="eastAsia"/>
        </w:rPr>
        <w:t>使用企业历史数据时，应保证该历史数据充足并具有统计意义。</w:t>
      </w:r>
    </w:p>
    <w:p w14:paraId="6E7D4560">
      <w:pPr>
        <w:widowControl w:val="0"/>
        <w:spacing w:before="156" w:beforeLines="50" w:after="156" w:afterLines="50" w:line="240" w:lineRule="auto"/>
        <w:textAlignment w:val="auto"/>
        <w:outlineLvl w:val="1"/>
        <w:rPr>
          <w:rFonts w:ascii="黑体" w:eastAsia="黑体"/>
          <w:color w:val="auto"/>
        </w:rPr>
      </w:pPr>
      <w:r>
        <w:rPr>
          <w:rFonts w:hint="eastAsia" w:ascii="黑体" w:eastAsia="黑体"/>
          <w:color w:val="auto"/>
        </w:rPr>
        <w:t>B.5 事故后果分析</w:t>
      </w:r>
    </w:p>
    <w:p w14:paraId="56DB56DB">
      <w:pPr>
        <w:pStyle w:val="162"/>
        <w:spacing w:before="156" w:beforeLines="50" w:after="156" w:afterLines="50" w:line="240" w:lineRule="auto"/>
        <w:ind w:firstLine="0"/>
        <w:outlineLvl w:val="2"/>
        <w:rPr>
          <w:rFonts w:ascii="黑体" w:eastAsia="黑体"/>
        </w:rPr>
      </w:pPr>
      <w:bookmarkStart w:id="152" w:name="_Toc296956108"/>
      <w:bookmarkStart w:id="153" w:name="_Toc286131397"/>
      <w:bookmarkStart w:id="154" w:name="_Toc286132380"/>
      <w:bookmarkStart w:id="155" w:name="_Toc310952700"/>
      <w:bookmarkStart w:id="156" w:name="_Toc310769298"/>
      <w:r>
        <w:rPr>
          <w:rFonts w:hint="eastAsia" w:ascii="黑体" w:eastAsia="黑体"/>
        </w:rPr>
        <w:t>B.5.1  源项和气云扩散</w:t>
      </w:r>
      <w:bookmarkEnd w:id="152"/>
      <w:bookmarkEnd w:id="153"/>
      <w:bookmarkEnd w:id="154"/>
      <w:bookmarkEnd w:id="155"/>
      <w:bookmarkEnd w:id="156"/>
      <w:r>
        <w:rPr>
          <w:rFonts w:hint="eastAsia" w:ascii="黑体" w:eastAsia="黑体"/>
        </w:rPr>
        <w:t>计算</w:t>
      </w:r>
    </w:p>
    <w:p w14:paraId="379FE773">
      <w:pPr>
        <w:widowControl w:val="0"/>
        <w:spacing w:line="240" w:lineRule="auto"/>
        <w:textAlignment w:val="auto"/>
        <w:rPr>
          <w:rFonts w:hint="eastAsia" w:hAnsi="宋体"/>
          <w:kern w:val="2"/>
          <w:szCs w:val="32"/>
        </w:rPr>
      </w:pPr>
      <w:r>
        <w:rPr>
          <w:rFonts w:hint="eastAsia" w:ascii="黑体" w:hAnsi="黑体" w:eastAsia="黑体"/>
          <w:szCs w:val="21"/>
        </w:rPr>
        <w:t>B</w:t>
      </w:r>
      <w:r>
        <w:rPr>
          <w:rFonts w:ascii="黑体" w:hAnsi="黑体" w:eastAsia="黑体"/>
          <w:szCs w:val="21"/>
        </w:rPr>
        <w:t>.</w:t>
      </w:r>
      <w:r>
        <w:rPr>
          <w:rFonts w:hint="eastAsia" w:ascii="黑体" w:hAnsi="黑体" w:eastAsia="黑体"/>
          <w:szCs w:val="21"/>
        </w:rPr>
        <w:t>5</w:t>
      </w:r>
      <w:r>
        <w:rPr>
          <w:rFonts w:ascii="黑体" w:eastAsia="黑体"/>
          <w:kern w:val="2"/>
          <w:szCs w:val="21"/>
        </w:rPr>
        <w:t>.</w:t>
      </w:r>
      <w:r>
        <w:rPr>
          <w:rFonts w:ascii="黑体" w:hAnsi="黑体" w:eastAsia="黑体"/>
          <w:kern w:val="2"/>
          <w:szCs w:val="21"/>
        </w:rPr>
        <w:t xml:space="preserve">1.1 </w:t>
      </w:r>
      <w:r>
        <w:rPr>
          <w:rFonts w:hAnsi="宋体"/>
          <w:kern w:val="2"/>
          <w:szCs w:val="32"/>
        </w:rPr>
        <w:t xml:space="preserve"> </w:t>
      </w:r>
      <w:r>
        <w:rPr>
          <w:rFonts w:hint="eastAsia" w:hAnsi="宋体"/>
          <w:kern w:val="2"/>
          <w:szCs w:val="32"/>
        </w:rPr>
        <w:t>源项和气云扩散的计算，应考虑以下情形：</w:t>
      </w:r>
    </w:p>
    <w:p w14:paraId="0C7F0318">
      <w:pPr>
        <w:widowControl w:val="0"/>
        <w:spacing w:line="240" w:lineRule="auto"/>
        <w:ind w:firstLine="420" w:firstLineChars="200"/>
        <w:textAlignment w:val="auto"/>
        <w:rPr>
          <w:rFonts w:ascii="宋体"/>
          <w:kern w:val="2"/>
          <w:szCs w:val="21"/>
        </w:rPr>
      </w:pPr>
      <w:r>
        <w:rPr>
          <w:kern w:val="2"/>
          <w:szCs w:val="21"/>
        </w:rPr>
        <w:t>a</w:t>
      </w:r>
      <w:r>
        <w:rPr>
          <w:rFonts w:hint="eastAsia" w:ascii="宋体" w:hAnsi="宋体"/>
          <w:kern w:val="2"/>
          <w:szCs w:val="21"/>
        </w:rPr>
        <w:t>）</w:t>
      </w:r>
      <w:r>
        <w:rPr>
          <w:rFonts w:ascii="宋体" w:hAnsi="宋体"/>
          <w:kern w:val="2"/>
          <w:szCs w:val="21"/>
        </w:rPr>
        <w:t xml:space="preserve"> </w:t>
      </w:r>
      <w:r>
        <w:rPr>
          <w:rFonts w:hint="eastAsia" w:ascii="宋体" w:hAnsi="宋体"/>
          <w:kern w:val="2"/>
          <w:szCs w:val="21"/>
        </w:rPr>
        <w:t>泄漏（释放）；</w:t>
      </w:r>
    </w:p>
    <w:p w14:paraId="7FA65ACD">
      <w:pPr>
        <w:widowControl w:val="0"/>
        <w:spacing w:line="240" w:lineRule="auto"/>
        <w:ind w:firstLine="420" w:firstLineChars="200"/>
        <w:textAlignment w:val="auto"/>
        <w:rPr>
          <w:rFonts w:ascii="宋体"/>
          <w:kern w:val="2"/>
          <w:szCs w:val="21"/>
        </w:rPr>
      </w:pPr>
      <w:r>
        <w:rPr>
          <w:kern w:val="2"/>
          <w:szCs w:val="21"/>
        </w:rPr>
        <w:t>b</w:t>
      </w:r>
      <w:r>
        <w:rPr>
          <w:rFonts w:hint="eastAsia" w:ascii="宋体" w:hAnsi="宋体"/>
          <w:kern w:val="2"/>
          <w:szCs w:val="21"/>
        </w:rPr>
        <w:t>） 液池蒸发；</w:t>
      </w:r>
    </w:p>
    <w:p w14:paraId="2BF65552">
      <w:pPr>
        <w:widowControl w:val="0"/>
        <w:spacing w:line="240" w:lineRule="auto"/>
        <w:ind w:firstLine="420" w:firstLineChars="200"/>
        <w:textAlignment w:val="auto"/>
        <w:rPr>
          <w:rFonts w:ascii="宋体"/>
          <w:kern w:val="2"/>
          <w:szCs w:val="21"/>
        </w:rPr>
      </w:pPr>
      <w:r>
        <w:rPr>
          <w:kern w:val="2"/>
          <w:szCs w:val="21"/>
        </w:rPr>
        <w:t>c</w:t>
      </w:r>
      <w:r>
        <w:rPr>
          <w:rFonts w:hint="eastAsia" w:ascii="宋体" w:hAnsi="宋体"/>
          <w:kern w:val="2"/>
          <w:szCs w:val="21"/>
        </w:rPr>
        <w:t>）</w:t>
      </w:r>
      <w:r>
        <w:rPr>
          <w:rFonts w:ascii="宋体" w:hAnsi="宋体"/>
          <w:kern w:val="2"/>
          <w:szCs w:val="21"/>
        </w:rPr>
        <w:t xml:space="preserve"> </w:t>
      </w:r>
      <w:r>
        <w:rPr>
          <w:rFonts w:hint="eastAsia" w:ascii="宋体" w:hAnsi="宋体"/>
          <w:kern w:val="2"/>
          <w:szCs w:val="21"/>
        </w:rPr>
        <w:t>扩散；</w:t>
      </w:r>
    </w:p>
    <w:p w14:paraId="24340587">
      <w:pPr>
        <w:widowControl w:val="0"/>
        <w:spacing w:line="240" w:lineRule="auto"/>
        <w:ind w:firstLine="420" w:firstLineChars="200"/>
        <w:textAlignment w:val="auto"/>
        <w:rPr>
          <w:rFonts w:ascii="宋体"/>
          <w:kern w:val="2"/>
          <w:szCs w:val="21"/>
        </w:rPr>
      </w:pPr>
      <w:r>
        <w:rPr>
          <w:kern w:val="2"/>
          <w:szCs w:val="21"/>
        </w:rPr>
        <w:t>d</w:t>
      </w:r>
      <w:r>
        <w:rPr>
          <w:rFonts w:hint="eastAsia" w:ascii="宋体" w:hAnsi="宋体"/>
          <w:kern w:val="2"/>
          <w:szCs w:val="21"/>
        </w:rPr>
        <w:t>）</w:t>
      </w:r>
      <w:r>
        <w:rPr>
          <w:rFonts w:ascii="宋体" w:hAnsi="宋体"/>
          <w:kern w:val="2"/>
          <w:szCs w:val="21"/>
        </w:rPr>
        <w:t xml:space="preserve"> </w:t>
      </w:r>
      <w:r>
        <w:rPr>
          <w:rFonts w:hint="eastAsia" w:ascii="宋体" w:hAnsi="宋体"/>
          <w:kern w:val="2"/>
          <w:szCs w:val="21"/>
        </w:rPr>
        <w:t>火灾；</w:t>
      </w:r>
    </w:p>
    <w:p w14:paraId="7AC4E49B">
      <w:pPr>
        <w:widowControl w:val="0"/>
        <w:spacing w:line="240" w:lineRule="auto"/>
        <w:ind w:firstLine="420" w:firstLineChars="200"/>
        <w:textAlignment w:val="auto"/>
        <w:rPr>
          <w:rFonts w:ascii="宋体"/>
          <w:kern w:val="2"/>
          <w:szCs w:val="21"/>
        </w:rPr>
      </w:pPr>
      <w:r>
        <w:rPr>
          <w:kern w:val="2"/>
          <w:szCs w:val="21"/>
        </w:rPr>
        <w:t>e</w:t>
      </w:r>
      <w:r>
        <w:rPr>
          <w:rFonts w:hint="eastAsia" w:ascii="宋体" w:hAnsi="宋体"/>
          <w:kern w:val="2"/>
          <w:szCs w:val="21"/>
        </w:rPr>
        <w:t>）</w:t>
      </w:r>
      <w:r>
        <w:rPr>
          <w:rFonts w:ascii="宋体" w:hAnsi="宋体"/>
          <w:kern w:val="2"/>
          <w:szCs w:val="21"/>
        </w:rPr>
        <w:t xml:space="preserve"> </w:t>
      </w:r>
      <w:r>
        <w:rPr>
          <w:rFonts w:hint="eastAsia" w:ascii="宋体" w:hAnsi="宋体"/>
          <w:kern w:val="2"/>
          <w:szCs w:val="21"/>
        </w:rPr>
        <w:t>爆炸。</w:t>
      </w:r>
    </w:p>
    <w:p w14:paraId="6E8302F8">
      <w:pPr>
        <w:widowControl w:val="0"/>
        <w:spacing w:line="240" w:lineRule="auto"/>
        <w:textAlignment w:val="auto"/>
        <w:rPr>
          <w:rFonts w:hint="eastAsia" w:hAnsi="宋体"/>
          <w:kern w:val="2"/>
          <w:szCs w:val="32"/>
        </w:rPr>
      </w:pPr>
      <w:r>
        <w:rPr>
          <w:rFonts w:hint="eastAsia" w:ascii="黑体" w:hAnsi="黑体" w:eastAsia="黑体"/>
          <w:szCs w:val="21"/>
        </w:rPr>
        <w:t>B</w:t>
      </w:r>
      <w:r>
        <w:rPr>
          <w:rFonts w:ascii="黑体" w:hAnsi="黑体" w:eastAsia="黑体"/>
          <w:szCs w:val="21"/>
        </w:rPr>
        <w:t>.</w:t>
      </w:r>
      <w:r>
        <w:rPr>
          <w:rFonts w:hint="eastAsia" w:ascii="黑体" w:hAnsi="黑体" w:eastAsia="黑体"/>
          <w:szCs w:val="21"/>
        </w:rPr>
        <w:t>5</w:t>
      </w:r>
      <w:r>
        <w:rPr>
          <w:rFonts w:ascii="黑体" w:hAnsi="黑体" w:eastAsia="黑体"/>
          <w:kern w:val="2"/>
          <w:szCs w:val="21"/>
        </w:rPr>
        <w:t xml:space="preserve">.1.2 </w:t>
      </w:r>
      <w:r>
        <w:rPr>
          <w:rFonts w:hAnsi="宋体"/>
          <w:kern w:val="2"/>
          <w:szCs w:val="32"/>
        </w:rPr>
        <w:t xml:space="preserve"> </w:t>
      </w:r>
      <w:r>
        <w:rPr>
          <w:rFonts w:hint="eastAsia" w:hAnsi="宋体"/>
          <w:kern w:val="2"/>
          <w:szCs w:val="32"/>
        </w:rPr>
        <w:t>在选择源项和气云扩散模型时，应考虑泄漏物质的特性。</w:t>
      </w:r>
    </w:p>
    <w:p w14:paraId="3315DD41">
      <w:pPr>
        <w:widowControl w:val="0"/>
        <w:spacing w:line="240" w:lineRule="auto"/>
        <w:textAlignment w:val="auto"/>
        <w:rPr>
          <w:rFonts w:hint="eastAsia" w:hAnsi="宋体"/>
          <w:kern w:val="2"/>
          <w:szCs w:val="32"/>
        </w:rPr>
      </w:pPr>
      <w:bookmarkStart w:id="157" w:name="_Toc242934161"/>
      <w:bookmarkStart w:id="158" w:name="_Toc296956161"/>
      <w:bookmarkStart w:id="159" w:name="_Toc242934042"/>
      <w:bookmarkStart w:id="160" w:name="_Toc257094840"/>
      <w:bookmarkStart w:id="161" w:name="_Toc242878140"/>
      <w:bookmarkStart w:id="162" w:name="_Toc257050833"/>
      <w:bookmarkStart w:id="163" w:name="_Toc286131446"/>
      <w:bookmarkStart w:id="164" w:name="_Toc286132433"/>
      <w:bookmarkStart w:id="165" w:name="_Toc242870300"/>
      <w:bookmarkStart w:id="166" w:name="_Toc310769347"/>
      <w:bookmarkStart w:id="167" w:name="_Toc310952749"/>
      <w:bookmarkStart w:id="168" w:name="_Toc242932969"/>
      <w:bookmarkStart w:id="169" w:name="_Toc247531519"/>
      <w:r>
        <w:rPr>
          <w:rFonts w:hint="eastAsia" w:ascii="黑体" w:hAnsi="黑体" w:eastAsia="黑体"/>
          <w:szCs w:val="21"/>
        </w:rPr>
        <w:t>B.5.1.3</w:t>
      </w:r>
      <w:r>
        <w:rPr>
          <w:rFonts w:hint="eastAsia" w:hAnsi="宋体"/>
          <w:kern w:val="2"/>
          <w:szCs w:val="32"/>
        </w:rPr>
        <w:t xml:space="preserve">  泄漏速率计算</w:t>
      </w:r>
      <w:bookmarkEnd w:id="157"/>
      <w:bookmarkEnd w:id="158"/>
      <w:bookmarkEnd w:id="159"/>
      <w:bookmarkEnd w:id="160"/>
      <w:bookmarkEnd w:id="161"/>
      <w:bookmarkEnd w:id="162"/>
      <w:bookmarkEnd w:id="163"/>
      <w:bookmarkEnd w:id="164"/>
      <w:bookmarkEnd w:id="165"/>
      <w:bookmarkEnd w:id="166"/>
      <w:bookmarkEnd w:id="167"/>
      <w:bookmarkEnd w:id="168"/>
      <w:bookmarkEnd w:id="169"/>
    </w:p>
    <w:p w14:paraId="68D5D583">
      <w:pPr>
        <w:widowControl w:val="0"/>
        <w:spacing w:line="240" w:lineRule="auto"/>
        <w:textAlignment w:val="auto"/>
        <w:rPr>
          <w:rFonts w:hint="eastAsia" w:hAnsi="宋体"/>
          <w:kern w:val="2"/>
          <w:szCs w:val="32"/>
        </w:rPr>
      </w:pPr>
      <w:r>
        <w:rPr>
          <w:rFonts w:hint="eastAsia" w:hAnsi="宋体"/>
          <w:kern w:val="2"/>
          <w:szCs w:val="32"/>
        </w:rPr>
        <w:t>B.5.1.3.1  液体经管道上的孔流出</w:t>
      </w:r>
    </w:p>
    <w:p w14:paraId="6E6CE6B1">
      <w:pPr>
        <w:widowControl w:val="0"/>
        <w:spacing w:line="240" w:lineRule="auto"/>
        <w:ind w:firstLine="420" w:firstLineChars="200"/>
        <w:textAlignment w:val="auto"/>
        <w:rPr>
          <w:kern w:val="2"/>
          <w:szCs w:val="21"/>
        </w:rPr>
      </w:pPr>
      <w:r>
        <w:rPr>
          <w:rFonts w:hint="eastAsia"/>
          <w:kern w:val="2"/>
          <w:szCs w:val="21"/>
        </w:rPr>
        <w:t>质量流率可按式（B.</w:t>
      </w:r>
      <w:r>
        <w:rPr>
          <w:kern w:val="2"/>
          <w:szCs w:val="21"/>
        </w:rPr>
        <w:t>1</w:t>
      </w:r>
      <w:r>
        <w:rPr>
          <w:rFonts w:hint="eastAsia"/>
          <w:kern w:val="2"/>
          <w:szCs w:val="21"/>
        </w:rPr>
        <w:t>）计算：</w:t>
      </w:r>
    </w:p>
    <w:p w14:paraId="62DB07EA">
      <w:pPr>
        <w:pStyle w:val="163"/>
        <w:tabs>
          <w:tab w:val="right" w:leader="middleDot" w:pos="9450"/>
          <w:tab w:val="clear" w:pos="9660"/>
        </w:tabs>
      </w:pPr>
      <w:r>
        <w:tab/>
      </w:r>
      <w:r>
        <w:object>
          <v:shape id="_x0000_i1025" o:spt="75" type="#_x0000_t75" style="height:21pt;width:111.75pt;" o:ole="t" filled="f" o:preferrelative="t" stroked="f" coordsize="21600,21600">
            <v:path/>
            <v:fill on="f" focussize="0,0"/>
            <v:stroke on="f" joinstyle="miter"/>
            <v:imagedata r:id="rId19" o:title=""/>
            <o:lock v:ext="edit" aspectratio="f"/>
            <w10:wrap type="none"/>
            <w10:anchorlock/>
          </v:shape>
          <o:OLEObject Type="Embed" ProgID="Equation.3" ShapeID="_x0000_i1025" DrawAspect="Content" ObjectID="_1468075725" r:id="rId18">
            <o:LockedField>false</o:LockedField>
          </o:OLEObject>
        </w:object>
      </w:r>
      <w:r>
        <w:tab/>
      </w:r>
      <w:r>
        <w:rPr>
          <w:rFonts w:hint="eastAsia"/>
        </w:rPr>
        <w:t>（</w:t>
      </w:r>
      <w:r>
        <w:rPr>
          <w:rFonts w:hint="eastAsia"/>
          <w:lang w:val="en-US"/>
        </w:rPr>
        <w:t>B</w:t>
      </w:r>
      <w:r>
        <w:t>.1</w:t>
      </w:r>
      <w:r>
        <w:rPr>
          <w:rFonts w:hint="eastAsia"/>
        </w:rPr>
        <w:t>）</w:t>
      </w:r>
    </w:p>
    <w:p w14:paraId="07CB8057">
      <w:pPr>
        <w:widowControl w:val="0"/>
        <w:spacing w:line="240" w:lineRule="auto"/>
        <w:ind w:firstLine="420" w:firstLineChars="200"/>
        <w:textAlignment w:val="auto"/>
        <w:rPr>
          <w:kern w:val="2"/>
          <w:szCs w:val="21"/>
        </w:rPr>
      </w:pPr>
      <w:r>
        <w:rPr>
          <w:rFonts w:hint="eastAsia"/>
          <w:kern w:val="2"/>
          <w:szCs w:val="21"/>
        </w:rPr>
        <w:t>式中：</w:t>
      </w:r>
    </w:p>
    <w:p w14:paraId="25074566">
      <w:pPr>
        <w:widowControl w:val="0"/>
        <w:spacing w:line="240" w:lineRule="auto"/>
        <w:ind w:firstLine="420" w:firstLineChars="200"/>
        <w:textAlignment w:val="auto"/>
        <w:rPr>
          <w:kern w:val="2"/>
          <w:szCs w:val="21"/>
        </w:rPr>
      </w:pPr>
      <w:r>
        <w:rPr>
          <w:i/>
          <w:kern w:val="2"/>
          <w:szCs w:val="21"/>
        </w:rPr>
        <w:t>Q</w:t>
      </w:r>
      <w:r>
        <w:rPr>
          <w:i/>
          <w:kern w:val="2"/>
          <w:szCs w:val="21"/>
          <w:vertAlign w:val="subscript"/>
        </w:rPr>
        <w:t xml:space="preserve">m </w:t>
      </w:r>
      <w:r>
        <w:rPr>
          <w:kern w:val="2"/>
          <w:szCs w:val="21"/>
        </w:rPr>
        <w:t>——</w:t>
      </w:r>
      <w:r>
        <w:rPr>
          <w:rFonts w:hint="eastAsia"/>
          <w:kern w:val="2"/>
          <w:szCs w:val="21"/>
        </w:rPr>
        <w:t>质量流率，单位为千克</w:t>
      </w:r>
      <w:r>
        <w:rPr>
          <w:kern w:val="2"/>
          <w:szCs w:val="21"/>
        </w:rPr>
        <w:t>每秒（kg/s）</w:t>
      </w:r>
      <w:r>
        <w:rPr>
          <w:rFonts w:hint="eastAsia"/>
          <w:kern w:val="2"/>
          <w:szCs w:val="21"/>
        </w:rPr>
        <w:t>；</w:t>
      </w:r>
    </w:p>
    <w:p w14:paraId="22FE31F3">
      <w:pPr>
        <w:widowControl w:val="0"/>
        <w:spacing w:line="240" w:lineRule="auto"/>
        <w:ind w:firstLine="420" w:firstLineChars="200"/>
        <w:textAlignment w:val="auto"/>
        <w:rPr>
          <w:kern w:val="2"/>
          <w:szCs w:val="21"/>
        </w:rPr>
      </w:pPr>
      <w:r>
        <w:rPr>
          <w:i/>
          <w:kern w:val="2"/>
          <w:szCs w:val="21"/>
        </w:rPr>
        <w:t>A</w:t>
      </w:r>
      <w:r>
        <w:rPr>
          <w:kern w:val="2"/>
          <w:szCs w:val="21"/>
        </w:rPr>
        <w:t>——</w:t>
      </w:r>
      <w:r>
        <w:rPr>
          <w:rFonts w:hint="eastAsia"/>
          <w:kern w:val="2"/>
          <w:szCs w:val="21"/>
        </w:rPr>
        <w:t>泄漏孔面积，单位为平方米</w:t>
      </w:r>
      <w:r>
        <w:rPr>
          <w:kern w:val="2"/>
          <w:szCs w:val="21"/>
        </w:rPr>
        <w:t>（m</w:t>
      </w:r>
      <w:r>
        <w:rPr>
          <w:kern w:val="2"/>
          <w:szCs w:val="21"/>
          <w:vertAlign w:val="superscript"/>
        </w:rPr>
        <w:t>2</w:t>
      </w:r>
      <w:r>
        <w:rPr>
          <w:kern w:val="2"/>
          <w:szCs w:val="21"/>
        </w:rPr>
        <w:t>）</w:t>
      </w:r>
      <w:r>
        <w:rPr>
          <w:rFonts w:hint="eastAsia"/>
          <w:kern w:val="2"/>
          <w:szCs w:val="21"/>
        </w:rPr>
        <w:t>；</w:t>
      </w:r>
    </w:p>
    <w:p w14:paraId="0CCEED3B">
      <w:pPr>
        <w:widowControl w:val="0"/>
        <w:spacing w:line="240" w:lineRule="auto"/>
        <w:ind w:firstLine="420" w:firstLineChars="200"/>
        <w:textAlignment w:val="auto"/>
        <w:rPr>
          <w:kern w:val="2"/>
          <w:szCs w:val="21"/>
        </w:rPr>
      </w:pPr>
      <w:r>
        <w:rPr>
          <w:i/>
          <w:kern w:val="2"/>
          <w:szCs w:val="21"/>
        </w:rPr>
        <w:t>C</w:t>
      </w:r>
      <w:r>
        <w:rPr>
          <w:i/>
          <w:kern w:val="2"/>
          <w:szCs w:val="21"/>
          <w:vertAlign w:val="subscript"/>
        </w:rPr>
        <w:t>0</w:t>
      </w:r>
      <w:r>
        <w:rPr>
          <w:kern w:val="2"/>
          <w:szCs w:val="21"/>
          <w:vertAlign w:val="subscript"/>
        </w:rPr>
        <w:t xml:space="preserve"> </w:t>
      </w:r>
      <w:r>
        <w:rPr>
          <w:kern w:val="2"/>
          <w:szCs w:val="21"/>
        </w:rPr>
        <w:t>——</w:t>
      </w:r>
      <w:r>
        <w:rPr>
          <w:rFonts w:hint="eastAsia"/>
          <w:kern w:val="2"/>
          <w:szCs w:val="21"/>
        </w:rPr>
        <w:t>液相泄漏系数，湍流介质通过锋利孔取值范围为[0.6，1.0]，保守取值为1.0；</w:t>
      </w:r>
    </w:p>
    <w:p w14:paraId="796F9B84">
      <w:pPr>
        <w:widowControl w:val="0"/>
        <w:spacing w:line="240" w:lineRule="auto"/>
        <w:ind w:firstLine="420" w:firstLineChars="200"/>
        <w:textAlignment w:val="auto"/>
        <w:rPr>
          <w:kern w:val="2"/>
          <w:szCs w:val="21"/>
        </w:rPr>
      </w:pPr>
      <w:r>
        <w:rPr>
          <w:i/>
          <w:kern w:val="2"/>
          <w:szCs w:val="21"/>
        </w:rPr>
        <w:t>P</w:t>
      </w:r>
      <w:r>
        <w:rPr>
          <w:kern w:val="2"/>
          <w:szCs w:val="21"/>
        </w:rPr>
        <w:t>——</w:t>
      </w:r>
      <w:r>
        <w:rPr>
          <w:rFonts w:hint="eastAsia"/>
          <w:kern w:val="2"/>
          <w:szCs w:val="21"/>
        </w:rPr>
        <w:t>管道内液体压力，单位为帕斯卡（</w:t>
      </w:r>
      <w:r>
        <w:rPr>
          <w:kern w:val="2"/>
          <w:szCs w:val="21"/>
        </w:rPr>
        <w:t>Pa</w:t>
      </w:r>
      <w:r>
        <w:rPr>
          <w:rFonts w:hint="eastAsia"/>
          <w:kern w:val="2"/>
          <w:szCs w:val="21"/>
        </w:rPr>
        <w:t>）；</w:t>
      </w:r>
    </w:p>
    <w:p w14:paraId="49AE01CD">
      <w:pPr>
        <w:widowControl w:val="0"/>
        <w:spacing w:line="240" w:lineRule="auto"/>
        <w:ind w:firstLine="420" w:firstLineChars="200"/>
        <w:textAlignment w:val="auto"/>
        <w:rPr>
          <w:kern w:val="2"/>
          <w:szCs w:val="21"/>
        </w:rPr>
      </w:pPr>
      <w:r>
        <w:rPr>
          <w:i/>
          <w:kern w:val="2"/>
          <w:szCs w:val="21"/>
        </w:rPr>
        <w:t>ρ</w:t>
      </w:r>
      <w:r>
        <w:rPr>
          <w:kern w:val="2"/>
          <w:szCs w:val="21"/>
        </w:rPr>
        <w:t>——</w:t>
      </w:r>
      <w:r>
        <w:rPr>
          <w:rFonts w:hint="eastAsia"/>
          <w:kern w:val="2"/>
          <w:szCs w:val="21"/>
        </w:rPr>
        <w:t>泄漏液体密度，单位为千克</w:t>
      </w:r>
      <w:r>
        <w:rPr>
          <w:kern w:val="2"/>
          <w:szCs w:val="21"/>
        </w:rPr>
        <w:t>每立方米（kg/m</w:t>
      </w:r>
      <w:r>
        <w:rPr>
          <w:kern w:val="2"/>
          <w:szCs w:val="21"/>
          <w:vertAlign w:val="superscript"/>
        </w:rPr>
        <w:t>3</w:t>
      </w:r>
      <w:r>
        <w:rPr>
          <w:kern w:val="2"/>
          <w:szCs w:val="21"/>
        </w:rPr>
        <w:t>）</w:t>
      </w:r>
      <w:r>
        <w:rPr>
          <w:rFonts w:hint="eastAsia"/>
          <w:kern w:val="2"/>
          <w:szCs w:val="21"/>
        </w:rPr>
        <w:t>；</w:t>
      </w:r>
    </w:p>
    <w:p w14:paraId="3387F036">
      <w:pPr>
        <w:widowControl w:val="0"/>
        <w:spacing w:line="240" w:lineRule="auto"/>
        <w:ind w:firstLine="420" w:firstLineChars="200"/>
        <w:textAlignment w:val="auto"/>
        <w:rPr>
          <w:kern w:val="2"/>
          <w:szCs w:val="21"/>
        </w:rPr>
      </w:pPr>
      <w:r>
        <w:rPr>
          <w:i/>
          <w:kern w:val="2"/>
          <w:szCs w:val="21"/>
        </w:rPr>
        <w:t>P</w:t>
      </w:r>
      <w:r>
        <w:rPr>
          <w:i/>
          <w:kern w:val="2"/>
          <w:szCs w:val="21"/>
          <w:vertAlign w:val="subscript"/>
        </w:rPr>
        <w:t>0</w:t>
      </w:r>
      <w:r>
        <w:rPr>
          <w:kern w:val="2"/>
          <w:szCs w:val="21"/>
        </w:rPr>
        <w:t>——</w:t>
      </w:r>
      <w:r>
        <w:rPr>
          <w:rFonts w:hint="eastAsia"/>
          <w:kern w:val="2"/>
          <w:szCs w:val="21"/>
        </w:rPr>
        <w:t>环境压力，单位为帕斯卡（Pa）。</w:t>
      </w:r>
    </w:p>
    <w:p w14:paraId="01172030">
      <w:pPr>
        <w:widowControl w:val="0"/>
        <w:spacing w:line="240" w:lineRule="auto"/>
        <w:textAlignment w:val="auto"/>
        <w:rPr>
          <w:rFonts w:hint="eastAsia" w:hAnsi="宋体"/>
          <w:kern w:val="2"/>
          <w:szCs w:val="32"/>
        </w:rPr>
      </w:pPr>
      <w:r>
        <w:rPr>
          <w:rFonts w:hint="eastAsia" w:hAnsi="宋体"/>
          <w:kern w:val="2"/>
          <w:szCs w:val="32"/>
        </w:rPr>
        <w:t>B.5.1.3.2  液体管道断裂</w:t>
      </w:r>
    </w:p>
    <w:p w14:paraId="6F3A795F">
      <w:pPr>
        <w:widowControl w:val="0"/>
        <w:spacing w:line="240" w:lineRule="auto"/>
        <w:ind w:firstLine="420" w:firstLineChars="200"/>
        <w:textAlignment w:val="auto"/>
        <w:rPr>
          <w:kern w:val="2"/>
          <w:szCs w:val="21"/>
        </w:rPr>
      </w:pPr>
      <w:r>
        <w:rPr>
          <w:rFonts w:hint="eastAsia"/>
          <w:kern w:val="2"/>
          <w:szCs w:val="21"/>
        </w:rPr>
        <w:t>不可压缩液体在管道中流动，质量流速可按式（B.2）计算：</w:t>
      </w:r>
    </w:p>
    <w:p w14:paraId="314F2A99">
      <w:pPr>
        <w:pStyle w:val="163"/>
        <w:tabs>
          <w:tab w:val="right" w:leader="middleDot" w:pos="9450"/>
          <w:tab w:val="clear" w:pos="9660"/>
        </w:tabs>
      </w:pPr>
      <w:r>
        <w:tab/>
      </w:r>
      <w:r>
        <w:object>
          <v:shape id="_x0000_i1026" o:spt="75" type="#_x0000_t75" style="height:35.25pt;width:125.25pt;" o:ole="t" filled="f" o:preferrelative="t" stroked="f" coordsize="21600,21600">
            <v:path/>
            <v:fill on="f" focussize="0,0"/>
            <v:stroke on="f" joinstyle="miter"/>
            <v:imagedata r:id="rId21" o:title=""/>
            <o:lock v:ext="edit" aspectratio="f"/>
            <w10:wrap type="none"/>
            <w10:anchorlock/>
          </v:shape>
          <o:OLEObject Type="Embed" ProgID="Equation.3" ShapeID="_x0000_i1026" DrawAspect="Content" ObjectID="_1468075726" r:id="rId20">
            <o:LockedField>false</o:LockedField>
          </o:OLEObject>
        </w:object>
      </w:r>
      <w:r>
        <w:tab/>
      </w:r>
      <w:r>
        <w:rPr>
          <w:rFonts w:hint="eastAsia"/>
        </w:rPr>
        <w:t>（</w:t>
      </w:r>
      <w:r>
        <w:rPr>
          <w:rFonts w:hint="eastAsia"/>
          <w:lang w:val="en-US"/>
        </w:rPr>
        <w:t>B</w:t>
      </w:r>
      <w:r>
        <w:t>.</w:t>
      </w:r>
      <w:r>
        <w:rPr>
          <w:rFonts w:hint="eastAsia"/>
          <w:lang w:val="en-US"/>
        </w:rPr>
        <w:t>2</w:t>
      </w:r>
      <w:r>
        <w:rPr>
          <w:rFonts w:hint="eastAsia"/>
        </w:rPr>
        <w:t>）</w:t>
      </w:r>
    </w:p>
    <w:p w14:paraId="452202FA">
      <w:pPr>
        <w:widowControl w:val="0"/>
        <w:spacing w:line="240" w:lineRule="auto"/>
        <w:ind w:firstLine="420" w:firstLineChars="200"/>
        <w:textAlignment w:val="auto"/>
        <w:rPr>
          <w:kern w:val="2"/>
          <w:szCs w:val="21"/>
        </w:rPr>
      </w:pPr>
      <w:r>
        <w:rPr>
          <w:rFonts w:hint="eastAsia"/>
          <w:kern w:val="2"/>
          <w:szCs w:val="21"/>
        </w:rPr>
        <w:t>式中：</w:t>
      </w:r>
    </w:p>
    <w:p w14:paraId="44D91107">
      <w:pPr>
        <w:widowControl w:val="0"/>
        <w:spacing w:line="240" w:lineRule="auto"/>
        <w:ind w:firstLine="420" w:firstLineChars="200"/>
        <w:textAlignment w:val="auto"/>
        <w:rPr>
          <w:kern w:val="2"/>
          <w:szCs w:val="21"/>
        </w:rPr>
      </w:pPr>
      <w:r>
        <w:rPr>
          <w:kern w:val="2"/>
          <w:szCs w:val="21"/>
        </w:rPr>
        <w:t>Δ</w:t>
      </w:r>
      <w:r>
        <w:rPr>
          <w:i/>
          <w:kern w:val="2"/>
          <w:szCs w:val="21"/>
        </w:rPr>
        <w:t>P</w:t>
      </w:r>
      <w:r>
        <w:rPr>
          <w:kern w:val="2"/>
          <w:szCs w:val="21"/>
        </w:rPr>
        <w:t>——</w:t>
      </w:r>
      <w:r>
        <w:rPr>
          <w:rFonts w:hint="eastAsia"/>
          <w:kern w:val="2"/>
          <w:szCs w:val="21"/>
        </w:rPr>
        <w:t>管道两端压力差，单位为帕斯卡</w:t>
      </w:r>
      <w:r>
        <w:rPr>
          <w:kern w:val="2"/>
          <w:szCs w:val="21"/>
        </w:rPr>
        <w:t>（Pa）</w:t>
      </w:r>
      <w:r>
        <w:rPr>
          <w:rFonts w:hint="eastAsia"/>
          <w:kern w:val="2"/>
          <w:szCs w:val="21"/>
        </w:rPr>
        <w:t>；</w:t>
      </w:r>
    </w:p>
    <w:p w14:paraId="566F1C13">
      <w:pPr>
        <w:widowControl w:val="0"/>
        <w:spacing w:line="240" w:lineRule="auto"/>
        <w:ind w:firstLine="420" w:firstLineChars="200"/>
        <w:textAlignment w:val="auto"/>
        <w:rPr>
          <w:kern w:val="2"/>
          <w:szCs w:val="21"/>
        </w:rPr>
      </w:pPr>
      <w:r>
        <w:rPr>
          <w:i/>
          <w:kern w:val="2"/>
          <w:szCs w:val="21"/>
        </w:rPr>
        <w:t>ρ</w:t>
      </w:r>
      <w:r>
        <w:rPr>
          <w:kern w:val="2"/>
          <w:szCs w:val="21"/>
        </w:rPr>
        <w:t>——</w:t>
      </w:r>
      <w:r>
        <w:rPr>
          <w:rFonts w:hint="eastAsia"/>
          <w:kern w:val="2"/>
          <w:szCs w:val="21"/>
        </w:rPr>
        <w:t>液体密度，单位为千克</w:t>
      </w:r>
      <w:r>
        <w:rPr>
          <w:kern w:val="2"/>
          <w:szCs w:val="21"/>
        </w:rPr>
        <w:t>每立方米（kg/m</w:t>
      </w:r>
      <w:r>
        <w:rPr>
          <w:kern w:val="2"/>
          <w:szCs w:val="21"/>
          <w:vertAlign w:val="superscript"/>
        </w:rPr>
        <w:t>3</w:t>
      </w:r>
      <w:r>
        <w:rPr>
          <w:kern w:val="2"/>
          <w:szCs w:val="21"/>
        </w:rPr>
        <w:t>）</w:t>
      </w:r>
      <w:r>
        <w:rPr>
          <w:rFonts w:hint="eastAsia"/>
          <w:kern w:val="2"/>
          <w:szCs w:val="21"/>
        </w:rPr>
        <w:t>；</w:t>
      </w:r>
    </w:p>
    <w:p w14:paraId="7F94D945">
      <w:pPr>
        <w:widowControl w:val="0"/>
        <w:spacing w:line="240" w:lineRule="auto"/>
        <w:ind w:firstLine="420" w:firstLineChars="200"/>
        <w:textAlignment w:val="auto"/>
        <w:rPr>
          <w:kern w:val="2"/>
          <w:szCs w:val="21"/>
        </w:rPr>
      </w:pPr>
      <w:r>
        <w:rPr>
          <w:kern w:val="2"/>
          <w:position w:val="-6"/>
          <w:szCs w:val="21"/>
        </w:rPr>
        <w:object>
          <v:shape id="_x0000_i1027" o:spt="75" type="#_x0000_t75" style="height:15pt;width:11.25pt;" o:ole="t" filled="f" o:preferrelative="t" stroked="f" coordsize="21600,21600">
            <v:path/>
            <v:fill on="f" focussize="0,0"/>
            <v:stroke on="f" joinstyle="miter"/>
            <v:imagedata r:id="rId23" o:title=""/>
            <o:lock v:ext="edit" aspectratio="t"/>
            <w10:wrap type="none"/>
            <w10:anchorlock/>
          </v:shape>
          <o:OLEObject Type="Embed" ProgID="Equation.3" ShapeID="_x0000_i1027" DrawAspect="Content" ObjectID="_1468075727" r:id="rId22">
            <o:LockedField>false</o:LockedField>
          </o:OLEObject>
        </w:object>
      </w:r>
      <w:r>
        <w:rPr>
          <w:kern w:val="2"/>
          <w:szCs w:val="21"/>
        </w:rPr>
        <w:t>——</w:t>
      </w:r>
      <w:r>
        <w:rPr>
          <w:rFonts w:hint="eastAsia"/>
          <w:kern w:val="2"/>
          <w:szCs w:val="21"/>
        </w:rPr>
        <w:t>液体平均瞬时流速，单位为米</w:t>
      </w:r>
      <w:r>
        <w:rPr>
          <w:kern w:val="2"/>
          <w:szCs w:val="21"/>
        </w:rPr>
        <w:t>每秒（m/s）</w:t>
      </w:r>
      <w:r>
        <w:rPr>
          <w:rFonts w:hint="eastAsia"/>
          <w:kern w:val="2"/>
          <w:szCs w:val="21"/>
        </w:rPr>
        <w:t>；</w:t>
      </w:r>
    </w:p>
    <w:p w14:paraId="0C601A24">
      <w:pPr>
        <w:widowControl w:val="0"/>
        <w:spacing w:line="240" w:lineRule="auto"/>
        <w:ind w:firstLine="420" w:firstLineChars="200"/>
        <w:textAlignment w:val="auto"/>
        <w:rPr>
          <w:kern w:val="2"/>
          <w:szCs w:val="21"/>
        </w:rPr>
      </w:pPr>
      <w:r>
        <w:rPr>
          <w:i/>
          <w:kern w:val="2"/>
          <w:szCs w:val="21"/>
        </w:rPr>
        <w:t>α</w:t>
      </w:r>
      <w:r>
        <w:rPr>
          <w:kern w:val="2"/>
          <w:szCs w:val="21"/>
        </w:rPr>
        <w:t>——</w:t>
      </w:r>
      <w:r>
        <w:rPr>
          <w:rFonts w:hint="eastAsia"/>
          <w:kern w:val="2"/>
          <w:szCs w:val="21"/>
        </w:rPr>
        <w:t>无量纲速率轮廓修正系数，其取值为：对于层流，</w:t>
      </w:r>
      <w:r>
        <w:rPr>
          <w:i/>
          <w:kern w:val="2"/>
          <w:szCs w:val="21"/>
        </w:rPr>
        <w:t>α</w:t>
      </w:r>
      <w:r>
        <w:rPr>
          <w:rFonts w:hint="eastAsia"/>
          <w:kern w:val="2"/>
          <w:szCs w:val="21"/>
        </w:rPr>
        <w:t>取</w:t>
      </w:r>
      <w:r>
        <w:rPr>
          <w:kern w:val="2"/>
          <w:szCs w:val="21"/>
        </w:rPr>
        <w:t>0.5</w:t>
      </w:r>
      <w:r>
        <w:rPr>
          <w:rFonts w:hint="eastAsia"/>
          <w:kern w:val="2"/>
          <w:szCs w:val="21"/>
        </w:rPr>
        <w:t>；对于湍流，</w:t>
      </w:r>
      <w:r>
        <w:rPr>
          <w:i/>
          <w:kern w:val="2"/>
          <w:szCs w:val="21"/>
        </w:rPr>
        <w:t>α</w:t>
      </w:r>
      <w:r>
        <w:rPr>
          <w:rFonts w:hint="eastAsia"/>
          <w:kern w:val="2"/>
          <w:szCs w:val="21"/>
        </w:rPr>
        <w:t>取</w:t>
      </w:r>
      <w:r>
        <w:rPr>
          <w:kern w:val="2"/>
          <w:szCs w:val="21"/>
        </w:rPr>
        <w:t>1.0</w:t>
      </w:r>
      <w:r>
        <w:rPr>
          <w:rFonts w:hint="eastAsia"/>
          <w:kern w:val="2"/>
          <w:szCs w:val="21"/>
        </w:rPr>
        <w:t>；</w:t>
      </w:r>
      <w:r>
        <w:rPr>
          <w:kern w:val="2"/>
          <w:szCs w:val="21"/>
        </w:rPr>
        <w:t xml:space="preserve"> </w:t>
      </w:r>
    </w:p>
    <w:p w14:paraId="5DD7841C">
      <w:pPr>
        <w:widowControl w:val="0"/>
        <w:spacing w:line="240" w:lineRule="auto"/>
        <w:ind w:firstLine="420" w:firstLineChars="200"/>
        <w:textAlignment w:val="auto"/>
        <w:rPr>
          <w:kern w:val="2"/>
          <w:szCs w:val="21"/>
        </w:rPr>
      </w:pPr>
      <w:r>
        <w:rPr>
          <w:i/>
          <w:kern w:val="2"/>
          <w:szCs w:val="21"/>
        </w:rPr>
        <w:t>g</w:t>
      </w:r>
      <w:r>
        <w:rPr>
          <w:kern w:val="2"/>
          <w:szCs w:val="21"/>
        </w:rPr>
        <w:t>——</w:t>
      </w:r>
      <w:r>
        <w:rPr>
          <w:rFonts w:hint="eastAsia"/>
          <w:kern w:val="2"/>
          <w:szCs w:val="21"/>
        </w:rPr>
        <w:t>重力加速度，单位为米</w:t>
      </w:r>
      <w:r>
        <w:rPr>
          <w:kern w:val="2"/>
          <w:szCs w:val="21"/>
        </w:rPr>
        <w:t>每二次方秒（m/s</w:t>
      </w:r>
      <w:r>
        <w:rPr>
          <w:kern w:val="2"/>
          <w:szCs w:val="21"/>
          <w:vertAlign w:val="superscript"/>
        </w:rPr>
        <w:t>2</w:t>
      </w:r>
      <w:r>
        <w:rPr>
          <w:kern w:val="2"/>
          <w:szCs w:val="21"/>
        </w:rPr>
        <w:t>）</w:t>
      </w:r>
      <w:r>
        <w:rPr>
          <w:rFonts w:hint="eastAsia"/>
          <w:kern w:val="2"/>
          <w:szCs w:val="21"/>
        </w:rPr>
        <w:t>；</w:t>
      </w:r>
    </w:p>
    <w:p w14:paraId="2FF40662">
      <w:pPr>
        <w:widowControl w:val="0"/>
        <w:spacing w:line="240" w:lineRule="auto"/>
        <w:ind w:firstLine="420" w:firstLineChars="200"/>
        <w:textAlignment w:val="auto"/>
        <w:rPr>
          <w:kern w:val="2"/>
          <w:szCs w:val="21"/>
        </w:rPr>
      </w:pPr>
      <w:r>
        <w:rPr>
          <w:kern w:val="2"/>
          <w:szCs w:val="21"/>
        </w:rPr>
        <w:t>Δ</w:t>
      </w:r>
      <w:r>
        <w:rPr>
          <w:i/>
          <w:kern w:val="2"/>
          <w:szCs w:val="21"/>
        </w:rPr>
        <w:t>Z</w:t>
      </w:r>
      <w:r>
        <w:rPr>
          <w:kern w:val="2"/>
          <w:szCs w:val="21"/>
        </w:rPr>
        <w:t>——</w:t>
      </w:r>
      <w:r>
        <w:rPr>
          <w:rFonts w:hint="eastAsia"/>
          <w:kern w:val="2"/>
          <w:szCs w:val="21"/>
        </w:rPr>
        <w:t>终止状态减去初始状态的高度差，单位为米</w:t>
      </w:r>
      <w:r>
        <w:rPr>
          <w:kern w:val="2"/>
          <w:szCs w:val="21"/>
        </w:rPr>
        <w:t>（m）</w:t>
      </w:r>
      <w:r>
        <w:rPr>
          <w:rFonts w:hint="eastAsia"/>
          <w:kern w:val="2"/>
          <w:szCs w:val="21"/>
        </w:rPr>
        <w:t>；</w:t>
      </w:r>
    </w:p>
    <w:p w14:paraId="3FA599C5">
      <w:pPr>
        <w:widowControl w:val="0"/>
        <w:spacing w:line="240" w:lineRule="auto"/>
        <w:ind w:left="945" w:leftChars="200" w:hanging="525" w:hangingChars="250"/>
        <w:textAlignment w:val="auto"/>
        <w:rPr>
          <w:kern w:val="2"/>
          <w:szCs w:val="21"/>
        </w:rPr>
      </w:pPr>
      <w:r>
        <w:rPr>
          <w:i/>
          <w:kern w:val="2"/>
          <w:szCs w:val="21"/>
        </w:rPr>
        <w:t>F</w:t>
      </w:r>
      <w:r>
        <w:rPr>
          <w:kern w:val="2"/>
          <w:szCs w:val="21"/>
        </w:rPr>
        <w:t>——</w:t>
      </w:r>
      <w:r>
        <w:rPr>
          <w:rFonts w:hint="eastAsia"/>
          <w:kern w:val="2"/>
          <w:szCs w:val="21"/>
        </w:rPr>
        <w:t>摩擦导致的机械能损失，包括来自流经管道长度的摩擦损失，适用于诸如阀门、弯头、孔、管道的进口和出口，单位为米牛顿</w:t>
      </w:r>
      <w:r>
        <w:rPr>
          <w:kern w:val="2"/>
          <w:szCs w:val="21"/>
        </w:rPr>
        <w:t>每千克（m·N/kg）</w:t>
      </w:r>
      <w:r>
        <w:rPr>
          <w:rFonts w:hint="eastAsia"/>
          <w:kern w:val="2"/>
          <w:szCs w:val="21"/>
        </w:rPr>
        <w:t>；</w:t>
      </w:r>
    </w:p>
    <w:p w14:paraId="4F08EEEF">
      <w:pPr>
        <w:widowControl w:val="0"/>
        <w:spacing w:line="240" w:lineRule="auto"/>
        <w:ind w:left="420" w:leftChars="200"/>
        <w:textAlignment w:val="auto"/>
        <w:rPr>
          <w:kern w:val="2"/>
          <w:szCs w:val="21"/>
        </w:rPr>
      </w:pPr>
      <w:r>
        <w:rPr>
          <w:i/>
          <w:kern w:val="2"/>
          <w:szCs w:val="21"/>
        </w:rPr>
        <w:t>Ws</w:t>
      </w:r>
      <w:r>
        <w:rPr>
          <w:kern w:val="2"/>
          <w:szCs w:val="21"/>
        </w:rPr>
        <w:t>——</w:t>
      </w:r>
      <w:r>
        <w:rPr>
          <w:rFonts w:hint="eastAsia"/>
          <w:kern w:val="2"/>
          <w:szCs w:val="21"/>
        </w:rPr>
        <w:t>轴功，单位为帕斯卡</w:t>
      </w:r>
      <w:r>
        <w:rPr>
          <w:kern w:val="2"/>
          <w:szCs w:val="21"/>
        </w:rPr>
        <w:t>米（Pa·m）</w:t>
      </w:r>
      <w:r>
        <w:rPr>
          <w:rFonts w:hint="eastAsia"/>
          <w:kern w:val="2"/>
          <w:szCs w:val="21"/>
        </w:rPr>
        <w:t>；</w:t>
      </w:r>
    </w:p>
    <w:p w14:paraId="24C334E5">
      <w:pPr>
        <w:widowControl w:val="0"/>
        <w:spacing w:line="240" w:lineRule="auto"/>
        <w:ind w:left="420" w:leftChars="200"/>
        <w:textAlignment w:val="auto"/>
        <w:rPr>
          <w:kern w:val="2"/>
          <w:szCs w:val="21"/>
        </w:rPr>
      </w:pPr>
      <w:r>
        <w:rPr>
          <w:i/>
          <w:kern w:val="2"/>
          <w:szCs w:val="21"/>
        </w:rPr>
        <w:t>m</w:t>
      </w:r>
      <w:r>
        <w:rPr>
          <w:kern w:val="2"/>
          <w:szCs w:val="21"/>
        </w:rPr>
        <w:t>——</w:t>
      </w:r>
      <w:r>
        <w:rPr>
          <w:rFonts w:hint="eastAsia"/>
          <w:kern w:val="2"/>
          <w:szCs w:val="21"/>
        </w:rPr>
        <w:t>质量流速，单位为千克</w:t>
      </w:r>
      <w:r>
        <w:rPr>
          <w:kern w:val="2"/>
          <w:szCs w:val="21"/>
        </w:rPr>
        <w:t>每秒（kg/s）</w:t>
      </w:r>
      <w:r>
        <w:rPr>
          <w:rFonts w:hint="eastAsia"/>
          <w:kern w:val="2"/>
          <w:szCs w:val="21"/>
        </w:rPr>
        <w:t>。</w:t>
      </w:r>
    </w:p>
    <w:p w14:paraId="6FD10882">
      <w:pPr>
        <w:widowControl w:val="0"/>
        <w:spacing w:line="240" w:lineRule="auto"/>
        <w:textAlignment w:val="auto"/>
        <w:rPr>
          <w:rFonts w:hint="eastAsia" w:hAnsi="宋体"/>
          <w:kern w:val="2"/>
          <w:szCs w:val="32"/>
        </w:rPr>
      </w:pPr>
      <w:r>
        <w:rPr>
          <w:rFonts w:hint="eastAsia" w:hAnsi="宋体"/>
          <w:kern w:val="2"/>
          <w:szCs w:val="32"/>
        </w:rPr>
        <w:t>B.5.1.3.3  气体经孔泄漏</w:t>
      </w:r>
    </w:p>
    <w:p w14:paraId="414062D4">
      <w:pPr>
        <w:widowControl w:val="0"/>
        <w:spacing w:line="240" w:lineRule="auto"/>
        <w:ind w:firstLine="420" w:firstLineChars="200"/>
        <w:textAlignment w:val="auto"/>
        <w:rPr>
          <w:kern w:val="2"/>
          <w:szCs w:val="32"/>
        </w:rPr>
      </w:pPr>
      <w:r>
        <w:rPr>
          <w:rFonts w:hint="eastAsia"/>
          <w:kern w:val="2"/>
          <w:szCs w:val="32"/>
        </w:rPr>
        <w:t>当式（B</w:t>
      </w:r>
      <w:r>
        <w:rPr>
          <w:kern w:val="2"/>
          <w:szCs w:val="32"/>
        </w:rPr>
        <w:t>.3</w:t>
      </w:r>
      <w:r>
        <w:rPr>
          <w:rFonts w:hint="eastAsia"/>
          <w:kern w:val="2"/>
          <w:szCs w:val="32"/>
        </w:rPr>
        <w:t>）成立时，气体流动属音速流动；当式（B</w:t>
      </w:r>
      <w:r>
        <w:rPr>
          <w:kern w:val="2"/>
          <w:szCs w:val="32"/>
        </w:rPr>
        <w:t>.4</w:t>
      </w:r>
      <w:r>
        <w:rPr>
          <w:rFonts w:hint="eastAsia"/>
          <w:kern w:val="2"/>
          <w:szCs w:val="32"/>
        </w:rPr>
        <w:t>）成立时，气体流动属亚音速流动。</w:t>
      </w:r>
    </w:p>
    <w:p w14:paraId="5E1C45BE">
      <w:pPr>
        <w:pStyle w:val="163"/>
        <w:tabs>
          <w:tab w:val="right" w:leader="middleDot" w:pos="9450"/>
          <w:tab w:val="clear" w:pos="9660"/>
        </w:tabs>
      </w:pPr>
      <w:r>
        <w:tab/>
      </w:r>
      <w:r>
        <w:object>
          <v:shape id="_x0000_i1028" o:spt="75" type="#_x0000_t75" style="height:39.75pt;width:69pt;" o:ole="t" filled="f" o:preferrelative="t" stroked="f" coordsize="21600,21600">
            <v:path/>
            <v:fill on="f" focussize="0,0"/>
            <v:stroke on="f" joinstyle="miter"/>
            <v:imagedata r:id="rId25" o:title=""/>
            <o:lock v:ext="edit" aspectratio="f"/>
            <w10:wrap type="none"/>
            <w10:anchorlock/>
          </v:shape>
          <o:OLEObject Type="Embed" ProgID="Equation.3" ShapeID="_x0000_i1028" DrawAspect="Content" ObjectID="_1468075728" r:id="rId24">
            <o:LockedField>false</o:LockedField>
          </o:OLEObject>
        </w:object>
      </w:r>
      <w:r>
        <w:tab/>
      </w:r>
      <w:r>
        <w:rPr>
          <w:rFonts w:hint="eastAsia"/>
        </w:rPr>
        <w:t>（</w:t>
      </w:r>
      <w:r>
        <w:rPr>
          <w:rFonts w:hint="eastAsia"/>
          <w:lang w:val="en-US"/>
        </w:rPr>
        <w:t>B</w:t>
      </w:r>
      <w:r>
        <w:t>.3</w:t>
      </w:r>
      <w:r>
        <w:rPr>
          <w:rFonts w:hint="eastAsia"/>
        </w:rPr>
        <w:t>）</w:t>
      </w:r>
    </w:p>
    <w:p w14:paraId="7DAC64FC">
      <w:pPr>
        <w:pStyle w:val="163"/>
        <w:tabs>
          <w:tab w:val="right" w:leader="middleDot" w:pos="9450"/>
          <w:tab w:val="clear" w:pos="9660"/>
        </w:tabs>
      </w:pPr>
      <w:r>
        <w:tab/>
      </w:r>
      <w:r>
        <w:object>
          <v:shape id="_x0000_i1029" o:spt="75" type="#_x0000_t75" style="height:39.75pt;width:68.25pt;" o:ole="t" filled="f" o:preferrelative="t" stroked="f" coordsize="21600,21600">
            <v:path/>
            <v:fill on="f" focussize="0,0"/>
            <v:stroke on="f" joinstyle="miter"/>
            <v:imagedata r:id="rId27" o:title=""/>
            <o:lock v:ext="edit" aspectratio="f"/>
            <w10:wrap type="none"/>
            <w10:anchorlock/>
          </v:shape>
          <o:OLEObject Type="Embed" ProgID="Equation.3" ShapeID="_x0000_i1029" DrawAspect="Content" ObjectID="_1468075729" r:id="rId26">
            <o:LockedField>false</o:LockedField>
          </o:OLEObject>
        </w:object>
      </w:r>
      <w:r>
        <w:tab/>
      </w:r>
      <w:r>
        <w:rPr>
          <w:rFonts w:hint="eastAsia"/>
        </w:rPr>
        <w:t>（</w:t>
      </w:r>
      <w:r>
        <w:rPr>
          <w:rFonts w:hint="eastAsia"/>
          <w:lang w:val="en-US"/>
        </w:rPr>
        <w:t>B.</w:t>
      </w:r>
      <w:r>
        <w:t>4</w:t>
      </w:r>
      <w:r>
        <w:rPr>
          <w:rFonts w:hint="eastAsia"/>
        </w:rPr>
        <w:t>）</w:t>
      </w:r>
    </w:p>
    <w:p w14:paraId="59AB0504">
      <w:pPr>
        <w:widowControl w:val="0"/>
        <w:spacing w:line="240" w:lineRule="auto"/>
        <w:ind w:firstLine="420" w:firstLineChars="200"/>
        <w:textAlignment w:val="auto"/>
        <w:rPr>
          <w:kern w:val="2"/>
          <w:szCs w:val="32"/>
        </w:rPr>
      </w:pPr>
      <w:r>
        <w:rPr>
          <w:rFonts w:hint="eastAsia"/>
          <w:kern w:val="2"/>
          <w:szCs w:val="32"/>
        </w:rPr>
        <w:t>式中：</w:t>
      </w:r>
    </w:p>
    <w:p w14:paraId="10EC52D5">
      <w:pPr>
        <w:widowControl w:val="0"/>
        <w:spacing w:line="240" w:lineRule="auto"/>
        <w:ind w:firstLine="420" w:firstLineChars="200"/>
        <w:textAlignment w:val="auto"/>
        <w:rPr>
          <w:kern w:val="2"/>
          <w:szCs w:val="32"/>
        </w:rPr>
      </w:pPr>
      <w:r>
        <w:rPr>
          <w:i/>
          <w:iCs/>
          <w:kern w:val="2"/>
          <w:szCs w:val="24"/>
        </w:rPr>
        <w:t>P</w:t>
      </w:r>
      <w:r>
        <w:rPr>
          <w:i/>
          <w:iCs/>
          <w:kern w:val="2"/>
          <w:szCs w:val="24"/>
          <w:vertAlign w:val="subscript"/>
        </w:rPr>
        <w:t>0</w:t>
      </w:r>
      <w:r>
        <w:rPr>
          <w:kern w:val="2"/>
          <w:szCs w:val="32"/>
        </w:rPr>
        <w:t>——</w:t>
      </w:r>
      <w:r>
        <w:rPr>
          <w:rFonts w:hint="eastAsia"/>
          <w:kern w:val="2"/>
          <w:szCs w:val="32"/>
        </w:rPr>
        <w:t>环境压力，单位为帕斯卡</w:t>
      </w:r>
      <w:r>
        <w:rPr>
          <w:kern w:val="2"/>
          <w:szCs w:val="32"/>
        </w:rPr>
        <w:t>（Pa）</w:t>
      </w:r>
      <w:r>
        <w:rPr>
          <w:rFonts w:hint="eastAsia"/>
          <w:kern w:val="2"/>
          <w:szCs w:val="32"/>
        </w:rPr>
        <w:t>；</w:t>
      </w:r>
    </w:p>
    <w:p w14:paraId="553269D4">
      <w:pPr>
        <w:widowControl w:val="0"/>
        <w:spacing w:line="240" w:lineRule="auto"/>
        <w:ind w:firstLine="420" w:firstLineChars="200"/>
        <w:textAlignment w:val="auto"/>
        <w:rPr>
          <w:kern w:val="2"/>
          <w:szCs w:val="32"/>
        </w:rPr>
      </w:pPr>
      <w:r>
        <w:rPr>
          <w:i/>
          <w:kern w:val="2"/>
          <w:szCs w:val="32"/>
        </w:rPr>
        <w:t>P</w:t>
      </w:r>
      <w:r>
        <w:rPr>
          <w:kern w:val="2"/>
          <w:szCs w:val="32"/>
        </w:rPr>
        <w:t>——</w:t>
      </w:r>
      <w:r>
        <w:rPr>
          <w:rFonts w:hint="eastAsia"/>
          <w:kern w:val="2"/>
          <w:szCs w:val="32"/>
        </w:rPr>
        <w:t>管道内介质压力，单位为帕斯卡</w:t>
      </w:r>
      <w:r>
        <w:rPr>
          <w:kern w:val="2"/>
          <w:szCs w:val="32"/>
        </w:rPr>
        <w:t>（Pa）</w:t>
      </w:r>
      <w:r>
        <w:rPr>
          <w:rFonts w:hint="eastAsia"/>
          <w:kern w:val="2"/>
          <w:szCs w:val="32"/>
        </w:rPr>
        <w:t>；</w:t>
      </w:r>
    </w:p>
    <w:p w14:paraId="0A12C98E">
      <w:pPr>
        <w:widowControl w:val="0"/>
        <w:topLinePunct/>
        <w:autoSpaceDE w:val="0"/>
        <w:autoSpaceDN w:val="0"/>
        <w:spacing w:line="240" w:lineRule="auto"/>
        <w:ind w:firstLine="420" w:firstLineChars="200"/>
        <w:textAlignment w:val="auto"/>
        <w:rPr>
          <w:kern w:val="2"/>
          <w:szCs w:val="21"/>
        </w:rPr>
      </w:pPr>
      <w:r>
        <w:rPr>
          <w:kern w:val="2"/>
          <w:position w:val="-10"/>
          <w:szCs w:val="24"/>
        </w:rPr>
        <w:object>
          <v:shape id="_x0000_i1030" o:spt="75" type="#_x0000_t75" style="height:11.25pt;width:11.25pt;" o:ole="t" filled="f" o:preferrelative="t" stroked="f" coordsize="21600,21600">
            <v:path/>
            <v:fill on="f" focussize="0,0"/>
            <v:stroke on="f" joinstyle="miter"/>
            <v:imagedata r:id="rId29" o:title=""/>
            <o:lock v:ext="edit" aspectratio="t"/>
            <w10:wrap type="none"/>
            <w10:anchorlock/>
          </v:shape>
          <o:OLEObject Type="Embed" ProgID="Equation.3" ShapeID="_x0000_i1030" DrawAspect="Content" ObjectID="_1468075730" r:id="rId28">
            <o:LockedField>false</o:LockedField>
          </o:OLEObject>
        </w:object>
      </w:r>
      <w:r>
        <w:rPr>
          <w:kern w:val="2"/>
          <w:szCs w:val="21"/>
        </w:rPr>
        <w:t>——</w:t>
      </w:r>
      <w:r>
        <w:rPr>
          <w:rFonts w:hint="eastAsia"/>
          <w:kern w:val="2"/>
          <w:szCs w:val="21"/>
        </w:rPr>
        <w:t>绝热指数，</w:t>
      </w:r>
      <w:r>
        <w:rPr>
          <w:kern w:val="2"/>
          <w:position w:val="-10"/>
          <w:szCs w:val="24"/>
        </w:rPr>
        <w:object>
          <v:shape id="_x0000_i1031" o:spt="75" type="#_x0000_t75" style="height:11.25pt;width:11.25pt;" o:ole="t" filled="f" o:preferrelative="t" stroked="f" coordsize="21600,21600">
            <v:path/>
            <v:fill on="f" focussize="0,0"/>
            <v:stroke on="f" joinstyle="miter"/>
            <v:imagedata r:id="rId29" o:title=""/>
            <o:lock v:ext="edit" aspectratio="t"/>
            <w10:wrap type="none"/>
            <w10:anchorlock/>
          </v:shape>
          <o:OLEObject Type="Embed" ProgID="Equation.3" ShapeID="_x0000_i1031" DrawAspect="Content" ObjectID="_1468075731" r:id="rId30">
            <o:LockedField>false</o:LockedField>
          </o:OLEObject>
        </w:object>
      </w:r>
      <w:r>
        <w:rPr>
          <w:kern w:val="2"/>
          <w:szCs w:val="21"/>
        </w:rPr>
        <w:t>=c</w:t>
      </w:r>
      <w:r>
        <w:rPr>
          <w:kern w:val="2"/>
          <w:szCs w:val="21"/>
          <w:vertAlign w:val="subscript"/>
        </w:rPr>
        <w:t>p</w:t>
      </w:r>
      <w:r>
        <w:rPr>
          <w:kern w:val="2"/>
          <w:szCs w:val="21"/>
        </w:rPr>
        <w:t>/c</w:t>
      </w:r>
      <w:r>
        <w:rPr>
          <w:kern w:val="2"/>
          <w:szCs w:val="21"/>
          <w:vertAlign w:val="subscript"/>
        </w:rPr>
        <w:t>v</w:t>
      </w:r>
      <w:r>
        <w:rPr>
          <w:rFonts w:hint="eastAsia"/>
          <w:kern w:val="2"/>
          <w:szCs w:val="21"/>
        </w:rPr>
        <w:t>。</w:t>
      </w:r>
    </w:p>
    <w:p w14:paraId="0DCAF068">
      <w:pPr>
        <w:widowControl w:val="0"/>
        <w:spacing w:line="240" w:lineRule="auto"/>
        <w:ind w:firstLine="420" w:firstLineChars="200"/>
        <w:textAlignment w:val="auto"/>
        <w:rPr>
          <w:kern w:val="2"/>
          <w:szCs w:val="32"/>
        </w:rPr>
      </w:pPr>
      <w:r>
        <w:rPr>
          <w:rFonts w:hint="eastAsia"/>
          <w:kern w:val="2"/>
          <w:szCs w:val="32"/>
        </w:rPr>
        <w:t>音速流动的气体泄漏质量流率</w:t>
      </w:r>
      <w:r>
        <w:rPr>
          <w:rFonts w:hint="eastAsia"/>
          <w:kern w:val="2"/>
          <w:szCs w:val="21"/>
        </w:rPr>
        <w:t>可按式</w:t>
      </w:r>
      <w:r>
        <w:rPr>
          <w:rFonts w:hint="eastAsia"/>
          <w:kern w:val="2"/>
          <w:szCs w:val="21"/>
          <w:lang w:val="es-ES"/>
        </w:rPr>
        <w:t>（</w:t>
      </w:r>
      <w:r>
        <w:rPr>
          <w:rFonts w:hint="eastAsia"/>
          <w:kern w:val="2"/>
          <w:szCs w:val="21"/>
        </w:rPr>
        <w:t>B.5</w:t>
      </w:r>
      <w:r>
        <w:rPr>
          <w:rFonts w:hint="eastAsia"/>
          <w:kern w:val="2"/>
          <w:szCs w:val="21"/>
          <w:lang w:val="es-ES"/>
        </w:rPr>
        <w:t>）</w:t>
      </w:r>
      <w:r>
        <w:rPr>
          <w:rFonts w:hint="eastAsia"/>
          <w:kern w:val="2"/>
          <w:szCs w:val="21"/>
        </w:rPr>
        <w:t>计算：</w:t>
      </w:r>
      <w:r>
        <w:rPr>
          <w:kern w:val="2"/>
          <w:szCs w:val="32"/>
        </w:rPr>
        <w:t xml:space="preserve"> </w:t>
      </w:r>
    </w:p>
    <w:p w14:paraId="3D757284">
      <w:pPr>
        <w:pStyle w:val="163"/>
        <w:tabs>
          <w:tab w:val="right" w:leader="middleDot" w:pos="9450"/>
          <w:tab w:val="clear" w:pos="9660"/>
        </w:tabs>
      </w:pPr>
      <w:r>
        <w:tab/>
      </w:r>
      <w:r>
        <w:object>
          <v:shape id="_x0000_i1032" o:spt="75" type="#_x0000_t75" style="height:44.25pt;width:120pt;" o:ole="t" filled="f" o:preferrelative="t" stroked="f" coordsize="21600,21600">
            <v:path/>
            <v:fill on="f" focussize="0,0"/>
            <v:stroke on="f" joinstyle="miter"/>
            <v:imagedata r:id="rId32" o:title=""/>
            <o:lock v:ext="edit" aspectratio="f"/>
            <w10:wrap type="none"/>
            <w10:anchorlock/>
          </v:shape>
          <o:OLEObject Type="Embed" ProgID="Equation.3" ShapeID="_x0000_i1032" DrawAspect="Content" ObjectID="_1468075732" r:id="rId31">
            <o:LockedField>false</o:LockedField>
          </o:OLEObject>
        </w:object>
      </w:r>
      <w:r>
        <w:tab/>
      </w:r>
      <w:r>
        <w:rPr>
          <w:rFonts w:hint="eastAsia"/>
        </w:rPr>
        <w:t>（</w:t>
      </w:r>
      <w:r>
        <w:rPr>
          <w:rFonts w:hint="eastAsia"/>
          <w:lang w:val="en-US"/>
        </w:rPr>
        <w:t>B.5</w:t>
      </w:r>
      <w:r>
        <w:rPr>
          <w:rFonts w:hint="eastAsia"/>
        </w:rPr>
        <w:t>）</w:t>
      </w:r>
    </w:p>
    <w:p w14:paraId="5DB6F649">
      <w:pPr>
        <w:widowControl w:val="0"/>
        <w:spacing w:line="240" w:lineRule="auto"/>
        <w:ind w:firstLine="420" w:firstLineChars="200"/>
        <w:textAlignment w:val="auto"/>
        <w:rPr>
          <w:kern w:val="2"/>
          <w:szCs w:val="32"/>
        </w:rPr>
      </w:pPr>
      <w:r>
        <w:rPr>
          <w:rFonts w:hint="eastAsia"/>
          <w:kern w:val="2"/>
          <w:szCs w:val="32"/>
        </w:rPr>
        <w:t>亚音速流动的气体泄漏质量流率</w:t>
      </w:r>
      <w:r>
        <w:rPr>
          <w:rFonts w:hint="eastAsia"/>
          <w:kern w:val="2"/>
          <w:szCs w:val="21"/>
        </w:rPr>
        <w:t>可按式</w:t>
      </w:r>
      <w:r>
        <w:rPr>
          <w:rFonts w:hint="eastAsia"/>
          <w:kern w:val="2"/>
          <w:szCs w:val="21"/>
          <w:lang w:val="es-ES"/>
        </w:rPr>
        <w:t>（</w:t>
      </w:r>
      <w:r>
        <w:rPr>
          <w:rFonts w:hint="eastAsia"/>
          <w:kern w:val="2"/>
          <w:szCs w:val="21"/>
        </w:rPr>
        <w:t>B.6</w:t>
      </w:r>
      <w:r>
        <w:rPr>
          <w:rFonts w:hint="eastAsia"/>
          <w:kern w:val="2"/>
          <w:szCs w:val="21"/>
          <w:lang w:val="es-ES"/>
        </w:rPr>
        <w:t>）</w:t>
      </w:r>
      <w:r>
        <w:rPr>
          <w:rFonts w:hint="eastAsia"/>
          <w:kern w:val="2"/>
          <w:szCs w:val="21"/>
        </w:rPr>
        <w:t>计算</w:t>
      </w:r>
      <w:r>
        <w:rPr>
          <w:rFonts w:hint="eastAsia"/>
          <w:kern w:val="2"/>
          <w:szCs w:val="32"/>
        </w:rPr>
        <w:t>：</w:t>
      </w:r>
    </w:p>
    <w:p w14:paraId="4F134189">
      <w:pPr>
        <w:pStyle w:val="163"/>
        <w:tabs>
          <w:tab w:val="right" w:leader="middleDot" w:pos="9450"/>
          <w:tab w:val="clear" w:pos="9660"/>
        </w:tabs>
      </w:pPr>
      <w:r>
        <w:tab/>
      </w:r>
      <w:r>
        <w:object>
          <v:shape id="_x0000_i1033" o:spt="75" type="#_x0000_t75" style="height:44.25pt;width:125.25pt;" o:ole="t" filled="f" o:preferrelative="t" stroked="f" coordsize="21600,21600">
            <v:path/>
            <v:fill on="f" focussize="0,0"/>
            <v:stroke on="f" joinstyle="miter"/>
            <v:imagedata r:id="rId34" o:title=""/>
            <o:lock v:ext="edit" aspectratio="f"/>
            <w10:wrap type="none"/>
            <w10:anchorlock/>
          </v:shape>
          <o:OLEObject Type="Embed" ProgID="Equation.3" ShapeID="_x0000_i1033" DrawAspect="Content" ObjectID="_1468075733" r:id="rId33">
            <o:LockedField>false</o:LockedField>
          </o:OLEObject>
        </w:object>
      </w:r>
      <w:r>
        <w:tab/>
      </w:r>
      <w:r>
        <w:rPr>
          <w:rFonts w:hint="eastAsia"/>
        </w:rPr>
        <w:t>（</w:t>
      </w:r>
      <w:r>
        <w:rPr>
          <w:rFonts w:hint="eastAsia"/>
          <w:lang w:val="en-US"/>
        </w:rPr>
        <w:t>B.</w:t>
      </w:r>
      <w:r>
        <w:t>6</w:t>
      </w:r>
      <w:r>
        <w:rPr>
          <w:rFonts w:hint="eastAsia"/>
        </w:rPr>
        <w:t>）</w:t>
      </w:r>
    </w:p>
    <w:p w14:paraId="30C5F7A4">
      <w:pPr>
        <w:widowControl w:val="0"/>
        <w:spacing w:line="240" w:lineRule="auto"/>
        <w:ind w:firstLine="420" w:firstLineChars="200"/>
        <w:textAlignment w:val="auto"/>
        <w:rPr>
          <w:kern w:val="2"/>
          <w:szCs w:val="32"/>
        </w:rPr>
      </w:pPr>
      <w:r>
        <w:rPr>
          <w:rFonts w:hint="eastAsia"/>
          <w:kern w:val="2"/>
          <w:szCs w:val="32"/>
        </w:rPr>
        <w:t>式中：</w:t>
      </w:r>
    </w:p>
    <w:p w14:paraId="35BA245F">
      <w:pPr>
        <w:widowControl w:val="0"/>
        <w:spacing w:line="240" w:lineRule="auto"/>
        <w:ind w:firstLine="420" w:firstLineChars="200"/>
        <w:textAlignment w:val="auto"/>
        <w:rPr>
          <w:kern w:val="2"/>
          <w:szCs w:val="32"/>
        </w:rPr>
      </w:pPr>
      <w:r>
        <w:rPr>
          <w:i/>
          <w:kern w:val="2"/>
          <w:szCs w:val="32"/>
        </w:rPr>
        <w:t>Q</w:t>
      </w:r>
      <w:r>
        <w:rPr>
          <w:kern w:val="2"/>
          <w:szCs w:val="32"/>
        </w:rPr>
        <w:t>——</w:t>
      </w:r>
      <w:r>
        <w:rPr>
          <w:rFonts w:hint="eastAsia"/>
          <w:kern w:val="2"/>
          <w:szCs w:val="32"/>
        </w:rPr>
        <w:t>气体泄漏质量流率，单位为千克</w:t>
      </w:r>
      <w:r>
        <w:rPr>
          <w:kern w:val="2"/>
          <w:szCs w:val="32"/>
        </w:rPr>
        <w:t>每秒</w:t>
      </w:r>
      <w:r>
        <w:rPr>
          <w:rFonts w:hint="eastAsia"/>
          <w:kern w:val="2"/>
          <w:szCs w:val="32"/>
        </w:rPr>
        <w:t>（</w:t>
      </w:r>
      <w:r>
        <w:rPr>
          <w:kern w:val="2"/>
          <w:szCs w:val="32"/>
        </w:rPr>
        <w:t>kg/s</w:t>
      </w:r>
      <w:r>
        <w:rPr>
          <w:rFonts w:hint="eastAsia"/>
          <w:kern w:val="2"/>
          <w:szCs w:val="32"/>
        </w:rPr>
        <w:t>）；</w:t>
      </w:r>
    </w:p>
    <w:p w14:paraId="41122987">
      <w:pPr>
        <w:widowControl w:val="0"/>
        <w:spacing w:line="240" w:lineRule="auto"/>
        <w:ind w:firstLine="420" w:firstLineChars="200"/>
        <w:textAlignment w:val="auto"/>
        <w:rPr>
          <w:kern w:val="2"/>
          <w:szCs w:val="32"/>
        </w:rPr>
      </w:pPr>
      <w:r>
        <w:rPr>
          <w:i/>
          <w:kern w:val="2"/>
          <w:szCs w:val="32"/>
        </w:rPr>
        <w:t>C</w:t>
      </w:r>
      <w:r>
        <w:rPr>
          <w:i/>
          <w:kern w:val="2"/>
          <w:szCs w:val="32"/>
          <w:vertAlign w:val="subscript"/>
        </w:rPr>
        <w:t>d</w:t>
      </w:r>
      <w:r>
        <w:rPr>
          <w:kern w:val="2"/>
          <w:szCs w:val="32"/>
        </w:rPr>
        <w:t>——</w:t>
      </w:r>
      <w:r>
        <w:rPr>
          <w:rFonts w:hint="eastAsia"/>
          <w:kern w:val="2"/>
          <w:szCs w:val="32"/>
        </w:rPr>
        <w:t>气体泄漏系数，与泄漏孔形状有关，泄漏孔形状为圆形时取</w:t>
      </w:r>
      <w:r>
        <w:rPr>
          <w:kern w:val="2"/>
          <w:szCs w:val="32"/>
        </w:rPr>
        <w:t>1.00</w:t>
      </w:r>
      <w:r>
        <w:rPr>
          <w:rFonts w:hint="eastAsia"/>
          <w:kern w:val="2"/>
          <w:szCs w:val="32"/>
        </w:rPr>
        <w:t>，三角形时取</w:t>
      </w:r>
      <w:r>
        <w:rPr>
          <w:kern w:val="2"/>
          <w:szCs w:val="32"/>
        </w:rPr>
        <w:t>0.95</w:t>
      </w:r>
      <w:r>
        <w:rPr>
          <w:rFonts w:hint="eastAsia"/>
          <w:kern w:val="2"/>
          <w:szCs w:val="32"/>
        </w:rPr>
        <w:t>，长方形时取</w:t>
      </w:r>
      <w:r>
        <w:rPr>
          <w:kern w:val="2"/>
          <w:szCs w:val="32"/>
        </w:rPr>
        <w:t>0.90</w:t>
      </w:r>
      <w:r>
        <w:rPr>
          <w:rFonts w:hint="eastAsia"/>
          <w:kern w:val="2"/>
          <w:szCs w:val="32"/>
        </w:rPr>
        <w:t>；</w:t>
      </w:r>
    </w:p>
    <w:p w14:paraId="70CFF1C9">
      <w:pPr>
        <w:widowControl w:val="0"/>
        <w:spacing w:line="240" w:lineRule="auto"/>
        <w:ind w:firstLine="420" w:firstLineChars="200"/>
        <w:textAlignment w:val="auto"/>
        <w:rPr>
          <w:kern w:val="2"/>
          <w:szCs w:val="32"/>
        </w:rPr>
      </w:pPr>
      <w:r>
        <w:rPr>
          <w:i/>
          <w:kern w:val="2"/>
          <w:szCs w:val="32"/>
        </w:rPr>
        <w:t>A</w:t>
      </w:r>
      <w:r>
        <w:rPr>
          <w:kern w:val="2"/>
          <w:szCs w:val="32"/>
        </w:rPr>
        <w:t>——</w:t>
      </w:r>
      <w:r>
        <w:rPr>
          <w:rFonts w:hint="eastAsia"/>
          <w:kern w:val="2"/>
          <w:szCs w:val="32"/>
        </w:rPr>
        <w:t>泄漏孔面积，单位为平方米</w:t>
      </w:r>
      <w:r>
        <w:rPr>
          <w:kern w:val="2"/>
          <w:szCs w:val="32"/>
        </w:rPr>
        <w:t>（m</w:t>
      </w:r>
      <w:r>
        <w:rPr>
          <w:kern w:val="2"/>
          <w:szCs w:val="32"/>
          <w:vertAlign w:val="superscript"/>
        </w:rPr>
        <w:t>2</w:t>
      </w:r>
      <w:r>
        <w:rPr>
          <w:kern w:val="2"/>
          <w:szCs w:val="32"/>
        </w:rPr>
        <w:t>）</w:t>
      </w:r>
      <w:r>
        <w:rPr>
          <w:rFonts w:hint="eastAsia"/>
          <w:kern w:val="2"/>
          <w:szCs w:val="32"/>
        </w:rPr>
        <w:t>；</w:t>
      </w:r>
    </w:p>
    <w:p w14:paraId="747BB2BD">
      <w:pPr>
        <w:widowControl w:val="0"/>
        <w:spacing w:line="240" w:lineRule="auto"/>
        <w:ind w:firstLine="420" w:firstLineChars="200"/>
        <w:textAlignment w:val="auto"/>
        <w:rPr>
          <w:kern w:val="2"/>
          <w:szCs w:val="32"/>
        </w:rPr>
      </w:pPr>
      <w:r>
        <w:rPr>
          <w:i/>
          <w:kern w:val="2"/>
          <w:szCs w:val="32"/>
        </w:rPr>
        <w:t>P</w:t>
      </w:r>
      <w:r>
        <w:rPr>
          <w:kern w:val="2"/>
          <w:szCs w:val="32"/>
        </w:rPr>
        <w:t>——</w:t>
      </w:r>
      <w:r>
        <w:rPr>
          <w:rFonts w:hint="eastAsia"/>
          <w:kern w:val="2"/>
          <w:szCs w:val="32"/>
        </w:rPr>
        <w:t>管道内介质压力，单位为帕斯卡</w:t>
      </w:r>
      <w:r>
        <w:rPr>
          <w:kern w:val="2"/>
          <w:szCs w:val="32"/>
        </w:rPr>
        <w:t>（Pa）</w:t>
      </w:r>
      <w:r>
        <w:rPr>
          <w:rFonts w:hint="eastAsia"/>
          <w:kern w:val="2"/>
          <w:szCs w:val="32"/>
        </w:rPr>
        <w:t>；</w:t>
      </w:r>
    </w:p>
    <w:p w14:paraId="4884ED47">
      <w:pPr>
        <w:widowControl w:val="0"/>
        <w:spacing w:line="240" w:lineRule="auto"/>
        <w:ind w:firstLine="420" w:firstLineChars="200"/>
        <w:textAlignment w:val="auto"/>
        <w:rPr>
          <w:kern w:val="2"/>
          <w:szCs w:val="32"/>
        </w:rPr>
      </w:pPr>
      <w:r>
        <w:rPr>
          <w:i/>
          <w:kern w:val="2"/>
          <w:szCs w:val="32"/>
        </w:rPr>
        <w:t>M</w:t>
      </w:r>
      <w:r>
        <w:rPr>
          <w:kern w:val="2"/>
          <w:szCs w:val="32"/>
        </w:rPr>
        <w:t>——</w:t>
      </w:r>
      <w:r>
        <w:rPr>
          <w:rFonts w:hint="eastAsia"/>
          <w:kern w:val="2"/>
          <w:szCs w:val="32"/>
        </w:rPr>
        <w:t>泄漏气体或蒸气的相对分子质量；</w:t>
      </w:r>
    </w:p>
    <w:p w14:paraId="2E8F96EF">
      <w:pPr>
        <w:widowControl w:val="0"/>
        <w:spacing w:line="240" w:lineRule="auto"/>
        <w:ind w:firstLine="420" w:firstLineChars="200"/>
        <w:textAlignment w:val="auto"/>
        <w:rPr>
          <w:kern w:val="2"/>
          <w:szCs w:val="32"/>
        </w:rPr>
      </w:pPr>
      <w:r>
        <w:rPr>
          <w:i/>
          <w:kern w:val="2"/>
          <w:szCs w:val="32"/>
        </w:rPr>
        <w:t>R</w:t>
      </w:r>
      <w:r>
        <w:rPr>
          <w:i/>
          <w:kern w:val="2"/>
          <w:szCs w:val="32"/>
          <w:vertAlign w:val="subscript"/>
        </w:rPr>
        <w:t>g</w:t>
      </w:r>
      <w:r>
        <w:rPr>
          <w:kern w:val="2"/>
          <w:szCs w:val="32"/>
        </w:rPr>
        <w:t>——</w:t>
      </w:r>
      <w:r>
        <w:rPr>
          <w:rFonts w:hint="eastAsia"/>
          <w:kern w:val="2"/>
          <w:szCs w:val="32"/>
        </w:rPr>
        <w:t>理想气体常数，单位为焦耳</w:t>
      </w:r>
      <w:r>
        <w:rPr>
          <w:kern w:val="2"/>
          <w:szCs w:val="32"/>
        </w:rPr>
        <w:t>每摩尔开尔文（J /(mol·K</w:t>
      </w:r>
      <w:r>
        <w:rPr>
          <w:rFonts w:hint="eastAsia"/>
          <w:kern w:val="2"/>
          <w:szCs w:val="32"/>
        </w:rPr>
        <w:t>）</w:t>
      </w:r>
      <w:r>
        <w:rPr>
          <w:kern w:val="2"/>
          <w:szCs w:val="32"/>
        </w:rPr>
        <w:t>）</w:t>
      </w:r>
      <w:r>
        <w:rPr>
          <w:rFonts w:hint="eastAsia"/>
          <w:kern w:val="2"/>
          <w:szCs w:val="32"/>
        </w:rPr>
        <w:t>；</w:t>
      </w:r>
    </w:p>
    <w:p w14:paraId="559E1601">
      <w:pPr>
        <w:widowControl w:val="0"/>
        <w:spacing w:line="240" w:lineRule="auto"/>
        <w:ind w:firstLine="420" w:firstLineChars="200"/>
        <w:textAlignment w:val="auto"/>
        <w:rPr>
          <w:kern w:val="2"/>
          <w:szCs w:val="32"/>
        </w:rPr>
      </w:pPr>
      <w:r>
        <w:rPr>
          <w:i/>
          <w:kern w:val="2"/>
          <w:szCs w:val="32"/>
        </w:rPr>
        <w:t>T</w:t>
      </w:r>
      <w:r>
        <w:rPr>
          <w:kern w:val="2"/>
          <w:szCs w:val="32"/>
        </w:rPr>
        <w:t>——</w:t>
      </w:r>
      <w:r>
        <w:rPr>
          <w:rFonts w:hint="eastAsia"/>
          <w:kern w:val="2"/>
          <w:szCs w:val="32"/>
        </w:rPr>
        <w:t>气体温度，单位为开尔文</w:t>
      </w:r>
      <w:r>
        <w:rPr>
          <w:kern w:val="2"/>
          <w:szCs w:val="32"/>
        </w:rPr>
        <w:t>（K）</w:t>
      </w:r>
      <w:r>
        <w:rPr>
          <w:rFonts w:hint="eastAsia"/>
          <w:kern w:val="2"/>
          <w:szCs w:val="32"/>
        </w:rPr>
        <w:t>；</w:t>
      </w:r>
    </w:p>
    <w:p w14:paraId="2CBF13A2">
      <w:pPr>
        <w:widowControl w:val="0"/>
        <w:spacing w:line="240" w:lineRule="auto"/>
        <w:ind w:firstLine="420" w:firstLineChars="200"/>
        <w:textAlignment w:val="auto"/>
        <w:rPr>
          <w:kern w:val="2"/>
          <w:szCs w:val="32"/>
        </w:rPr>
      </w:pPr>
      <w:r>
        <w:rPr>
          <w:i/>
          <w:kern w:val="2"/>
          <w:szCs w:val="32"/>
        </w:rPr>
        <w:t>Y</w:t>
      </w:r>
      <w:r>
        <w:rPr>
          <w:kern w:val="2"/>
          <w:szCs w:val="32"/>
        </w:rPr>
        <w:t>——</w:t>
      </w:r>
      <w:r>
        <w:rPr>
          <w:rFonts w:hint="eastAsia"/>
          <w:kern w:val="2"/>
          <w:szCs w:val="32"/>
        </w:rPr>
        <w:t>流出系数，按式（B</w:t>
      </w:r>
      <w:r>
        <w:rPr>
          <w:kern w:val="2"/>
          <w:szCs w:val="32"/>
        </w:rPr>
        <w:t>.7</w:t>
      </w:r>
      <w:r>
        <w:rPr>
          <w:rFonts w:hint="eastAsia"/>
          <w:kern w:val="2"/>
          <w:szCs w:val="32"/>
        </w:rPr>
        <w:t>）计算。</w:t>
      </w:r>
    </w:p>
    <w:p w14:paraId="3960FD93">
      <w:pPr>
        <w:pStyle w:val="163"/>
        <w:tabs>
          <w:tab w:val="right" w:leader="middleDot" w:pos="9450"/>
          <w:tab w:val="clear" w:pos="9660"/>
        </w:tabs>
      </w:pPr>
      <w:r>
        <w:tab/>
      </w:r>
      <w:r>
        <w:object>
          <v:shape id="_x0000_i1034" o:spt="75" type="#_x0000_t75" style="height:57pt;width:235.5pt;" o:ole="t" filled="f" o:preferrelative="t" stroked="f" coordsize="21600,21600">
            <v:path/>
            <v:fill on="f" focussize="0,0"/>
            <v:stroke on="f" joinstyle="miter"/>
            <v:imagedata r:id="rId36" o:title=""/>
            <o:lock v:ext="edit" aspectratio="f"/>
            <w10:wrap type="none"/>
            <w10:anchorlock/>
          </v:shape>
          <o:OLEObject Type="Embed" ProgID="Equation.3" ShapeID="_x0000_i1034" DrawAspect="Content" ObjectID="_1468075734" r:id="rId35">
            <o:LockedField>false</o:LockedField>
          </o:OLEObject>
        </w:object>
      </w:r>
      <w:r>
        <w:tab/>
      </w:r>
      <w:r>
        <w:rPr>
          <w:rFonts w:hint="eastAsia"/>
        </w:rPr>
        <w:t>（</w:t>
      </w:r>
      <w:r>
        <w:rPr>
          <w:rFonts w:hint="eastAsia"/>
          <w:lang w:val="en-US"/>
        </w:rPr>
        <w:t>B.</w:t>
      </w:r>
      <w:r>
        <w:t>7</w:t>
      </w:r>
      <w:r>
        <w:rPr>
          <w:rFonts w:hint="eastAsia"/>
        </w:rPr>
        <w:t>）</w:t>
      </w:r>
    </w:p>
    <w:p w14:paraId="58ECD46E">
      <w:pPr>
        <w:widowControl w:val="0"/>
        <w:spacing w:line="240" w:lineRule="auto"/>
        <w:textAlignment w:val="auto"/>
        <w:rPr>
          <w:rFonts w:hint="eastAsia" w:hAnsi="宋体"/>
          <w:kern w:val="2"/>
          <w:szCs w:val="32"/>
        </w:rPr>
      </w:pPr>
      <w:r>
        <w:rPr>
          <w:rFonts w:hint="eastAsia" w:hAnsi="宋体"/>
          <w:kern w:val="2"/>
          <w:szCs w:val="32"/>
        </w:rPr>
        <w:t>B.5.1.3.4  气体管道断裂</w:t>
      </w:r>
    </w:p>
    <w:p w14:paraId="109E6C9C">
      <w:pPr>
        <w:pStyle w:val="163"/>
        <w:tabs>
          <w:tab w:val="right" w:leader="middleDot" w:pos="9450"/>
          <w:tab w:val="clear" w:pos="9660"/>
        </w:tabs>
      </w:pPr>
      <w:r>
        <w:tab/>
      </w:r>
      <w:r>
        <w:rPr>
          <w:position w:val="-34"/>
        </w:rPr>
        <w:object>
          <v:shape id="_x0000_i1035" o:spt="75" type="#_x0000_t75" style="height:39pt;width:65.25pt;" o:ole="t" filled="f" o:preferrelative="t" stroked="f" coordsize="21600,21600">
            <v:path/>
            <v:fill on="f" focussize="0,0"/>
            <v:stroke on="f" joinstyle="miter"/>
            <v:imagedata r:id="rId38" o:title=""/>
            <o:lock v:ext="edit" aspectratio="f"/>
            <w10:wrap type="none"/>
            <w10:anchorlock/>
          </v:shape>
          <o:OLEObject Type="Embed" ProgID="Equation.3" ShapeID="_x0000_i1035" DrawAspect="Content" ObjectID="_1468075735" r:id="rId37">
            <o:LockedField>false</o:LockedField>
          </o:OLEObject>
        </w:object>
      </w:r>
      <w:r>
        <w:rPr>
          <w:rFonts w:hint="eastAsia"/>
          <w:lang w:val="en-US"/>
        </w:rPr>
        <w:tab/>
      </w:r>
      <w:r>
        <w:rPr>
          <w:rFonts w:hint="eastAsia"/>
          <w:lang w:val="en-US"/>
        </w:rPr>
        <w:t>（B.8）</w:t>
      </w:r>
    </w:p>
    <w:p w14:paraId="28B95EAF">
      <w:pPr>
        <w:pStyle w:val="163"/>
        <w:tabs>
          <w:tab w:val="right" w:leader="middleDot" w:pos="9450"/>
          <w:tab w:val="clear" w:pos="9660"/>
        </w:tabs>
      </w:pPr>
      <w:r>
        <w:rPr>
          <w:rFonts w:hint="eastAsia"/>
        </w:rPr>
        <w:t>式中：</w:t>
      </w:r>
    </w:p>
    <w:p w14:paraId="6A723A63">
      <w:pPr>
        <w:widowControl w:val="0"/>
        <w:spacing w:line="240" w:lineRule="auto"/>
        <w:ind w:firstLine="420"/>
        <w:textAlignment w:val="auto"/>
        <w:rPr>
          <w:kern w:val="2"/>
          <w:szCs w:val="21"/>
          <w:lang w:val="es-ES"/>
        </w:rPr>
      </w:pPr>
      <w:r>
        <w:rPr>
          <w:i/>
          <w:kern w:val="2"/>
          <w:szCs w:val="21"/>
          <w:lang w:val="es-ES"/>
        </w:rPr>
        <w:t>G</w:t>
      </w:r>
      <w:r>
        <w:rPr>
          <w:kern w:val="2"/>
          <w:szCs w:val="21"/>
          <w:lang w:val="es-ES"/>
        </w:rPr>
        <w:t>——</w:t>
      </w:r>
      <w:r>
        <w:rPr>
          <w:rFonts w:hint="eastAsia"/>
          <w:kern w:val="2"/>
          <w:szCs w:val="21"/>
        </w:rPr>
        <w:t>质量通量</w:t>
      </w:r>
      <w:r>
        <w:rPr>
          <w:rFonts w:hint="eastAsia"/>
          <w:kern w:val="2"/>
          <w:szCs w:val="21"/>
          <w:lang w:val="es-ES"/>
        </w:rPr>
        <w:t>，</w:t>
      </w:r>
      <w:r>
        <w:rPr>
          <w:rFonts w:hint="eastAsia"/>
          <w:kern w:val="2"/>
          <w:szCs w:val="21"/>
        </w:rPr>
        <w:t>单位为千克</w:t>
      </w:r>
      <w:r>
        <w:rPr>
          <w:kern w:val="2"/>
          <w:szCs w:val="21"/>
        </w:rPr>
        <w:t>每平方米秒</w:t>
      </w:r>
      <w:r>
        <w:rPr>
          <w:kern w:val="2"/>
          <w:szCs w:val="21"/>
          <w:lang w:val="es-ES"/>
        </w:rPr>
        <w:t>（kg/m</w:t>
      </w:r>
      <w:r>
        <w:rPr>
          <w:kern w:val="2"/>
          <w:szCs w:val="21"/>
          <w:vertAlign w:val="superscript"/>
          <w:lang w:val="es-ES"/>
        </w:rPr>
        <w:t>2</w:t>
      </w:r>
      <w:r>
        <w:rPr>
          <w:kern w:val="2"/>
          <w:szCs w:val="21"/>
          <w:lang w:val="es-ES"/>
        </w:rPr>
        <w:t>·s）</w:t>
      </w:r>
      <w:r>
        <w:rPr>
          <w:rFonts w:hint="eastAsia"/>
          <w:kern w:val="2"/>
          <w:szCs w:val="21"/>
          <w:lang w:val="es-ES"/>
        </w:rPr>
        <w:t>；</w:t>
      </w:r>
    </w:p>
    <w:p w14:paraId="3B36C780">
      <w:pPr>
        <w:widowControl w:val="0"/>
        <w:spacing w:line="240" w:lineRule="auto"/>
        <w:ind w:firstLine="420" w:firstLineChars="200"/>
        <w:textAlignment w:val="auto"/>
        <w:rPr>
          <w:kern w:val="2"/>
          <w:szCs w:val="21"/>
        </w:rPr>
      </w:pPr>
      <w:r>
        <w:rPr>
          <w:i/>
          <w:kern w:val="2"/>
          <w:szCs w:val="24"/>
        </w:rPr>
        <w:t>P</w:t>
      </w:r>
      <w:r>
        <w:rPr>
          <w:kern w:val="2"/>
          <w:szCs w:val="24"/>
        </w:rPr>
        <w:t>——</w:t>
      </w:r>
      <w:r>
        <w:rPr>
          <w:rFonts w:hint="eastAsia"/>
          <w:kern w:val="2"/>
          <w:szCs w:val="24"/>
        </w:rPr>
        <w:t>下游气体压力，单位为帕斯卡</w:t>
      </w:r>
      <w:r>
        <w:rPr>
          <w:kern w:val="2"/>
          <w:szCs w:val="24"/>
        </w:rPr>
        <w:t>（</w:t>
      </w:r>
      <w:r>
        <w:rPr>
          <w:kern w:val="2"/>
          <w:szCs w:val="21"/>
        </w:rPr>
        <w:t>Pa</w:t>
      </w:r>
      <w:r>
        <w:rPr>
          <w:kern w:val="2"/>
          <w:szCs w:val="24"/>
        </w:rPr>
        <w:t>）</w:t>
      </w:r>
      <w:r>
        <w:rPr>
          <w:rFonts w:hint="eastAsia"/>
          <w:kern w:val="2"/>
          <w:szCs w:val="21"/>
        </w:rPr>
        <w:t>；</w:t>
      </w:r>
    </w:p>
    <w:p w14:paraId="3F9043AE">
      <w:pPr>
        <w:widowControl w:val="0"/>
        <w:topLinePunct/>
        <w:autoSpaceDE w:val="0"/>
        <w:autoSpaceDN w:val="0"/>
        <w:spacing w:line="240" w:lineRule="auto"/>
        <w:ind w:firstLine="420" w:firstLineChars="200"/>
        <w:textAlignment w:val="auto"/>
        <w:rPr>
          <w:kern w:val="2"/>
          <w:szCs w:val="21"/>
        </w:rPr>
      </w:pPr>
      <w:r>
        <w:rPr>
          <w:kern w:val="2"/>
          <w:position w:val="-10"/>
          <w:szCs w:val="24"/>
        </w:rPr>
        <w:object>
          <v:shape id="_x0000_i1036" o:spt="75" type="#_x0000_t75" style="height:11.25pt;width:11.25pt;" o:ole="t" filled="f" o:preferrelative="t" stroked="f" coordsize="21600,21600">
            <v:path/>
            <v:fill on="f" focussize="0,0"/>
            <v:stroke on="f" joinstyle="miter"/>
            <v:imagedata r:id="rId29" o:title=""/>
            <o:lock v:ext="edit" aspectratio="t"/>
            <w10:wrap type="none"/>
            <w10:anchorlock/>
          </v:shape>
          <o:OLEObject Type="Embed" ProgID="Equation.3" ShapeID="_x0000_i1036" DrawAspect="Content" ObjectID="_1468075736" r:id="rId39">
            <o:LockedField>false</o:LockedField>
          </o:OLEObject>
        </w:object>
      </w:r>
      <w:r>
        <w:rPr>
          <w:kern w:val="2"/>
          <w:szCs w:val="21"/>
        </w:rPr>
        <w:t>——</w:t>
      </w:r>
      <w:r>
        <w:rPr>
          <w:rFonts w:hint="eastAsia"/>
          <w:kern w:val="2"/>
          <w:szCs w:val="21"/>
        </w:rPr>
        <w:t>绝热指数，</w:t>
      </w:r>
      <w:r>
        <w:rPr>
          <w:kern w:val="2"/>
          <w:position w:val="-10"/>
          <w:szCs w:val="24"/>
        </w:rPr>
        <w:object>
          <v:shape id="_x0000_i1037" o:spt="75" type="#_x0000_t75" style="height:11.25pt;width:11.25pt;" o:ole="t" filled="f" o:preferrelative="t" stroked="f" coordsize="21600,21600">
            <v:path/>
            <v:fill on="f" focussize="0,0"/>
            <v:stroke on="f" joinstyle="miter"/>
            <v:imagedata r:id="rId29" o:title=""/>
            <o:lock v:ext="edit" aspectratio="t"/>
            <w10:wrap type="none"/>
            <w10:anchorlock/>
          </v:shape>
          <o:OLEObject Type="Embed" ProgID="Equation.3" ShapeID="_x0000_i1037" DrawAspect="Content" ObjectID="_1468075737" r:id="rId40">
            <o:LockedField>false</o:LockedField>
          </o:OLEObject>
        </w:object>
      </w:r>
      <w:r>
        <w:rPr>
          <w:kern w:val="2"/>
          <w:szCs w:val="21"/>
        </w:rPr>
        <w:t>=c</w:t>
      </w:r>
      <w:r>
        <w:rPr>
          <w:kern w:val="2"/>
          <w:szCs w:val="21"/>
          <w:vertAlign w:val="subscript"/>
        </w:rPr>
        <w:t>p</w:t>
      </w:r>
      <w:r>
        <w:rPr>
          <w:kern w:val="2"/>
          <w:szCs w:val="21"/>
        </w:rPr>
        <w:t>/c</w:t>
      </w:r>
      <w:r>
        <w:rPr>
          <w:kern w:val="2"/>
          <w:szCs w:val="21"/>
          <w:vertAlign w:val="subscript"/>
        </w:rPr>
        <w:t>v</w:t>
      </w:r>
      <w:r>
        <w:rPr>
          <w:rFonts w:hint="eastAsia"/>
          <w:kern w:val="2"/>
          <w:szCs w:val="21"/>
        </w:rPr>
        <w:t>。</w:t>
      </w:r>
    </w:p>
    <w:p w14:paraId="1C813D4F">
      <w:pPr>
        <w:widowControl w:val="0"/>
        <w:spacing w:line="240" w:lineRule="auto"/>
        <w:ind w:firstLine="420"/>
        <w:textAlignment w:val="auto"/>
        <w:rPr>
          <w:kern w:val="2"/>
          <w:szCs w:val="24"/>
        </w:rPr>
      </w:pPr>
      <w:r>
        <w:rPr>
          <w:i/>
          <w:kern w:val="2"/>
          <w:szCs w:val="24"/>
        </w:rPr>
        <w:t>T</w:t>
      </w:r>
      <w:r>
        <w:rPr>
          <w:kern w:val="2"/>
          <w:szCs w:val="24"/>
        </w:rPr>
        <w:t>——</w:t>
      </w:r>
      <w:r>
        <w:rPr>
          <w:rFonts w:hint="eastAsia"/>
          <w:kern w:val="2"/>
          <w:szCs w:val="24"/>
        </w:rPr>
        <w:t>下游气体温度，单位为开尔文</w:t>
      </w:r>
      <w:r>
        <w:rPr>
          <w:kern w:val="2"/>
          <w:szCs w:val="24"/>
        </w:rPr>
        <w:t>（K）</w:t>
      </w:r>
      <w:r>
        <w:rPr>
          <w:rFonts w:hint="eastAsia"/>
          <w:kern w:val="2"/>
          <w:szCs w:val="21"/>
        </w:rPr>
        <w:t>；</w:t>
      </w:r>
    </w:p>
    <w:p w14:paraId="2519C409">
      <w:pPr>
        <w:widowControl w:val="0"/>
        <w:topLinePunct/>
        <w:autoSpaceDE w:val="0"/>
        <w:autoSpaceDN w:val="0"/>
        <w:spacing w:line="240" w:lineRule="auto"/>
        <w:ind w:firstLine="420" w:firstLineChars="200"/>
        <w:textAlignment w:val="auto"/>
        <w:rPr>
          <w:kern w:val="2"/>
          <w:szCs w:val="21"/>
        </w:rPr>
      </w:pPr>
      <w:r>
        <w:rPr>
          <w:i/>
          <w:color w:val="auto"/>
          <w:kern w:val="2"/>
          <w:szCs w:val="21"/>
        </w:rPr>
        <w:t>M</w:t>
      </w:r>
      <w:r>
        <w:rPr>
          <w:color w:val="auto"/>
          <w:kern w:val="2"/>
          <w:szCs w:val="21"/>
        </w:rPr>
        <w:t>——</w:t>
      </w:r>
      <w:r>
        <w:rPr>
          <w:rFonts w:hint="eastAsia"/>
          <w:color w:val="auto"/>
          <w:kern w:val="2"/>
          <w:szCs w:val="21"/>
        </w:rPr>
        <w:t>物质相对分子质量</w:t>
      </w:r>
      <w:r>
        <w:rPr>
          <w:rFonts w:hint="eastAsia"/>
          <w:kern w:val="2"/>
          <w:szCs w:val="21"/>
        </w:rPr>
        <w:t>；</w:t>
      </w:r>
    </w:p>
    <w:p w14:paraId="688259EB">
      <w:pPr>
        <w:widowControl w:val="0"/>
        <w:topLinePunct/>
        <w:autoSpaceDE w:val="0"/>
        <w:autoSpaceDN w:val="0"/>
        <w:spacing w:line="240" w:lineRule="auto"/>
        <w:ind w:firstLine="420" w:firstLineChars="200"/>
        <w:textAlignment w:val="auto"/>
        <w:rPr>
          <w:color w:val="auto"/>
          <w:kern w:val="2"/>
          <w:szCs w:val="21"/>
        </w:rPr>
      </w:pPr>
      <w:r>
        <w:rPr>
          <w:i/>
          <w:color w:val="auto"/>
          <w:kern w:val="2"/>
          <w:szCs w:val="21"/>
        </w:rPr>
        <w:t>R</w:t>
      </w:r>
      <w:r>
        <w:rPr>
          <w:i/>
          <w:color w:val="auto"/>
          <w:kern w:val="2"/>
          <w:szCs w:val="21"/>
          <w:vertAlign w:val="subscript"/>
        </w:rPr>
        <w:t>g</w:t>
      </w:r>
      <w:r>
        <w:rPr>
          <w:color w:val="auto"/>
          <w:kern w:val="2"/>
          <w:szCs w:val="21"/>
        </w:rPr>
        <w:t>——</w:t>
      </w:r>
      <w:r>
        <w:rPr>
          <w:rFonts w:hint="eastAsia"/>
          <w:color w:val="auto"/>
          <w:kern w:val="2"/>
          <w:szCs w:val="21"/>
        </w:rPr>
        <w:t>理想气体常数，单位为焦耳</w:t>
      </w:r>
      <w:r>
        <w:rPr>
          <w:color w:val="auto"/>
          <w:kern w:val="2"/>
          <w:szCs w:val="21"/>
        </w:rPr>
        <w:t>每摩尔开尔文（</w:t>
      </w:r>
      <w:r>
        <w:rPr>
          <w:color w:val="auto"/>
          <w:kern w:val="2"/>
          <w:szCs w:val="32"/>
        </w:rPr>
        <w:t>J/</w:t>
      </w:r>
      <w:r>
        <w:rPr>
          <w:color w:val="auto"/>
          <w:kern w:val="2"/>
          <w:szCs w:val="21"/>
        </w:rPr>
        <w:t>(</w:t>
      </w:r>
      <w:r>
        <w:rPr>
          <w:color w:val="auto"/>
          <w:kern w:val="2"/>
          <w:szCs w:val="32"/>
        </w:rPr>
        <w:t>mol</w:t>
      </w:r>
      <w:r>
        <w:rPr>
          <w:color w:val="auto"/>
          <w:kern w:val="2"/>
          <w:szCs w:val="21"/>
        </w:rPr>
        <w:t>·</w:t>
      </w:r>
      <w:r>
        <w:rPr>
          <w:color w:val="auto"/>
          <w:kern w:val="2"/>
          <w:szCs w:val="32"/>
        </w:rPr>
        <w:t>K</w:t>
      </w:r>
      <w:r>
        <w:rPr>
          <w:color w:val="auto"/>
          <w:kern w:val="2"/>
          <w:szCs w:val="21"/>
        </w:rPr>
        <w:t>)）</w:t>
      </w:r>
      <w:r>
        <w:rPr>
          <w:rFonts w:hint="eastAsia"/>
          <w:kern w:val="2"/>
          <w:szCs w:val="21"/>
        </w:rPr>
        <w:t>；</w:t>
      </w:r>
    </w:p>
    <w:p w14:paraId="6BC0859A">
      <w:pPr>
        <w:widowControl w:val="0"/>
        <w:spacing w:line="240" w:lineRule="auto"/>
        <w:ind w:firstLine="420"/>
        <w:textAlignment w:val="auto"/>
        <w:rPr>
          <w:color w:val="auto"/>
          <w:kern w:val="2"/>
          <w:szCs w:val="21"/>
        </w:rPr>
      </w:pPr>
      <w:r>
        <w:rPr>
          <w:i/>
          <w:kern w:val="2"/>
          <w:szCs w:val="24"/>
        </w:rPr>
        <w:t>T</w:t>
      </w:r>
      <w:r>
        <w:rPr>
          <w:kern w:val="2"/>
          <w:szCs w:val="24"/>
        </w:rPr>
        <w:t>——</w:t>
      </w:r>
      <w:r>
        <w:rPr>
          <w:rFonts w:hint="eastAsia"/>
          <w:kern w:val="2"/>
          <w:szCs w:val="24"/>
        </w:rPr>
        <w:t>下游气体温度，单位为开尔文</w:t>
      </w:r>
      <w:r>
        <w:rPr>
          <w:kern w:val="2"/>
          <w:szCs w:val="24"/>
        </w:rPr>
        <w:t>（K）</w:t>
      </w:r>
      <w:r>
        <w:rPr>
          <w:rFonts w:hint="eastAsia"/>
          <w:kern w:val="2"/>
          <w:szCs w:val="24"/>
        </w:rPr>
        <w:t>。</w:t>
      </w:r>
    </w:p>
    <w:p w14:paraId="53D2611A">
      <w:pPr>
        <w:widowControl w:val="0"/>
        <w:spacing w:line="240" w:lineRule="auto"/>
        <w:textAlignment w:val="auto"/>
        <w:rPr>
          <w:rFonts w:hint="eastAsia" w:hAnsi="宋体"/>
          <w:kern w:val="2"/>
          <w:szCs w:val="32"/>
        </w:rPr>
      </w:pPr>
      <w:r>
        <w:rPr>
          <w:rFonts w:hint="eastAsia" w:hAnsi="宋体"/>
          <w:kern w:val="2"/>
          <w:szCs w:val="32"/>
        </w:rPr>
        <w:t>B.5.1.4  液池蒸发</w:t>
      </w:r>
    </w:p>
    <w:p w14:paraId="48E3FB89">
      <w:pPr>
        <w:spacing w:before="156" w:beforeLines="50" w:after="156" w:afterLines="50" w:line="240" w:lineRule="auto"/>
        <w:ind w:firstLine="420" w:firstLineChars="200"/>
        <w:jc w:val="left"/>
        <w:textAlignment w:val="auto"/>
        <w:rPr>
          <w:kern w:val="2"/>
          <w:szCs w:val="21"/>
        </w:rPr>
      </w:pPr>
      <w:r>
        <w:rPr>
          <w:rFonts w:hint="eastAsia"/>
          <w:kern w:val="2"/>
          <w:szCs w:val="21"/>
        </w:rPr>
        <w:t>泄漏液体的蒸发速率</w:t>
      </w:r>
      <w:r>
        <w:rPr>
          <w:i/>
          <w:iCs/>
          <w:kern w:val="2"/>
          <w:szCs w:val="21"/>
        </w:rPr>
        <w:t>Q</w:t>
      </w:r>
      <w:r>
        <w:rPr>
          <w:rFonts w:hint="eastAsia"/>
          <w:kern w:val="2"/>
          <w:szCs w:val="21"/>
        </w:rPr>
        <w:t>按式</w:t>
      </w:r>
      <w:r>
        <w:rPr>
          <w:rFonts w:hint="eastAsia"/>
          <w:kern w:val="2"/>
          <w:szCs w:val="21"/>
          <w:lang w:val="es-ES"/>
        </w:rPr>
        <w:t>（</w:t>
      </w:r>
      <w:r>
        <w:rPr>
          <w:rFonts w:hint="eastAsia"/>
          <w:kern w:val="2"/>
          <w:szCs w:val="21"/>
        </w:rPr>
        <w:t>B</w:t>
      </w:r>
      <w:r>
        <w:rPr>
          <w:kern w:val="2"/>
          <w:szCs w:val="21"/>
          <w:lang w:val="es-ES"/>
        </w:rPr>
        <w:t>.</w:t>
      </w:r>
      <w:r>
        <w:rPr>
          <w:rFonts w:hint="eastAsia"/>
          <w:kern w:val="2"/>
          <w:szCs w:val="21"/>
        </w:rPr>
        <w:t>9</w:t>
      </w:r>
      <w:r>
        <w:rPr>
          <w:rFonts w:hint="eastAsia"/>
          <w:kern w:val="2"/>
          <w:szCs w:val="21"/>
          <w:lang w:val="es-ES"/>
        </w:rPr>
        <w:t>）</w:t>
      </w:r>
      <w:r>
        <w:rPr>
          <w:rFonts w:hint="eastAsia"/>
          <w:kern w:val="2"/>
          <w:szCs w:val="21"/>
        </w:rPr>
        <w:t>计算：</w:t>
      </w:r>
    </w:p>
    <w:p w14:paraId="6D358F7B">
      <w:pPr>
        <w:pStyle w:val="163"/>
        <w:tabs>
          <w:tab w:val="right" w:leader="middleDot" w:pos="9450"/>
          <w:tab w:val="clear" w:pos="9660"/>
        </w:tabs>
      </w:pPr>
      <w:r>
        <w:tab/>
      </w:r>
      <w:r>
        <w:rPr>
          <w:position w:val="-28"/>
        </w:rPr>
        <w:object>
          <v:shape id="_x0000_i1038" o:spt="75" type="#_x0000_t75" style="height:33.75pt;width:84pt;" o:ole="t" filled="f" o:preferrelative="t" stroked="f" coordsize="21600,21600">
            <v:path/>
            <v:fill on="f" focussize="0,0"/>
            <v:stroke on="f" joinstyle="miter"/>
            <v:imagedata r:id="rId42" o:title=""/>
            <o:lock v:ext="edit" aspectratio="f"/>
            <w10:wrap type="none"/>
            <w10:anchorlock/>
          </v:shape>
          <o:OLEObject Type="Embed" ProgID="Equation.3" ShapeID="_x0000_i1038" DrawAspect="Content" ObjectID="_1468075738" r:id="rId41">
            <o:LockedField>false</o:LockedField>
          </o:OLEObject>
        </w:object>
      </w:r>
      <w:r>
        <w:tab/>
      </w:r>
      <w:r>
        <w:rPr>
          <w:rFonts w:hint="eastAsia"/>
        </w:rPr>
        <w:t>（</w:t>
      </w:r>
      <w:r>
        <w:rPr>
          <w:rFonts w:hint="eastAsia"/>
          <w:lang w:val="en-US"/>
        </w:rPr>
        <w:t>B.9</w:t>
      </w:r>
      <w:r>
        <w:rPr>
          <w:rFonts w:hint="eastAsia"/>
        </w:rPr>
        <w:t>）</w:t>
      </w:r>
    </w:p>
    <w:p w14:paraId="3ACE6449">
      <w:pPr>
        <w:widowControl w:val="0"/>
        <w:spacing w:line="240" w:lineRule="auto"/>
        <w:ind w:firstLine="420"/>
        <w:textAlignment w:val="auto"/>
        <w:rPr>
          <w:kern w:val="2"/>
          <w:szCs w:val="21"/>
        </w:rPr>
      </w:pPr>
      <w:r>
        <w:rPr>
          <w:rFonts w:hint="eastAsia"/>
          <w:kern w:val="2"/>
          <w:szCs w:val="21"/>
        </w:rPr>
        <w:t>式中：</w:t>
      </w:r>
    </w:p>
    <w:p w14:paraId="1AEA0F13">
      <w:pPr>
        <w:widowControl w:val="0"/>
        <w:spacing w:line="240" w:lineRule="auto"/>
        <w:ind w:firstLine="420"/>
        <w:textAlignment w:val="auto"/>
        <w:rPr>
          <w:kern w:val="2"/>
          <w:szCs w:val="21"/>
        </w:rPr>
      </w:pPr>
      <w:r>
        <w:rPr>
          <w:i/>
          <w:iCs/>
          <w:kern w:val="2"/>
          <w:szCs w:val="21"/>
        </w:rPr>
        <w:t>Q</w:t>
      </w:r>
      <w:r>
        <w:rPr>
          <w:kern w:val="2"/>
          <w:szCs w:val="21"/>
          <w:lang w:val="fr-FR"/>
        </w:rPr>
        <w:t>——</w:t>
      </w:r>
      <w:r>
        <w:rPr>
          <w:rFonts w:hint="eastAsia"/>
          <w:kern w:val="2"/>
          <w:szCs w:val="21"/>
          <w:lang w:val="fr-FR"/>
        </w:rPr>
        <w:t>蒸发速率，单位为千克每</w:t>
      </w:r>
      <w:r>
        <w:rPr>
          <w:kern w:val="2"/>
          <w:szCs w:val="21"/>
          <w:lang w:val="fr-FR"/>
        </w:rPr>
        <w:t>秒（kg/s）</w:t>
      </w:r>
      <w:r>
        <w:rPr>
          <w:rFonts w:hint="eastAsia"/>
          <w:kern w:val="2"/>
          <w:szCs w:val="21"/>
          <w:lang w:val="fr-FR"/>
        </w:rPr>
        <w:t>；</w:t>
      </w:r>
    </w:p>
    <w:p w14:paraId="20511B7A">
      <w:pPr>
        <w:widowControl w:val="0"/>
        <w:spacing w:line="240" w:lineRule="auto"/>
        <w:ind w:firstLine="420"/>
        <w:textAlignment w:val="auto"/>
        <w:rPr>
          <w:i/>
          <w:kern w:val="2"/>
          <w:szCs w:val="21"/>
        </w:rPr>
      </w:pPr>
      <w:r>
        <w:rPr>
          <w:i/>
          <w:kern w:val="2"/>
          <w:szCs w:val="21"/>
        </w:rPr>
        <w:t>A</w:t>
      </w:r>
      <w:r>
        <w:rPr>
          <w:i/>
          <w:kern w:val="2"/>
          <w:szCs w:val="21"/>
          <w:vertAlign w:val="subscript"/>
        </w:rPr>
        <w:t>1</w:t>
      </w:r>
      <w:r>
        <w:rPr>
          <w:kern w:val="2"/>
          <w:szCs w:val="21"/>
        </w:rPr>
        <w:t>——</w:t>
      </w:r>
      <w:r>
        <w:rPr>
          <w:rFonts w:hint="eastAsia"/>
          <w:kern w:val="2"/>
          <w:szCs w:val="21"/>
        </w:rPr>
        <w:t>液池面积，单位为平方米</w:t>
      </w:r>
      <w:r>
        <w:rPr>
          <w:kern w:val="2"/>
          <w:szCs w:val="21"/>
        </w:rPr>
        <w:t>（m</w:t>
      </w:r>
      <w:r>
        <w:rPr>
          <w:kern w:val="2"/>
          <w:szCs w:val="21"/>
          <w:vertAlign w:val="superscript"/>
        </w:rPr>
        <w:t>2</w:t>
      </w:r>
      <w:r>
        <w:rPr>
          <w:kern w:val="2"/>
          <w:szCs w:val="21"/>
        </w:rPr>
        <w:t>）</w:t>
      </w:r>
      <w:r>
        <w:rPr>
          <w:rFonts w:hint="eastAsia"/>
          <w:kern w:val="2"/>
          <w:szCs w:val="21"/>
        </w:rPr>
        <w:t>；</w:t>
      </w:r>
    </w:p>
    <w:p w14:paraId="6297ED69">
      <w:pPr>
        <w:widowControl w:val="0"/>
        <w:spacing w:line="240" w:lineRule="auto"/>
        <w:ind w:firstLine="420"/>
        <w:textAlignment w:val="auto"/>
        <w:rPr>
          <w:i/>
          <w:kern w:val="2"/>
          <w:szCs w:val="21"/>
          <w:lang w:val="fr-FR"/>
        </w:rPr>
      </w:pPr>
      <w:r>
        <w:rPr>
          <w:i/>
          <w:kern w:val="2"/>
          <w:szCs w:val="21"/>
          <w:lang w:val="fr-FR"/>
        </w:rPr>
        <w:t>T</w:t>
      </w:r>
      <w:r>
        <w:rPr>
          <w:i/>
          <w:kern w:val="2"/>
          <w:szCs w:val="21"/>
          <w:vertAlign w:val="subscript"/>
          <w:lang w:val="fr-FR"/>
        </w:rPr>
        <w:t>0</w:t>
      </w:r>
      <w:r>
        <w:rPr>
          <w:kern w:val="2"/>
          <w:szCs w:val="21"/>
          <w:lang w:val="fr-FR"/>
        </w:rPr>
        <w:t>——</w:t>
      </w:r>
      <w:r>
        <w:rPr>
          <w:rFonts w:hint="eastAsia"/>
          <w:kern w:val="2"/>
          <w:szCs w:val="21"/>
          <w:lang w:val="fr-FR"/>
        </w:rPr>
        <w:t>环境温度，单位为开尔文</w:t>
      </w:r>
      <w:r>
        <w:rPr>
          <w:kern w:val="2"/>
          <w:szCs w:val="21"/>
          <w:lang w:val="fr-FR"/>
        </w:rPr>
        <w:t>（K）</w:t>
      </w:r>
      <w:r>
        <w:rPr>
          <w:rFonts w:hint="eastAsia"/>
          <w:kern w:val="2"/>
          <w:szCs w:val="21"/>
          <w:lang w:val="fr-FR"/>
        </w:rPr>
        <w:t>；</w:t>
      </w:r>
    </w:p>
    <w:p w14:paraId="797BCA08">
      <w:pPr>
        <w:widowControl w:val="0"/>
        <w:spacing w:line="240" w:lineRule="auto"/>
        <w:ind w:firstLine="420"/>
        <w:textAlignment w:val="auto"/>
        <w:rPr>
          <w:i/>
          <w:kern w:val="2"/>
          <w:szCs w:val="21"/>
          <w:lang w:val="fr-FR"/>
        </w:rPr>
      </w:pPr>
      <w:r>
        <w:rPr>
          <w:i/>
          <w:kern w:val="2"/>
          <w:szCs w:val="21"/>
          <w:lang w:val="fr-FR"/>
        </w:rPr>
        <w:t>T</w:t>
      </w:r>
      <w:r>
        <w:rPr>
          <w:i/>
          <w:kern w:val="2"/>
          <w:szCs w:val="21"/>
          <w:vertAlign w:val="subscript"/>
          <w:lang w:val="fr-FR"/>
        </w:rPr>
        <w:t>b</w:t>
      </w:r>
      <w:r>
        <w:rPr>
          <w:kern w:val="2"/>
          <w:szCs w:val="21"/>
          <w:lang w:val="fr-FR"/>
        </w:rPr>
        <w:t>——</w:t>
      </w:r>
      <w:r>
        <w:rPr>
          <w:rFonts w:hint="eastAsia"/>
          <w:kern w:val="2"/>
          <w:szCs w:val="21"/>
          <w:lang w:val="fr-FR"/>
        </w:rPr>
        <w:t>液体沸点，单位为开尔文</w:t>
      </w:r>
      <w:r>
        <w:rPr>
          <w:kern w:val="2"/>
          <w:szCs w:val="21"/>
          <w:lang w:val="fr-FR"/>
        </w:rPr>
        <w:t>（K）</w:t>
      </w:r>
      <w:r>
        <w:rPr>
          <w:rFonts w:hint="eastAsia"/>
          <w:kern w:val="2"/>
          <w:szCs w:val="21"/>
          <w:lang w:val="fr-FR"/>
        </w:rPr>
        <w:t>；</w:t>
      </w:r>
    </w:p>
    <w:p w14:paraId="1D027C89">
      <w:pPr>
        <w:widowControl w:val="0"/>
        <w:spacing w:line="240" w:lineRule="auto"/>
        <w:ind w:firstLine="420"/>
        <w:textAlignment w:val="auto"/>
        <w:rPr>
          <w:i/>
          <w:kern w:val="2"/>
          <w:szCs w:val="21"/>
        </w:rPr>
      </w:pPr>
      <w:r>
        <w:rPr>
          <w:i/>
          <w:kern w:val="2"/>
          <w:szCs w:val="21"/>
        </w:rPr>
        <w:t>H</w:t>
      </w:r>
      <w:r>
        <w:rPr>
          <w:kern w:val="2"/>
          <w:szCs w:val="21"/>
        </w:rPr>
        <w:t>——</w:t>
      </w:r>
      <w:r>
        <w:rPr>
          <w:rFonts w:hint="eastAsia"/>
          <w:kern w:val="2"/>
          <w:szCs w:val="21"/>
        </w:rPr>
        <w:t>液体蒸发热，单位为焦耳</w:t>
      </w:r>
      <w:r>
        <w:rPr>
          <w:kern w:val="2"/>
          <w:szCs w:val="21"/>
        </w:rPr>
        <w:t>每千克（J/kg）</w:t>
      </w:r>
      <w:r>
        <w:rPr>
          <w:rFonts w:hint="eastAsia"/>
          <w:kern w:val="2"/>
          <w:szCs w:val="21"/>
        </w:rPr>
        <w:t>；</w:t>
      </w:r>
    </w:p>
    <w:p w14:paraId="03704F57">
      <w:pPr>
        <w:widowControl w:val="0"/>
        <w:spacing w:line="240" w:lineRule="auto"/>
        <w:ind w:firstLine="420"/>
        <w:textAlignment w:val="auto"/>
        <w:rPr>
          <w:kern w:val="2"/>
          <w:szCs w:val="21"/>
        </w:rPr>
      </w:pPr>
      <w:r>
        <w:rPr>
          <w:i/>
          <w:kern w:val="2"/>
          <w:szCs w:val="21"/>
        </w:rPr>
        <w:t>α</w:t>
      </w:r>
      <w:r>
        <w:rPr>
          <w:kern w:val="2"/>
          <w:szCs w:val="21"/>
        </w:rPr>
        <w:t>——</w:t>
      </w:r>
      <w:r>
        <w:rPr>
          <w:rFonts w:hint="eastAsia"/>
          <w:kern w:val="2"/>
          <w:szCs w:val="21"/>
        </w:rPr>
        <w:t>表面热扩散系数，单位为平方米</w:t>
      </w:r>
      <w:r>
        <w:rPr>
          <w:kern w:val="2"/>
          <w:szCs w:val="21"/>
        </w:rPr>
        <w:t>每秒（m</w:t>
      </w:r>
      <w:r>
        <w:rPr>
          <w:kern w:val="2"/>
          <w:szCs w:val="21"/>
          <w:vertAlign w:val="superscript"/>
        </w:rPr>
        <w:t>2</w:t>
      </w:r>
      <w:r>
        <w:rPr>
          <w:kern w:val="2"/>
          <w:szCs w:val="21"/>
        </w:rPr>
        <w:t>/s）</w:t>
      </w:r>
      <w:r>
        <w:rPr>
          <w:rFonts w:hint="eastAsia"/>
          <w:kern w:val="2"/>
          <w:szCs w:val="21"/>
        </w:rPr>
        <w:t>；</w:t>
      </w:r>
    </w:p>
    <w:p w14:paraId="06A07F98">
      <w:pPr>
        <w:widowControl w:val="0"/>
        <w:spacing w:line="240" w:lineRule="auto"/>
        <w:ind w:firstLine="420"/>
        <w:textAlignment w:val="auto"/>
        <w:rPr>
          <w:kern w:val="2"/>
          <w:szCs w:val="21"/>
        </w:rPr>
      </w:pPr>
      <w:r>
        <w:rPr>
          <w:i/>
          <w:kern w:val="2"/>
          <w:szCs w:val="21"/>
        </w:rPr>
        <w:t>K</w:t>
      </w:r>
      <w:r>
        <w:rPr>
          <w:kern w:val="2"/>
          <w:szCs w:val="21"/>
        </w:rPr>
        <w:t>——</w:t>
      </w:r>
      <w:r>
        <w:rPr>
          <w:rFonts w:hint="eastAsia"/>
          <w:kern w:val="2"/>
          <w:szCs w:val="21"/>
        </w:rPr>
        <w:t>表面导热系数，单位为瓦特</w:t>
      </w:r>
      <w:r>
        <w:rPr>
          <w:kern w:val="2"/>
          <w:szCs w:val="21"/>
        </w:rPr>
        <w:t>每米开尔文（W/(m·K)）</w:t>
      </w:r>
      <w:r>
        <w:rPr>
          <w:rFonts w:hint="eastAsia"/>
          <w:kern w:val="2"/>
          <w:szCs w:val="21"/>
        </w:rPr>
        <w:t>；</w:t>
      </w:r>
    </w:p>
    <w:p w14:paraId="564BAC87">
      <w:pPr>
        <w:widowControl w:val="0"/>
        <w:spacing w:line="240" w:lineRule="auto"/>
        <w:ind w:firstLine="420"/>
        <w:textAlignment w:val="auto"/>
        <w:rPr>
          <w:kern w:val="2"/>
          <w:szCs w:val="21"/>
          <w:lang w:val="fr-FR"/>
        </w:rPr>
      </w:pPr>
      <w:r>
        <w:rPr>
          <w:i/>
          <w:kern w:val="2"/>
          <w:szCs w:val="21"/>
          <w:lang w:val="fr-FR"/>
        </w:rPr>
        <w:t>t</w:t>
      </w:r>
      <w:r>
        <w:rPr>
          <w:kern w:val="2"/>
          <w:szCs w:val="21"/>
        </w:rPr>
        <w:t>——</w:t>
      </w:r>
      <w:r>
        <w:rPr>
          <w:rFonts w:hint="eastAsia"/>
          <w:kern w:val="2"/>
          <w:szCs w:val="21"/>
        </w:rPr>
        <w:t>蒸发时间，单位为秒</w:t>
      </w:r>
      <w:r>
        <w:rPr>
          <w:kern w:val="2"/>
          <w:szCs w:val="21"/>
        </w:rPr>
        <w:t>（s）</w:t>
      </w:r>
      <w:r>
        <w:rPr>
          <w:rFonts w:hint="eastAsia"/>
          <w:kern w:val="2"/>
          <w:szCs w:val="21"/>
        </w:rPr>
        <w:t>。</w:t>
      </w:r>
    </w:p>
    <w:p w14:paraId="3026ADBB">
      <w:pPr>
        <w:spacing w:before="156" w:beforeLines="50" w:after="156" w:afterLines="50" w:line="240" w:lineRule="auto"/>
        <w:jc w:val="left"/>
        <w:textAlignment w:val="auto"/>
        <w:rPr>
          <w:rFonts w:hint="eastAsia" w:hAnsi="宋体"/>
          <w:kern w:val="2"/>
          <w:szCs w:val="32"/>
        </w:rPr>
      </w:pPr>
      <w:bookmarkStart w:id="170" w:name="_Toc310952755"/>
      <w:bookmarkStart w:id="171" w:name="_Toc310769353"/>
      <w:bookmarkStart w:id="172" w:name="_Toc257094842"/>
      <w:bookmarkStart w:id="173" w:name="_Toc242932971"/>
      <w:bookmarkStart w:id="174" w:name="_Toc242934163"/>
      <w:bookmarkStart w:id="175" w:name="_Toc286132438"/>
      <w:bookmarkStart w:id="176" w:name="_Toc242878142"/>
      <w:bookmarkStart w:id="177" w:name="_Toc242870302"/>
      <w:bookmarkStart w:id="178" w:name="_Toc296956166"/>
      <w:bookmarkStart w:id="179" w:name="_Toc257050835"/>
      <w:bookmarkStart w:id="180" w:name="_Toc247531521"/>
      <w:bookmarkStart w:id="181" w:name="_Toc286131451"/>
      <w:bookmarkStart w:id="182" w:name="_Toc242934044"/>
      <w:r>
        <w:rPr>
          <w:rFonts w:hint="eastAsia" w:ascii="黑体" w:hAnsi="黑体" w:eastAsia="黑体"/>
          <w:szCs w:val="21"/>
        </w:rPr>
        <w:t xml:space="preserve">B.5.1.5 </w:t>
      </w:r>
      <w:r>
        <w:rPr>
          <w:rFonts w:hint="eastAsia" w:hAnsi="宋体"/>
          <w:kern w:val="2"/>
          <w:szCs w:val="32"/>
        </w:rPr>
        <w:t xml:space="preserve"> 泄漏物质在大气中的扩散</w:t>
      </w:r>
      <w:bookmarkEnd w:id="170"/>
      <w:bookmarkEnd w:id="171"/>
      <w:bookmarkEnd w:id="172"/>
      <w:bookmarkEnd w:id="173"/>
      <w:bookmarkEnd w:id="174"/>
      <w:bookmarkEnd w:id="175"/>
      <w:bookmarkEnd w:id="176"/>
      <w:bookmarkEnd w:id="177"/>
      <w:bookmarkEnd w:id="178"/>
      <w:bookmarkEnd w:id="179"/>
      <w:bookmarkEnd w:id="180"/>
      <w:bookmarkEnd w:id="181"/>
      <w:bookmarkEnd w:id="182"/>
    </w:p>
    <w:p w14:paraId="56E3ADFB">
      <w:pPr>
        <w:spacing w:before="156" w:beforeLines="50" w:after="156" w:afterLines="50" w:line="240" w:lineRule="auto"/>
        <w:jc w:val="left"/>
        <w:textAlignment w:val="auto"/>
        <w:rPr>
          <w:rFonts w:hint="eastAsia" w:hAnsi="宋体"/>
          <w:kern w:val="2"/>
          <w:szCs w:val="32"/>
        </w:rPr>
      </w:pPr>
      <w:r>
        <w:rPr>
          <w:rFonts w:hint="eastAsia" w:hAnsi="宋体"/>
          <w:kern w:val="2"/>
          <w:szCs w:val="32"/>
        </w:rPr>
        <w:t>B.5.1.5.1  大气稳定度确定</w:t>
      </w:r>
    </w:p>
    <w:p w14:paraId="77966839">
      <w:pPr>
        <w:widowControl w:val="0"/>
        <w:topLinePunct/>
        <w:autoSpaceDE w:val="0"/>
        <w:autoSpaceDN w:val="0"/>
        <w:spacing w:line="240" w:lineRule="auto"/>
        <w:ind w:firstLine="420" w:firstLineChars="200"/>
        <w:textAlignment w:val="auto"/>
        <w:rPr>
          <w:kern w:val="2"/>
          <w:szCs w:val="21"/>
        </w:rPr>
      </w:pPr>
      <w:r>
        <w:rPr>
          <w:rFonts w:hint="eastAsia"/>
          <w:kern w:val="2"/>
          <w:szCs w:val="24"/>
        </w:rPr>
        <w:t>大气稳定度通常采用</w:t>
      </w:r>
      <w:r>
        <w:rPr>
          <w:kern w:val="2"/>
          <w:szCs w:val="24"/>
        </w:rPr>
        <w:t>Pasquill</w:t>
      </w:r>
      <w:r>
        <w:rPr>
          <w:rFonts w:hint="eastAsia"/>
          <w:kern w:val="2"/>
          <w:szCs w:val="24"/>
        </w:rPr>
        <w:t>分类方法确定，大气稳定度分为</w:t>
      </w:r>
      <w:r>
        <w:rPr>
          <w:kern w:val="2"/>
          <w:szCs w:val="24"/>
        </w:rPr>
        <w:t>A</w:t>
      </w:r>
      <w:r>
        <w:rPr>
          <w:rFonts w:hint="eastAsia"/>
          <w:kern w:val="2"/>
          <w:szCs w:val="24"/>
        </w:rPr>
        <w:t>、</w:t>
      </w:r>
      <w:r>
        <w:rPr>
          <w:kern w:val="2"/>
          <w:szCs w:val="24"/>
        </w:rPr>
        <w:t>B</w:t>
      </w:r>
      <w:r>
        <w:rPr>
          <w:rFonts w:hint="eastAsia"/>
          <w:kern w:val="2"/>
          <w:szCs w:val="24"/>
        </w:rPr>
        <w:t>、</w:t>
      </w:r>
      <w:r>
        <w:rPr>
          <w:kern w:val="2"/>
          <w:szCs w:val="24"/>
        </w:rPr>
        <w:t>C</w:t>
      </w:r>
      <w:r>
        <w:rPr>
          <w:rFonts w:hint="eastAsia"/>
          <w:kern w:val="2"/>
          <w:szCs w:val="24"/>
        </w:rPr>
        <w:t>、</w:t>
      </w:r>
      <w:r>
        <w:rPr>
          <w:kern w:val="2"/>
          <w:szCs w:val="24"/>
        </w:rPr>
        <w:t>D</w:t>
      </w:r>
      <w:r>
        <w:rPr>
          <w:rFonts w:hint="eastAsia"/>
          <w:kern w:val="2"/>
          <w:szCs w:val="24"/>
        </w:rPr>
        <w:t>、</w:t>
      </w:r>
      <w:r>
        <w:rPr>
          <w:kern w:val="2"/>
          <w:szCs w:val="24"/>
        </w:rPr>
        <w:t>E</w:t>
      </w:r>
      <w:r>
        <w:rPr>
          <w:rFonts w:hint="eastAsia"/>
          <w:kern w:val="2"/>
          <w:szCs w:val="24"/>
        </w:rPr>
        <w:t>和</w:t>
      </w:r>
      <w:r>
        <w:rPr>
          <w:kern w:val="2"/>
          <w:szCs w:val="24"/>
        </w:rPr>
        <w:t>F</w:t>
      </w:r>
      <w:r>
        <w:rPr>
          <w:rFonts w:hint="eastAsia"/>
          <w:kern w:val="2"/>
          <w:szCs w:val="24"/>
        </w:rPr>
        <w:t>六类，大气稳定度的具体分类见</w:t>
      </w:r>
      <w:r>
        <w:rPr>
          <w:rFonts w:hint="eastAsia" w:hAnsi="宋体"/>
          <w:kern w:val="2"/>
          <w:szCs w:val="24"/>
        </w:rPr>
        <w:t>表</w:t>
      </w:r>
      <w:r>
        <w:rPr>
          <w:rFonts w:hint="eastAsia"/>
          <w:kern w:val="2"/>
          <w:szCs w:val="21"/>
        </w:rPr>
        <w:t>B</w:t>
      </w:r>
      <w:r>
        <w:rPr>
          <w:kern w:val="2"/>
          <w:szCs w:val="21"/>
        </w:rPr>
        <w:t>.</w:t>
      </w:r>
      <w:r>
        <w:rPr>
          <w:rFonts w:hint="eastAsia"/>
          <w:kern w:val="2"/>
          <w:szCs w:val="21"/>
        </w:rPr>
        <w:t>4</w:t>
      </w:r>
      <w:r>
        <w:rPr>
          <w:rFonts w:hint="eastAsia" w:hAnsi="宋体"/>
          <w:kern w:val="2"/>
          <w:szCs w:val="21"/>
        </w:rPr>
        <w:t>和表</w:t>
      </w:r>
      <w:r>
        <w:rPr>
          <w:rFonts w:hint="eastAsia"/>
          <w:kern w:val="2"/>
          <w:szCs w:val="21"/>
        </w:rPr>
        <w:t>B</w:t>
      </w:r>
      <w:r>
        <w:rPr>
          <w:kern w:val="2"/>
          <w:szCs w:val="21"/>
        </w:rPr>
        <w:t>.</w:t>
      </w:r>
      <w:r>
        <w:rPr>
          <w:rFonts w:hint="eastAsia"/>
          <w:kern w:val="2"/>
          <w:szCs w:val="21"/>
        </w:rPr>
        <w:t>5</w:t>
      </w:r>
      <w:r>
        <w:rPr>
          <w:rFonts w:hint="eastAsia" w:ascii="宋体" w:hAnsi="宋体"/>
          <w:kern w:val="2"/>
          <w:szCs w:val="24"/>
        </w:rPr>
        <w:t>。</w:t>
      </w:r>
    </w:p>
    <w:p w14:paraId="60293E14">
      <w:pPr>
        <w:widowControl w:val="0"/>
        <w:spacing w:before="156" w:beforeLines="50" w:after="156" w:afterLines="50"/>
        <w:jc w:val="center"/>
        <w:rPr>
          <w:rFonts w:hint="eastAsia" w:ascii="黑体" w:hAnsi="黑体" w:eastAsia="黑体"/>
          <w:kern w:val="2"/>
          <w:szCs w:val="24"/>
        </w:rPr>
      </w:pPr>
      <w:bookmarkStart w:id="183" w:name="_Toc310952756"/>
      <w:bookmarkStart w:id="184" w:name="_Toc296956167"/>
      <w:bookmarkStart w:id="185" w:name="_Toc310769354"/>
      <w:r>
        <w:rPr>
          <w:rFonts w:hint="eastAsia" w:ascii="黑体" w:hAnsi="黑体" w:eastAsia="黑体"/>
          <w:kern w:val="2"/>
          <w:szCs w:val="24"/>
        </w:rPr>
        <w:t>表 B.4</w:t>
      </w:r>
      <w:r>
        <w:rPr>
          <w:rFonts w:ascii="黑体" w:hAnsi="黑体" w:eastAsia="黑体"/>
          <w:kern w:val="2"/>
          <w:szCs w:val="24"/>
        </w:rPr>
        <w:t xml:space="preserve">  Pasquill</w:t>
      </w:r>
      <w:r>
        <w:rPr>
          <w:rFonts w:hint="eastAsia" w:ascii="黑体" w:hAnsi="黑体" w:eastAsia="黑体"/>
          <w:kern w:val="2"/>
          <w:szCs w:val="24"/>
        </w:rPr>
        <w:t>大气稳定度确定</w:t>
      </w:r>
      <w:bookmarkEnd w:id="183"/>
      <w:bookmarkEnd w:id="184"/>
      <w:bookmarkEnd w:id="185"/>
    </w:p>
    <w:tbl>
      <w:tblPr>
        <w:tblStyle w:val="36"/>
        <w:tblW w:w="91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8"/>
        <w:gridCol w:w="1217"/>
        <w:gridCol w:w="1217"/>
        <w:gridCol w:w="1217"/>
        <w:gridCol w:w="2799"/>
        <w:gridCol w:w="1527"/>
      </w:tblGrid>
      <w:tr w14:paraId="27730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218" w:type="dxa"/>
            <w:vMerge w:val="restart"/>
            <w:vAlign w:val="center"/>
          </w:tcPr>
          <w:p w14:paraId="293F6A58">
            <w:pPr>
              <w:widowControl w:val="0"/>
              <w:topLinePunct/>
              <w:autoSpaceDE w:val="0"/>
              <w:autoSpaceDN w:val="0"/>
              <w:spacing w:before="62" w:beforeLines="20"/>
              <w:ind w:firstLine="90" w:firstLineChars="50"/>
              <w:jc w:val="left"/>
              <w:rPr>
                <w:kern w:val="2"/>
                <w:sz w:val="18"/>
                <w:szCs w:val="18"/>
              </w:rPr>
            </w:pPr>
            <w:r>
              <w:rPr>
                <w:rFonts w:hint="eastAsia"/>
                <w:kern w:val="2"/>
                <w:sz w:val="18"/>
                <w:szCs w:val="18"/>
              </w:rPr>
              <w:t>地面风速</w:t>
            </w:r>
          </w:p>
          <w:p w14:paraId="00DF8D16">
            <w:pPr>
              <w:widowControl w:val="0"/>
              <w:topLinePunct/>
              <w:autoSpaceDE w:val="0"/>
              <w:autoSpaceDN w:val="0"/>
              <w:spacing w:before="62" w:beforeLines="20"/>
              <w:jc w:val="center"/>
              <w:rPr>
                <w:kern w:val="2"/>
                <w:sz w:val="18"/>
                <w:szCs w:val="18"/>
              </w:rPr>
            </w:pPr>
            <w:r>
              <w:rPr>
                <w:rFonts w:hint="eastAsia"/>
                <w:kern w:val="2"/>
                <w:sz w:val="18"/>
                <w:szCs w:val="18"/>
              </w:rPr>
              <w:t>（</w:t>
            </w:r>
            <w:r>
              <w:rPr>
                <w:kern w:val="2"/>
                <w:sz w:val="18"/>
                <w:szCs w:val="18"/>
              </w:rPr>
              <w:t>m/s</w:t>
            </w:r>
            <w:r>
              <w:rPr>
                <w:rFonts w:hint="eastAsia"/>
                <w:kern w:val="2"/>
                <w:sz w:val="18"/>
                <w:szCs w:val="18"/>
              </w:rPr>
              <w:t>）</w:t>
            </w:r>
          </w:p>
        </w:tc>
        <w:tc>
          <w:tcPr>
            <w:tcW w:w="3651" w:type="dxa"/>
            <w:gridSpan w:val="3"/>
            <w:vAlign w:val="center"/>
          </w:tcPr>
          <w:p w14:paraId="1B3433AD">
            <w:pPr>
              <w:widowControl w:val="0"/>
              <w:topLinePunct/>
              <w:autoSpaceDE w:val="0"/>
              <w:autoSpaceDN w:val="0"/>
              <w:spacing w:before="62" w:beforeLines="20"/>
              <w:jc w:val="center"/>
              <w:rPr>
                <w:kern w:val="2"/>
                <w:sz w:val="18"/>
                <w:szCs w:val="18"/>
              </w:rPr>
            </w:pPr>
            <w:r>
              <w:rPr>
                <w:rFonts w:hint="eastAsia"/>
                <w:kern w:val="2"/>
                <w:sz w:val="18"/>
                <w:szCs w:val="18"/>
              </w:rPr>
              <w:t>白天日照</w:t>
            </w:r>
          </w:p>
        </w:tc>
        <w:tc>
          <w:tcPr>
            <w:tcW w:w="4326" w:type="dxa"/>
            <w:gridSpan w:val="2"/>
            <w:vAlign w:val="center"/>
          </w:tcPr>
          <w:p w14:paraId="3CAF2D8B">
            <w:pPr>
              <w:widowControl w:val="0"/>
              <w:topLinePunct/>
              <w:autoSpaceDE w:val="0"/>
              <w:autoSpaceDN w:val="0"/>
              <w:spacing w:before="62" w:beforeLines="20"/>
              <w:jc w:val="center"/>
              <w:rPr>
                <w:kern w:val="2"/>
                <w:sz w:val="18"/>
                <w:szCs w:val="18"/>
              </w:rPr>
            </w:pPr>
            <w:r>
              <w:rPr>
                <w:rFonts w:hint="eastAsia"/>
                <w:kern w:val="2"/>
                <w:sz w:val="18"/>
                <w:szCs w:val="18"/>
              </w:rPr>
              <w:t>夜间条件</w:t>
            </w:r>
          </w:p>
        </w:tc>
      </w:tr>
      <w:tr w14:paraId="7FCA9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218" w:type="dxa"/>
            <w:vMerge w:val="continue"/>
            <w:vAlign w:val="center"/>
          </w:tcPr>
          <w:p w14:paraId="03DD4528">
            <w:pPr>
              <w:widowControl w:val="0"/>
              <w:topLinePunct/>
              <w:autoSpaceDE w:val="0"/>
              <w:autoSpaceDN w:val="0"/>
              <w:spacing w:before="62" w:beforeLines="20"/>
              <w:jc w:val="center"/>
              <w:rPr>
                <w:kern w:val="2"/>
                <w:sz w:val="18"/>
                <w:szCs w:val="18"/>
              </w:rPr>
            </w:pPr>
          </w:p>
        </w:tc>
        <w:tc>
          <w:tcPr>
            <w:tcW w:w="1217" w:type="dxa"/>
            <w:vAlign w:val="center"/>
          </w:tcPr>
          <w:p w14:paraId="5AB2C734">
            <w:pPr>
              <w:widowControl w:val="0"/>
              <w:topLinePunct/>
              <w:autoSpaceDE w:val="0"/>
              <w:autoSpaceDN w:val="0"/>
              <w:spacing w:before="62" w:beforeLines="20"/>
              <w:jc w:val="center"/>
              <w:rPr>
                <w:kern w:val="2"/>
                <w:sz w:val="18"/>
                <w:szCs w:val="18"/>
              </w:rPr>
            </w:pPr>
            <w:r>
              <w:rPr>
                <w:rFonts w:hint="eastAsia"/>
                <w:kern w:val="2"/>
                <w:sz w:val="18"/>
                <w:szCs w:val="18"/>
              </w:rPr>
              <w:t>强</w:t>
            </w:r>
          </w:p>
        </w:tc>
        <w:tc>
          <w:tcPr>
            <w:tcW w:w="1217" w:type="dxa"/>
            <w:vAlign w:val="center"/>
          </w:tcPr>
          <w:p w14:paraId="1790EE29">
            <w:pPr>
              <w:widowControl w:val="0"/>
              <w:topLinePunct/>
              <w:autoSpaceDE w:val="0"/>
              <w:autoSpaceDN w:val="0"/>
              <w:spacing w:before="62" w:beforeLines="20"/>
              <w:jc w:val="center"/>
              <w:rPr>
                <w:kern w:val="2"/>
                <w:sz w:val="18"/>
                <w:szCs w:val="18"/>
              </w:rPr>
            </w:pPr>
            <w:r>
              <w:rPr>
                <w:rFonts w:hint="eastAsia"/>
                <w:kern w:val="2"/>
                <w:sz w:val="18"/>
                <w:szCs w:val="18"/>
              </w:rPr>
              <w:t>中等</w:t>
            </w:r>
          </w:p>
        </w:tc>
        <w:tc>
          <w:tcPr>
            <w:tcW w:w="1217" w:type="dxa"/>
            <w:vAlign w:val="center"/>
          </w:tcPr>
          <w:p w14:paraId="2E0D4D53">
            <w:pPr>
              <w:widowControl w:val="0"/>
              <w:topLinePunct/>
              <w:autoSpaceDE w:val="0"/>
              <w:autoSpaceDN w:val="0"/>
              <w:spacing w:before="62" w:beforeLines="20"/>
              <w:jc w:val="center"/>
              <w:rPr>
                <w:kern w:val="2"/>
                <w:sz w:val="18"/>
                <w:szCs w:val="18"/>
              </w:rPr>
            </w:pPr>
            <w:r>
              <w:rPr>
                <w:rFonts w:hint="eastAsia"/>
                <w:kern w:val="2"/>
                <w:sz w:val="18"/>
                <w:szCs w:val="18"/>
              </w:rPr>
              <w:t>弱</w:t>
            </w:r>
          </w:p>
        </w:tc>
        <w:tc>
          <w:tcPr>
            <w:tcW w:w="2799" w:type="dxa"/>
            <w:vAlign w:val="center"/>
          </w:tcPr>
          <w:p w14:paraId="4F5C25FE">
            <w:pPr>
              <w:widowControl w:val="0"/>
              <w:topLinePunct/>
              <w:autoSpaceDE w:val="0"/>
              <w:autoSpaceDN w:val="0"/>
              <w:spacing w:before="62" w:beforeLines="20"/>
              <w:jc w:val="center"/>
              <w:rPr>
                <w:kern w:val="2"/>
                <w:sz w:val="18"/>
                <w:szCs w:val="18"/>
              </w:rPr>
            </w:pPr>
            <w:r>
              <w:rPr>
                <w:rFonts w:hint="eastAsia"/>
                <w:kern w:val="2"/>
                <w:sz w:val="18"/>
                <w:szCs w:val="18"/>
              </w:rPr>
              <w:t>阴天且云层薄，或低空云量为</w:t>
            </w:r>
            <w:r>
              <w:rPr>
                <w:kern w:val="2"/>
                <w:sz w:val="18"/>
                <w:szCs w:val="18"/>
              </w:rPr>
              <w:t>4/8</w:t>
            </w:r>
          </w:p>
        </w:tc>
        <w:tc>
          <w:tcPr>
            <w:tcW w:w="1527" w:type="dxa"/>
            <w:vAlign w:val="center"/>
          </w:tcPr>
          <w:p w14:paraId="1D2A6DFF">
            <w:pPr>
              <w:widowControl w:val="0"/>
              <w:topLinePunct/>
              <w:autoSpaceDE w:val="0"/>
              <w:autoSpaceDN w:val="0"/>
              <w:spacing w:before="62" w:beforeLines="20"/>
              <w:jc w:val="center"/>
              <w:rPr>
                <w:kern w:val="2"/>
                <w:sz w:val="18"/>
                <w:szCs w:val="18"/>
              </w:rPr>
            </w:pPr>
            <w:r>
              <w:rPr>
                <w:rFonts w:hint="eastAsia"/>
                <w:kern w:val="2"/>
                <w:sz w:val="18"/>
                <w:szCs w:val="18"/>
              </w:rPr>
              <w:t>天空云量为</w:t>
            </w:r>
            <w:r>
              <w:rPr>
                <w:kern w:val="2"/>
                <w:sz w:val="18"/>
                <w:szCs w:val="18"/>
              </w:rPr>
              <w:t>3/8</w:t>
            </w:r>
          </w:p>
        </w:tc>
      </w:tr>
      <w:tr w14:paraId="7681C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218" w:type="dxa"/>
            <w:vAlign w:val="center"/>
          </w:tcPr>
          <w:p w14:paraId="1A4DBC18">
            <w:pPr>
              <w:widowControl w:val="0"/>
              <w:topLinePunct/>
              <w:autoSpaceDE w:val="0"/>
              <w:autoSpaceDN w:val="0"/>
              <w:spacing w:before="62" w:beforeLines="20"/>
              <w:jc w:val="center"/>
              <w:rPr>
                <w:kern w:val="2"/>
                <w:sz w:val="18"/>
                <w:szCs w:val="18"/>
              </w:rPr>
            </w:pPr>
            <w:r>
              <w:rPr>
                <w:rFonts w:hint="eastAsia" w:ascii="宋体" w:hAnsi="宋体"/>
                <w:kern w:val="2"/>
                <w:sz w:val="18"/>
                <w:szCs w:val="18"/>
              </w:rPr>
              <w:t>＜</w:t>
            </w:r>
            <w:r>
              <w:rPr>
                <w:kern w:val="2"/>
                <w:sz w:val="18"/>
                <w:szCs w:val="18"/>
              </w:rPr>
              <w:t>2</w:t>
            </w:r>
          </w:p>
        </w:tc>
        <w:tc>
          <w:tcPr>
            <w:tcW w:w="1217" w:type="dxa"/>
            <w:vAlign w:val="center"/>
          </w:tcPr>
          <w:p w14:paraId="33359E57">
            <w:pPr>
              <w:widowControl w:val="0"/>
              <w:topLinePunct/>
              <w:autoSpaceDE w:val="0"/>
              <w:autoSpaceDN w:val="0"/>
              <w:spacing w:before="62" w:beforeLines="20"/>
              <w:jc w:val="center"/>
              <w:rPr>
                <w:kern w:val="2"/>
                <w:sz w:val="18"/>
                <w:szCs w:val="18"/>
              </w:rPr>
            </w:pPr>
            <w:r>
              <w:rPr>
                <w:kern w:val="2"/>
                <w:sz w:val="18"/>
                <w:szCs w:val="18"/>
              </w:rPr>
              <w:t>A</w:t>
            </w:r>
          </w:p>
        </w:tc>
        <w:tc>
          <w:tcPr>
            <w:tcW w:w="1217" w:type="dxa"/>
            <w:vAlign w:val="center"/>
          </w:tcPr>
          <w:p w14:paraId="2B083D3C">
            <w:pPr>
              <w:widowControl w:val="0"/>
              <w:topLinePunct/>
              <w:autoSpaceDE w:val="0"/>
              <w:autoSpaceDN w:val="0"/>
              <w:spacing w:before="62" w:beforeLines="20"/>
              <w:jc w:val="center"/>
              <w:rPr>
                <w:kern w:val="2"/>
                <w:sz w:val="18"/>
                <w:szCs w:val="18"/>
              </w:rPr>
            </w:pPr>
            <w:r>
              <w:rPr>
                <w:kern w:val="2"/>
                <w:sz w:val="18"/>
                <w:szCs w:val="18"/>
              </w:rPr>
              <w:t>A~B</w:t>
            </w:r>
          </w:p>
        </w:tc>
        <w:tc>
          <w:tcPr>
            <w:tcW w:w="1217" w:type="dxa"/>
            <w:vAlign w:val="center"/>
          </w:tcPr>
          <w:p w14:paraId="7621E12A">
            <w:pPr>
              <w:widowControl w:val="0"/>
              <w:topLinePunct/>
              <w:autoSpaceDE w:val="0"/>
              <w:autoSpaceDN w:val="0"/>
              <w:spacing w:before="62" w:beforeLines="20"/>
              <w:jc w:val="center"/>
              <w:rPr>
                <w:kern w:val="2"/>
                <w:sz w:val="18"/>
                <w:szCs w:val="18"/>
              </w:rPr>
            </w:pPr>
            <w:r>
              <w:rPr>
                <w:kern w:val="2"/>
                <w:sz w:val="18"/>
                <w:szCs w:val="18"/>
              </w:rPr>
              <w:t>B</w:t>
            </w:r>
          </w:p>
        </w:tc>
        <w:tc>
          <w:tcPr>
            <w:tcW w:w="2799" w:type="dxa"/>
            <w:vAlign w:val="center"/>
          </w:tcPr>
          <w:p w14:paraId="0CC7F535">
            <w:pPr>
              <w:widowControl w:val="0"/>
              <w:topLinePunct/>
              <w:autoSpaceDE w:val="0"/>
              <w:autoSpaceDN w:val="0"/>
              <w:spacing w:before="62" w:beforeLines="20"/>
              <w:jc w:val="center"/>
              <w:rPr>
                <w:kern w:val="2"/>
                <w:sz w:val="18"/>
                <w:szCs w:val="18"/>
              </w:rPr>
            </w:pPr>
            <w:r>
              <w:rPr>
                <w:rFonts w:hint="eastAsia"/>
                <w:kern w:val="2"/>
                <w:sz w:val="18"/>
                <w:szCs w:val="18"/>
              </w:rPr>
              <w:t>E</w:t>
            </w:r>
          </w:p>
        </w:tc>
        <w:tc>
          <w:tcPr>
            <w:tcW w:w="1527" w:type="dxa"/>
            <w:vAlign w:val="center"/>
          </w:tcPr>
          <w:p w14:paraId="6E16A9EC">
            <w:pPr>
              <w:widowControl w:val="0"/>
              <w:topLinePunct/>
              <w:autoSpaceDE w:val="0"/>
              <w:autoSpaceDN w:val="0"/>
              <w:spacing w:before="62" w:beforeLines="20"/>
              <w:jc w:val="center"/>
              <w:rPr>
                <w:kern w:val="2"/>
                <w:sz w:val="18"/>
                <w:szCs w:val="18"/>
              </w:rPr>
            </w:pPr>
            <w:r>
              <w:rPr>
                <w:rFonts w:hint="eastAsia"/>
                <w:kern w:val="2"/>
                <w:sz w:val="18"/>
                <w:szCs w:val="18"/>
              </w:rPr>
              <w:t>F</w:t>
            </w:r>
          </w:p>
        </w:tc>
      </w:tr>
      <w:tr w14:paraId="22A4A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218" w:type="dxa"/>
            <w:vAlign w:val="center"/>
          </w:tcPr>
          <w:p w14:paraId="6AE3E5B9">
            <w:pPr>
              <w:widowControl w:val="0"/>
              <w:topLinePunct/>
              <w:autoSpaceDE w:val="0"/>
              <w:autoSpaceDN w:val="0"/>
              <w:spacing w:before="62" w:beforeLines="20"/>
              <w:jc w:val="center"/>
              <w:rPr>
                <w:kern w:val="2"/>
                <w:sz w:val="18"/>
                <w:szCs w:val="18"/>
              </w:rPr>
            </w:pPr>
            <w:r>
              <w:rPr>
                <w:kern w:val="2"/>
                <w:sz w:val="18"/>
                <w:szCs w:val="18"/>
              </w:rPr>
              <w:t>2~3</w:t>
            </w:r>
          </w:p>
        </w:tc>
        <w:tc>
          <w:tcPr>
            <w:tcW w:w="1217" w:type="dxa"/>
            <w:vAlign w:val="center"/>
          </w:tcPr>
          <w:p w14:paraId="43F0DB6C">
            <w:pPr>
              <w:widowControl w:val="0"/>
              <w:topLinePunct/>
              <w:autoSpaceDE w:val="0"/>
              <w:autoSpaceDN w:val="0"/>
              <w:spacing w:before="62" w:beforeLines="20"/>
              <w:jc w:val="center"/>
              <w:rPr>
                <w:kern w:val="2"/>
                <w:sz w:val="18"/>
                <w:szCs w:val="18"/>
              </w:rPr>
            </w:pPr>
            <w:r>
              <w:rPr>
                <w:kern w:val="2"/>
                <w:sz w:val="18"/>
                <w:szCs w:val="18"/>
              </w:rPr>
              <w:t>A~B</w:t>
            </w:r>
          </w:p>
        </w:tc>
        <w:tc>
          <w:tcPr>
            <w:tcW w:w="1217" w:type="dxa"/>
            <w:vAlign w:val="center"/>
          </w:tcPr>
          <w:p w14:paraId="0A1EA9C3">
            <w:pPr>
              <w:widowControl w:val="0"/>
              <w:topLinePunct/>
              <w:autoSpaceDE w:val="0"/>
              <w:autoSpaceDN w:val="0"/>
              <w:spacing w:before="62" w:beforeLines="20"/>
              <w:jc w:val="center"/>
              <w:rPr>
                <w:kern w:val="2"/>
                <w:sz w:val="18"/>
                <w:szCs w:val="18"/>
              </w:rPr>
            </w:pPr>
            <w:r>
              <w:rPr>
                <w:kern w:val="2"/>
                <w:sz w:val="18"/>
                <w:szCs w:val="18"/>
              </w:rPr>
              <w:t>B</w:t>
            </w:r>
          </w:p>
        </w:tc>
        <w:tc>
          <w:tcPr>
            <w:tcW w:w="1217" w:type="dxa"/>
            <w:vAlign w:val="center"/>
          </w:tcPr>
          <w:p w14:paraId="5563440D">
            <w:pPr>
              <w:widowControl w:val="0"/>
              <w:topLinePunct/>
              <w:autoSpaceDE w:val="0"/>
              <w:autoSpaceDN w:val="0"/>
              <w:spacing w:before="62" w:beforeLines="20"/>
              <w:jc w:val="center"/>
              <w:rPr>
                <w:kern w:val="2"/>
                <w:sz w:val="18"/>
                <w:szCs w:val="18"/>
              </w:rPr>
            </w:pPr>
            <w:r>
              <w:rPr>
                <w:kern w:val="2"/>
                <w:sz w:val="18"/>
                <w:szCs w:val="18"/>
              </w:rPr>
              <w:t>C</w:t>
            </w:r>
          </w:p>
        </w:tc>
        <w:tc>
          <w:tcPr>
            <w:tcW w:w="2799" w:type="dxa"/>
            <w:vAlign w:val="center"/>
          </w:tcPr>
          <w:p w14:paraId="5C3698FD">
            <w:pPr>
              <w:widowControl w:val="0"/>
              <w:topLinePunct/>
              <w:autoSpaceDE w:val="0"/>
              <w:autoSpaceDN w:val="0"/>
              <w:spacing w:before="62" w:beforeLines="20"/>
              <w:jc w:val="center"/>
              <w:rPr>
                <w:kern w:val="2"/>
                <w:sz w:val="18"/>
                <w:szCs w:val="18"/>
              </w:rPr>
            </w:pPr>
            <w:r>
              <w:rPr>
                <w:kern w:val="2"/>
                <w:sz w:val="18"/>
                <w:szCs w:val="18"/>
              </w:rPr>
              <w:t>E</w:t>
            </w:r>
          </w:p>
        </w:tc>
        <w:tc>
          <w:tcPr>
            <w:tcW w:w="1527" w:type="dxa"/>
            <w:vAlign w:val="center"/>
          </w:tcPr>
          <w:p w14:paraId="3597FBD3">
            <w:pPr>
              <w:widowControl w:val="0"/>
              <w:topLinePunct/>
              <w:autoSpaceDE w:val="0"/>
              <w:autoSpaceDN w:val="0"/>
              <w:spacing w:before="62" w:beforeLines="20"/>
              <w:jc w:val="center"/>
              <w:rPr>
                <w:kern w:val="2"/>
                <w:sz w:val="18"/>
                <w:szCs w:val="18"/>
              </w:rPr>
            </w:pPr>
            <w:r>
              <w:rPr>
                <w:kern w:val="2"/>
                <w:sz w:val="18"/>
                <w:szCs w:val="18"/>
              </w:rPr>
              <w:t>F</w:t>
            </w:r>
          </w:p>
        </w:tc>
      </w:tr>
      <w:tr w14:paraId="3D26F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218" w:type="dxa"/>
            <w:vAlign w:val="center"/>
          </w:tcPr>
          <w:p w14:paraId="218C6084">
            <w:pPr>
              <w:widowControl w:val="0"/>
              <w:topLinePunct/>
              <w:autoSpaceDE w:val="0"/>
              <w:autoSpaceDN w:val="0"/>
              <w:spacing w:before="62" w:beforeLines="20"/>
              <w:jc w:val="center"/>
              <w:rPr>
                <w:kern w:val="2"/>
                <w:sz w:val="18"/>
                <w:szCs w:val="18"/>
              </w:rPr>
            </w:pPr>
            <w:r>
              <w:rPr>
                <w:kern w:val="2"/>
                <w:sz w:val="18"/>
                <w:szCs w:val="18"/>
              </w:rPr>
              <w:t>3~4</w:t>
            </w:r>
          </w:p>
        </w:tc>
        <w:tc>
          <w:tcPr>
            <w:tcW w:w="1217" w:type="dxa"/>
            <w:vAlign w:val="center"/>
          </w:tcPr>
          <w:p w14:paraId="215F768E">
            <w:pPr>
              <w:widowControl w:val="0"/>
              <w:topLinePunct/>
              <w:autoSpaceDE w:val="0"/>
              <w:autoSpaceDN w:val="0"/>
              <w:spacing w:before="62" w:beforeLines="20"/>
              <w:jc w:val="center"/>
              <w:rPr>
                <w:kern w:val="2"/>
                <w:sz w:val="18"/>
                <w:szCs w:val="18"/>
              </w:rPr>
            </w:pPr>
            <w:r>
              <w:rPr>
                <w:kern w:val="2"/>
                <w:sz w:val="18"/>
                <w:szCs w:val="18"/>
              </w:rPr>
              <w:t>B</w:t>
            </w:r>
          </w:p>
        </w:tc>
        <w:tc>
          <w:tcPr>
            <w:tcW w:w="1217" w:type="dxa"/>
            <w:vAlign w:val="center"/>
          </w:tcPr>
          <w:p w14:paraId="6653EDD1">
            <w:pPr>
              <w:widowControl w:val="0"/>
              <w:topLinePunct/>
              <w:autoSpaceDE w:val="0"/>
              <w:autoSpaceDN w:val="0"/>
              <w:spacing w:before="62" w:beforeLines="20"/>
              <w:jc w:val="center"/>
              <w:rPr>
                <w:kern w:val="2"/>
                <w:sz w:val="18"/>
                <w:szCs w:val="18"/>
              </w:rPr>
            </w:pPr>
            <w:r>
              <w:rPr>
                <w:kern w:val="2"/>
                <w:sz w:val="18"/>
                <w:szCs w:val="18"/>
              </w:rPr>
              <w:t>B~C</w:t>
            </w:r>
          </w:p>
        </w:tc>
        <w:tc>
          <w:tcPr>
            <w:tcW w:w="1217" w:type="dxa"/>
            <w:vAlign w:val="center"/>
          </w:tcPr>
          <w:p w14:paraId="3CD748A9">
            <w:pPr>
              <w:widowControl w:val="0"/>
              <w:topLinePunct/>
              <w:autoSpaceDE w:val="0"/>
              <w:autoSpaceDN w:val="0"/>
              <w:spacing w:before="62" w:beforeLines="20"/>
              <w:jc w:val="center"/>
              <w:rPr>
                <w:kern w:val="2"/>
                <w:sz w:val="18"/>
                <w:szCs w:val="18"/>
              </w:rPr>
            </w:pPr>
            <w:r>
              <w:rPr>
                <w:kern w:val="2"/>
                <w:sz w:val="18"/>
                <w:szCs w:val="18"/>
              </w:rPr>
              <w:t>C</w:t>
            </w:r>
          </w:p>
        </w:tc>
        <w:tc>
          <w:tcPr>
            <w:tcW w:w="2799" w:type="dxa"/>
            <w:vAlign w:val="center"/>
          </w:tcPr>
          <w:p w14:paraId="2A0B5E27">
            <w:pPr>
              <w:widowControl w:val="0"/>
              <w:topLinePunct/>
              <w:autoSpaceDE w:val="0"/>
              <w:autoSpaceDN w:val="0"/>
              <w:spacing w:before="62" w:beforeLines="20"/>
              <w:jc w:val="center"/>
              <w:rPr>
                <w:kern w:val="2"/>
                <w:sz w:val="18"/>
                <w:szCs w:val="18"/>
              </w:rPr>
            </w:pPr>
            <w:r>
              <w:rPr>
                <w:kern w:val="2"/>
                <w:sz w:val="18"/>
                <w:szCs w:val="18"/>
              </w:rPr>
              <w:t>D</w:t>
            </w:r>
          </w:p>
        </w:tc>
        <w:tc>
          <w:tcPr>
            <w:tcW w:w="1527" w:type="dxa"/>
            <w:vAlign w:val="center"/>
          </w:tcPr>
          <w:p w14:paraId="1127C115">
            <w:pPr>
              <w:widowControl w:val="0"/>
              <w:topLinePunct/>
              <w:autoSpaceDE w:val="0"/>
              <w:autoSpaceDN w:val="0"/>
              <w:spacing w:before="62" w:beforeLines="20"/>
              <w:jc w:val="center"/>
              <w:rPr>
                <w:kern w:val="2"/>
                <w:sz w:val="18"/>
                <w:szCs w:val="18"/>
              </w:rPr>
            </w:pPr>
            <w:r>
              <w:rPr>
                <w:kern w:val="2"/>
                <w:sz w:val="18"/>
                <w:szCs w:val="18"/>
              </w:rPr>
              <w:t>E</w:t>
            </w:r>
          </w:p>
        </w:tc>
      </w:tr>
      <w:tr w14:paraId="7F955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218" w:type="dxa"/>
            <w:vAlign w:val="center"/>
          </w:tcPr>
          <w:p w14:paraId="1BEA0DE7">
            <w:pPr>
              <w:widowControl w:val="0"/>
              <w:topLinePunct/>
              <w:autoSpaceDE w:val="0"/>
              <w:autoSpaceDN w:val="0"/>
              <w:spacing w:before="62" w:beforeLines="20"/>
              <w:jc w:val="center"/>
              <w:rPr>
                <w:kern w:val="2"/>
                <w:sz w:val="18"/>
                <w:szCs w:val="18"/>
              </w:rPr>
            </w:pPr>
            <w:r>
              <w:rPr>
                <w:kern w:val="2"/>
                <w:sz w:val="18"/>
                <w:szCs w:val="18"/>
              </w:rPr>
              <w:t>4~6</w:t>
            </w:r>
          </w:p>
        </w:tc>
        <w:tc>
          <w:tcPr>
            <w:tcW w:w="1217" w:type="dxa"/>
            <w:vAlign w:val="center"/>
          </w:tcPr>
          <w:p w14:paraId="7D242597">
            <w:pPr>
              <w:widowControl w:val="0"/>
              <w:topLinePunct/>
              <w:autoSpaceDE w:val="0"/>
              <w:autoSpaceDN w:val="0"/>
              <w:spacing w:before="62" w:beforeLines="20"/>
              <w:jc w:val="center"/>
              <w:rPr>
                <w:kern w:val="2"/>
                <w:sz w:val="18"/>
                <w:szCs w:val="18"/>
              </w:rPr>
            </w:pPr>
            <w:r>
              <w:rPr>
                <w:kern w:val="2"/>
                <w:sz w:val="18"/>
                <w:szCs w:val="18"/>
              </w:rPr>
              <w:t>C</w:t>
            </w:r>
          </w:p>
        </w:tc>
        <w:tc>
          <w:tcPr>
            <w:tcW w:w="1217" w:type="dxa"/>
            <w:vAlign w:val="center"/>
          </w:tcPr>
          <w:p w14:paraId="6EC3076A">
            <w:pPr>
              <w:widowControl w:val="0"/>
              <w:topLinePunct/>
              <w:autoSpaceDE w:val="0"/>
              <w:autoSpaceDN w:val="0"/>
              <w:spacing w:before="62" w:beforeLines="20"/>
              <w:jc w:val="center"/>
              <w:rPr>
                <w:kern w:val="2"/>
                <w:sz w:val="18"/>
                <w:szCs w:val="18"/>
              </w:rPr>
            </w:pPr>
            <w:r>
              <w:rPr>
                <w:kern w:val="2"/>
                <w:sz w:val="18"/>
                <w:szCs w:val="18"/>
              </w:rPr>
              <w:t>C~D</w:t>
            </w:r>
          </w:p>
        </w:tc>
        <w:tc>
          <w:tcPr>
            <w:tcW w:w="1217" w:type="dxa"/>
            <w:vAlign w:val="center"/>
          </w:tcPr>
          <w:p w14:paraId="4B006D8F">
            <w:pPr>
              <w:widowControl w:val="0"/>
              <w:topLinePunct/>
              <w:autoSpaceDE w:val="0"/>
              <w:autoSpaceDN w:val="0"/>
              <w:spacing w:before="62" w:beforeLines="20"/>
              <w:jc w:val="center"/>
              <w:rPr>
                <w:kern w:val="2"/>
                <w:sz w:val="18"/>
                <w:szCs w:val="18"/>
              </w:rPr>
            </w:pPr>
            <w:r>
              <w:rPr>
                <w:kern w:val="2"/>
                <w:sz w:val="18"/>
                <w:szCs w:val="18"/>
              </w:rPr>
              <w:t>D</w:t>
            </w:r>
          </w:p>
        </w:tc>
        <w:tc>
          <w:tcPr>
            <w:tcW w:w="2799" w:type="dxa"/>
            <w:vAlign w:val="center"/>
          </w:tcPr>
          <w:p w14:paraId="6A77F11F">
            <w:pPr>
              <w:widowControl w:val="0"/>
              <w:topLinePunct/>
              <w:autoSpaceDE w:val="0"/>
              <w:autoSpaceDN w:val="0"/>
              <w:spacing w:before="62" w:beforeLines="20"/>
              <w:jc w:val="center"/>
              <w:rPr>
                <w:kern w:val="2"/>
                <w:sz w:val="18"/>
                <w:szCs w:val="18"/>
              </w:rPr>
            </w:pPr>
            <w:r>
              <w:rPr>
                <w:kern w:val="2"/>
                <w:sz w:val="18"/>
                <w:szCs w:val="18"/>
              </w:rPr>
              <w:t>D</w:t>
            </w:r>
          </w:p>
        </w:tc>
        <w:tc>
          <w:tcPr>
            <w:tcW w:w="1527" w:type="dxa"/>
            <w:vAlign w:val="center"/>
          </w:tcPr>
          <w:p w14:paraId="166A1ADD">
            <w:pPr>
              <w:widowControl w:val="0"/>
              <w:topLinePunct/>
              <w:autoSpaceDE w:val="0"/>
              <w:autoSpaceDN w:val="0"/>
              <w:spacing w:before="62" w:beforeLines="20"/>
              <w:jc w:val="center"/>
              <w:rPr>
                <w:kern w:val="2"/>
                <w:sz w:val="18"/>
                <w:szCs w:val="18"/>
              </w:rPr>
            </w:pPr>
            <w:r>
              <w:rPr>
                <w:kern w:val="2"/>
                <w:sz w:val="18"/>
                <w:szCs w:val="18"/>
              </w:rPr>
              <w:t>D</w:t>
            </w:r>
          </w:p>
        </w:tc>
      </w:tr>
      <w:tr w14:paraId="2C45A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218" w:type="dxa"/>
            <w:vAlign w:val="center"/>
          </w:tcPr>
          <w:p w14:paraId="1F9CBBC0">
            <w:pPr>
              <w:widowControl w:val="0"/>
              <w:topLinePunct/>
              <w:autoSpaceDE w:val="0"/>
              <w:autoSpaceDN w:val="0"/>
              <w:spacing w:before="62" w:beforeLines="20"/>
              <w:jc w:val="center"/>
              <w:rPr>
                <w:kern w:val="2"/>
                <w:sz w:val="18"/>
                <w:szCs w:val="18"/>
              </w:rPr>
            </w:pPr>
            <w:r>
              <w:rPr>
                <w:rFonts w:hint="eastAsia" w:ascii="宋体" w:hAnsi="宋体"/>
                <w:kern w:val="2"/>
                <w:sz w:val="18"/>
                <w:szCs w:val="18"/>
              </w:rPr>
              <w:t>＞</w:t>
            </w:r>
            <w:r>
              <w:rPr>
                <w:kern w:val="2"/>
                <w:sz w:val="18"/>
                <w:szCs w:val="18"/>
              </w:rPr>
              <w:t>6</w:t>
            </w:r>
          </w:p>
        </w:tc>
        <w:tc>
          <w:tcPr>
            <w:tcW w:w="1217" w:type="dxa"/>
            <w:vAlign w:val="center"/>
          </w:tcPr>
          <w:p w14:paraId="5ADB8034">
            <w:pPr>
              <w:widowControl w:val="0"/>
              <w:topLinePunct/>
              <w:autoSpaceDE w:val="0"/>
              <w:autoSpaceDN w:val="0"/>
              <w:spacing w:before="62" w:beforeLines="20"/>
              <w:jc w:val="center"/>
              <w:rPr>
                <w:kern w:val="2"/>
                <w:sz w:val="18"/>
                <w:szCs w:val="18"/>
              </w:rPr>
            </w:pPr>
            <w:r>
              <w:rPr>
                <w:kern w:val="2"/>
                <w:sz w:val="18"/>
                <w:szCs w:val="18"/>
              </w:rPr>
              <w:t>C</w:t>
            </w:r>
          </w:p>
        </w:tc>
        <w:tc>
          <w:tcPr>
            <w:tcW w:w="1217" w:type="dxa"/>
            <w:vAlign w:val="center"/>
          </w:tcPr>
          <w:p w14:paraId="31D2215C">
            <w:pPr>
              <w:widowControl w:val="0"/>
              <w:topLinePunct/>
              <w:autoSpaceDE w:val="0"/>
              <w:autoSpaceDN w:val="0"/>
              <w:spacing w:before="62" w:beforeLines="20"/>
              <w:jc w:val="center"/>
              <w:rPr>
                <w:kern w:val="2"/>
                <w:sz w:val="18"/>
                <w:szCs w:val="18"/>
              </w:rPr>
            </w:pPr>
            <w:r>
              <w:rPr>
                <w:kern w:val="2"/>
                <w:sz w:val="18"/>
                <w:szCs w:val="18"/>
              </w:rPr>
              <w:t>D</w:t>
            </w:r>
          </w:p>
        </w:tc>
        <w:tc>
          <w:tcPr>
            <w:tcW w:w="1217" w:type="dxa"/>
            <w:vAlign w:val="center"/>
          </w:tcPr>
          <w:p w14:paraId="6556916C">
            <w:pPr>
              <w:widowControl w:val="0"/>
              <w:topLinePunct/>
              <w:autoSpaceDE w:val="0"/>
              <w:autoSpaceDN w:val="0"/>
              <w:spacing w:before="62" w:beforeLines="20"/>
              <w:jc w:val="center"/>
              <w:rPr>
                <w:kern w:val="2"/>
                <w:sz w:val="18"/>
                <w:szCs w:val="18"/>
              </w:rPr>
            </w:pPr>
            <w:r>
              <w:rPr>
                <w:kern w:val="2"/>
                <w:sz w:val="18"/>
                <w:szCs w:val="18"/>
              </w:rPr>
              <w:t>D</w:t>
            </w:r>
          </w:p>
        </w:tc>
        <w:tc>
          <w:tcPr>
            <w:tcW w:w="2799" w:type="dxa"/>
            <w:vAlign w:val="center"/>
          </w:tcPr>
          <w:p w14:paraId="4515D59E">
            <w:pPr>
              <w:widowControl w:val="0"/>
              <w:topLinePunct/>
              <w:autoSpaceDE w:val="0"/>
              <w:autoSpaceDN w:val="0"/>
              <w:spacing w:before="62" w:beforeLines="20"/>
              <w:jc w:val="center"/>
              <w:rPr>
                <w:kern w:val="2"/>
                <w:sz w:val="18"/>
                <w:szCs w:val="18"/>
              </w:rPr>
            </w:pPr>
            <w:r>
              <w:rPr>
                <w:kern w:val="2"/>
                <w:sz w:val="18"/>
                <w:szCs w:val="18"/>
              </w:rPr>
              <w:t>D</w:t>
            </w:r>
          </w:p>
        </w:tc>
        <w:tc>
          <w:tcPr>
            <w:tcW w:w="1527" w:type="dxa"/>
            <w:vAlign w:val="center"/>
          </w:tcPr>
          <w:p w14:paraId="71B0F220">
            <w:pPr>
              <w:widowControl w:val="0"/>
              <w:topLinePunct/>
              <w:autoSpaceDE w:val="0"/>
              <w:autoSpaceDN w:val="0"/>
              <w:spacing w:before="62" w:beforeLines="20"/>
              <w:jc w:val="center"/>
              <w:rPr>
                <w:kern w:val="2"/>
                <w:sz w:val="18"/>
                <w:szCs w:val="18"/>
              </w:rPr>
            </w:pPr>
            <w:r>
              <w:rPr>
                <w:kern w:val="2"/>
                <w:sz w:val="18"/>
                <w:szCs w:val="18"/>
              </w:rPr>
              <w:t>D</w:t>
            </w:r>
          </w:p>
        </w:tc>
      </w:tr>
    </w:tbl>
    <w:p w14:paraId="0801877D">
      <w:pPr>
        <w:widowControl w:val="0"/>
        <w:spacing w:line="240" w:lineRule="auto"/>
        <w:jc w:val="center"/>
        <w:textAlignment w:val="auto"/>
        <w:rPr>
          <w:rFonts w:eastAsia="黑体"/>
          <w:kern w:val="2"/>
          <w:szCs w:val="21"/>
        </w:rPr>
      </w:pPr>
    </w:p>
    <w:p w14:paraId="3DB7874C">
      <w:pPr>
        <w:widowControl w:val="0"/>
        <w:spacing w:before="156" w:beforeLines="50" w:after="156" w:afterLines="50"/>
        <w:jc w:val="center"/>
        <w:rPr>
          <w:rFonts w:hint="eastAsia" w:ascii="黑体" w:hAnsi="黑体" w:eastAsia="黑体"/>
          <w:kern w:val="2"/>
          <w:szCs w:val="24"/>
        </w:rPr>
      </w:pPr>
      <w:bookmarkStart w:id="186" w:name="_Toc310769355"/>
      <w:bookmarkStart w:id="187" w:name="_Toc310952757"/>
      <w:bookmarkStart w:id="188" w:name="_Toc296956168"/>
      <w:r>
        <w:rPr>
          <w:rFonts w:hint="eastAsia" w:ascii="黑体" w:hAnsi="黑体" w:eastAsia="黑体"/>
          <w:kern w:val="2"/>
          <w:szCs w:val="24"/>
        </w:rPr>
        <w:t>表 B</w:t>
      </w:r>
      <w:r>
        <w:rPr>
          <w:rFonts w:ascii="黑体" w:hAnsi="黑体" w:eastAsia="黑体"/>
          <w:kern w:val="2"/>
          <w:szCs w:val="24"/>
        </w:rPr>
        <w:t>.</w:t>
      </w:r>
      <w:r>
        <w:rPr>
          <w:rFonts w:hint="eastAsia" w:ascii="黑体" w:hAnsi="黑体" w:eastAsia="黑体"/>
          <w:kern w:val="2"/>
          <w:szCs w:val="24"/>
        </w:rPr>
        <w:t xml:space="preserve">5 </w:t>
      </w:r>
      <w:r>
        <w:rPr>
          <w:rFonts w:ascii="黑体" w:hAnsi="黑体" w:eastAsia="黑体"/>
          <w:kern w:val="2"/>
          <w:szCs w:val="24"/>
        </w:rPr>
        <w:t xml:space="preserve"> </w:t>
      </w:r>
      <w:r>
        <w:rPr>
          <w:rFonts w:hint="eastAsia" w:ascii="黑体" w:hAnsi="黑体" w:eastAsia="黑体"/>
          <w:kern w:val="2"/>
          <w:szCs w:val="24"/>
        </w:rPr>
        <w:t>日照强度确定</w:t>
      </w:r>
      <w:bookmarkEnd w:id="186"/>
      <w:bookmarkEnd w:id="187"/>
      <w:bookmarkEnd w:id="188"/>
    </w:p>
    <w:tbl>
      <w:tblPr>
        <w:tblStyle w:val="36"/>
        <w:tblW w:w="91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72"/>
        <w:gridCol w:w="1296"/>
        <w:gridCol w:w="1926"/>
        <w:gridCol w:w="1797"/>
      </w:tblGrid>
      <w:tr w14:paraId="58854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172" w:type="dxa"/>
            <w:vAlign w:val="center"/>
          </w:tcPr>
          <w:p w14:paraId="44CE53FD">
            <w:pPr>
              <w:widowControl w:val="0"/>
              <w:topLinePunct/>
              <w:autoSpaceDE w:val="0"/>
              <w:autoSpaceDN w:val="0"/>
              <w:spacing w:before="62" w:beforeLines="20"/>
              <w:jc w:val="center"/>
              <w:rPr>
                <w:kern w:val="2"/>
                <w:sz w:val="18"/>
                <w:szCs w:val="18"/>
              </w:rPr>
            </w:pPr>
            <w:r>
              <w:rPr>
                <w:rFonts w:hint="eastAsia"/>
                <w:kern w:val="2"/>
                <w:sz w:val="18"/>
                <w:szCs w:val="18"/>
              </w:rPr>
              <w:t>天空云层情况</w:t>
            </w:r>
          </w:p>
        </w:tc>
        <w:tc>
          <w:tcPr>
            <w:tcW w:w="1296" w:type="dxa"/>
            <w:vAlign w:val="center"/>
          </w:tcPr>
          <w:p w14:paraId="3A78E189">
            <w:pPr>
              <w:widowControl w:val="0"/>
              <w:topLinePunct/>
              <w:autoSpaceDE w:val="0"/>
              <w:autoSpaceDN w:val="0"/>
              <w:spacing w:before="62" w:beforeLines="20"/>
              <w:jc w:val="center"/>
              <w:rPr>
                <w:kern w:val="2"/>
                <w:sz w:val="18"/>
                <w:szCs w:val="18"/>
                <w:vertAlign w:val="superscript"/>
              </w:rPr>
            </w:pPr>
            <w:r>
              <w:rPr>
                <w:kern w:val="2"/>
                <w:sz w:val="18"/>
                <w:szCs w:val="18"/>
              </w:rPr>
              <w:t>60</w:t>
            </w:r>
            <w:r>
              <w:rPr>
                <w:kern w:val="2"/>
                <w:sz w:val="18"/>
                <w:szCs w:val="18"/>
                <w:vertAlign w:val="superscript"/>
              </w:rPr>
              <w:t>o</w:t>
            </w:r>
            <w:r>
              <w:rPr>
                <w:rFonts w:hint="eastAsia" w:ascii="宋体" w:hAnsi="宋体"/>
                <w:kern w:val="2"/>
                <w:sz w:val="18"/>
                <w:szCs w:val="18"/>
              </w:rPr>
              <w:t>＜</w:t>
            </w:r>
            <w:r>
              <w:rPr>
                <w:rFonts w:hint="eastAsia"/>
                <w:kern w:val="2"/>
                <w:sz w:val="18"/>
                <w:szCs w:val="18"/>
              </w:rPr>
              <w:t>日照</w:t>
            </w:r>
            <w:r>
              <w:rPr>
                <w:rFonts w:hint="eastAsia" w:ascii="宋体" w:hAnsi="宋体"/>
                <w:kern w:val="2"/>
                <w:sz w:val="18"/>
                <w:szCs w:val="18"/>
              </w:rPr>
              <w:t>角</w:t>
            </w:r>
          </w:p>
        </w:tc>
        <w:tc>
          <w:tcPr>
            <w:tcW w:w="1926" w:type="dxa"/>
            <w:vAlign w:val="center"/>
          </w:tcPr>
          <w:p w14:paraId="4A710954">
            <w:pPr>
              <w:widowControl w:val="0"/>
              <w:topLinePunct/>
              <w:autoSpaceDE w:val="0"/>
              <w:autoSpaceDN w:val="0"/>
              <w:spacing w:before="62" w:beforeLines="20"/>
              <w:jc w:val="center"/>
              <w:rPr>
                <w:kern w:val="2"/>
                <w:sz w:val="18"/>
                <w:szCs w:val="18"/>
              </w:rPr>
            </w:pPr>
            <w:r>
              <w:rPr>
                <w:kern w:val="2"/>
                <w:sz w:val="18"/>
                <w:szCs w:val="18"/>
              </w:rPr>
              <w:t>35</w:t>
            </w:r>
            <w:r>
              <w:rPr>
                <w:kern w:val="2"/>
                <w:sz w:val="18"/>
                <w:szCs w:val="18"/>
                <w:vertAlign w:val="superscript"/>
              </w:rPr>
              <w:t>o</w:t>
            </w:r>
            <w:r>
              <w:rPr>
                <w:rFonts w:hint="eastAsia" w:ascii="宋体" w:hAnsi="宋体"/>
                <w:kern w:val="2"/>
                <w:sz w:val="18"/>
                <w:szCs w:val="18"/>
              </w:rPr>
              <w:t>＜</w:t>
            </w:r>
            <w:r>
              <w:rPr>
                <w:rFonts w:hint="eastAsia"/>
                <w:kern w:val="2"/>
                <w:sz w:val="18"/>
                <w:szCs w:val="18"/>
              </w:rPr>
              <w:t>日照</w:t>
            </w:r>
            <w:r>
              <w:rPr>
                <w:rFonts w:hint="eastAsia" w:ascii="宋体" w:hAnsi="宋体"/>
                <w:kern w:val="2"/>
                <w:sz w:val="18"/>
                <w:szCs w:val="18"/>
              </w:rPr>
              <w:t>角＜</w:t>
            </w:r>
            <w:r>
              <w:rPr>
                <w:kern w:val="2"/>
                <w:sz w:val="18"/>
                <w:szCs w:val="18"/>
              </w:rPr>
              <w:t>60</w:t>
            </w:r>
            <w:r>
              <w:rPr>
                <w:kern w:val="2"/>
                <w:sz w:val="18"/>
                <w:szCs w:val="18"/>
                <w:vertAlign w:val="superscript"/>
              </w:rPr>
              <w:t>o</w:t>
            </w:r>
          </w:p>
        </w:tc>
        <w:tc>
          <w:tcPr>
            <w:tcW w:w="1797" w:type="dxa"/>
            <w:vAlign w:val="center"/>
          </w:tcPr>
          <w:p w14:paraId="6D7FBD12">
            <w:pPr>
              <w:widowControl w:val="0"/>
              <w:topLinePunct/>
              <w:autoSpaceDE w:val="0"/>
              <w:autoSpaceDN w:val="0"/>
              <w:spacing w:before="62" w:beforeLines="20"/>
              <w:jc w:val="center"/>
              <w:rPr>
                <w:kern w:val="2"/>
                <w:sz w:val="18"/>
                <w:szCs w:val="18"/>
              </w:rPr>
            </w:pPr>
            <w:r>
              <w:rPr>
                <w:kern w:val="2"/>
                <w:sz w:val="18"/>
                <w:szCs w:val="18"/>
              </w:rPr>
              <w:t>15</w:t>
            </w:r>
            <w:r>
              <w:rPr>
                <w:kern w:val="2"/>
                <w:sz w:val="18"/>
                <w:szCs w:val="18"/>
                <w:vertAlign w:val="superscript"/>
              </w:rPr>
              <w:t>o</w:t>
            </w:r>
            <w:r>
              <w:rPr>
                <w:rFonts w:hint="eastAsia" w:ascii="宋体" w:hAnsi="宋体"/>
                <w:kern w:val="2"/>
                <w:sz w:val="18"/>
                <w:szCs w:val="18"/>
              </w:rPr>
              <w:t>＜</w:t>
            </w:r>
            <w:r>
              <w:rPr>
                <w:rFonts w:hint="eastAsia"/>
                <w:kern w:val="2"/>
                <w:sz w:val="18"/>
                <w:szCs w:val="18"/>
              </w:rPr>
              <w:t>日照</w:t>
            </w:r>
            <w:r>
              <w:rPr>
                <w:rFonts w:hint="eastAsia" w:ascii="宋体" w:hAnsi="宋体"/>
                <w:kern w:val="2"/>
                <w:sz w:val="18"/>
                <w:szCs w:val="18"/>
              </w:rPr>
              <w:t>角＜</w:t>
            </w:r>
            <w:r>
              <w:rPr>
                <w:kern w:val="2"/>
                <w:sz w:val="18"/>
                <w:szCs w:val="18"/>
              </w:rPr>
              <w:t>35</w:t>
            </w:r>
            <w:r>
              <w:rPr>
                <w:kern w:val="2"/>
                <w:sz w:val="18"/>
                <w:szCs w:val="18"/>
                <w:vertAlign w:val="superscript"/>
              </w:rPr>
              <w:t>o</w:t>
            </w:r>
          </w:p>
        </w:tc>
      </w:tr>
      <w:tr w14:paraId="68E6D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172" w:type="dxa"/>
            <w:vAlign w:val="center"/>
          </w:tcPr>
          <w:p w14:paraId="0C37BB24">
            <w:pPr>
              <w:widowControl w:val="0"/>
              <w:topLinePunct/>
              <w:autoSpaceDE w:val="0"/>
              <w:autoSpaceDN w:val="0"/>
              <w:spacing w:before="62" w:beforeLines="20"/>
              <w:jc w:val="center"/>
              <w:rPr>
                <w:kern w:val="2"/>
                <w:sz w:val="18"/>
                <w:szCs w:val="18"/>
              </w:rPr>
            </w:pPr>
            <w:r>
              <w:rPr>
                <w:rFonts w:hint="eastAsia"/>
                <w:kern w:val="2"/>
                <w:sz w:val="18"/>
                <w:szCs w:val="18"/>
              </w:rPr>
              <w:t>天空云量为</w:t>
            </w:r>
            <w:r>
              <w:rPr>
                <w:kern w:val="2"/>
                <w:sz w:val="18"/>
                <w:szCs w:val="18"/>
              </w:rPr>
              <w:t>4/8</w:t>
            </w:r>
            <w:r>
              <w:rPr>
                <w:rFonts w:hint="eastAsia"/>
                <w:kern w:val="2"/>
                <w:sz w:val="18"/>
                <w:szCs w:val="18"/>
              </w:rPr>
              <w:t>，或高空有薄云</w:t>
            </w:r>
          </w:p>
        </w:tc>
        <w:tc>
          <w:tcPr>
            <w:tcW w:w="1296" w:type="dxa"/>
            <w:vAlign w:val="center"/>
          </w:tcPr>
          <w:p w14:paraId="51130322">
            <w:pPr>
              <w:widowControl w:val="0"/>
              <w:topLinePunct/>
              <w:autoSpaceDE w:val="0"/>
              <w:autoSpaceDN w:val="0"/>
              <w:spacing w:before="62" w:beforeLines="20"/>
              <w:jc w:val="center"/>
              <w:rPr>
                <w:kern w:val="2"/>
                <w:sz w:val="18"/>
                <w:szCs w:val="18"/>
              </w:rPr>
            </w:pPr>
            <w:r>
              <w:rPr>
                <w:rFonts w:hint="eastAsia"/>
                <w:kern w:val="2"/>
                <w:sz w:val="18"/>
                <w:szCs w:val="18"/>
              </w:rPr>
              <w:t>强</w:t>
            </w:r>
          </w:p>
        </w:tc>
        <w:tc>
          <w:tcPr>
            <w:tcW w:w="1926" w:type="dxa"/>
            <w:vAlign w:val="center"/>
          </w:tcPr>
          <w:p w14:paraId="616C0BE3">
            <w:pPr>
              <w:widowControl w:val="0"/>
              <w:topLinePunct/>
              <w:autoSpaceDE w:val="0"/>
              <w:autoSpaceDN w:val="0"/>
              <w:spacing w:before="62" w:beforeLines="20"/>
              <w:jc w:val="center"/>
              <w:rPr>
                <w:kern w:val="2"/>
                <w:sz w:val="18"/>
                <w:szCs w:val="18"/>
              </w:rPr>
            </w:pPr>
            <w:r>
              <w:rPr>
                <w:rFonts w:hint="eastAsia"/>
                <w:kern w:val="2"/>
                <w:sz w:val="18"/>
                <w:szCs w:val="18"/>
              </w:rPr>
              <w:t>中等</w:t>
            </w:r>
          </w:p>
        </w:tc>
        <w:tc>
          <w:tcPr>
            <w:tcW w:w="1797" w:type="dxa"/>
            <w:vAlign w:val="center"/>
          </w:tcPr>
          <w:p w14:paraId="0910E9D2">
            <w:pPr>
              <w:widowControl w:val="0"/>
              <w:topLinePunct/>
              <w:autoSpaceDE w:val="0"/>
              <w:autoSpaceDN w:val="0"/>
              <w:spacing w:before="62" w:beforeLines="20"/>
              <w:jc w:val="center"/>
              <w:rPr>
                <w:kern w:val="2"/>
                <w:sz w:val="18"/>
                <w:szCs w:val="18"/>
              </w:rPr>
            </w:pPr>
            <w:r>
              <w:rPr>
                <w:rFonts w:hint="eastAsia"/>
                <w:kern w:val="2"/>
                <w:sz w:val="18"/>
                <w:szCs w:val="18"/>
              </w:rPr>
              <w:t>弱</w:t>
            </w:r>
          </w:p>
        </w:tc>
      </w:tr>
      <w:tr w14:paraId="1C9DC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172" w:type="dxa"/>
            <w:vAlign w:val="center"/>
          </w:tcPr>
          <w:p w14:paraId="7A95F8DA">
            <w:pPr>
              <w:widowControl w:val="0"/>
              <w:topLinePunct/>
              <w:autoSpaceDE w:val="0"/>
              <w:autoSpaceDN w:val="0"/>
              <w:spacing w:before="62" w:beforeLines="20"/>
              <w:jc w:val="center"/>
              <w:rPr>
                <w:kern w:val="2"/>
                <w:sz w:val="18"/>
                <w:szCs w:val="18"/>
              </w:rPr>
            </w:pPr>
            <w:r>
              <w:rPr>
                <w:rFonts w:hint="eastAsia"/>
                <w:kern w:val="2"/>
                <w:sz w:val="18"/>
                <w:szCs w:val="18"/>
              </w:rPr>
              <w:t>天空云量为</w:t>
            </w:r>
            <w:r>
              <w:rPr>
                <w:kern w:val="2"/>
                <w:sz w:val="18"/>
                <w:szCs w:val="18"/>
              </w:rPr>
              <w:t>5/8~7/8</w:t>
            </w:r>
            <w:r>
              <w:rPr>
                <w:rFonts w:hint="eastAsia"/>
                <w:kern w:val="2"/>
                <w:sz w:val="18"/>
                <w:szCs w:val="18"/>
              </w:rPr>
              <w:t>，云层高度为</w:t>
            </w:r>
            <w:r>
              <w:rPr>
                <w:kern w:val="2"/>
                <w:sz w:val="18"/>
                <w:szCs w:val="18"/>
              </w:rPr>
              <w:t>2134 m ~4877 m</w:t>
            </w:r>
          </w:p>
        </w:tc>
        <w:tc>
          <w:tcPr>
            <w:tcW w:w="1296" w:type="dxa"/>
            <w:vAlign w:val="center"/>
          </w:tcPr>
          <w:p w14:paraId="6678CFFC">
            <w:pPr>
              <w:widowControl w:val="0"/>
              <w:topLinePunct/>
              <w:autoSpaceDE w:val="0"/>
              <w:autoSpaceDN w:val="0"/>
              <w:spacing w:before="62" w:beforeLines="20"/>
              <w:jc w:val="center"/>
              <w:rPr>
                <w:kern w:val="2"/>
                <w:sz w:val="18"/>
                <w:szCs w:val="18"/>
              </w:rPr>
            </w:pPr>
            <w:r>
              <w:rPr>
                <w:rFonts w:hint="eastAsia"/>
                <w:kern w:val="2"/>
                <w:sz w:val="18"/>
                <w:szCs w:val="18"/>
              </w:rPr>
              <w:t>中等</w:t>
            </w:r>
          </w:p>
        </w:tc>
        <w:tc>
          <w:tcPr>
            <w:tcW w:w="1926" w:type="dxa"/>
            <w:vAlign w:val="center"/>
          </w:tcPr>
          <w:p w14:paraId="43CFDC13">
            <w:pPr>
              <w:widowControl w:val="0"/>
              <w:topLinePunct/>
              <w:autoSpaceDE w:val="0"/>
              <w:autoSpaceDN w:val="0"/>
              <w:spacing w:before="62" w:beforeLines="20"/>
              <w:jc w:val="center"/>
              <w:rPr>
                <w:kern w:val="2"/>
                <w:sz w:val="18"/>
                <w:szCs w:val="18"/>
              </w:rPr>
            </w:pPr>
            <w:r>
              <w:rPr>
                <w:rFonts w:hint="eastAsia"/>
                <w:kern w:val="2"/>
                <w:sz w:val="18"/>
                <w:szCs w:val="18"/>
              </w:rPr>
              <w:t>弱</w:t>
            </w:r>
          </w:p>
        </w:tc>
        <w:tc>
          <w:tcPr>
            <w:tcW w:w="1797" w:type="dxa"/>
            <w:vAlign w:val="center"/>
          </w:tcPr>
          <w:p w14:paraId="183AA377">
            <w:pPr>
              <w:widowControl w:val="0"/>
              <w:topLinePunct/>
              <w:autoSpaceDE w:val="0"/>
              <w:autoSpaceDN w:val="0"/>
              <w:spacing w:before="62" w:beforeLines="20"/>
              <w:jc w:val="center"/>
              <w:rPr>
                <w:kern w:val="2"/>
                <w:sz w:val="18"/>
                <w:szCs w:val="18"/>
              </w:rPr>
            </w:pPr>
            <w:r>
              <w:rPr>
                <w:rFonts w:hint="eastAsia"/>
                <w:kern w:val="2"/>
                <w:sz w:val="18"/>
                <w:szCs w:val="18"/>
              </w:rPr>
              <w:t>弱</w:t>
            </w:r>
          </w:p>
        </w:tc>
      </w:tr>
      <w:tr w14:paraId="439E9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172" w:type="dxa"/>
            <w:vAlign w:val="center"/>
          </w:tcPr>
          <w:p w14:paraId="6C23852A">
            <w:pPr>
              <w:widowControl w:val="0"/>
              <w:topLinePunct/>
              <w:autoSpaceDE w:val="0"/>
              <w:autoSpaceDN w:val="0"/>
              <w:spacing w:before="62" w:beforeLines="20"/>
              <w:jc w:val="center"/>
              <w:rPr>
                <w:kern w:val="2"/>
                <w:sz w:val="18"/>
                <w:szCs w:val="18"/>
              </w:rPr>
            </w:pPr>
            <w:r>
              <w:rPr>
                <w:rFonts w:hint="eastAsia"/>
                <w:kern w:val="2"/>
                <w:sz w:val="18"/>
                <w:szCs w:val="18"/>
              </w:rPr>
              <w:t>天空云量为</w:t>
            </w:r>
            <w:r>
              <w:rPr>
                <w:kern w:val="2"/>
                <w:sz w:val="18"/>
                <w:szCs w:val="18"/>
              </w:rPr>
              <w:t>5/8~7/8</w:t>
            </w:r>
            <w:r>
              <w:rPr>
                <w:rFonts w:hint="eastAsia"/>
                <w:kern w:val="2"/>
                <w:sz w:val="18"/>
                <w:szCs w:val="18"/>
              </w:rPr>
              <w:t>，云层高度</w:t>
            </w:r>
            <w:r>
              <w:rPr>
                <w:rFonts w:hint="eastAsia" w:ascii="宋体" w:hAnsi="宋体"/>
                <w:kern w:val="2"/>
                <w:sz w:val="18"/>
                <w:szCs w:val="18"/>
              </w:rPr>
              <w:t>＜</w:t>
            </w:r>
            <w:r>
              <w:rPr>
                <w:kern w:val="2"/>
                <w:sz w:val="18"/>
                <w:szCs w:val="18"/>
              </w:rPr>
              <w:t>2134 m</w:t>
            </w:r>
          </w:p>
        </w:tc>
        <w:tc>
          <w:tcPr>
            <w:tcW w:w="1296" w:type="dxa"/>
            <w:vAlign w:val="center"/>
          </w:tcPr>
          <w:p w14:paraId="29B88216">
            <w:pPr>
              <w:widowControl w:val="0"/>
              <w:topLinePunct/>
              <w:autoSpaceDE w:val="0"/>
              <w:autoSpaceDN w:val="0"/>
              <w:spacing w:before="62" w:beforeLines="20"/>
              <w:jc w:val="center"/>
              <w:rPr>
                <w:kern w:val="2"/>
                <w:sz w:val="18"/>
                <w:szCs w:val="18"/>
              </w:rPr>
            </w:pPr>
            <w:r>
              <w:rPr>
                <w:rFonts w:hint="eastAsia"/>
                <w:kern w:val="2"/>
                <w:sz w:val="18"/>
                <w:szCs w:val="18"/>
              </w:rPr>
              <w:t>弱</w:t>
            </w:r>
          </w:p>
        </w:tc>
        <w:tc>
          <w:tcPr>
            <w:tcW w:w="1926" w:type="dxa"/>
            <w:vAlign w:val="center"/>
          </w:tcPr>
          <w:p w14:paraId="26635A23">
            <w:pPr>
              <w:widowControl w:val="0"/>
              <w:topLinePunct/>
              <w:autoSpaceDE w:val="0"/>
              <w:autoSpaceDN w:val="0"/>
              <w:spacing w:before="62" w:beforeLines="20"/>
              <w:jc w:val="center"/>
              <w:rPr>
                <w:kern w:val="2"/>
                <w:sz w:val="18"/>
                <w:szCs w:val="18"/>
              </w:rPr>
            </w:pPr>
            <w:r>
              <w:rPr>
                <w:rFonts w:hint="eastAsia"/>
                <w:kern w:val="2"/>
                <w:sz w:val="18"/>
                <w:szCs w:val="18"/>
              </w:rPr>
              <w:t>弱</w:t>
            </w:r>
          </w:p>
        </w:tc>
        <w:tc>
          <w:tcPr>
            <w:tcW w:w="1797" w:type="dxa"/>
            <w:vAlign w:val="center"/>
          </w:tcPr>
          <w:p w14:paraId="4C85C9E1">
            <w:pPr>
              <w:widowControl w:val="0"/>
              <w:topLinePunct/>
              <w:autoSpaceDE w:val="0"/>
              <w:autoSpaceDN w:val="0"/>
              <w:spacing w:before="62" w:beforeLines="20"/>
              <w:jc w:val="center"/>
              <w:rPr>
                <w:kern w:val="2"/>
                <w:sz w:val="18"/>
                <w:szCs w:val="18"/>
              </w:rPr>
            </w:pPr>
            <w:r>
              <w:rPr>
                <w:rFonts w:hint="eastAsia"/>
                <w:kern w:val="2"/>
                <w:sz w:val="18"/>
                <w:szCs w:val="18"/>
              </w:rPr>
              <w:t>弱</w:t>
            </w:r>
          </w:p>
        </w:tc>
      </w:tr>
    </w:tbl>
    <w:p w14:paraId="36E3B35A">
      <w:pPr>
        <w:spacing w:before="156" w:beforeLines="50" w:after="156" w:afterLines="50" w:line="240" w:lineRule="auto"/>
        <w:jc w:val="left"/>
        <w:textAlignment w:val="auto"/>
        <w:rPr>
          <w:rFonts w:hint="eastAsia" w:hAnsi="宋体"/>
          <w:kern w:val="2"/>
          <w:szCs w:val="32"/>
        </w:rPr>
      </w:pPr>
      <w:r>
        <w:rPr>
          <w:rFonts w:hint="eastAsia" w:hAnsi="宋体"/>
          <w:kern w:val="2"/>
          <w:szCs w:val="32"/>
        </w:rPr>
        <w:t>B.5.1.5.2 Pasquill-Gifford模型扩散方程</w:t>
      </w:r>
    </w:p>
    <w:p w14:paraId="58644E8C">
      <w:pPr>
        <w:widowControl w:val="0"/>
        <w:spacing w:line="240" w:lineRule="auto"/>
        <w:textAlignment w:val="auto"/>
        <w:rPr>
          <w:kern w:val="2"/>
          <w:szCs w:val="21"/>
        </w:rPr>
      </w:pPr>
      <w:r>
        <w:rPr>
          <w:rFonts w:hint="eastAsia" w:hAnsi="宋体"/>
          <w:kern w:val="2"/>
          <w:szCs w:val="32"/>
        </w:rPr>
        <w:t>B.5.1.5.2.1</w:t>
      </w:r>
      <w:r>
        <w:rPr>
          <w:rFonts w:ascii="黑体" w:eastAsia="黑体"/>
          <w:kern w:val="2"/>
          <w:szCs w:val="32"/>
        </w:rPr>
        <w:t xml:space="preserve">  </w:t>
      </w:r>
      <w:r>
        <w:rPr>
          <w:rFonts w:hint="eastAsia"/>
          <w:kern w:val="2"/>
          <w:szCs w:val="21"/>
        </w:rPr>
        <w:t>位于地面</w:t>
      </w:r>
      <w:r>
        <w:rPr>
          <w:kern w:val="2"/>
          <w:position w:val="-10"/>
          <w:szCs w:val="24"/>
        </w:rPr>
        <w:object>
          <v:shape id="_x0000_i1039" o:spt="75" type="#_x0000_t75" style="height:15.75pt;width:15.75pt;" o:ole="t" filled="f" o:preferrelative="t" stroked="f" coordsize="21600,21600">
            <v:path/>
            <v:fill on="f" focussize="0,0"/>
            <v:stroke on="f" joinstyle="miter"/>
            <v:imagedata r:id="rId44" o:title=""/>
            <o:lock v:ext="edit" aspectratio="t"/>
            <w10:wrap type="none"/>
            <w10:anchorlock/>
          </v:shape>
          <o:OLEObject Type="Embed" ProgID="Equation.3" ShapeID="_x0000_i1039" DrawAspect="Content" ObjectID="_1468075739" r:id="rId43">
            <o:LockedField>false</o:LockedField>
          </o:OLEObject>
        </w:object>
      </w:r>
      <w:r>
        <w:rPr>
          <w:rFonts w:hint="eastAsia"/>
          <w:kern w:val="2"/>
          <w:szCs w:val="21"/>
        </w:rPr>
        <w:t>高处的连续稳态源的烟羽在</w:t>
      </w:r>
      <w:r>
        <w:rPr>
          <w:rFonts w:hint="eastAsia"/>
          <w:kern w:val="2"/>
          <w:szCs w:val="24"/>
        </w:rPr>
        <w:t>给定地点</w:t>
      </w:r>
      <w:r>
        <w:rPr>
          <w:kern w:val="2"/>
          <w:position w:val="-10"/>
          <w:szCs w:val="24"/>
        </w:rPr>
        <w:object>
          <v:shape id="_x0000_i1040" o:spt="75" type="#_x0000_t75" style="height:15.75pt;width:41.25pt;" o:ole="t" filled="f" o:preferrelative="t" stroked="f" coordsize="21600,21600">
            <v:path/>
            <v:fill on="f" focussize="0,0"/>
            <v:stroke on="f" joinstyle="miter"/>
            <v:imagedata r:id="rId46" o:title=""/>
            <o:lock v:ext="edit" aspectratio="t"/>
            <w10:wrap type="none"/>
            <w10:anchorlock/>
          </v:shape>
          <o:OLEObject Type="Embed" ProgID="Equation.3" ShapeID="_x0000_i1040" DrawAspect="Content" ObjectID="_1468075740" r:id="rId45">
            <o:LockedField>false</o:LockedField>
          </o:OLEObject>
        </w:object>
      </w:r>
      <w:r>
        <w:rPr>
          <w:rFonts w:hint="eastAsia"/>
          <w:kern w:val="2"/>
          <w:szCs w:val="24"/>
        </w:rPr>
        <w:t>的污染物浓度可按</w:t>
      </w:r>
      <w:r>
        <w:rPr>
          <w:rFonts w:hint="eastAsia"/>
          <w:kern w:val="2"/>
          <w:szCs w:val="21"/>
        </w:rPr>
        <w:t>式</w:t>
      </w:r>
      <w:r>
        <w:rPr>
          <w:rFonts w:hint="eastAsia"/>
          <w:kern w:val="2"/>
          <w:szCs w:val="21"/>
          <w:lang w:val="es-ES"/>
        </w:rPr>
        <w:t>（</w:t>
      </w:r>
      <w:r>
        <w:rPr>
          <w:rFonts w:hint="eastAsia"/>
          <w:kern w:val="2"/>
          <w:szCs w:val="21"/>
        </w:rPr>
        <w:t>B</w:t>
      </w:r>
      <w:r>
        <w:rPr>
          <w:kern w:val="2"/>
          <w:szCs w:val="21"/>
          <w:lang w:val="es-ES"/>
        </w:rPr>
        <w:t>.</w:t>
      </w:r>
      <w:r>
        <w:rPr>
          <w:rFonts w:hint="eastAsia"/>
          <w:kern w:val="2"/>
          <w:szCs w:val="21"/>
        </w:rPr>
        <w:t>10</w:t>
      </w:r>
      <w:r>
        <w:rPr>
          <w:rFonts w:hint="eastAsia"/>
          <w:kern w:val="2"/>
          <w:szCs w:val="21"/>
          <w:lang w:val="es-ES"/>
        </w:rPr>
        <w:t>）</w:t>
      </w:r>
      <w:r>
        <w:rPr>
          <w:rFonts w:hint="eastAsia"/>
          <w:kern w:val="2"/>
          <w:szCs w:val="21"/>
        </w:rPr>
        <w:t>计算：</w:t>
      </w:r>
    </w:p>
    <w:p w14:paraId="1B263C4F">
      <w:pPr>
        <w:pStyle w:val="163"/>
        <w:tabs>
          <w:tab w:val="right" w:leader="middleDot" w:pos="9450"/>
          <w:tab w:val="clear" w:pos="9660"/>
        </w:tabs>
      </w:pPr>
      <w:r>
        <w:tab/>
      </w:r>
      <w:r>
        <w:object>
          <v:shape id="_x0000_i1041" o:spt="75" type="#_x0000_t75" style="height:44.25pt;width:366pt;" o:ole="t" filled="f" o:preferrelative="t" stroked="f" coordsize="21600,21600">
            <v:path/>
            <v:fill on="f" focussize="0,0"/>
            <v:stroke on="f" joinstyle="miter"/>
            <v:imagedata r:id="rId48" o:title=""/>
            <o:lock v:ext="edit" aspectratio="f"/>
            <w10:wrap type="none"/>
            <w10:anchorlock/>
          </v:shape>
          <o:OLEObject Type="Embed" ProgID="Equation.3" ShapeID="_x0000_i1041" DrawAspect="Content" ObjectID="_1468075741" r:id="rId47">
            <o:LockedField>false</o:LockedField>
          </o:OLEObject>
        </w:object>
      </w:r>
      <w:r>
        <w:tab/>
      </w:r>
      <w:r>
        <w:rPr>
          <w:rFonts w:hint="eastAsia"/>
        </w:rPr>
        <w:t>（</w:t>
      </w:r>
      <w:r>
        <w:rPr>
          <w:rFonts w:hint="eastAsia"/>
          <w:lang w:val="en-US"/>
        </w:rPr>
        <w:t>B</w:t>
      </w:r>
      <w:r>
        <w:t>.</w:t>
      </w:r>
      <w:r>
        <w:rPr>
          <w:rFonts w:hint="eastAsia"/>
          <w:lang w:val="en-US"/>
        </w:rPr>
        <w:t>10</w:t>
      </w:r>
      <w:r>
        <w:rPr>
          <w:rFonts w:hint="eastAsia"/>
        </w:rPr>
        <w:t>）</w:t>
      </w:r>
    </w:p>
    <w:p w14:paraId="24E4684F">
      <w:pPr>
        <w:widowControl w:val="0"/>
        <w:spacing w:line="240" w:lineRule="auto"/>
        <w:ind w:firstLine="420" w:firstLineChars="200"/>
        <w:textAlignment w:val="auto"/>
        <w:rPr>
          <w:kern w:val="2"/>
          <w:szCs w:val="21"/>
        </w:rPr>
      </w:pPr>
      <w:r>
        <w:rPr>
          <w:rFonts w:hint="eastAsia"/>
          <w:kern w:val="2"/>
          <w:szCs w:val="21"/>
        </w:rPr>
        <w:t>式中：</w:t>
      </w:r>
    </w:p>
    <w:p w14:paraId="69826EB8">
      <w:pPr>
        <w:widowControl w:val="0"/>
        <w:spacing w:line="240" w:lineRule="auto"/>
        <w:ind w:firstLine="420" w:firstLineChars="200"/>
        <w:textAlignment w:val="bottom"/>
        <w:rPr>
          <w:kern w:val="2"/>
          <w:szCs w:val="21"/>
        </w:rPr>
      </w:pPr>
      <w:r>
        <w:rPr>
          <w:kern w:val="2"/>
          <w:position w:val="-12"/>
          <w:szCs w:val="24"/>
        </w:rPr>
        <w:object>
          <v:shape id="_x0000_i1042" o:spt="75" type="#_x0000_t75" style="height:18.75pt;width:48pt;" o:ole="t" filled="f" o:preferrelative="t" stroked="f" coordsize="21600,21600">
            <v:path/>
            <v:fill on="f" focussize="0,0"/>
            <v:stroke on="f" joinstyle="miter"/>
            <v:imagedata r:id="rId50" o:title=""/>
            <o:lock v:ext="edit" aspectratio="f"/>
            <w10:wrap type="none"/>
            <w10:anchorlock/>
          </v:shape>
          <o:OLEObject Type="Embed" ProgID="Equation.3" ShapeID="_x0000_i1042" DrawAspect="Content" ObjectID="_1468075742" r:id="rId49">
            <o:LockedField>false</o:LockedField>
          </o:OLEObject>
        </w:object>
      </w:r>
      <w:r>
        <w:rPr>
          <w:kern w:val="2"/>
          <w:szCs w:val="24"/>
        </w:rPr>
        <w:t>——</w:t>
      </w:r>
      <w:r>
        <w:rPr>
          <w:rFonts w:hint="eastAsia"/>
          <w:kern w:val="2"/>
          <w:szCs w:val="24"/>
        </w:rPr>
        <w:t>连续排放时，形成稳定的流场后，给定地点</w:t>
      </w:r>
      <w:r>
        <w:rPr>
          <w:kern w:val="2"/>
          <w:position w:val="-10"/>
          <w:szCs w:val="24"/>
        </w:rPr>
        <w:object>
          <v:shape id="_x0000_i1043" o:spt="75" type="#_x0000_t75" style="height:15.75pt;width:41.25pt;" o:ole="t" filled="f" o:preferrelative="t" stroked="f" coordsize="21600,21600">
            <v:path/>
            <v:fill on="f" focussize="0,0"/>
            <v:stroke on="f" joinstyle="miter"/>
            <v:imagedata r:id="rId46" o:title=""/>
            <o:lock v:ext="edit" aspectratio="t"/>
            <w10:wrap type="none"/>
            <w10:anchorlock/>
          </v:shape>
          <o:OLEObject Type="Embed" ProgID="Equation.3" ShapeID="_x0000_i1043" DrawAspect="Content" ObjectID="_1468075743" r:id="rId51">
            <o:LockedField>false</o:LockedField>
          </o:OLEObject>
        </w:object>
      </w:r>
      <w:r>
        <w:rPr>
          <w:rFonts w:hint="eastAsia"/>
          <w:kern w:val="2"/>
          <w:szCs w:val="24"/>
        </w:rPr>
        <w:t>的污染物的浓度，单位为千克每立方米（</w:t>
      </w:r>
      <w:r>
        <w:rPr>
          <w:kern w:val="2"/>
          <w:szCs w:val="24"/>
        </w:rPr>
        <w:t>kg/m</w:t>
      </w:r>
      <w:r>
        <w:rPr>
          <w:kern w:val="2"/>
          <w:szCs w:val="24"/>
          <w:vertAlign w:val="superscript"/>
        </w:rPr>
        <w:t>3</w:t>
      </w:r>
      <w:r>
        <w:rPr>
          <w:rFonts w:hint="eastAsia"/>
          <w:kern w:val="2"/>
          <w:szCs w:val="24"/>
        </w:rPr>
        <w:t>）</w:t>
      </w:r>
      <w:r>
        <w:rPr>
          <w:rFonts w:hint="eastAsia"/>
          <w:kern w:val="2"/>
          <w:szCs w:val="21"/>
        </w:rPr>
        <w:t>；</w:t>
      </w:r>
    </w:p>
    <w:p w14:paraId="4BDE88BF">
      <w:pPr>
        <w:widowControl w:val="0"/>
        <w:spacing w:line="240" w:lineRule="auto"/>
        <w:ind w:firstLine="420" w:firstLineChars="200"/>
        <w:textAlignment w:val="auto"/>
        <w:rPr>
          <w:kern w:val="2"/>
          <w:szCs w:val="21"/>
        </w:rPr>
      </w:pPr>
      <w:r>
        <w:rPr>
          <w:i/>
          <w:kern w:val="2"/>
          <w:szCs w:val="24"/>
        </w:rPr>
        <w:t>Q</w:t>
      </w:r>
      <w:r>
        <w:rPr>
          <w:kern w:val="2"/>
          <w:szCs w:val="24"/>
        </w:rPr>
        <w:t>——</w:t>
      </w:r>
      <w:r>
        <w:rPr>
          <w:rFonts w:hint="eastAsia"/>
          <w:kern w:val="2"/>
          <w:szCs w:val="24"/>
        </w:rPr>
        <w:t>连续排放的物料质量流量，单位为</w:t>
      </w:r>
      <w:r>
        <w:rPr>
          <w:rFonts w:hint="eastAsia"/>
          <w:kern w:val="2"/>
          <w:szCs w:val="21"/>
        </w:rPr>
        <w:t>千克</w:t>
      </w:r>
      <w:r>
        <w:rPr>
          <w:kern w:val="2"/>
          <w:szCs w:val="21"/>
        </w:rPr>
        <w:t>每秒（kg/s）</w:t>
      </w:r>
      <w:r>
        <w:rPr>
          <w:rFonts w:hint="eastAsia"/>
          <w:kern w:val="2"/>
          <w:szCs w:val="21"/>
        </w:rPr>
        <w:t>；</w:t>
      </w:r>
    </w:p>
    <w:p w14:paraId="3330E38D">
      <w:pPr>
        <w:widowControl w:val="0"/>
        <w:spacing w:line="240" w:lineRule="auto"/>
        <w:ind w:firstLine="420" w:firstLineChars="200"/>
        <w:textAlignment w:val="auto"/>
        <w:rPr>
          <w:kern w:val="2"/>
          <w:szCs w:val="24"/>
        </w:rPr>
      </w:pPr>
      <w:r>
        <w:rPr>
          <w:i/>
          <w:kern w:val="2"/>
          <w:szCs w:val="21"/>
        </w:rPr>
        <w:t>u</w:t>
      </w:r>
      <w:r>
        <w:rPr>
          <w:kern w:val="2"/>
          <w:szCs w:val="24"/>
        </w:rPr>
        <w:t>——</w:t>
      </w:r>
      <w:r>
        <w:rPr>
          <w:rFonts w:hint="eastAsia"/>
          <w:kern w:val="2"/>
          <w:szCs w:val="24"/>
        </w:rPr>
        <w:t>风速，单位为米</w:t>
      </w:r>
      <w:r>
        <w:rPr>
          <w:kern w:val="2"/>
          <w:szCs w:val="24"/>
        </w:rPr>
        <w:t>每秒（m/s）</w:t>
      </w:r>
      <w:r>
        <w:rPr>
          <w:rFonts w:hint="eastAsia"/>
          <w:kern w:val="2"/>
          <w:szCs w:val="24"/>
        </w:rPr>
        <w:t>；</w:t>
      </w:r>
    </w:p>
    <w:p w14:paraId="75965BBB">
      <w:pPr>
        <w:widowControl w:val="0"/>
        <w:spacing w:line="240" w:lineRule="auto"/>
        <w:ind w:firstLine="420" w:firstLineChars="200"/>
        <w:textAlignment w:val="auto"/>
        <w:rPr>
          <w:kern w:val="2"/>
          <w:szCs w:val="24"/>
        </w:rPr>
      </w:pPr>
      <w:r>
        <w:rPr>
          <w:i/>
          <w:kern w:val="2"/>
          <w:szCs w:val="24"/>
        </w:rPr>
        <w:t>σ</w:t>
      </w:r>
      <w:r>
        <w:rPr>
          <w:i/>
          <w:kern w:val="2"/>
          <w:szCs w:val="24"/>
          <w:vertAlign w:val="subscript"/>
        </w:rPr>
        <w:t>y</w:t>
      </w:r>
      <w:r>
        <w:rPr>
          <w:kern w:val="2"/>
          <w:szCs w:val="24"/>
        </w:rPr>
        <w:t xml:space="preserve">, </w:t>
      </w:r>
      <w:r>
        <w:rPr>
          <w:i/>
          <w:kern w:val="2"/>
          <w:szCs w:val="24"/>
        </w:rPr>
        <w:t>σ</w:t>
      </w:r>
      <w:r>
        <w:rPr>
          <w:i/>
          <w:kern w:val="2"/>
          <w:szCs w:val="24"/>
          <w:vertAlign w:val="subscript"/>
        </w:rPr>
        <w:t>z</w:t>
      </w:r>
      <w:r>
        <w:rPr>
          <w:kern w:val="2"/>
          <w:szCs w:val="24"/>
        </w:rPr>
        <w:t>——</w:t>
      </w:r>
      <w:r>
        <w:rPr>
          <w:rFonts w:hint="eastAsia"/>
          <w:kern w:val="2"/>
          <w:szCs w:val="24"/>
        </w:rPr>
        <w:t>侧风向和垂直风向的扩散系数，单位为米</w:t>
      </w:r>
      <w:r>
        <w:rPr>
          <w:kern w:val="2"/>
          <w:szCs w:val="24"/>
        </w:rPr>
        <w:t>（m）</w:t>
      </w:r>
      <w:r>
        <w:rPr>
          <w:rFonts w:hint="eastAsia"/>
          <w:kern w:val="2"/>
          <w:szCs w:val="24"/>
        </w:rPr>
        <w:t>；</w:t>
      </w:r>
    </w:p>
    <w:p w14:paraId="244A0807">
      <w:pPr>
        <w:widowControl w:val="0"/>
        <w:spacing w:line="240" w:lineRule="auto"/>
        <w:ind w:firstLine="420" w:firstLineChars="200"/>
        <w:textAlignment w:val="auto"/>
        <w:rPr>
          <w:kern w:val="2"/>
          <w:szCs w:val="24"/>
        </w:rPr>
      </w:pPr>
      <w:r>
        <w:rPr>
          <w:i/>
          <w:kern w:val="2"/>
          <w:szCs w:val="24"/>
        </w:rPr>
        <w:t>x</w:t>
      </w:r>
      <w:r>
        <w:rPr>
          <w:kern w:val="2"/>
          <w:szCs w:val="24"/>
        </w:rPr>
        <w:t>——</w:t>
      </w:r>
      <w:r>
        <w:rPr>
          <w:rFonts w:hint="eastAsia"/>
          <w:kern w:val="2"/>
          <w:szCs w:val="24"/>
        </w:rPr>
        <w:t>下风向距离，单位为米</w:t>
      </w:r>
      <w:r>
        <w:rPr>
          <w:kern w:val="2"/>
          <w:szCs w:val="24"/>
        </w:rPr>
        <w:t>（m）</w:t>
      </w:r>
      <w:r>
        <w:rPr>
          <w:rFonts w:hint="eastAsia"/>
          <w:kern w:val="2"/>
          <w:szCs w:val="24"/>
        </w:rPr>
        <w:t>；</w:t>
      </w:r>
    </w:p>
    <w:p w14:paraId="4722A805">
      <w:pPr>
        <w:widowControl w:val="0"/>
        <w:spacing w:line="240" w:lineRule="auto"/>
        <w:ind w:firstLine="420" w:firstLineChars="200"/>
        <w:textAlignment w:val="auto"/>
        <w:rPr>
          <w:kern w:val="2"/>
          <w:szCs w:val="24"/>
        </w:rPr>
      </w:pPr>
      <w:r>
        <w:rPr>
          <w:i/>
          <w:kern w:val="2"/>
          <w:szCs w:val="24"/>
        </w:rPr>
        <w:t>y</w:t>
      </w:r>
      <w:r>
        <w:rPr>
          <w:kern w:val="2"/>
          <w:szCs w:val="24"/>
        </w:rPr>
        <w:t>——</w:t>
      </w:r>
      <w:r>
        <w:rPr>
          <w:rFonts w:hint="eastAsia"/>
          <w:kern w:val="2"/>
          <w:szCs w:val="24"/>
        </w:rPr>
        <w:t>侧风向距离，单位为米</w:t>
      </w:r>
      <w:r>
        <w:rPr>
          <w:kern w:val="2"/>
          <w:szCs w:val="24"/>
        </w:rPr>
        <w:t>（m）</w:t>
      </w:r>
      <w:r>
        <w:rPr>
          <w:rFonts w:hint="eastAsia"/>
          <w:kern w:val="2"/>
          <w:szCs w:val="24"/>
        </w:rPr>
        <w:t>；</w:t>
      </w:r>
    </w:p>
    <w:p w14:paraId="1794997E">
      <w:pPr>
        <w:widowControl w:val="0"/>
        <w:spacing w:line="240" w:lineRule="auto"/>
        <w:ind w:firstLine="420" w:firstLineChars="200"/>
        <w:textAlignment w:val="auto"/>
        <w:rPr>
          <w:kern w:val="2"/>
          <w:szCs w:val="24"/>
        </w:rPr>
      </w:pPr>
      <w:r>
        <w:rPr>
          <w:i/>
          <w:kern w:val="2"/>
          <w:szCs w:val="24"/>
        </w:rPr>
        <w:t>z</w:t>
      </w:r>
      <w:r>
        <w:rPr>
          <w:kern w:val="2"/>
          <w:szCs w:val="24"/>
        </w:rPr>
        <w:t>——</w:t>
      </w:r>
      <w:r>
        <w:rPr>
          <w:rFonts w:hint="eastAsia"/>
          <w:kern w:val="2"/>
          <w:szCs w:val="24"/>
        </w:rPr>
        <w:t>垂直风向距离，单位为米</w:t>
      </w:r>
      <w:r>
        <w:rPr>
          <w:kern w:val="2"/>
          <w:szCs w:val="24"/>
        </w:rPr>
        <w:t>（m）</w:t>
      </w:r>
      <w:r>
        <w:rPr>
          <w:rFonts w:hint="eastAsia"/>
          <w:kern w:val="2"/>
          <w:szCs w:val="24"/>
        </w:rPr>
        <w:t>。</w:t>
      </w:r>
    </w:p>
    <w:p w14:paraId="3AD129CD">
      <w:pPr>
        <w:widowControl w:val="0"/>
        <w:spacing w:line="240" w:lineRule="auto"/>
        <w:textAlignment w:val="auto"/>
        <w:rPr>
          <w:kern w:val="2"/>
          <w:szCs w:val="21"/>
        </w:rPr>
      </w:pPr>
      <w:r>
        <w:rPr>
          <w:rFonts w:hint="eastAsia" w:hAnsi="宋体"/>
          <w:kern w:val="2"/>
          <w:szCs w:val="32"/>
        </w:rPr>
        <w:t>B.5.1.5.2.2</w:t>
      </w:r>
      <w:r>
        <w:rPr>
          <w:rFonts w:ascii="黑体" w:eastAsia="黑体"/>
          <w:kern w:val="2"/>
          <w:szCs w:val="32"/>
        </w:rPr>
        <w:t xml:space="preserve"> </w:t>
      </w:r>
      <w:r>
        <w:rPr>
          <w:rFonts w:hint="eastAsia"/>
          <w:kern w:val="2"/>
          <w:szCs w:val="21"/>
        </w:rPr>
        <w:t>位于地面</w:t>
      </w:r>
      <w:r>
        <w:rPr>
          <w:kern w:val="2"/>
          <w:position w:val="-10"/>
          <w:szCs w:val="24"/>
        </w:rPr>
        <w:object>
          <v:shape id="_x0000_i1044" o:spt="75" type="#_x0000_t75" style="height:15.75pt;width:15.75pt;" o:ole="t" filled="f" o:preferrelative="t" stroked="f" coordsize="21600,21600">
            <v:path/>
            <v:fill on="f" focussize="0,0"/>
            <v:stroke on="f" joinstyle="miter"/>
            <v:imagedata r:id="rId44" o:title=""/>
            <o:lock v:ext="edit" aspectratio="t"/>
            <w10:wrap type="none"/>
            <w10:anchorlock/>
          </v:shape>
          <o:OLEObject Type="Embed" ProgID="Equation.3" ShapeID="_x0000_i1044" DrawAspect="Content" ObjectID="_1468075744" r:id="rId52">
            <o:LockedField>false</o:LockedField>
          </o:OLEObject>
        </w:object>
      </w:r>
      <w:r>
        <w:rPr>
          <w:rFonts w:hint="eastAsia"/>
          <w:kern w:val="2"/>
          <w:szCs w:val="21"/>
        </w:rPr>
        <w:t>高处的瞬时点源的烟团，地面上的坐标系随烟团移动，坐标系的中心位于烟团的中心烟团中心在</w:t>
      </w:r>
      <w:r>
        <w:rPr>
          <w:i/>
          <w:kern w:val="2"/>
          <w:szCs w:val="21"/>
        </w:rPr>
        <w:t>x</w:t>
      </w:r>
      <w:r>
        <w:rPr>
          <w:kern w:val="2"/>
          <w:szCs w:val="21"/>
        </w:rPr>
        <w:t>=</w:t>
      </w:r>
      <w:r>
        <w:rPr>
          <w:i/>
          <w:kern w:val="2"/>
          <w:szCs w:val="21"/>
        </w:rPr>
        <w:t>ut</w:t>
      </w:r>
      <w:r>
        <w:rPr>
          <w:rFonts w:hint="eastAsia"/>
          <w:kern w:val="2"/>
          <w:szCs w:val="21"/>
        </w:rPr>
        <w:t>处，平均浓度方程可按式</w:t>
      </w:r>
      <w:r>
        <w:rPr>
          <w:rFonts w:hint="eastAsia"/>
          <w:kern w:val="2"/>
          <w:szCs w:val="21"/>
          <w:lang w:val="es-ES"/>
        </w:rPr>
        <w:t>（</w:t>
      </w:r>
      <w:r>
        <w:rPr>
          <w:rFonts w:hint="eastAsia"/>
          <w:kern w:val="2"/>
          <w:szCs w:val="21"/>
        </w:rPr>
        <w:t>B</w:t>
      </w:r>
      <w:r>
        <w:rPr>
          <w:kern w:val="2"/>
          <w:szCs w:val="21"/>
          <w:lang w:val="es-ES"/>
        </w:rPr>
        <w:t>.</w:t>
      </w:r>
      <w:r>
        <w:rPr>
          <w:rFonts w:hint="eastAsia"/>
          <w:kern w:val="2"/>
          <w:szCs w:val="21"/>
        </w:rPr>
        <w:t>11</w:t>
      </w:r>
      <w:r>
        <w:rPr>
          <w:rFonts w:hint="eastAsia"/>
          <w:kern w:val="2"/>
          <w:szCs w:val="21"/>
          <w:lang w:val="es-ES"/>
        </w:rPr>
        <w:t>）</w:t>
      </w:r>
      <w:r>
        <w:rPr>
          <w:rFonts w:hint="eastAsia"/>
          <w:kern w:val="2"/>
          <w:szCs w:val="21"/>
        </w:rPr>
        <w:t>计算：</w:t>
      </w:r>
    </w:p>
    <w:p w14:paraId="053D6BB4">
      <w:pPr>
        <w:pStyle w:val="163"/>
        <w:tabs>
          <w:tab w:val="right" w:leader="middleDot" w:pos="9450"/>
          <w:tab w:val="clear" w:pos="9660"/>
        </w:tabs>
      </w:pPr>
      <w:r>
        <w:tab/>
      </w:r>
      <w:r>
        <w:object>
          <v:shape id="_x0000_i1045" o:spt="75" type="#_x0000_t75" style="height:44.25pt;width:401.25pt;" o:ole="t" filled="f" o:preferrelative="t" stroked="f" coordsize="21600,21600">
            <v:path/>
            <v:fill on="f" focussize="0,0"/>
            <v:stroke on="f" joinstyle="miter"/>
            <v:imagedata r:id="rId54" o:title=""/>
            <o:lock v:ext="edit" aspectratio="f"/>
            <w10:wrap type="none"/>
            <w10:anchorlock/>
          </v:shape>
          <o:OLEObject Type="Embed" ProgID="Equation.3" ShapeID="_x0000_i1045" DrawAspect="Content" ObjectID="_1468075745" r:id="rId53">
            <o:LockedField>false</o:LockedField>
          </o:OLEObject>
        </w:object>
      </w:r>
      <w:r>
        <w:tab/>
      </w:r>
      <w:r>
        <w:rPr>
          <w:rFonts w:hint="eastAsia"/>
        </w:rPr>
        <w:t>（</w:t>
      </w:r>
      <w:r>
        <w:rPr>
          <w:rFonts w:hint="eastAsia"/>
          <w:lang w:val="en-US"/>
        </w:rPr>
        <w:t>B</w:t>
      </w:r>
      <w:r>
        <w:t>.</w:t>
      </w:r>
      <w:r>
        <w:rPr>
          <w:rFonts w:hint="eastAsia"/>
          <w:lang w:val="en-US"/>
        </w:rPr>
        <w:t>11</w:t>
      </w:r>
      <w:r>
        <w:rPr>
          <w:rFonts w:hint="eastAsia"/>
        </w:rPr>
        <w:t>）</w:t>
      </w:r>
    </w:p>
    <w:p w14:paraId="20597DC8">
      <w:pPr>
        <w:widowControl w:val="0"/>
        <w:spacing w:line="240" w:lineRule="auto"/>
        <w:ind w:firstLine="420" w:firstLineChars="200"/>
        <w:textAlignment w:val="auto"/>
        <w:rPr>
          <w:kern w:val="2"/>
          <w:szCs w:val="21"/>
        </w:rPr>
      </w:pPr>
      <w:r>
        <w:rPr>
          <w:rFonts w:hint="eastAsia"/>
          <w:kern w:val="2"/>
          <w:szCs w:val="21"/>
        </w:rPr>
        <w:t>式中：</w:t>
      </w:r>
    </w:p>
    <w:p w14:paraId="243B2DA3">
      <w:pPr>
        <w:widowControl w:val="0"/>
        <w:spacing w:line="240" w:lineRule="auto"/>
        <w:ind w:firstLine="420" w:firstLineChars="200"/>
        <w:textAlignment w:val="auto"/>
        <w:rPr>
          <w:kern w:val="2"/>
          <w:szCs w:val="21"/>
        </w:rPr>
      </w:pPr>
      <w:r>
        <w:rPr>
          <w:kern w:val="2"/>
          <w:position w:val="-12"/>
          <w:szCs w:val="24"/>
        </w:rPr>
        <w:object>
          <v:shape id="_x0000_i1046" o:spt="75" type="#_x0000_t75" style="height:18.75pt;width:56.25pt;" o:ole="t" filled="f" o:preferrelative="t" stroked="f" coordsize="21600,21600">
            <v:path/>
            <v:fill on="f" focussize="0,0"/>
            <v:stroke on="f" joinstyle="miter"/>
            <v:imagedata r:id="rId56" o:title=""/>
            <o:lock v:ext="edit" aspectratio="f"/>
            <w10:wrap type="none"/>
            <w10:anchorlock/>
          </v:shape>
          <o:OLEObject Type="Embed" ProgID="Equation.3" ShapeID="_x0000_i1046" DrawAspect="Content" ObjectID="_1468075746" r:id="rId55">
            <o:LockedField>false</o:LockedField>
          </o:OLEObject>
        </w:object>
      </w:r>
      <w:r>
        <w:rPr>
          <w:kern w:val="2"/>
          <w:szCs w:val="24"/>
        </w:rPr>
        <w:t>——</w:t>
      </w:r>
      <w:r>
        <w:rPr>
          <w:rFonts w:hint="eastAsia"/>
          <w:kern w:val="2"/>
          <w:szCs w:val="24"/>
        </w:rPr>
        <w:t>瞬时排放时，给定地点</w:t>
      </w:r>
      <w:r>
        <w:rPr>
          <w:kern w:val="2"/>
          <w:szCs w:val="24"/>
        </w:rPr>
        <w:t>(x,y,z)</w:t>
      </w:r>
      <w:r>
        <w:rPr>
          <w:rFonts w:hint="eastAsia"/>
          <w:kern w:val="2"/>
          <w:szCs w:val="24"/>
        </w:rPr>
        <w:t>和时间</w:t>
      </w:r>
      <w:r>
        <w:rPr>
          <w:i/>
          <w:kern w:val="2"/>
          <w:szCs w:val="24"/>
        </w:rPr>
        <w:t>t</w:t>
      </w:r>
      <w:r>
        <w:rPr>
          <w:rFonts w:hint="eastAsia"/>
          <w:kern w:val="2"/>
          <w:szCs w:val="24"/>
        </w:rPr>
        <w:t>的污染物的浓度，单位为千克</w:t>
      </w:r>
      <w:r>
        <w:rPr>
          <w:kern w:val="2"/>
          <w:szCs w:val="24"/>
        </w:rPr>
        <w:t>每立方米（kg/m</w:t>
      </w:r>
      <w:r>
        <w:rPr>
          <w:kern w:val="2"/>
          <w:szCs w:val="24"/>
          <w:vertAlign w:val="superscript"/>
        </w:rPr>
        <w:t>3</w:t>
      </w:r>
      <w:r>
        <w:rPr>
          <w:kern w:val="2"/>
          <w:szCs w:val="24"/>
        </w:rPr>
        <w:t>）</w:t>
      </w:r>
      <w:r>
        <w:rPr>
          <w:rFonts w:hint="eastAsia"/>
          <w:kern w:val="2"/>
          <w:szCs w:val="21"/>
        </w:rPr>
        <w:t>；</w:t>
      </w:r>
    </w:p>
    <w:p w14:paraId="0D5280BD">
      <w:pPr>
        <w:widowControl w:val="0"/>
        <w:spacing w:line="240" w:lineRule="auto"/>
        <w:ind w:firstLine="420" w:firstLineChars="200"/>
        <w:textAlignment w:val="auto"/>
        <w:rPr>
          <w:kern w:val="2"/>
          <w:szCs w:val="24"/>
        </w:rPr>
      </w:pPr>
      <w:r>
        <w:rPr>
          <w:i/>
          <w:kern w:val="2"/>
          <w:szCs w:val="24"/>
        </w:rPr>
        <w:t>Q*</w:t>
      </w:r>
      <w:r>
        <w:rPr>
          <w:kern w:val="2"/>
          <w:szCs w:val="24"/>
        </w:rPr>
        <w:t>——</w:t>
      </w:r>
      <w:r>
        <w:rPr>
          <w:rFonts w:hint="eastAsia"/>
          <w:kern w:val="2"/>
          <w:szCs w:val="24"/>
        </w:rPr>
        <w:t>瞬时排放的物料</w:t>
      </w:r>
      <w:r>
        <w:rPr>
          <w:rFonts w:hint="eastAsia"/>
          <w:kern w:val="2"/>
          <w:szCs w:val="21"/>
        </w:rPr>
        <w:t>质量，单位为千克</w:t>
      </w:r>
      <w:r>
        <w:rPr>
          <w:kern w:val="2"/>
          <w:szCs w:val="21"/>
        </w:rPr>
        <w:t>（kg）</w:t>
      </w:r>
      <w:r>
        <w:rPr>
          <w:rFonts w:hint="eastAsia"/>
          <w:kern w:val="2"/>
          <w:szCs w:val="21"/>
        </w:rPr>
        <w:t>；</w:t>
      </w:r>
    </w:p>
    <w:p w14:paraId="312180D1">
      <w:pPr>
        <w:widowControl w:val="0"/>
        <w:spacing w:line="240" w:lineRule="auto"/>
        <w:ind w:firstLine="420" w:firstLineChars="200"/>
        <w:textAlignment w:val="auto"/>
        <w:rPr>
          <w:kern w:val="2"/>
          <w:szCs w:val="24"/>
        </w:rPr>
      </w:pPr>
      <w:r>
        <w:rPr>
          <w:i/>
          <w:kern w:val="2"/>
          <w:szCs w:val="24"/>
        </w:rPr>
        <w:t>σ</w:t>
      </w:r>
      <w:r>
        <w:rPr>
          <w:i/>
          <w:kern w:val="2"/>
          <w:szCs w:val="24"/>
          <w:vertAlign w:val="subscript"/>
        </w:rPr>
        <w:t>x</w:t>
      </w:r>
      <w:r>
        <w:rPr>
          <w:rFonts w:hint="eastAsia"/>
          <w:i/>
          <w:kern w:val="2"/>
          <w:szCs w:val="24"/>
        </w:rPr>
        <w:t xml:space="preserve"> ,</w:t>
      </w:r>
      <w:r>
        <w:rPr>
          <w:i/>
          <w:kern w:val="2"/>
          <w:szCs w:val="24"/>
        </w:rPr>
        <w:t>σ</w:t>
      </w:r>
      <w:r>
        <w:rPr>
          <w:i/>
          <w:kern w:val="2"/>
          <w:szCs w:val="24"/>
          <w:vertAlign w:val="subscript"/>
        </w:rPr>
        <w:t>y</w:t>
      </w:r>
      <w:r>
        <w:rPr>
          <w:kern w:val="2"/>
          <w:szCs w:val="24"/>
        </w:rPr>
        <w:t xml:space="preserve">, </w:t>
      </w:r>
      <w:r>
        <w:rPr>
          <w:i/>
          <w:kern w:val="2"/>
          <w:szCs w:val="24"/>
        </w:rPr>
        <w:t>σ</w:t>
      </w:r>
      <w:r>
        <w:rPr>
          <w:i/>
          <w:kern w:val="2"/>
          <w:szCs w:val="24"/>
          <w:vertAlign w:val="subscript"/>
        </w:rPr>
        <w:t>z</w:t>
      </w:r>
      <w:r>
        <w:rPr>
          <w:kern w:val="2"/>
          <w:szCs w:val="24"/>
        </w:rPr>
        <w:t>——</w:t>
      </w:r>
      <w:r>
        <w:rPr>
          <w:rFonts w:hint="eastAsia"/>
          <w:kern w:val="2"/>
          <w:szCs w:val="24"/>
        </w:rPr>
        <w:t>下风向，侧风向和垂直风向的扩散系数，单位为米</w:t>
      </w:r>
      <w:r>
        <w:rPr>
          <w:kern w:val="2"/>
          <w:szCs w:val="24"/>
        </w:rPr>
        <w:t>（m）</w:t>
      </w:r>
      <w:r>
        <w:rPr>
          <w:rFonts w:hint="eastAsia"/>
          <w:kern w:val="2"/>
          <w:szCs w:val="24"/>
        </w:rPr>
        <w:t>。</w:t>
      </w:r>
    </w:p>
    <w:p w14:paraId="6D57A791">
      <w:pPr>
        <w:widowControl w:val="0"/>
        <w:spacing w:line="240" w:lineRule="auto"/>
        <w:textAlignment w:val="auto"/>
        <w:rPr>
          <w:kern w:val="2"/>
          <w:szCs w:val="21"/>
        </w:rPr>
      </w:pPr>
      <w:r>
        <w:rPr>
          <w:rFonts w:hint="eastAsia" w:hAnsi="宋体"/>
          <w:kern w:val="2"/>
          <w:szCs w:val="32"/>
        </w:rPr>
        <w:t xml:space="preserve">B.5.1.5.2.3 </w:t>
      </w:r>
      <w:r>
        <w:rPr>
          <w:rFonts w:ascii="黑体" w:eastAsia="黑体"/>
          <w:kern w:val="2"/>
          <w:szCs w:val="32"/>
        </w:rPr>
        <w:t xml:space="preserve"> </w:t>
      </w:r>
      <w:r>
        <w:rPr>
          <w:kern w:val="2"/>
          <w:szCs w:val="21"/>
        </w:rPr>
        <w:t>Pasquill-Gifford</w:t>
      </w:r>
      <w:r>
        <w:rPr>
          <w:rFonts w:hint="eastAsia"/>
          <w:kern w:val="2"/>
          <w:szCs w:val="21"/>
        </w:rPr>
        <w:t>模型扩散系数确定见下表B</w:t>
      </w:r>
      <w:r>
        <w:rPr>
          <w:kern w:val="2"/>
          <w:szCs w:val="21"/>
        </w:rPr>
        <w:t>.</w:t>
      </w:r>
      <w:r>
        <w:rPr>
          <w:rFonts w:hint="eastAsia"/>
          <w:kern w:val="2"/>
          <w:szCs w:val="21"/>
        </w:rPr>
        <w:t>6和B</w:t>
      </w:r>
      <w:r>
        <w:rPr>
          <w:kern w:val="2"/>
          <w:szCs w:val="21"/>
        </w:rPr>
        <w:t>.</w:t>
      </w:r>
      <w:r>
        <w:rPr>
          <w:rFonts w:hint="eastAsia"/>
          <w:kern w:val="2"/>
          <w:szCs w:val="21"/>
        </w:rPr>
        <w:t>7：</w:t>
      </w:r>
      <w:bookmarkStart w:id="189" w:name="_Toc296956169"/>
      <w:bookmarkStart w:id="190" w:name="_Toc310769356"/>
      <w:bookmarkStart w:id="191" w:name="_Toc310952758"/>
    </w:p>
    <w:p w14:paraId="56C4571E">
      <w:pPr>
        <w:widowControl w:val="0"/>
        <w:spacing w:before="156" w:beforeLines="50" w:after="156" w:afterLines="50"/>
        <w:jc w:val="center"/>
        <w:rPr>
          <w:rFonts w:hint="eastAsia" w:ascii="黑体" w:hAnsi="黑体" w:eastAsia="黑体"/>
          <w:kern w:val="2"/>
          <w:szCs w:val="24"/>
        </w:rPr>
      </w:pPr>
    </w:p>
    <w:p w14:paraId="454EF40A">
      <w:pPr>
        <w:widowControl w:val="0"/>
        <w:spacing w:before="156" w:beforeLines="50" w:after="156" w:afterLines="50"/>
        <w:jc w:val="center"/>
        <w:rPr>
          <w:rFonts w:hint="eastAsia" w:ascii="黑体" w:hAnsi="黑体" w:eastAsia="黑体"/>
          <w:kern w:val="2"/>
          <w:szCs w:val="24"/>
        </w:rPr>
      </w:pPr>
    </w:p>
    <w:p w14:paraId="00F4EAD2">
      <w:pPr>
        <w:widowControl w:val="0"/>
        <w:spacing w:before="156" w:beforeLines="50" w:after="156" w:afterLines="50"/>
        <w:jc w:val="center"/>
        <w:rPr>
          <w:rFonts w:hint="eastAsia" w:ascii="黑体" w:hAnsi="黑体" w:eastAsia="黑体"/>
          <w:kern w:val="2"/>
          <w:szCs w:val="24"/>
        </w:rPr>
      </w:pPr>
    </w:p>
    <w:p w14:paraId="4EE11CD5">
      <w:pPr>
        <w:widowControl w:val="0"/>
        <w:spacing w:before="156" w:beforeLines="50" w:after="156" w:afterLines="50"/>
        <w:jc w:val="center"/>
        <w:rPr>
          <w:rFonts w:hint="eastAsia" w:ascii="黑体" w:hAnsi="黑体" w:eastAsia="黑体"/>
          <w:kern w:val="2"/>
          <w:szCs w:val="24"/>
        </w:rPr>
      </w:pPr>
    </w:p>
    <w:p w14:paraId="2D1BE71B">
      <w:pPr>
        <w:widowControl w:val="0"/>
        <w:spacing w:before="156" w:beforeLines="50" w:after="156" w:afterLines="50"/>
        <w:jc w:val="center"/>
        <w:rPr>
          <w:rFonts w:hint="eastAsia" w:ascii="黑体" w:hAnsi="黑体" w:eastAsia="黑体"/>
          <w:kern w:val="2"/>
          <w:szCs w:val="24"/>
        </w:rPr>
      </w:pPr>
    </w:p>
    <w:p w14:paraId="227DBFF1">
      <w:pPr>
        <w:widowControl w:val="0"/>
        <w:spacing w:before="156" w:beforeLines="50" w:after="156" w:afterLines="50"/>
        <w:jc w:val="center"/>
        <w:rPr>
          <w:rFonts w:hint="eastAsia" w:ascii="黑体" w:hAnsi="黑体" w:eastAsia="黑体"/>
          <w:kern w:val="2"/>
          <w:szCs w:val="24"/>
        </w:rPr>
      </w:pPr>
    </w:p>
    <w:p w14:paraId="4D393ED1">
      <w:pPr>
        <w:widowControl w:val="0"/>
        <w:spacing w:before="156" w:beforeLines="50" w:after="156" w:afterLines="50"/>
        <w:jc w:val="center"/>
        <w:rPr>
          <w:rFonts w:hint="eastAsia" w:ascii="黑体" w:hAnsi="黑体" w:eastAsia="黑体"/>
          <w:kern w:val="2"/>
          <w:szCs w:val="24"/>
        </w:rPr>
      </w:pPr>
    </w:p>
    <w:p w14:paraId="282BAF98">
      <w:pPr>
        <w:widowControl w:val="0"/>
        <w:spacing w:before="156" w:beforeLines="50" w:after="156" w:afterLines="50"/>
        <w:jc w:val="center"/>
        <w:rPr>
          <w:rFonts w:hint="eastAsia" w:ascii="黑体" w:hAnsi="黑体" w:eastAsia="黑体"/>
          <w:kern w:val="2"/>
          <w:szCs w:val="24"/>
        </w:rPr>
      </w:pPr>
    </w:p>
    <w:p w14:paraId="2EFC21A0">
      <w:pPr>
        <w:widowControl w:val="0"/>
        <w:spacing w:before="156" w:beforeLines="50" w:after="156" w:afterLines="50"/>
        <w:jc w:val="center"/>
        <w:rPr>
          <w:rFonts w:hint="eastAsia" w:ascii="黑体" w:hAnsi="黑体" w:eastAsia="黑体"/>
          <w:kern w:val="2"/>
          <w:szCs w:val="24"/>
        </w:rPr>
      </w:pPr>
    </w:p>
    <w:p w14:paraId="19A2D4F0">
      <w:pPr>
        <w:widowControl w:val="0"/>
        <w:spacing w:before="156" w:beforeLines="50" w:after="156" w:afterLines="50"/>
        <w:jc w:val="center"/>
        <w:rPr>
          <w:rFonts w:hint="eastAsia" w:ascii="黑体" w:hAnsi="黑体" w:eastAsia="黑体"/>
          <w:kern w:val="2"/>
          <w:szCs w:val="24"/>
        </w:rPr>
      </w:pPr>
      <w:r>
        <w:rPr>
          <w:rFonts w:hint="eastAsia" w:ascii="黑体" w:hAnsi="黑体" w:eastAsia="黑体"/>
          <w:kern w:val="2"/>
          <w:szCs w:val="24"/>
        </w:rPr>
        <w:t>表 B.6</w:t>
      </w:r>
      <w:r>
        <w:rPr>
          <w:rFonts w:ascii="黑体" w:hAnsi="黑体" w:eastAsia="黑体"/>
          <w:kern w:val="2"/>
          <w:szCs w:val="24"/>
        </w:rPr>
        <w:t xml:space="preserve"> </w:t>
      </w:r>
      <w:r>
        <w:rPr>
          <w:rFonts w:hint="eastAsia" w:ascii="黑体" w:hAnsi="黑体" w:eastAsia="黑体"/>
          <w:kern w:val="2"/>
          <w:szCs w:val="24"/>
        </w:rPr>
        <w:t xml:space="preserve"> 烟羽扩散</w:t>
      </w:r>
      <w:r>
        <w:rPr>
          <w:rFonts w:ascii="黑体" w:hAnsi="黑体" w:eastAsia="黑体"/>
          <w:kern w:val="2"/>
          <w:szCs w:val="24"/>
        </w:rPr>
        <w:t>Pasquill-Gifford</w:t>
      </w:r>
      <w:r>
        <w:rPr>
          <w:rFonts w:hint="eastAsia" w:ascii="黑体" w:hAnsi="黑体" w:eastAsia="黑体"/>
          <w:kern w:val="2"/>
          <w:szCs w:val="24"/>
        </w:rPr>
        <w:t>模型扩散系数方程（下风向距离</w:t>
      </w:r>
      <w:r>
        <w:rPr>
          <w:rFonts w:ascii="黑体" w:hAnsi="黑体" w:eastAsia="黑体"/>
          <w:i/>
          <w:kern w:val="2"/>
          <w:szCs w:val="24"/>
        </w:rPr>
        <w:t>x</w:t>
      </w:r>
      <w:r>
        <w:rPr>
          <w:rFonts w:hint="eastAsia" w:ascii="黑体" w:hAnsi="黑体" w:eastAsia="黑体"/>
          <w:kern w:val="2"/>
          <w:szCs w:val="24"/>
        </w:rPr>
        <w:t>的单位为米）</w:t>
      </w:r>
      <w:bookmarkEnd w:id="189"/>
      <w:bookmarkEnd w:id="190"/>
      <w:bookmarkEnd w:id="191"/>
    </w:p>
    <w:tbl>
      <w:tblPr>
        <w:tblStyle w:val="36"/>
        <w:tblW w:w="88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6"/>
        <w:gridCol w:w="3349"/>
        <w:gridCol w:w="3037"/>
      </w:tblGrid>
      <w:tr w14:paraId="669AA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436" w:type="dxa"/>
            <w:vAlign w:val="center"/>
          </w:tcPr>
          <w:p w14:paraId="16CFBE8D">
            <w:pPr>
              <w:pStyle w:val="110"/>
              <w:numPr>
                <w:ilvl w:val="0"/>
                <w:numId w:val="16"/>
              </w:numPr>
              <w:rPr>
                <w:rFonts w:ascii="Times New Roman" w:eastAsia="宋体"/>
                <w:sz w:val="18"/>
                <w:szCs w:val="18"/>
              </w:rPr>
            </w:pPr>
            <w:r>
              <w:rPr>
                <w:rFonts w:ascii="Times New Roman" w:eastAsia="宋体"/>
                <w:sz w:val="18"/>
                <w:szCs w:val="18"/>
              </w:rPr>
              <w:t>Pasquill-Gifford</w:t>
            </w:r>
          </w:p>
          <w:p w14:paraId="3ACDE603">
            <w:pPr>
              <w:pStyle w:val="110"/>
              <w:numPr>
                <w:ilvl w:val="0"/>
                <w:numId w:val="16"/>
              </w:numPr>
              <w:rPr>
                <w:rFonts w:ascii="Times New Roman" w:eastAsia="宋体"/>
                <w:sz w:val="18"/>
                <w:szCs w:val="18"/>
              </w:rPr>
            </w:pPr>
            <w:r>
              <w:rPr>
                <w:rFonts w:hint="eastAsia" w:ascii="Times New Roman" w:eastAsia="宋体"/>
                <w:sz w:val="18"/>
                <w:szCs w:val="18"/>
              </w:rPr>
              <w:t>稳定度等级</w:t>
            </w:r>
          </w:p>
        </w:tc>
        <w:tc>
          <w:tcPr>
            <w:tcW w:w="3349" w:type="dxa"/>
            <w:tcBorders>
              <w:bottom w:val="single" w:color="auto" w:sz="4" w:space="0"/>
            </w:tcBorders>
            <w:vAlign w:val="center"/>
          </w:tcPr>
          <w:p w14:paraId="07FDE32D">
            <w:pPr>
              <w:pStyle w:val="110"/>
              <w:numPr>
                <w:ilvl w:val="0"/>
                <w:numId w:val="16"/>
              </w:numPr>
              <w:rPr>
                <w:rFonts w:ascii="Times New Roman" w:eastAsia="宋体"/>
                <w:sz w:val="18"/>
                <w:szCs w:val="18"/>
              </w:rPr>
            </w:pPr>
            <w:r>
              <w:rPr>
                <w:rFonts w:ascii="Times New Roman" w:eastAsia="宋体"/>
                <w:position w:val="-14"/>
                <w:sz w:val="18"/>
                <w:szCs w:val="18"/>
              </w:rPr>
              <w:object>
                <v:shape id="_x0000_i1047" o:spt="75" type="#_x0000_t75" style="height:15pt;width:12pt;" o:ole="t" filled="f" o:preferrelative="t" stroked="f" coordsize="21600,21600">
                  <v:path/>
                  <v:fill on="f" focussize="0,0"/>
                  <v:stroke on="f" joinstyle="miter"/>
                  <v:imagedata r:id="rId58" o:title=""/>
                  <o:lock v:ext="edit" aspectratio="t"/>
                  <w10:wrap type="none"/>
                  <w10:anchorlock/>
                </v:shape>
                <o:OLEObject Type="Embed" ProgID="Equation.3" ShapeID="_x0000_i1047" DrawAspect="Content" ObjectID="_1468075747" r:id="rId57">
                  <o:LockedField>false</o:LockedField>
                </o:OLEObject>
              </w:object>
            </w:r>
          </w:p>
        </w:tc>
        <w:tc>
          <w:tcPr>
            <w:tcW w:w="3037" w:type="dxa"/>
            <w:tcBorders>
              <w:bottom w:val="single" w:color="auto" w:sz="4" w:space="0"/>
            </w:tcBorders>
            <w:vAlign w:val="center"/>
          </w:tcPr>
          <w:p w14:paraId="3200DFE8">
            <w:pPr>
              <w:pStyle w:val="110"/>
              <w:numPr>
                <w:ilvl w:val="0"/>
                <w:numId w:val="16"/>
              </w:numPr>
              <w:rPr>
                <w:rFonts w:ascii="Times New Roman" w:eastAsia="宋体"/>
                <w:sz w:val="18"/>
                <w:szCs w:val="18"/>
              </w:rPr>
            </w:pPr>
            <w:r>
              <w:rPr>
                <w:rFonts w:ascii="Times New Roman" w:eastAsia="宋体"/>
                <w:position w:val="-10"/>
                <w:sz w:val="18"/>
                <w:szCs w:val="18"/>
              </w:rPr>
              <w:object>
                <v:shape id="_x0000_i1048" o:spt="75" type="#_x0000_t75" style="height:14.25pt;width:13.5pt;" o:ole="t" filled="f" o:preferrelative="t" stroked="f" coordsize="21600,21600">
                  <v:path/>
                  <v:fill on="f" focussize="0,0"/>
                  <v:stroke on="f" joinstyle="miter"/>
                  <v:imagedata r:id="rId60" o:title=""/>
                  <o:lock v:ext="edit" aspectratio="t"/>
                  <w10:wrap type="none"/>
                  <w10:anchorlock/>
                </v:shape>
                <o:OLEObject Type="Embed" ProgID="Equation.3" ShapeID="_x0000_i1048" DrawAspect="Content" ObjectID="_1468075748" r:id="rId59">
                  <o:LockedField>false</o:LockedField>
                </o:OLEObject>
              </w:object>
            </w:r>
          </w:p>
        </w:tc>
      </w:tr>
      <w:tr w14:paraId="25ECB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436" w:type="dxa"/>
            <w:vMerge w:val="restart"/>
          </w:tcPr>
          <w:p w14:paraId="5620E88D">
            <w:pPr>
              <w:pStyle w:val="110"/>
              <w:numPr>
                <w:ilvl w:val="0"/>
                <w:numId w:val="0"/>
              </w:numPr>
              <w:spacing w:line="312" w:lineRule="auto"/>
              <w:rPr>
                <w:rFonts w:ascii="Times New Roman" w:eastAsia="宋体"/>
                <w:sz w:val="18"/>
                <w:szCs w:val="18"/>
              </w:rPr>
            </w:pPr>
            <w:r>
              <w:rPr>
                <w:rFonts w:hint="eastAsia" w:ascii="Times New Roman" w:eastAsia="宋体"/>
                <w:sz w:val="18"/>
                <w:szCs w:val="18"/>
              </w:rPr>
              <w:t>农村条件</w:t>
            </w:r>
          </w:p>
          <w:p w14:paraId="47865798">
            <w:pPr>
              <w:pStyle w:val="110"/>
              <w:numPr>
                <w:ilvl w:val="0"/>
                <w:numId w:val="0"/>
              </w:numPr>
              <w:spacing w:line="312" w:lineRule="auto"/>
              <w:rPr>
                <w:rFonts w:ascii="Times New Roman" w:eastAsia="宋体"/>
                <w:sz w:val="18"/>
                <w:szCs w:val="18"/>
              </w:rPr>
            </w:pPr>
            <w:r>
              <w:rPr>
                <w:rFonts w:ascii="Times New Roman" w:eastAsia="宋体"/>
                <w:sz w:val="18"/>
                <w:szCs w:val="18"/>
              </w:rPr>
              <w:t>A</w:t>
            </w:r>
          </w:p>
          <w:p w14:paraId="07DB2B0E">
            <w:pPr>
              <w:pStyle w:val="110"/>
              <w:numPr>
                <w:ilvl w:val="0"/>
                <w:numId w:val="0"/>
              </w:numPr>
              <w:spacing w:line="312" w:lineRule="auto"/>
              <w:rPr>
                <w:rFonts w:ascii="Times New Roman" w:eastAsia="宋体"/>
                <w:sz w:val="18"/>
                <w:szCs w:val="18"/>
              </w:rPr>
            </w:pPr>
            <w:r>
              <w:rPr>
                <w:rFonts w:ascii="Times New Roman" w:eastAsia="宋体"/>
                <w:sz w:val="18"/>
                <w:szCs w:val="18"/>
              </w:rPr>
              <w:t>B</w:t>
            </w:r>
          </w:p>
          <w:p w14:paraId="7E0F5A79">
            <w:pPr>
              <w:pStyle w:val="110"/>
              <w:numPr>
                <w:ilvl w:val="0"/>
                <w:numId w:val="0"/>
              </w:numPr>
              <w:spacing w:line="312" w:lineRule="auto"/>
              <w:rPr>
                <w:rFonts w:ascii="Times New Roman" w:eastAsia="宋体"/>
                <w:sz w:val="18"/>
                <w:szCs w:val="18"/>
              </w:rPr>
            </w:pPr>
            <w:r>
              <w:rPr>
                <w:rFonts w:ascii="Times New Roman" w:eastAsia="宋体"/>
                <w:sz w:val="18"/>
                <w:szCs w:val="18"/>
              </w:rPr>
              <w:t>C</w:t>
            </w:r>
          </w:p>
          <w:p w14:paraId="2E0EE279">
            <w:pPr>
              <w:pStyle w:val="110"/>
              <w:numPr>
                <w:ilvl w:val="0"/>
                <w:numId w:val="0"/>
              </w:numPr>
              <w:spacing w:line="312" w:lineRule="auto"/>
              <w:rPr>
                <w:rFonts w:ascii="Times New Roman" w:eastAsia="宋体"/>
                <w:sz w:val="18"/>
                <w:szCs w:val="18"/>
              </w:rPr>
            </w:pPr>
            <w:r>
              <w:rPr>
                <w:rFonts w:ascii="Times New Roman" w:eastAsia="宋体"/>
                <w:sz w:val="18"/>
                <w:szCs w:val="18"/>
              </w:rPr>
              <w:t>D</w:t>
            </w:r>
          </w:p>
          <w:p w14:paraId="0C130205">
            <w:pPr>
              <w:pStyle w:val="110"/>
              <w:numPr>
                <w:ilvl w:val="0"/>
                <w:numId w:val="0"/>
              </w:numPr>
              <w:spacing w:line="312" w:lineRule="auto"/>
              <w:rPr>
                <w:rFonts w:ascii="Times New Roman" w:eastAsia="宋体"/>
                <w:sz w:val="18"/>
                <w:szCs w:val="18"/>
              </w:rPr>
            </w:pPr>
            <w:r>
              <w:rPr>
                <w:rFonts w:ascii="Times New Roman" w:eastAsia="宋体"/>
                <w:sz w:val="18"/>
                <w:szCs w:val="18"/>
              </w:rPr>
              <w:t>E</w:t>
            </w:r>
          </w:p>
          <w:p w14:paraId="504126EC">
            <w:pPr>
              <w:pStyle w:val="110"/>
              <w:numPr>
                <w:ilvl w:val="0"/>
                <w:numId w:val="0"/>
              </w:numPr>
              <w:spacing w:line="312" w:lineRule="auto"/>
              <w:rPr>
                <w:rFonts w:ascii="Times New Roman" w:eastAsia="宋体"/>
                <w:sz w:val="18"/>
                <w:szCs w:val="18"/>
              </w:rPr>
            </w:pPr>
            <w:r>
              <w:rPr>
                <w:rFonts w:ascii="Times New Roman" w:eastAsia="宋体"/>
                <w:sz w:val="18"/>
                <w:szCs w:val="18"/>
              </w:rPr>
              <w:t>F</w:t>
            </w:r>
          </w:p>
          <w:p w14:paraId="6E7F12E8">
            <w:pPr>
              <w:pStyle w:val="110"/>
              <w:numPr>
                <w:ilvl w:val="0"/>
                <w:numId w:val="0"/>
              </w:numPr>
              <w:spacing w:line="312" w:lineRule="auto"/>
              <w:rPr>
                <w:rFonts w:ascii="Times New Roman" w:eastAsia="宋体"/>
                <w:sz w:val="18"/>
                <w:szCs w:val="18"/>
              </w:rPr>
            </w:pPr>
            <w:r>
              <w:rPr>
                <w:rFonts w:hint="eastAsia" w:ascii="Times New Roman" w:eastAsia="宋体"/>
                <w:sz w:val="18"/>
                <w:szCs w:val="18"/>
              </w:rPr>
              <w:t>城市条件</w:t>
            </w:r>
          </w:p>
          <w:p w14:paraId="1C05530F">
            <w:pPr>
              <w:pStyle w:val="110"/>
              <w:numPr>
                <w:ilvl w:val="0"/>
                <w:numId w:val="0"/>
              </w:numPr>
              <w:spacing w:line="312" w:lineRule="auto"/>
              <w:rPr>
                <w:rFonts w:ascii="Times New Roman" w:eastAsia="宋体"/>
                <w:sz w:val="18"/>
                <w:szCs w:val="18"/>
              </w:rPr>
            </w:pPr>
            <w:r>
              <w:rPr>
                <w:rFonts w:ascii="Times New Roman" w:eastAsia="宋体"/>
                <w:sz w:val="18"/>
                <w:szCs w:val="18"/>
              </w:rPr>
              <w:t>A~B</w:t>
            </w:r>
          </w:p>
          <w:p w14:paraId="135014D5">
            <w:pPr>
              <w:pStyle w:val="110"/>
              <w:numPr>
                <w:ilvl w:val="0"/>
                <w:numId w:val="0"/>
              </w:numPr>
              <w:spacing w:line="312" w:lineRule="auto"/>
              <w:rPr>
                <w:rFonts w:ascii="Times New Roman" w:eastAsia="宋体"/>
                <w:sz w:val="18"/>
                <w:szCs w:val="18"/>
              </w:rPr>
            </w:pPr>
            <w:r>
              <w:rPr>
                <w:rFonts w:ascii="Times New Roman" w:eastAsia="宋体"/>
                <w:sz w:val="18"/>
                <w:szCs w:val="18"/>
              </w:rPr>
              <w:t>C</w:t>
            </w:r>
          </w:p>
          <w:p w14:paraId="023BF391">
            <w:pPr>
              <w:pStyle w:val="110"/>
              <w:numPr>
                <w:ilvl w:val="0"/>
                <w:numId w:val="0"/>
              </w:numPr>
              <w:spacing w:line="312" w:lineRule="auto"/>
              <w:rPr>
                <w:rFonts w:ascii="Times New Roman" w:eastAsia="宋体"/>
                <w:sz w:val="18"/>
                <w:szCs w:val="18"/>
              </w:rPr>
            </w:pPr>
            <w:r>
              <w:rPr>
                <w:rFonts w:ascii="Times New Roman" w:eastAsia="宋体"/>
                <w:sz w:val="18"/>
                <w:szCs w:val="18"/>
              </w:rPr>
              <w:t>D</w:t>
            </w:r>
          </w:p>
          <w:p w14:paraId="50FBC064">
            <w:pPr>
              <w:pStyle w:val="110"/>
              <w:numPr>
                <w:ilvl w:val="0"/>
                <w:numId w:val="0"/>
              </w:numPr>
              <w:spacing w:line="312" w:lineRule="auto"/>
              <w:rPr>
                <w:rFonts w:ascii="Times New Roman" w:eastAsia="宋体"/>
                <w:sz w:val="18"/>
                <w:szCs w:val="18"/>
              </w:rPr>
            </w:pPr>
            <w:r>
              <w:rPr>
                <w:rFonts w:ascii="Times New Roman" w:eastAsia="宋体"/>
                <w:sz w:val="18"/>
                <w:szCs w:val="18"/>
              </w:rPr>
              <w:t>E~F</w:t>
            </w:r>
          </w:p>
        </w:tc>
        <w:tc>
          <w:tcPr>
            <w:tcW w:w="3349" w:type="dxa"/>
            <w:tcBorders>
              <w:bottom w:val="nil"/>
            </w:tcBorders>
          </w:tcPr>
          <w:p w14:paraId="65109771">
            <w:pPr>
              <w:pStyle w:val="110"/>
              <w:numPr>
                <w:ilvl w:val="0"/>
                <w:numId w:val="0"/>
              </w:numPr>
              <w:spacing w:line="312" w:lineRule="auto"/>
              <w:rPr>
                <w:rFonts w:ascii="Times New Roman" w:eastAsia="宋体"/>
                <w:sz w:val="18"/>
                <w:szCs w:val="18"/>
              </w:rPr>
            </w:pPr>
          </w:p>
        </w:tc>
        <w:tc>
          <w:tcPr>
            <w:tcW w:w="3037" w:type="dxa"/>
            <w:tcBorders>
              <w:bottom w:val="nil"/>
            </w:tcBorders>
          </w:tcPr>
          <w:p w14:paraId="488EB619">
            <w:pPr>
              <w:pStyle w:val="110"/>
              <w:numPr>
                <w:ilvl w:val="0"/>
                <w:numId w:val="16"/>
              </w:numPr>
              <w:rPr>
                <w:rFonts w:ascii="Times New Roman" w:eastAsia="宋体"/>
                <w:sz w:val="18"/>
                <w:szCs w:val="18"/>
              </w:rPr>
            </w:pPr>
          </w:p>
        </w:tc>
      </w:tr>
      <w:tr w14:paraId="486FF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436" w:type="dxa"/>
            <w:vMerge w:val="continue"/>
          </w:tcPr>
          <w:p w14:paraId="04C51253">
            <w:pPr>
              <w:pStyle w:val="110"/>
              <w:numPr>
                <w:ilvl w:val="0"/>
                <w:numId w:val="16"/>
              </w:numPr>
              <w:rPr>
                <w:rFonts w:ascii="Times New Roman" w:eastAsia="宋体"/>
                <w:sz w:val="18"/>
                <w:szCs w:val="18"/>
              </w:rPr>
            </w:pPr>
          </w:p>
        </w:tc>
        <w:tc>
          <w:tcPr>
            <w:tcW w:w="3349" w:type="dxa"/>
            <w:tcBorders>
              <w:top w:val="nil"/>
              <w:bottom w:val="single" w:color="auto" w:sz="4" w:space="0"/>
            </w:tcBorders>
          </w:tcPr>
          <w:p w14:paraId="175CB054">
            <w:pPr>
              <w:pStyle w:val="110"/>
              <w:numPr>
                <w:ilvl w:val="0"/>
                <w:numId w:val="0"/>
              </w:numPr>
              <w:spacing w:line="312" w:lineRule="auto"/>
              <w:rPr>
                <w:rFonts w:ascii="Times New Roman" w:eastAsia="宋体"/>
                <w:sz w:val="18"/>
                <w:szCs w:val="18"/>
              </w:rPr>
            </w:pPr>
            <w:r>
              <w:rPr>
                <w:rFonts w:ascii="Times New Roman" w:eastAsia="宋体"/>
                <w:sz w:val="18"/>
                <w:szCs w:val="18"/>
              </w:rPr>
              <w:t>0.22x(1+0.0001x)</w:t>
            </w:r>
            <w:r>
              <w:rPr>
                <w:rFonts w:ascii="Times New Roman" w:eastAsia="宋体"/>
                <w:sz w:val="18"/>
                <w:szCs w:val="18"/>
                <w:vertAlign w:val="superscript"/>
              </w:rPr>
              <w:t>-1/2</w:t>
            </w:r>
          </w:p>
          <w:p w14:paraId="59E54681">
            <w:pPr>
              <w:pStyle w:val="110"/>
              <w:numPr>
                <w:ilvl w:val="0"/>
                <w:numId w:val="0"/>
              </w:numPr>
              <w:spacing w:line="312" w:lineRule="auto"/>
              <w:rPr>
                <w:rFonts w:ascii="Times New Roman" w:eastAsia="宋体"/>
                <w:sz w:val="18"/>
                <w:szCs w:val="18"/>
              </w:rPr>
            </w:pPr>
            <w:r>
              <w:rPr>
                <w:rFonts w:ascii="Times New Roman" w:eastAsia="宋体"/>
                <w:sz w:val="18"/>
                <w:szCs w:val="18"/>
              </w:rPr>
              <w:t>0.16x(1+0.0001x)</w:t>
            </w:r>
            <w:r>
              <w:rPr>
                <w:rFonts w:ascii="Times New Roman" w:eastAsia="宋体"/>
                <w:sz w:val="18"/>
                <w:szCs w:val="18"/>
                <w:vertAlign w:val="superscript"/>
              </w:rPr>
              <w:t>-1/2</w:t>
            </w:r>
          </w:p>
          <w:p w14:paraId="4BCEA159">
            <w:pPr>
              <w:pStyle w:val="110"/>
              <w:numPr>
                <w:ilvl w:val="0"/>
                <w:numId w:val="0"/>
              </w:numPr>
              <w:spacing w:line="312" w:lineRule="auto"/>
              <w:rPr>
                <w:rFonts w:ascii="Times New Roman" w:eastAsia="宋体"/>
                <w:sz w:val="18"/>
                <w:szCs w:val="18"/>
              </w:rPr>
            </w:pPr>
            <w:r>
              <w:rPr>
                <w:rFonts w:ascii="Times New Roman" w:eastAsia="宋体"/>
                <w:sz w:val="18"/>
                <w:szCs w:val="18"/>
              </w:rPr>
              <w:t>0.11x(1+0.0001x</w:t>
            </w:r>
            <w:r>
              <w:rPr>
                <w:rFonts w:ascii="Times New Roman" w:eastAsia="宋体"/>
                <w:sz w:val="18"/>
                <w:szCs w:val="18"/>
                <w:vertAlign w:val="superscript"/>
              </w:rPr>
              <w:t>)-1/2</w:t>
            </w:r>
          </w:p>
          <w:p w14:paraId="5110AF0B">
            <w:pPr>
              <w:pStyle w:val="110"/>
              <w:numPr>
                <w:ilvl w:val="0"/>
                <w:numId w:val="0"/>
              </w:numPr>
              <w:spacing w:line="312" w:lineRule="auto"/>
              <w:rPr>
                <w:rFonts w:ascii="Times New Roman" w:eastAsia="宋体"/>
                <w:sz w:val="18"/>
                <w:szCs w:val="18"/>
              </w:rPr>
            </w:pPr>
            <w:r>
              <w:rPr>
                <w:rFonts w:ascii="Times New Roman" w:eastAsia="宋体"/>
                <w:sz w:val="18"/>
                <w:szCs w:val="18"/>
              </w:rPr>
              <w:t>0.08x(1+0.0001x)</w:t>
            </w:r>
            <w:r>
              <w:rPr>
                <w:rFonts w:ascii="Times New Roman" w:eastAsia="宋体"/>
                <w:sz w:val="18"/>
                <w:szCs w:val="18"/>
                <w:vertAlign w:val="superscript"/>
              </w:rPr>
              <w:t>-1/2</w:t>
            </w:r>
          </w:p>
          <w:p w14:paraId="08181F6D">
            <w:pPr>
              <w:pStyle w:val="110"/>
              <w:numPr>
                <w:ilvl w:val="0"/>
                <w:numId w:val="0"/>
              </w:numPr>
              <w:spacing w:line="312" w:lineRule="auto"/>
              <w:rPr>
                <w:rFonts w:ascii="Times New Roman" w:eastAsia="宋体"/>
                <w:sz w:val="18"/>
                <w:szCs w:val="18"/>
              </w:rPr>
            </w:pPr>
            <w:r>
              <w:rPr>
                <w:rFonts w:ascii="Times New Roman" w:eastAsia="宋体"/>
                <w:sz w:val="18"/>
                <w:szCs w:val="18"/>
              </w:rPr>
              <w:t>0.06x(1+0.0001x)</w:t>
            </w:r>
            <w:r>
              <w:rPr>
                <w:rFonts w:ascii="Times New Roman" w:eastAsia="宋体"/>
                <w:sz w:val="18"/>
                <w:szCs w:val="18"/>
                <w:vertAlign w:val="superscript"/>
              </w:rPr>
              <w:t>-1/2</w:t>
            </w:r>
          </w:p>
          <w:p w14:paraId="207A57B1">
            <w:pPr>
              <w:pStyle w:val="110"/>
              <w:numPr>
                <w:ilvl w:val="0"/>
                <w:numId w:val="0"/>
              </w:numPr>
              <w:spacing w:line="312" w:lineRule="auto"/>
              <w:rPr>
                <w:rFonts w:ascii="Times New Roman" w:eastAsia="宋体"/>
                <w:sz w:val="18"/>
                <w:szCs w:val="18"/>
              </w:rPr>
            </w:pPr>
            <w:r>
              <w:rPr>
                <w:rFonts w:ascii="Times New Roman" w:eastAsia="宋体"/>
                <w:sz w:val="18"/>
                <w:szCs w:val="18"/>
              </w:rPr>
              <w:t>0.04x(1+0.0001x)</w:t>
            </w:r>
            <w:r>
              <w:rPr>
                <w:rFonts w:ascii="Times New Roman" w:eastAsia="宋体"/>
                <w:sz w:val="18"/>
                <w:szCs w:val="18"/>
                <w:vertAlign w:val="superscript"/>
              </w:rPr>
              <w:t>-1/2</w:t>
            </w:r>
          </w:p>
        </w:tc>
        <w:tc>
          <w:tcPr>
            <w:tcW w:w="3037" w:type="dxa"/>
            <w:tcBorders>
              <w:top w:val="nil"/>
              <w:bottom w:val="single" w:color="auto" w:sz="4" w:space="0"/>
            </w:tcBorders>
          </w:tcPr>
          <w:p w14:paraId="1082D288">
            <w:pPr>
              <w:pStyle w:val="110"/>
              <w:numPr>
                <w:ilvl w:val="0"/>
                <w:numId w:val="0"/>
              </w:numPr>
              <w:spacing w:line="312" w:lineRule="auto"/>
              <w:rPr>
                <w:rFonts w:ascii="Times New Roman" w:eastAsia="宋体"/>
                <w:sz w:val="18"/>
                <w:szCs w:val="18"/>
              </w:rPr>
            </w:pPr>
            <w:r>
              <w:rPr>
                <w:rFonts w:ascii="Times New Roman" w:eastAsia="宋体"/>
                <w:sz w:val="18"/>
                <w:szCs w:val="18"/>
              </w:rPr>
              <w:t>0.20x</w:t>
            </w:r>
          </w:p>
          <w:p w14:paraId="05D36BD9">
            <w:pPr>
              <w:pStyle w:val="110"/>
              <w:numPr>
                <w:ilvl w:val="0"/>
                <w:numId w:val="0"/>
              </w:numPr>
              <w:spacing w:line="312" w:lineRule="auto"/>
              <w:rPr>
                <w:rFonts w:ascii="Times New Roman" w:eastAsia="宋体"/>
                <w:sz w:val="18"/>
                <w:szCs w:val="18"/>
              </w:rPr>
            </w:pPr>
            <w:r>
              <w:rPr>
                <w:rFonts w:ascii="Times New Roman" w:eastAsia="宋体"/>
                <w:sz w:val="18"/>
                <w:szCs w:val="18"/>
              </w:rPr>
              <w:t>0.12x</w:t>
            </w:r>
          </w:p>
          <w:p w14:paraId="1ADD1F67">
            <w:pPr>
              <w:pStyle w:val="110"/>
              <w:numPr>
                <w:ilvl w:val="0"/>
                <w:numId w:val="0"/>
              </w:numPr>
              <w:spacing w:line="312" w:lineRule="auto"/>
              <w:rPr>
                <w:rFonts w:ascii="Times New Roman" w:eastAsia="宋体"/>
                <w:sz w:val="18"/>
                <w:szCs w:val="18"/>
              </w:rPr>
            </w:pPr>
            <w:r>
              <w:rPr>
                <w:rFonts w:ascii="Times New Roman" w:eastAsia="宋体"/>
                <w:sz w:val="18"/>
                <w:szCs w:val="18"/>
              </w:rPr>
              <w:t>0.08x(1+0.0002x)</w:t>
            </w:r>
            <w:r>
              <w:rPr>
                <w:rFonts w:ascii="Times New Roman" w:eastAsia="宋体"/>
                <w:sz w:val="18"/>
                <w:szCs w:val="18"/>
                <w:vertAlign w:val="superscript"/>
              </w:rPr>
              <w:t>-1/2</w:t>
            </w:r>
          </w:p>
          <w:p w14:paraId="300A7568">
            <w:pPr>
              <w:pStyle w:val="110"/>
              <w:numPr>
                <w:ilvl w:val="0"/>
                <w:numId w:val="0"/>
              </w:numPr>
              <w:spacing w:line="312" w:lineRule="auto"/>
              <w:rPr>
                <w:rFonts w:ascii="Times New Roman" w:eastAsia="宋体"/>
                <w:sz w:val="18"/>
                <w:szCs w:val="18"/>
              </w:rPr>
            </w:pPr>
            <w:r>
              <w:rPr>
                <w:rFonts w:ascii="Times New Roman" w:eastAsia="宋体"/>
                <w:sz w:val="18"/>
                <w:szCs w:val="18"/>
              </w:rPr>
              <w:t>0.06x(1+0.0015x)</w:t>
            </w:r>
            <w:r>
              <w:rPr>
                <w:rFonts w:ascii="Times New Roman" w:eastAsia="宋体"/>
                <w:sz w:val="18"/>
                <w:szCs w:val="18"/>
                <w:vertAlign w:val="superscript"/>
              </w:rPr>
              <w:t>-1/2</w:t>
            </w:r>
          </w:p>
          <w:p w14:paraId="1C46D918">
            <w:pPr>
              <w:pStyle w:val="110"/>
              <w:numPr>
                <w:ilvl w:val="0"/>
                <w:numId w:val="0"/>
              </w:numPr>
              <w:spacing w:line="312" w:lineRule="auto"/>
              <w:rPr>
                <w:rFonts w:ascii="Times New Roman" w:eastAsia="宋体"/>
                <w:sz w:val="18"/>
                <w:szCs w:val="18"/>
              </w:rPr>
            </w:pPr>
            <w:r>
              <w:rPr>
                <w:rFonts w:ascii="Times New Roman" w:eastAsia="宋体"/>
                <w:sz w:val="18"/>
                <w:szCs w:val="18"/>
              </w:rPr>
              <w:t>0.03x(1+0.0003x)</w:t>
            </w:r>
            <w:r>
              <w:rPr>
                <w:rFonts w:ascii="Times New Roman" w:eastAsia="宋体"/>
                <w:sz w:val="18"/>
                <w:szCs w:val="18"/>
                <w:vertAlign w:val="superscript"/>
              </w:rPr>
              <w:t>-1</w:t>
            </w:r>
          </w:p>
          <w:p w14:paraId="65033E0A">
            <w:pPr>
              <w:pStyle w:val="110"/>
              <w:numPr>
                <w:ilvl w:val="0"/>
                <w:numId w:val="0"/>
              </w:numPr>
              <w:spacing w:line="312" w:lineRule="auto"/>
              <w:rPr>
                <w:rFonts w:ascii="Times New Roman" w:eastAsia="宋体"/>
                <w:sz w:val="18"/>
                <w:szCs w:val="18"/>
              </w:rPr>
            </w:pPr>
            <w:r>
              <w:rPr>
                <w:rFonts w:ascii="Times New Roman" w:eastAsia="宋体"/>
                <w:sz w:val="18"/>
                <w:szCs w:val="18"/>
              </w:rPr>
              <w:t>0.016x(1+0.0003x)</w:t>
            </w:r>
            <w:r>
              <w:rPr>
                <w:rFonts w:ascii="Times New Roman" w:eastAsia="宋体"/>
                <w:sz w:val="18"/>
                <w:szCs w:val="18"/>
                <w:vertAlign w:val="superscript"/>
              </w:rPr>
              <w:t>-1</w:t>
            </w:r>
          </w:p>
        </w:tc>
      </w:tr>
      <w:tr w14:paraId="51690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436" w:type="dxa"/>
            <w:vMerge w:val="continue"/>
          </w:tcPr>
          <w:p w14:paraId="0AFEC70A">
            <w:pPr>
              <w:pStyle w:val="110"/>
              <w:numPr>
                <w:ilvl w:val="0"/>
                <w:numId w:val="16"/>
              </w:numPr>
              <w:rPr>
                <w:rFonts w:ascii="Times New Roman" w:eastAsia="宋体"/>
                <w:sz w:val="18"/>
                <w:szCs w:val="18"/>
              </w:rPr>
            </w:pPr>
          </w:p>
        </w:tc>
        <w:tc>
          <w:tcPr>
            <w:tcW w:w="3349" w:type="dxa"/>
            <w:tcBorders>
              <w:bottom w:val="nil"/>
            </w:tcBorders>
          </w:tcPr>
          <w:p w14:paraId="6B268FA4">
            <w:pPr>
              <w:autoSpaceDE w:val="0"/>
              <w:autoSpaceDN w:val="0"/>
              <w:ind w:firstLine="200"/>
              <w:rPr>
                <w:rFonts w:ascii="宋体" w:cs="CG Times"/>
              </w:rPr>
            </w:pPr>
          </w:p>
        </w:tc>
        <w:tc>
          <w:tcPr>
            <w:tcW w:w="3037" w:type="dxa"/>
            <w:tcBorders>
              <w:bottom w:val="nil"/>
            </w:tcBorders>
          </w:tcPr>
          <w:p w14:paraId="41616B95">
            <w:pPr>
              <w:pStyle w:val="110"/>
              <w:numPr>
                <w:ilvl w:val="0"/>
                <w:numId w:val="16"/>
              </w:numPr>
              <w:rPr>
                <w:rFonts w:ascii="Times New Roman" w:eastAsia="宋体"/>
                <w:sz w:val="18"/>
                <w:szCs w:val="18"/>
              </w:rPr>
            </w:pPr>
          </w:p>
        </w:tc>
      </w:tr>
      <w:tr w14:paraId="500A9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436" w:type="dxa"/>
            <w:vMerge w:val="continue"/>
          </w:tcPr>
          <w:p w14:paraId="4548E198">
            <w:pPr>
              <w:pStyle w:val="110"/>
              <w:numPr>
                <w:ilvl w:val="0"/>
                <w:numId w:val="16"/>
              </w:numPr>
              <w:rPr>
                <w:rFonts w:ascii="Times New Roman" w:eastAsia="宋体"/>
                <w:sz w:val="18"/>
                <w:szCs w:val="18"/>
              </w:rPr>
            </w:pPr>
          </w:p>
        </w:tc>
        <w:tc>
          <w:tcPr>
            <w:tcW w:w="3349" w:type="dxa"/>
            <w:tcBorders>
              <w:top w:val="nil"/>
            </w:tcBorders>
          </w:tcPr>
          <w:p w14:paraId="180363E8">
            <w:pPr>
              <w:pStyle w:val="110"/>
              <w:numPr>
                <w:ilvl w:val="0"/>
                <w:numId w:val="0"/>
              </w:numPr>
              <w:spacing w:line="312" w:lineRule="auto"/>
              <w:rPr>
                <w:rFonts w:ascii="Times New Roman" w:eastAsia="宋体"/>
                <w:sz w:val="18"/>
                <w:szCs w:val="18"/>
              </w:rPr>
            </w:pPr>
            <w:r>
              <w:rPr>
                <w:rFonts w:ascii="Times New Roman" w:eastAsia="宋体"/>
                <w:sz w:val="18"/>
                <w:szCs w:val="18"/>
              </w:rPr>
              <w:t>0.32x(1+0.0004x)</w:t>
            </w:r>
            <w:r>
              <w:rPr>
                <w:rFonts w:ascii="Times New Roman" w:eastAsia="宋体"/>
                <w:sz w:val="18"/>
                <w:szCs w:val="18"/>
                <w:vertAlign w:val="superscript"/>
              </w:rPr>
              <w:t>-1/2</w:t>
            </w:r>
          </w:p>
          <w:p w14:paraId="551C6D08">
            <w:pPr>
              <w:pStyle w:val="110"/>
              <w:numPr>
                <w:ilvl w:val="0"/>
                <w:numId w:val="0"/>
              </w:numPr>
              <w:spacing w:line="312" w:lineRule="auto"/>
              <w:rPr>
                <w:rFonts w:ascii="Times New Roman" w:eastAsia="宋体"/>
                <w:sz w:val="18"/>
                <w:szCs w:val="18"/>
              </w:rPr>
            </w:pPr>
            <w:r>
              <w:rPr>
                <w:rFonts w:ascii="Times New Roman" w:eastAsia="宋体"/>
                <w:sz w:val="18"/>
                <w:szCs w:val="18"/>
              </w:rPr>
              <w:t>0.22x(1+0.0004x)</w:t>
            </w:r>
            <w:r>
              <w:rPr>
                <w:rFonts w:ascii="Times New Roman" w:eastAsia="宋体"/>
                <w:sz w:val="18"/>
                <w:szCs w:val="18"/>
                <w:vertAlign w:val="superscript"/>
              </w:rPr>
              <w:t>-1/2</w:t>
            </w:r>
          </w:p>
          <w:p w14:paraId="3E8FBD20">
            <w:pPr>
              <w:pStyle w:val="110"/>
              <w:numPr>
                <w:ilvl w:val="0"/>
                <w:numId w:val="0"/>
              </w:numPr>
              <w:spacing w:line="312" w:lineRule="auto"/>
              <w:rPr>
                <w:rFonts w:ascii="Times New Roman" w:eastAsia="宋体"/>
                <w:sz w:val="18"/>
                <w:szCs w:val="18"/>
              </w:rPr>
            </w:pPr>
            <w:r>
              <w:rPr>
                <w:rFonts w:ascii="Times New Roman" w:eastAsia="宋体"/>
                <w:sz w:val="18"/>
                <w:szCs w:val="18"/>
              </w:rPr>
              <w:t>0.16x(1+0.0004x)</w:t>
            </w:r>
            <w:r>
              <w:rPr>
                <w:rFonts w:ascii="Times New Roman" w:eastAsia="宋体"/>
                <w:sz w:val="18"/>
                <w:szCs w:val="18"/>
                <w:vertAlign w:val="superscript"/>
              </w:rPr>
              <w:t>-1/2</w:t>
            </w:r>
          </w:p>
          <w:p w14:paraId="2B5739B6">
            <w:pPr>
              <w:pStyle w:val="110"/>
              <w:numPr>
                <w:ilvl w:val="0"/>
                <w:numId w:val="0"/>
              </w:numPr>
              <w:spacing w:line="312" w:lineRule="auto"/>
              <w:rPr>
                <w:rFonts w:ascii="Times New Roman" w:eastAsia="宋体"/>
                <w:sz w:val="18"/>
                <w:szCs w:val="18"/>
              </w:rPr>
            </w:pPr>
            <w:r>
              <w:rPr>
                <w:rFonts w:ascii="Times New Roman" w:eastAsia="宋体"/>
                <w:sz w:val="18"/>
                <w:szCs w:val="18"/>
              </w:rPr>
              <w:t>0.11x(1+0.0004x)</w:t>
            </w:r>
            <w:r>
              <w:rPr>
                <w:rFonts w:ascii="Times New Roman" w:eastAsia="宋体"/>
                <w:sz w:val="18"/>
                <w:szCs w:val="18"/>
                <w:vertAlign w:val="superscript"/>
              </w:rPr>
              <w:t>-1/2</w:t>
            </w:r>
          </w:p>
        </w:tc>
        <w:tc>
          <w:tcPr>
            <w:tcW w:w="3037" w:type="dxa"/>
            <w:tcBorders>
              <w:top w:val="nil"/>
            </w:tcBorders>
          </w:tcPr>
          <w:p w14:paraId="4C4DC0BA">
            <w:pPr>
              <w:pStyle w:val="110"/>
              <w:numPr>
                <w:ilvl w:val="0"/>
                <w:numId w:val="0"/>
              </w:numPr>
              <w:spacing w:line="312" w:lineRule="auto"/>
              <w:rPr>
                <w:rFonts w:ascii="Times New Roman" w:eastAsia="宋体"/>
                <w:sz w:val="18"/>
                <w:szCs w:val="18"/>
              </w:rPr>
            </w:pPr>
            <w:r>
              <w:rPr>
                <w:rFonts w:ascii="Times New Roman" w:eastAsia="宋体"/>
                <w:sz w:val="18"/>
                <w:szCs w:val="18"/>
              </w:rPr>
              <w:t>0.24x(1+0.0001x)</w:t>
            </w:r>
            <w:r>
              <w:rPr>
                <w:rFonts w:ascii="Times New Roman" w:eastAsia="宋体"/>
                <w:sz w:val="18"/>
                <w:szCs w:val="18"/>
                <w:vertAlign w:val="superscript"/>
              </w:rPr>
              <w:t>-1/2</w:t>
            </w:r>
          </w:p>
          <w:p w14:paraId="5DE76F98">
            <w:pPr>
              <w:pStyle w:val="110"/>
              <w:numPr>
                <w:ilvl w:val="0"/>
                <w:numId w:val="0"/>
              </w:numPr>
              <w:rPr>
                <w:rFonts w:ascii="Times New Roman" w:eastAsia="宋体"/>
                <w:sz w:val="18"/>
                <w:szCs w:val="18"/>
              </w:rPr>
            </w:pPr>
            <w:r>
              <w:rPr>
                <w:rFonts w:ascii="Times New Roman" w:eastAsia="宋体"/>
                <w:sz w:val="18"/>
                <w:szCs w:val="18"/>
              </w:rPr>
              <w:t>0.20x</w:t>
            </w:r>
          </w:p>
          <w:p w14:paraId="12B0F3C3">
            <w:pPr>
              <w:pStyle w:val="110"/>
              <w:numPr>
                <w:ilvl w:val="0"/>
                <w:numId w:val="0"/>
              </w:numPr>
              <w:spacing w:line="312" w:lineRule="auto"/>
              <w:rPr>
                <w:rFonts w:ascii="Times New Roman" w:eastAsia="宋体"/>
                <w:sz w:val="18"/>
                <w:szCs w:val="18"/>
              </w:rPr>
            </w:pPr>
            <w:r>
              <w:rPr>
                <w:rFonts w:ascii="Times New Roman" w:eastAsia="宋体"/>
                <w:sz w:val="18"/>
                <w:szCs w:val="18"/>
              </w:rPr>
              <w:t>0.14x(1+0.0003x)</w:t>
            </w:r>
            <w:r>
              <w:rPr>
                <w:rFonts w:ascii="Times New Roman" w:eastAsia="宋体"/>
                <w:sz w:val="18"/>
                <w:szCs w:val="18"/>
                <w:vertAlign w:val="superscript"/>
              </w:rPr>
              <w:t>-1/2</w:t>
            </w:r>
          </w:p>
          <w:p w14:paraId="298435A4">
            <w:pPr>
              <w:pStyle w:val="110"/>
              <w:numPr>
                <w:ilvl w:val="0"/>
                <w:numId w:val="0"/>
              </w:numPr>
              <w:spacing w:line="312" w:lineRule="auto"/>
              <w:rPr>
                <w:rFonts w:ascii="Times New Roman" w:eastAsia="宋体"/>
                <w:sz w:val="18"/>
                <w:szCs w:val="18"/>
              </w:rPr>
            </w:pPr>
            <w:r>
              <w:rPr>
                <w:rFonts w:ascii="Times New Roman" w:eastAsia="宋体"/>
                <w:sz w:val="18"/>
                <w:szCs w:val="18"/>
              </w:rPr>
              <w:t>0.08x(1+0.0015x)</w:t>
            </w:r>
            <w:r>
              <w:rPr>
                <w:rFonts w:ascii="Times New Roman" w:eastAsia="宋体"/>
                <w:sz w:val="18"/>
                <w:szCs w:val="18"/>
                <w:vertAlign w:val="superscript"/>
              </w:rPr>
              <w:t>-1/2</w:t>
            </w:r>
          </w:p>
        </w:tc>
      </w:tr>
    </w:tbl>
    <w:p w14:paraId="41797715">
      <w:pPr>
        <w:widowControl w:val="0"/>
        <w:spacing w:line="240" w:lineRule="auto"/>
        <w:jc w:val="center"/>
        <w:textAlignment w:val="auto"/>
        <w:rPr>
          <w:rFonts w:eastAsia="黑体"/>
          <w:kern w:val="2"/>
          <w:szCs w:val="21"/>
        </w:rPr>
      </w:pPr>
    </w:p>
    <w:p w14:paraId="6BDA3A77">
      <w:pPr>
        <w:widowControl w:val="0"/>
        <w:spacing w:before="156" w:beforeLines="50" w:after="156" w:afterLines="50"/>
        <w:jc w:val="center"/>
        <w:rPr>
          <w:rFonts w:hint="eastAsia" w:ascii="黑体" w:hAnsi="黑体" w:eastAsia="黑体"/>
          <w:kern w:val="2"/>
          <w:szCs w:val="24"/>
        </w:rPr>
      </w:pPr>
      <w:bookmarkStart w:id="192" w:name="_Toc310769357"/>
      <w:bookmarkStart w:id="193" w:name="_Toc296956170"/>
      <w:bookmarkStart w:id="194" w:name="_Toc310952759"/>
      <w:r>
        <w:rPr>
          <w:rFonts w:hint="eastAsia" w:ascii="黑体" w:hAnsi="黑体" w:eastAsia="黑体"/>
          <w:kern w:val="2"/>
          <w:szCs w:val="24"/>
        </w:rPr>
        <w:t>表 B</w:t>
      </w:r>
      <w:r>
        <w:rPr>
          <w:rFonts w:ascii="黑体" w:hAnsi="黑体" w:eastAsia="黑体"/>
          <w:kern w:val="2"/>
          <w:szCs w:val="24"/>
        </w:rPr>
        <w:t>.</w:t>
      </w:r>
      <w:r>
        <w:rPr>
          <w:rFonts w:hint="eastAsia" w:ascii="黑体" w:hAnsi="黑体" w:eastAsia="黑体"/>
          <w:kern w:val="2"/>
          <w:szCs w:val="24"/>
        </w:rPr>
        <w:t>7</w:t>
      </w:r>
      <w:r>
        <w:rPr>
          <w:rFonts w:ascii="黑体" w:hAnsi="黑体" w:eastAsia="黑体"/>
          <w:kern w:val="2"/>
          <w:szCs w:val="24"/>
        </w:rPr>
        <w:t xml:space="preserve"> </w:t>
      </w:r>
      <w:r>
        <w:rPr>
          <w:rFonts w:hint="eastAsia" w:ascii="黑体" w:hAnsi="黑体" w:eastAsia="黑体"/>
          <w:kern w:val="2"/>
          <w:szCs w:val="24"/>
        </w:rPr>
        <w:t xml:space="preserve"> 烟团扩散</w:t>
      </w:r>
      <w:r>
        <w:rPr>
          <w:rFonts w:ascii="黑体" w:hAnsi="黑体" w:eastAsia="黑体"/>
          <w:kern w:val="2"/>
          <w:szCs w:val="24"/>
        </w:rPr>
        <w:t>Pasquill-Gifford</w:t>
      </w:r>
      <w:r>
        <w:rPr>
          <w:rFonts w:hint="eastAsia" w:ascii="黑体" w:hAnsi="黑体" w:eastAsia="黑体"/>
          <w:kern w:val="2"/>
          <w:szCs w:val="24"/>
        </w:rPr>
        <w:t>模型扩散系数方程（下风向距离</w:t>
      </w:r>
      <w:r>
        <w:rPr>
          <w:rFonts w:ascii="黑体" w:hAnsi="黑体" w:eastAsia="黑体"/>
          <w:i/>
          <w:kern w:val="2"/>
          <w:szCs w:val="24"/>
        </w:rPr>
        <w:t>x</w:t>
      </w:r>
      <w:r>
        <w:rPr>
          <w:rFonts w:hint="eastAsia" w:ascii="黑体" w:hAnsi="黑体" w:eastAsia="黑体"/>
          <w:kern w:val="2"/>
          <w:szCs w:val="24"/>
        </w:rPr>
        <w:t>的单位为米）</w:t>
      </w:r>
      <w:bookmarkEnd w:id="192"/>
      <w:bookmarkEnd w:id="193"/>
      <w:bookmarkEnd w:id="194"/>
    </w:p>
    <w:tbl>
      <w:tblPr>
        <w:tblStyle w:val="36"/>
        <w:tblW w:w="88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1"/>
        <w:gridCol w:w="1490"/>
        <w:gridCol w:w="1417"/>
        <w:gridCol w:w="1593"/>
        <w:gridCol w:w="1384"/>
        <w:gridCol w:w="1316"/>
      </w:tblGrid>
      <w:tr w14:paraId="0FAE8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671" w:type="dxa"/>
            <w:vAlign w:val="center"/>
          </w:tcPr>
          <w:p w14:paraId="2E01DF44">
            <w:pPr>
              <w:pStyle w:val="110"/>
              <w:numPr>
                <w:ilvl w:val="0"/>
                <w:numId w:val="0"/>
              </w:numPr>
              <w:rPr>
                <w:rFonts w:ascii="Times New Roman" w:eastAsia="宋体"/>
                <w:sz w:val="18"/>
                <w:szCs w:val="18"/>
              </w:rPr>
            </w:pPr>
            <w:r>
              <w:rPr>
                <w:rFonts w:ascii="Times New Roman" w:eastAsia="宋体"/>
                <w:sz w:val="18"/>
                <w:szCs w:val="18"/>
              </w:rPr>
              <w:t>Pasquill-Gifford</w:t>
            </w:r>
            <w:r>
              <w:rPr>
                <w:rFonts w:hint="eastAsia" w:ascii="Times New Roman" w:eastAsia="宋体"/>
                <w:sz w:val="18"/>
                <w:szCs w:val="18"/>
              </w:rPr>
              <w:t>稳定度等级</w:t>
            </w:r>
          </w:p>
        </w:tc>
        <w:tc>
          <w:tcPr>
            <w:tcW w:w="1490" w:type="dxa"/>
            <w:vAlign w:val="center"/>
          </w:tcPr>
          <w:p w14:paraId="18DF0D3F">
            <w:pPr>
              <w:pStyle w:val="110"/>
              <w:numPr>
                <w:ilvl w:val="0"/>
                <w:numId w:val="0"/>
              </w:numPr>
              <w:rPr>
                <w:rFonts w:ascii="Times New Roman" w:eastAsia="宋体"/>
                <w:sz w:val="18"/>
                <w:szCs w:val="18"/>
              </w:rPr>
            </w:pPr>
            <w:r>
              <w:rPr>
                <w:rFonts w:ascii="Times New Roman" w:eastAsia="宋体"/>
                <w:position w:val="-14"/>
                <w:sz w:val="18"/>
                <w:szCs w:val="18"/>
              </w:rPr>
              <w:object>
                <v:shape id="_x0000_i1049" o:spt="75" type="#_x0000_t75" style="height:15.75pt;width:61.5pt;" o:ole="t" filled="f" o:preferrelative="t" stroked="f" coordsize="21600,21600">
                  <v:path/>
                  <v:fill on="f" focussize="0,0"/>
                  <v:stroke on="f" joinstyle="miter"/>
                  <v:imagedata r:id="rId62" o:title=""/>
                  <o:lock v:ext="edit" aspectratio="t"/>
                  <w10:wrap type="none"/>
                  <w10:anchorlock/>
                </v:shape>
                <o:OLEObject Type="Embed" ProgID="Equation.3" ShapeID="_x0000_i1049" DrawAspect="Content" ObjectID="_1468075749" r:id="rId61">
                  <o:LockedField>false</o:LockedField>
                </o:OLEObject>
              </w:object>
            </w:r>
          </w:p>
        </w:tc>
        <w:tc>
          <w:tcPr>
            <w:tcW w:w="1417" w:type="dxa"/>
            <w:vAlign w:val="center"/>
          </w:tcPr>
          <w:p w14:paraId="400BDFB0">
            <w:pPr>
              <w:pStyle w:val="110"/>
              <w:numPr>
                <w:ilvl w:val="0"/>
                <w:numId w:val="0"/>
              </w:numPr>
              <w:rPr>
                <w:rFonts w:ascii="Times New Roman" w:eastAsia="宋体"/>
                <w:sz w:val="18"/>
                <w:szCs w:val="18"/>
              </w:rPr>
            </w:pPr>
            <w:r>
              <w:rPr>
                <w:rFonts w:ascii="Times New Roman" w:eastAsia="宋体"/>
                <w:position w:val="-10"/>
                <w:sz w:val="18"/>
                <w:szCs w:val="18"/>
              </w:rPr>
              <w:object>
                <v:shape id="_x0000_i1050" o:spt="75" type="#_x0000_t75" style="height:11.25pt;width:21pt;" o:ole="t" filled="f" o:preferrelative="t" stroked="f" coordsize="21600,21600">
                  <v:path/>
                  <v:fill on="f" focussize="0,0"/>
                  <v:stroke on="f" joinstyle="miter"/>
                  <v:imagedata r:id="rId64" o:title=""/>
                  <o:lock v:ext="edit" aspectratio="t"/>
                  <w10:wrap type="none"/>
                  <w10:anchorlock/>
                </v:shape>
                <o:OLEObject Type="Embed" ProgID="Equation.3" ShapeID="_x0000_i1050" DrawAspect="Content" ObjectID="_1468075750" r:id="rId63">
                  <o:LockedField>false</o:LockedField>
                </o:OLEObject>
              </w:object>
            </w:r>
          </w:p>
        </w:tc>
        <w:tc>
          <w:tcPr>
            <w:tcW w:w="1593" w:type="dxa"/>
            <w:vAlign w:val="center"/>
          </w:tcPr>
          <w:p w14:paraId="22912673">
            <w:pPr>
              <w:pStyle w:val="110"/>
              <w:numPr>
                <w:ilvl w:val="0"/>
                <w:numId w:val="0"/>
              </w:numPr>
              <w:rPr>
                <w:rFonts w:ascii="Times New Roman" w:eastAsia="宋体"/>
                <w:sz w:val="18"/>
                <w:szCs w:val="18"/>
              </w:rPr>
            </w:pPr>
            <w:r>
              <w:rPr>
                <w:rFonts w:ascii="Times New Roman" w:eastAsia="宋体"/>
                <w:sz w:val="18"/>
                <w:szCs w:val="18"/>
              </w:rPr>
              <w:t>Pasquill-Gifford</w:t>
            </w:r>
            <w:r>
              <w:rPr>
                <w:rFonts w:hint="eastAsia" w:ascii="Times New Roman" w:eastAsia="宋体"/>
                <w:sz w:val="18"/>
                <w:szCs w:val="18"/>
              </w:rPr>
              <w:t>稳定度等级</w:t>
            </w:r>
          </w:p>
        </w:tc>
        <w:tc>
          <w:tcPr>
            <w:tcW w:w="1384" w:type="dxa"/>
            <w:vAlign w:val="center"/>
          </w:tcPr>
          <w:p w14:paraId="357CD681">
            <w:pPr>
              <w:pStyle w:val="110"/>
              <w:numPr>
                <w:ilvl w:val="0"/>
                <w:numId w:val="0"/>
              </w:numPr>
              <w:rPr>
                <w:rFonts w:ascii="Times New Roman" w:eastAsia="宋体"/>
                <w:sz w:val="18"/>
                <w:szCs w:val="18"/>
              </w:rPr>
            </w:pPr>
            <w:r>
              <w:rPr>
                <w:rFonts w:ascii="Times New Roman" w:eastAsia="宋体"/>
                <w:position w:val="-14"/>
                <w:sz w:val="18"/>
                <w:szCs w:val="18"/>
              </w:rPr>
              <w:object>
                <v:shape id="_x0000_i1051" o:spt="75" type="#_x0000_t75" style="height:15.75pt;width:61.5pt;" o:ole="t" filled="f" o:preferrelative="t" stroked="f" coordsize="21600,21600">
                  <v:path/>
                  <v:fill on="f" focussize="0,0"/>
                  <v:stroke on="f" joinstyle="miter"/>
                  <v:imagedata r:id="rId62" o:title=""/>
                  <o:lock v:ext="edit" aspectratio="t"/>
                  <w10:wrap type="none"/>
                  <w10:anchorlock/>
                </v:shape>
                <o:OLEObject Type="Embed" ProgID="Equation.3" ShapeID="_x0000_i1051" DrawAspect="Content" ObjectID="_1468075751" r:id="rId65">
                  <o:LockedField>false</o:LockedField>
                </o:OLEObject>
              </w:object>
            </w:r>
          </w:p>
        </w:tc>
        <w:tc>
          <w:tcPr>
            <w:tcW w:w="1316" w:type="dxa"/>
            <w:vAlign w:val="center"/>
          </w:tcPr>
          <w:p w14:paraId="113DECB5">
            <w:pPr>
              <w:pStyle w:val="110"/>
              <w:numPr>
                <w:ilvl w:val="0"/>
                <w:numId w:val="0"/>
              </w:numPr>
              <w:rPr>
                <w:rFonts w:ascii="Times New Roman" w:eastAsia="宋体"/>
                <w:sz w:val="18"/>
                <w:szCs w:val="18"/>
              </w:rPr>
            </w:pPr>
            <w:r>
              <w:rPr>
                <w:rFonts w:ascii="Times New Roman" w:eastAsia="宋体"/>
                <w:position w:val="-10"/>
                <w:sz w:val="18"/>
                <w:szCs w:val="18"/>
              </w:rPr>
              <w:object>
                <v:shape id="_x0000_i1052" o:spt="75" type="#_x0000_t75" style="height:11.25pt;width:21pt;" o:ole="t" filled="f" o:preferrelative="t" stroked="f" coordsize="21600,21600">
                  <v:path/>
                  <v:fill on="f" focussize="0,0"/>
                  <v:stroke on="f" joinstyle="miter"/>
                  <v:imagedata r:id="rId67" o:title=""/>
                  <o:lock v:ext="edit" aspectratio="t"/>
                  <w10:wrap type="none"/>
                  <w10:anchorlock/>
                </v:shape>
                <o:OLEObject Type="Embed" ProgID="Equation.3" ShapeID="_x0000_i1052" DrawAspect="Content" ObjectID="_1468075752" r:id="rId66">
                  <o:LockedField>false</o:LockedField>
                </o:OLEObject>
              </w:object>
            </w:r>
          </w:p>
        </w:tc>
      </w:tr>
      <w:tr w14:paraId="6FDE1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671" w:type="dxa"/>
          </w:tcPr>
          <w:p w14:paraId="35804A34">
            <w:pPr>
              <w:pStyle w:val="110"/>
              <w:numPr>
                <w:ilvl w:val="0"/>
                <w:numId w:val="0"/>
              </w:numPr>
              <w:spacing w:line="312" w:lineRule="auto"/>
              <w:rPr>
                <w:rFonts w:ascii="Times New Roman" w:eastAsia="宋体"/>
                <w:sz w:val="18"/>
                <w:szCs w:val="18"/>
              </w:rPr>
            </w:pPr>
            <w:r>
              <w:rPr>
                <w:rFonts w:ascii="Times New Roman" w:eastAsia="宋体"/>
                <w:sz w:val="18"/>
                <w:szCs w:val="18"/>
              </w:rPr>
              <w:t>A</w:t>
            </w:r>
          </w:p>
          <w:p w14:paraId="15AB7B1E">
            <w:pPr>
              <w:pStyle w:val="110"/>
              <w:numPr>
                <w:ilvl w:val="0"/>
                <w:numId w:val="0"/>
              </w:numPr>
              <w:spacing w:line="312" w:lineRule="auto"/>
              <w:rPr>
                <w:rFonts w:ascii="Times New Roman" w:eastAsia="宋体"/>
                <w:sz w:val="18"/>
                <w:szCs w:val="18"/>
              </w:rPr>
            </w:pPr>
            <w:r>
              <w:rPr>
                <w:rFonts w:ascii="Times New Roman" w:eastAsia="宋体"/>
                <w:sz w:val="18"/>
                <w:szCs w:val="18"/>
              </w:rPr>
              <w:t>B</w:t>
            </w:r>
          </w:p>
          <w:p w14:paraId="6E9EF9A6">
            <w:pPr>
              <w:pStyle w:val="110"/>
              <w:numPr>
                <w:ilvl w:val="0"/>
                <w:numId w:val="0"/>
              </w:numPr>
              <w:spacing w:line="312" w:lineRule="auto"/>
              <w:rPr>
                <w:rFonts w:ascii="Times New Roman" w:eastAsia="宋体"/>
                <w:sz w:val="18"/>
                <w:szCs w:val="18"/>
              </w:rPr>
            </w:pPr>
            <w:r>
              <w:rPr>
                <w:rFonts w:ascii="Times New Roman" w:eastAsia="宋体"/>
                <w:sz w:val="18"/>
                <w:szCs w:val="18"/>
              </w:rPr>
              <w:t>C</w:t>
            </w:r>
          </w:p>
        </w:tc>
        <w:tc>
          <w:tcPr>
            <w:tcW w:w="1490" w:type="dxa"/>
          </w:tcPr>
          <w:p w14:paraId="63DC47A5">
            <w:pPr>
              <w:pStyle w:val="110"/>
              <w:numPr>
                <w:ilvl w:val="0"/>
                <w:numId w:val="0"/>
              </w:numPr>
              <w:spacing w:line="312" w:lineRule="auto"/>
              <w:rPr>
                <w:rFonts w:ascii="Times New Roman" w:eastAsia="宋体"/>
                <w:sz w:val="18"/>
                <w:szCs w:val="18"/>
              </w:rPr>
            </w:pPr>
            <w:r>
              <w:rPr>
                <w:rFonts w:ascii="Times New Roman" w:eastAsia="宋体"/>
                <w:sz w:val="18"/>
                <w:szCs w:val="18"/>
              </w:rPr>
              <w:t>0.18x</w:t>
            </w:r>
            <w:r>
              <w:rPr>
                <w:rFonts w:ascii="Times New Roman" w:eastAsia="宋体"/>
                <w:sz w:val="18"/>
                <w:szCs w:val="18"/>
                <w:vertAlign w:val="superscript"/>
              </w:rPr>
              <w:t>0.92</w:t>
            </w:r>
          </w:p>
          <w:p w14:paraId="14B565FA">
            <w:pPr>
              <w:pStyle w:val="110"/>
              <w:numPr>
                <w:ilvl w:val="0"/>
                <w:numId w:val="0"/>
              </w:numPr>
              <w:spacing w:line="312" w:lineRule="auto"/>
              <w:rPr>
                <w:rFonts w:ascii="Times New Roman" w:eastAsia="宋体"/>
                <w:sz w:val="18"/>
                <w:szCs w:val="18"/>
              </w:rPr>
            </w:pPr>
            <w:r>
              <w:rPr>
                <w:rFonts w:ascii="Times New Roman" w:eastAsia="宋体"/>
                <w:sz w:val="18"/>
                <w:szCs w:val="18"/>
              </w:rPr>
              <w:t>0.14x</w:t>
            </w:r>
            <w:r>
              <w:rPr>
                <w:rFonts w:ascii="Times New Roman" w:eastAsia="宋体"/>
                <w:sz w:val="18"/>
                <w:szCs w:val="18"/>
                <w:vertAlign w:val="superscript"/>
              </w:rPr>
              <w:t>0.92</w:t>
            </w:r>
          </w:p>
          <w:p w14:paraId="0E15E3EB">
            <w:pPr>
              <w:pStyle w:val="110"/>
              <w:numPr>
                <w:ilvl w:val="0"/>
                <w:numId w:val="0"/>
              </w:numPr>
              <w:spacing w:line="312" w:lineRule="auto"/>
              <w:rPr>
                <w:rFonts w:ascii="Times New Roman" w:eastAsia="宋体"/>
                <w:sz w:val="18"/>
                <w:szCs w:val="18"/>
              </w:rPr>
            </w:pPr>
            <w:r>
              <w:rPr>
                <w:rFonts w:ascii="Times New Roman" w:eastAsia="宋体"/>
                <w:sz w:val="18"/>
                <w:szCs w:val="18"/>
              </w:rPr>
              <w:t>0.10x</w:t>
            </w:r>
            <w:r>
              <w:rPr>
                <w:rFonts w:ascii="Times New Roman" w:eastAsia="宋体"/>
                <w:sz w:val="18"/>
                <w:szCs w:val="18"/>
                <w:vertAlign w:val="superscript"/>
              </w:rPr>
              <w:t>0.92</w:t>
            </w:r>
          </w:p>
        </w:tc>
        <w:tc>
          <w:tcPr>
            <w:tcW w:w="1417" w:type="dxa"/>
          </w:tcPr>
          <w:p w14:paraId="78D55568">
            <w:pPr>
              <w:pStyle w:val="110"/>
              <w:numPr>
                <w:ilvl w:val="0"/>
                <w:numId w:val="0"/>
              </w:numPr>
              <w:spacing w:line="312" w:lineRule="auto"/>
              <w:rPr>
                <w:rFonts w:ascii="Times New Roman" w:eastAsia="宋体"/>
                <w:sz w:val="18"/>
                <w:szCs w:val="18"/>
              </w:rPr>
            </w:pPr>
            <w:r>
              <w:rPr>
                <w:rFonts w:ascii="Times New Roman" w:eastAsia="宋体"/>
                <w:sz w:val="18"/>
                <w:szCs w:val="18"/>
              </w:rPr>
              <w:t>0.60x</w:t>
            </w:r>
            <w:r>
              <w:rPr>
                <w:rFonts w:ascii="Times New Roman" w:eastAsia="宋体"/>
                <w:sz w:val="18"/>
                <w:szCs w:val="18"/>
                <w:vertAlign w:val="superscript"/>
              </w:rPr>
              <w:t>0.75</w:t>
            </w:r>
          </w:p>
          <w:p w14:paraId="2B3A68F9">
            <w:pPr>
              <w:pStyle w:val="110"/>
              <w:numPr>
                <w:ilvl w:val="0"/>
                <w:numId w:val="0"/>
              </w:numPr>
              <w:spacing w:line="312" w:lineRule="auto"/>
              <w:rPr>
                <w:rFonts w:ascii="Times New Roman" w:eastAsia="宋体"/>
                <w:sz w:val="18"/>
                <w:szCs w:val="18"/>
              </w:rPr>
            </w:pPr>
            <w:r>
              <w:rPr>
                <w:rFonts w:ascii="Times New Roman" w:eastAsia="宋体"/>
                <w:sz w:val="18"/>
                <w:szCs w:val="18"/>
              </w:rPr>
              <w:t>0.53x</w:t>
            </w:r>
            <w:r>
              <w:rPr>
                <w:rFonts w:ascii="Times New Roman" w:eastAsia="宋体"/>
                <w:sz w:val="18"/>
                <w:szCs w:val="18"/>
                <w:vertAlign w:val="superscript"/>
              </w:rPr>
              <w:t>0.73</w:t>
            </w:r>
          </w:p>
          <w:p w14:paraId="7AD9EB66">
            <w:pPr>
              <w:pStyle w:val="110"/>
              <w:numPr>
                <w:ilvl w:val="0"/>
                <w:numId w:val="0"/>
              </w:numPr>
              <w:spacing w:line="312" w:lineRule="auto"/>
              <w:rPr>
                <w:rFonts w:ascii="Times New Roman" w:eastAsia="宋体"/>
                <w:sz w:val="18"/>
                <w:szCs w:val="18"/>
              </w:rPr>
            </w:pPr>
            <w:r>
              <w:rPr>
                <w:rFonts w:ascii="Times New Roman" w:eastAsia="宋体"/>
                <w:sz w:val="18"/>
                <w:szCs w:val="18"/>
              </w:rPr>
              <w:t>0.34x</w:t>
            </w:r>
            <w:r>
              <w:rPr>
                <w:rFonts w:ascii="Times New Roman" w:eastAsia="宋体"/>
                <w:sz w:val="18"/>
                <w:szCs w:val="18"/>
                <w:vertAlign w:val="superscript"/>
              </w:rPr>
              <w:t>0.71</w:t>
            </w:r>
          </w:p>
        </w:tc>
        <w:tc>
          <w:tcPr>
            <w:tcW w:w="1593" w:type="dxa"/>
          </w:tcPr>
          <w:p w14:paraId="1528AB2F">
            <w:pPr>
              <w:pStyle w:val="110"/>
              <w:numPr>
                <w:ilvl w:val="0"/>
                <w:numId w:val="0"/>
              </w:numPr>
              <w:spacing w:line="312" w:lineRule="auto"/>
              <w:rPr>
                <w:rFonts w:ascii="Times New Roman" w:eastAsia="宋体"/>
                <w:sz w:val="18"/>
                <w:szCs w:val="18"/>
              </w:rPr>
            </w:pPr>
            <w:r>
              <w:rPr>
                <w:rFonts w:ascii="Times New Roman" w:eastAsia="宋体"/>
                <w:sz w:val="18"/>
                <w:szCs w:val="18"/>
              </w:rPr>
              <w:t>D</w:t>
            </w:r>
          </w:p>
          <w:p w14:paraId="543BD8C1">
            <w:pPr>
              <w:pStyle w:val="110"/>
              <w:numPr>
                <w:ilvl w:val="0"/>
                <w:numId w:val="0"/>
              </w:numPr>
              <w:spacing w:line="312" w:lineRule="auto"/>
              <w:rPr>
                <w:rFonts w:ascii="Times New Roman" w:eastAsia="宋体"/>
                <w:sz w:val="18"/>
                <w:szCs w:val="18"/>
              </w:rPr>
            </w:pPr>
            <w:r>
              <w:rPr>
                <w:rFonts w:ascii="Times New Roman" w:eastAsia="宋体"/>
                <w:sz w:val="18"/>
                <w:szCs w:val="18"/>
              </w:rPr>
              <w:t>E</w:t>
            </w:r>
          </w:p>
          <w:p w14:paraId="16F7442D">
            <w:pPr>
              <w:pStyle w:val="110"/>
              <w:numPr>
                <w:ilvl w:val="0"/>
                <w:numId w:val="0"/>
              </w:numPr>
              <w:spacing w:line="312" w:lineRule="auto"/>
              <w:rPr>
                <w:rFonts w:ascii="Times New Roman" w:eastAsia="宋体"/>
                <w:sz w:val="18"/>
                <w:szCs w:val="18"/>
              </w:rPr>
            </w:pPr>
            <w:r>
              <w:rPr>
                <w:rFonts w:ascii="Times New Roman" w:eastAsia="宋体"/>
                <w:sz w:val="18"/>
                <w:szCs w:val="18"/>
              </w:rPr>
              <w:t>F</w:t>
            </w:r>
          </w:p>
        </w:tc>
        <w:tc>
          <w:tcPr>
            <w:tcW w:w="1384" w:type="dxa"/>
          </w:tcPr>
          <w:p w14:paraId="26FF2095">
            <w:pPr>
              <w:pStyle w:val="110"/>
              <w:numPr>
                <w:ilvl w:val="0"/>
                <w:numId w:val="0"/>
              </w:numPr>
              <w:spacing w:line="312" w:lineRule="auto"/>
              <w:rPr>
                <w:rFonts w:ascii="Times New Roman" w:eastAsia="宋体"/>
                <w:sz w:val="18"/>
                <w:szCs w:val="18"/>
              </w:rPr>
            </w:pPr>
            <w:r>
              <w:rPr>
                <w:rFonts w:ascii="Times New Roman" w:eastAsia="宋体"/>
                <w:sz w:val="18"/>
                <w:szCs w:val="18"/>
              </w:rPr>
              <w:t>0.06x</w:t>
            </w:r>
            <w:r>
              <w:rPr>
                <w:rFonts w:ascii="Times New Roman" w:eastAsia="宋体"/>
                <w:sz w:val="18"/>
                <w:szCs w:val="18"/>
                <w:vertAlign w:val="superscript"/>
              </w:rPr>
              <w:t>0.92</w:t>
            </w:r>
          </w:p>
          <w:p w14:paraId="2491AA61">
            <w:pPr>
              <w:pStyle w:val="110"/>
              <w:numPr>
                <w:ilvl w:val="0"/>
                <w:numId w:val="0"/>
              </w:numPr>
              <w:spacing w:line="312" w:lineRule="auto"/>
              <w:rPr>
                <w:rFonts w:ascii="Times New Roman" w:eastAsia="宋体"/>
                <w:sz w:val="18"/>
                <w:szCs w:val="18"/>
              </w:rPr>
            </w:pPr>
            <w:r>
              <w:rPr>
                <w:rFonts w:ascii="Times New Roman" w:eastAsia="宋体"/>
                <w:sz w:val="18"/>
                <w:szCs w:val="18"/>
              </w:rPr>
              <w:t>0.04x</w:t>
            </w:r>
            <w:r>
              <w:rPr>
                <w:rFonts w:ascii="Times New Roman" w:eastAsia="宋体"/>
                <w:sz w:val="18"/>
                <w:szCs w:val="18"/>
                <w:vertAlign w:val="superscript"/>
              </w:rPr>
              <w:t>0.92</w:t>
            </w:r>
          </w:p>
          <w:p w14:paraId="03421233">
            <w:pPr>
              <w:pStyle w:val="110"/>
              <w:numPr>
                <w:ilvl w:val="0"/>
                <w:numId w:val="0"/>
              </w:numPr>
              <w:spacing w:line="312" w:lineRule="auto"/>
              <w:rPr>
                <w:rFonts w:ascii="Times New Roman" w:eastAsia="宋体"/>
                <w:sz w:val="18"/>
                <w:szCs w:val="18"/>
              </w:rPr>
            </w:pPr>
            <w:r>
              <w:rPr>
                <w:rFonts w:ascii="Times New Roman" w:eastAsia="宋体"/>
                <w:sz w:val="18"/>
                <w:szCs w:val="18"/>
              </w:rPr>
              <w:t>0.02x</w:t>
            </w:r>
            <w:r>
              <w:rPr>
                <w:rFonts w:ascii="Times New Roman" w:eastAsia="宋体"/>
                <w:sz w:val="18"/>
                <w:szCs w:val="18"/>
                <w:vertAlign w:val="superscript"/>
              </w:rPr>
              <w:t>0.89</w:t>
            </w:r>
          </w:p>
        </w:tc>
        <w:tc>
          <w:tcPr>
            <w:tcW w:w="1316" w:type="dxa"/>
          </w:tcPr>
          <w:p w14:paraId="18C0E288">
            <w:pPr>
              <w:pStyle w:val="110"/>
              <w:numPr>
                <w:ilvl w:val="0"/>
                <w:numId w:val="0"/>
              </w:numPr>
              <w:spacing w:line="312" w:lineRule="auto"/>
              <w:rPr>
                <w:rFonts w:ascii="Times New Roman" w:eastAsia="宋体"/>
                <w:sz w:val="18"/>
                <w:szCs w:val="18"/>
              </w:rPr>
            </w:pPr>
            <w:r>
              <w:rPr>
                <w:rFonts w:ascii="Times New Roman" w:eastAsia="宋体"/>
                <w:sz w:val="18"/>
                <w:szCs w:val="18"/>
              </w:rPr>
              <w:t>0.15x</w:t>
            </w:r>
            <w:r>
              <w:rPr>
                <w:rFonts w:ascii="Times New Roman" w:eastAsia="宋体"/>
                <w:sz w:val="18"/>
                <w:szCs w:val="18"/>
                <w:vertAlign w:val="superscript"/>
              </w:rPr>
              <w:t>0.70</w:t>
            </w:r>
          </w:p>
          <w:p w14:paraId="3ABF3122">
            <w:pPr>
              <w:pStyle w:val="110"/>
              <w:numPr>
                <w:ilvl w:val="0"/>
                <w:numId w:val="0"/>
              </w:numPr>
              <w:spacing w:line="312" w:lineRule="auto"/>
              <w:rPr>
                <w:rFonts w:ascii="Times New Roman" w:eastAsia="宋体"/>
                <w:sz w:val="18"/>
                <w:szCs w:val="18"/>
              </w:rPr>
            </w:pPr>
            <w:r>
              <w:rPr>
                <w:rFonts w:ascii="Times New Roman" w:eastAsia="宋体"/>
                <w:sz w:val="18"/>
                <w:szCs w:val="18"/>
              </w:rPr>
              <w:t>0.10x</w:t>
            </w:r>
            <w:r>
              <w:rPr>
                <w:rFonts w:ascii="Times New Roman" w:eastAsia="宋体"/>
                <w:sz w:val="18"/>
                <w:szCs w:val="18"/>
                <w:vertAlign w:val="superscript"/>
              </w:rPr>
              <w:t>0.65</w:t>
            </w:r>
          </w:p>
          <w:p w14:paraId="53CCB8E5">
            <w:pPr>
              <w:pStyle w:val="110"/>
              <w:numPr>
                <w:ilvl w:val="0"/>
                <w:numId w:val="0"/>
              </w:numPr>
              <w:spacing w:line="312" w:lineRule="auto"/>
              <w:rPr>
                <w:rFonts w:ascii="Times New Roman" w:eastAsia="宋体"/>
                <w:sz w:val="18"/>
                <w:szCs w:val="18"/>
              </w:rPr>
            </w:pPr>
            <w:r>
              <w:rPr>
                <w:rFonts w:ascii="Times New Roman" w:eastAsia="宋体"/>
                <w:sz w:val="18"/>
                <w:szCs w:val="18"/>
              </w:rPr>
              <w:t>0.05x</w:t>
            </w:r>
            <w:r>
              <w:rPr>
                <w:rFonts w:ascii="Times New Roman" w:eastAsia="宋体"/>
                <w:sz w:val="18"/>
                <w:szCs w:val="18"/>
                <w:vertAlign w:val="superscript"/>
              </w:rPr>
              <w:t>0.61</w:t>
            </w:r>
          </w:p>
        </w:tc>
      </w:tr>
    </w:tbl>
    <w:p w14:paraId="36321888">
      <w:pPr>
        <w:spacing w:before="156" w:beforeLines="50" w:after="156" w:afterLines="50" w:line="240" w:lineRule="auto"/>
        <w:jc w:val="left"/>
        <w:textAlignment w:val="auto"/>
        <w:rPr>
          <w:rFonts w:hint="eastAsia" w:hAnsi="宋体"/>
          <w:kern w:val="2"/>
          <w:szCs w:val="32"/>
        </w:rPr>
      </w:pPr>
      <w:bookmarkStart w:id="195" w:name="_Toc242878143"/>
      <w:bookmarkStart w:id="196" w:name="_Toc242934164"/>
      <w:bookmarkStart w:id="197" w:name="_Toc242932972"/>
      <w:bookmarkStart w:id="198" w:name="_Toc242870303"/>
      <w:bookmarkStart w:id="199" w:name="_Toc242934045"/>
      <w:bookmarkStart w:id="200" w:name="_Toc310769358"/>
      <w:bookmarkStart w:id="201" w:name="_Toc247531522"/>
      <w:bookmarkStart w:id="202" w:name="_Toc257050836"/>
      <w:bookmarkStart w:id="203" w:name="_Toc257094843"/>
      <w:bookmarkStart w:id="204" w:name="_Toc296956171"/>
      <w:bookmarkStart w:id="205" w:name="_Toc286131456"/>
      <w:bookmarkStart w:id="206" w:name="_Toc286132443"/>
      <w:bookmarkStart w:id="207" w:name="_Toc310952760"/>
      <w:r>
        <w:rPr>
          <w:rFonts w:hint="eastAsia" w:ascii="黑体" w:hAnsi="黑体" w:eastAsia="黑体"/>
          <w:szCs w:val="21"/>
        </w:rPr>
        <w:t xml:space="preserve">B.5.1.6 </w:t>
      </w:r>
      <w:r>
        <w:rPr>
          <w:rFonts w:hint="eastAsia" w:hAnsi="宋体"/>
          <w:kern w:val="2"/>
          <w:szCs w:val="32"/>
        </w:rPr>
        <w:t xml:space="preserve"> 火灾</w:t>
      </w:r>
      <w:bookmarkEnd w:id="195"/>
      <w:bookmarkEnd w:id="196"/>
      <w:bookmarkEnd w:id="197"/>
      <w:bookmarkEnd w:id="198"/>
      <w:bookmarkEnd w:id="199"/>
      <w:r>
        <w:rPr>
          <w:rFonts w:hint="eastAsia" w:hAnsi="宋体"/>
          <w:kern w:val="2"/>
          <w:szCs w:val="32"/>
        </w:rPr>
        <w:t>和爆炸</w:t>
      </w:r>
      <w:bookmarkEnd w:id="200"/>
      <w:bookmarkEnd w:id="201"/>
      <w:bookmarkEnd w:id="202"/>
      <w:bookmarkEnd w:id="203"/>
      <w:bookmarkEnd w:id="204"/>
      <w:bookmarkEnd w:id="205"/>
      <w:bookmarkEnd w:id="206"/>
      <w:bookmarkEnd w:id="207"/>
    </w:p>
    <w:p w14:paraId="3AE3EE9A">
      <w:pPr>
        <w:spacing w:before="156" w:beforeLines="50" w:after="156" w:afterLines="50" w:line="240" w:lineRule="auto"/>
        <w:jc w:val="left"/>
        <w:textAlignment w:val="auto"/>
        <w:rPr>
          <w:rFonts w:hint="eastAsia" w:hAnsi="宋体"/>
          <w:kern w:val="2"/>
          <w:szCs w:val="32"/>
        </w:rPr>
      </w:pPr>
      <w:r>
        <w:rPr>
          <w:rFonts w:hint="eastAsia" w:hAnsi="宋体"/>
          <w:kern w:val="2"/>
          <w:szCs w:val="32"/>
        </w:rPr>
        <w:t>B.5.1.6.1  池火计算</w:t>
      </w:r>
    </w:p>
    <w:p w14:paraId="55455193">
      <w:pPr>
        <w:widowControl w:val="0"/>
        <w:spacing w:line="240" w:lineRule="auto"/>
        <w:ind w:firstLine="420" w:firstLineChars="200"/>
        <w:textAlignment w:val="auto"/>
        <w:rPr>
          <w:kern w:val="2"/>
          <w:szCs w:val="32"/>
        </w:rPr>
      </w:pPr>
      <w:r>
        <w:rPr>
          <w:rFonts w:hint="eastAsia"/>
          <w:kern w:val="2"/>
          <w:szCs w:val="32"/>
        </w:rPr>
        <w:t>池火火焰的几何尺寸及热辐射参数按如下步骤计算。</w:t>
      </w:r>
    </w:p>
    <w:p w14:paraId="5F57671E">
      <w:pPr>
        <w:widowControl w:val="0"/>
        <w:spacing w:line="240" w:lineRule="auto"/>
        <w:ind w:left="420"/>
        <w:textAlignment w:val="auto"/>
        <w:rPr>
          <w:kern w:val="2"/>
          <w:szCs w:val="32"/>
        </w:rPr>
      </w:pPr>
      <w:r>
        <w:rPr>
          <w:kern w:val="2"/>
          <w:szCs w:val="32"/>
        </w:rPr>
        <w:t>a</w:t>
      </w:r>
      <w:r>
        <w:rPr>
          <w:rFonts w:hint="eastAsia"/>
          <w:kern w:val="2"/>
          <w:szCs w:val="21"/>
        </w:rPr>
        <w:t>）</w:t>
      </w:r>
      <w:r>
        <w:rPr>
          <w:rFonts w:hint="eastAsia"/>
          <w:kern w:val="2"/>
          <w:szCs w:val="32"/>
        </w:rPr>
        <w:t>计算液池直径</w:t>
      </w:r>
    </w:p>
    <w:p w14:paraId="371BC743">
      <w:pPr>
        <w:widowControl w:val="0"/>
        <w:spacing w:line="240" w:lineRule="auto"/>
        <w:ind w:firstLine="420" w:firstLineChars="200"/>
        <w:textAlignment w:val="auto"/>
        <w:rPr>
          <w:kern w:val="2"/>
          <w:szCs w:val="32"/>
        </w:rPr>
      </w:pPr>
      <w:bookmarkStart w:id="208" w:name="OLE_LINK6"/>
      <w:r>
        <w:rPr>
          <w:rFonts w:hint="eastAsia"/>
          <w:kern w:val="2"/>
          <w:szCs w:val="32"/>
        </w:rPr>
        <w:t>对于输油管道，假定泄漏的液体无蒸发、并已充分蔓延、地面无渗透，根据泄漏的液体量和地面性质，最大的池面积可按式</w:t>
      </w:r>
      <w:r>
        <w:rPr>
          <w:rFonts w:hint="eastAsia"/>
          <w:kern w:val="2"/>
          <w:szCs w:val="21"/>
          <w:lang w:val="es-ES"/>
        </w:rPr>
        <w:t>（</w:t>
      </w:r>
      <w:r>
        <w:rPr>
          <w:rFonts w:hint="eastAsia"/>
          <w:kern w:val="2"/>
          <w:szCs w:val="21"/>
        </w:rPr>
        <w:t>B</w:t>
      </w:r>
      <w:r>
        <w:rPr>
          <w:kern w:val="2"/>
          <w:szCs w:val="21"/>
          <w:lang w:val="es-ES"/>
        </w:rPr>
        <w:t>.</w:t>
      </w:r>
      <w:r>
        <w:rPr>
          <w:rFonts w:hint="eastAsia"/>
          <w:kern w:val="2"/>
          <w:szCs w:val="21"/>
        </w:rPr>
        <w:t>12</w:t>
      </w:r>
      <w:r>
        <w:rPr>
          <w:rFonts w:hint="eastAsia"/>
          <w:kern w:val="2"/>
          <w:szCs w:val="21"/>
          <w:lang w:val="es-ES"/>
        </w:rPr>
        <w:t>）</w:t>
      </w:r>
      <w:r>
        <w:rPr>
          <w:rFonts w:hint="eastAsia"/>
          <w:kern w:val="2"/>
          <w:szCs w:val="32"/>
        </w:rPr>
        <w:t>计算：</w:t>
      </w:r>
    </w:p>
    <w:p w14:paraId="3FB81541">
      <w:pPr>
        <w:pStyle w:val="163"/>
        <w:tabs>
          <w:tab w:val="right" w:leader="middleDot" w:pos="9450"/>
          <w:tab w:val="clear" w:pos="9660"/>
        </w:tabs>
      </w:pPr>
      <w:r>
        <w:tab/>
      </w:r>
      <w:r>
        <w:object>
          <v:shape id="_x0000_i1053" o:spt="75" type="#_x0000_t75" style="height:15.75pt;width:80.25pt;" o:ole="t" filled="f" o:preferrelative="t" stroked="f" coordsize="21600,21600">
            <v:path/>
            <v:fill on="f" focussize="0,0"/>
            <v:stroke on="f" joinstyle="miter"/>
            <v:imagedata r:id="rId69" o:title=""/>
            <o:lock v:ext="edit" aspectratio="f"/>
            <w10:wrap type="none"/>
            <w10:anchorlock/>
          </v:shape>
          <o:OLEObject Type="Embed" ProgID="Equation.3" ShapeID="_x0000_i1053" DrawAspect="Content" ObjectID="_1468075753" r:id="rId68">
            <o:LockedField>false</o:LockedField>
          </o:OLEObject>
        </w:object>
      </w:r>
      <w:r>
        <w:tab/>
      </w:r>
      <w:r>
        <w:rPr>
          <w:rFonts w:hint="eastAsia"/>
        </w:rPr>
        <w:t>（</w:t>
      </w:r>
      <w:r>
        <w:rPr>
          <w:rFonts w:hint="eastAsia"/>
          <w:lang w:val="en-US"/>
        </w:rPr>
        <w:t>B.12</w:t>
      </w:r>
      <w:r>
        <w:rPr>
          <w:rFonts w:hint="eastAsia"/>
        </w:rPr>
        <w:t>）</w:t>
      </w:r>
    </w:p>
    <w:p w14:paraId="14143622">
      <w:pPr>
        <w:widowControl w:val="0"/>
        <w:spacing w:line="240" w:lineRule="auto"/>
        <w:ind w:firstLine="420" w:firstLineChars="200"/>
        <w:textAlignment w:val="auto"/>
        <w:rPr>
          <w:kern w:val="2"/>
          <w:szCs w:val="32"/>
        </w:rPr>
      </w:pPr>
      <w:r>
        <w:rPr>
          <w:rFonts w:hint="eastAsia"/>
          <w:kern w:val="2"/>
          <w:szCs w:val="32"/>
        </w:rPr>
        <w:t>式中：</w:t>
      </w:r>
    </w:p>
    <w:p w14:paraId="666D6FD2">
      <w:pPr>
        <w:widowControl w:val="0"/>
        <w:spacing w:line="240" w:lineRule="auto"/>
        <w:ind w:firstLine="420" w:firstLineChars="200"/>
        <w:textAlignment w:val="auto"/>
        <w:rPr>
          <w:kern w:val="2"/>
          <w:szCs w:val="32"/>
        </w:rPr>
      </w:pPr>
      <w:r>
        <w:rPr>
          <w:i/>
          <w:kern w:val="2"/>
          <w:szCs w:val="32"/>
        </w:rPr>
        <w:t>W</w:t>
      </w:r>
      <w:r>
        <w:rPr>
          <w:kern w:val="2"/>
          <w:szCs w:val="32"/>
        </w:rPr>
        <w:t>——</w:t>
      </w:r>
      <w:r>
        <w:rPr>
          <w:rFonts w:hint="eastAsia"/>
          <w:kern w:val="2"/>
          <w:szCs w:val="32"/>
        </w:rPr>
        <w:t>泄漏液体的质量，单位为千克</w:t>
      </w:r>
      <w:r>
        <w:rPr>
          <w:kern w:val="2"/>
          <w:szCs w:val="32"/>
        </w:rPr>
        <w:t>（kg）</w:t>
      </w:r>
      <w:r>
        <w:rPr>
          <w:rFonts w:hint="eastAsia"/>
          <w:kern w:val="2"/>
          <w:szCs w:val="32"/>
        </w:rPr>
        <w:t>；</w:t>
      </w:r>
    </w:p>
    <w:p w14:paraId="0F67B158">
      <w:pPr>
        <w:widowControl w:val="0"/>
        <w:tabs>
          <w:tab w:val="left" w:pos="720"/>
        </w:tabs>
        <w:spacing w:line="240" w:lineRule="auto"/>
        <w:ind w:firstLine="420" w:firstLineChars="200"/>
        <w:textAlignment w:val="auto"/>
        <w:rPr>
          <w:kern w:val="2"/>
          <w:szCs w:val="32"/>
        </w:rPr>
      </w:pPr>
      <w:r>
        <w:rPr>
          <w:kern w:val="2"/>
          <w:szCs w:val="32"/>
        </w:rPr>
        <w:t>H</w:t>
      </w:r>
      <w:r>
        <w:rPr>
          <w:kern w:val="2"/>
          <w:szCs w:val="32"/>
          <w:vertAlign w:val="subscript"/>
        </w:rPr>
        <w:t>min</w:t>
      </w:r>
      <w:r>
        <w:rPr>
          <w:kern w:val="2"/>
          <w:szCs w:val="32"/>
        </w:rPr>
        <w:t>——</w:t>
      </w:r>
      <w:r>
        <w:rPr>
          <w:rFonts w:hint="eastAsia"/>
          <w:kern w:val="2"/>
          <w:szCs w:val="32"/>
        </w:rPr>
        <w:t>最小物料层厚度，单位为米</w:t>
      </w:r>
      <w:r>
        <w:rPr>
          <w:kern w:val="2"/>
          <w:szCs w:val="32"/>
        </w:rPr>
        <w:t>（m）</w:t>
      </w:r>
      <w:r>
        <w:rPr>
          <w:rFonts w:hint="eastAsia"/>
          <w:kern w:val="2"/>
          <w:szCs w:val="32"/>
        </w:rPr>
        <w:t>；</w:t>
      </w:r>
    </w:p>
    <w:p w14:paraId="180B3F95">
      <w:pPr>
        <w:widowControl w:val="0"/>
        <w:tabs>
          <w:tab w:val="left" w:pos="720"/>
        </w:tabs>
        <w:spacing w:line="240" w:lineRule="auto"/>
        <w:ind w:firstLine="420" w:firstLineChars="200"/>
        <w:textAlignment w:val="auto"/>
        <w:rPr>
          <w:kern w:val="2"/>
          <w:szCs w:val="32"/>
        </w:rPr>
      </w:pPr>
      <w:r>
        <w:rPr>
          <w:kern w:val="2"/>
          <w:position w:val="-10"/>
          <w:szCs w:val="32"/>
        </w:rPr>
        <w:object>
          <v:shape id="_x0000_i1054" o:spt="75" type="#_x0000_t75" style="height:12pt;width:11.25pt;" o:ole="t" fillcolor="#000005" filled="f" o:preferrelative="t" stroked="f" coordsize="21600,21600">
            <v:path/>
            <v:fill on="f" focussize="0,0"/>
            <v:stroke on="f" joinstyle="miter"/>
            <v:imagedata r:id="rId71" o:title=""/>
            <o:lock v:ext="edit" aspectratio="f"/>
            <w10:wrap type="none"/>
            <w10:anchorlock/>
          </v:shape>
          <o:OLEObject Type="Embed" ProgID="Equation.3" ShapeID="_x0000_i1054" DrawAspect="Content" ObjectID="_1468075754" r:id="rId70">
            <o:LockedField>false</o:LockedField>
          </o:OLEObject>
        </w:object>
      </w:r>
      <w:r>
        <w:rPr>
          <w:kern w:val="2"/>
          <w:szCs w:val="32"/>
        </w:rPr>
        <w:t>——</w:t>
      </w:r>
      <w:r>
        <w:rPr>
          <w:rFonts w:hint="eastAsia"/>
          <w:kern w:val="2"/>
          <w:szCs w:val="32"/>
        </w:rPr>
        <w:t>液体的密度，单位为千克</w:t>
      </w:r>
      <w:r>
        <w:rPr>
          <w:kern w:val="2"/>
          <w:szCs w:val="32"/>
        </w:rPr>
        <w:t>每立方米（kg/m</w:t>
      </w:r>
      <w:r>
        <w:rPr>
          <w:kern w:val="2"/>
          <w:szCs w:val="32"/>
          <w:vertAlign w:val="superscript"/>
        </w:rPr>
        <w:t>3</w:t>
      </w:r>
      <w:r>
        <w:rPr>
          <w:kern w:val="2"/>
          <w:szCs w:val="32"/>
        </w:rPr>
        <w:t>）</w:t>
      </w:r>
      <w:r>
        <w:rPr>
          <w:rFonts w:hint="eastAsia"/>
          <w:kern w:val="2"/>
          <w:szCs w:val="32"/>
        </w:rPr>
        <w:t>。</w:t>
      </w:r>
    </w:p>
    <w:p w14:paraId="0292FCF7">
      <w:pPr>
        <w:widowControl w:val="0"/>
        <w:spacing w:line="240" w:lineRule="auto"/>
        <w:ind w:firstLine="420" w:firstLineChars="200"/>
        <w:textAlignment w:val="auto"/>
        <w:rPr>
          <w:kern w:val="2"/>
          <w:szCs w:val="24"/>
        </w:rPr>
      </w:pPr>
      <w:r>
        <w:rPr>
          <w:rFonts w:hint="eastAsia"/>
          <w:kern w:val="2"/>
          <w:szCs w:val="24"/>
        </w:rPr>
        <w:t>最小物料层与地面性质对应关系见表B</w:t>
      </w:r>
      <w:r>
        <w:rPr>
          <w:kern w:val="2"/>
          <w:szCs w:val="24"/>
        </w:rPr>
        <w:t>.</w:t>
      </w:r>
      <w:r>
        <w:rPr>
          <w:rFonts w:hint="eastAsia"/>
          <w:kern w:val="2"/>
          <w:szCs w:val="24"/>
        </w:rPr>
        <w:t>8。</w:t>
      </w:r>
      <w:bookmarkEnd w:id="208"/>
      <w:bookmarkStart w:id="209" w:name="_Toc296956172"/>
    </w:p>
    <w:p w14:paraId="5BFF4E4B">
      <w:pPr>
        <w:widowControl w:val="0"/>
        <w:spacing w:before="156" w:beforeLines="50" w:after="156" w:afterLines="50"/>
        <w:jc w:val="center"/>
        <w:rPr>
          <w:rFonts w:hint="eastAsia" w:ascii="黑体" w:hAnsi="黑体" w:eastAsia="黑体"/>
          <w:kern w:val="2"/>
          <w:szCs w:val="24"/>
        </w:rPr>
      </w:pPr>
      <w:bookmarkStart w:id="210" w:name="OLE_LINK7"/>
      <w:r>
        <w:rPr>
          <w:rFonts w:hint="eastAsia" w:ascii="黑体" w:hAnsi="黑体" w:eastAsia="黑体"/>
          <w:kern w:val="2"/>
          <w:szCs w:val="24"/>
        </w:rPr>
        <w:t>表 B</w:t>
      </w:r>
      <w:r>
        <w:rPr>
          <w:rFonts w:ascii="黑体" w:hAnsi="黑体" w:eastAsia="黑体"/>
          <w:kern w:val="2"/>
          <w:szCs w:val="24"/>
        </w:rPr>
        <w:t>.</w:t>
      </w:r>
      <w:r>
        <w:rPr>
          <w:rFonts w:hint="eastAsia" w:ascii="黑体" w:hAnsi="黑体" w:eastAsia="黑体"/>
          <w:kern w:val="2"/>
          <w:szCs w:val="24"/>
        </w:rPr>
        <w:t>8</w:t>
      </w:r>
      <w:r>
        <w:rPr>
          <w:rFonts w:ascii="黑体" w:hAnsi="黑体" w:eastAsia="黑体"/>
          <w:kern w:val="2"/>
          <w:szCs w:val="24"/>
        </w:rPr>
        <w:t xml:space="preserve">  </w:t>
      </w:r>
      <w:r>
        <w:rPr>
          <w:rFonts w:hint="eastAsia" w:ascii="黑体" w:hAnsi="黑体" w:eastAsia="黑体"/>
          <w:kern w:val="2"/>
          <w:szCs w:val="24"/>
        </w:rPr>
        <w:t>不同性质地面物料层厚度</w:t>
      </w:r>
      <w:bookmarkEnd w:id="209"/>
    </w:p>
    <w:p w14:paraId="6C6B86C9">
      <w:pPr>
        <w:widowControl w:val="0"/>
        <w:spacing w:line="240" w:lineRule="auto"/>
        <w:jc w:val="right"/>
        <w:textAlignment w:val="auto"/>
        <w:rPr>
          <w:rFonts w:ascii="宋体"/>
          <w:kern w:val="2"/>
          <w:sz w:val="18"/>
          <w:szCs w:val="18"/>
        </w:rPr>
      </w:pPr>
      <w:r>
        <w:rPr>
          <w:rFonts w:hint="eastAsia" w:ascii="宋体" w:hAnsi="宋体"/>
          <w:kern w:val="2"/>
          <w:sz w:val="18"/>
          <w:szCs w:val="18"/>
        </w:rPr>
        <w:t>单位为米</w:t>
      </w:r>
    </w:p>
    <w:tbl>
      <w:tblPr>
        <w:tblStyle w:val="36"/>
        <w:tblW w:w="93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50"/>
        <w:gridCol w:w="4895"/>
      </w:tblGrid>
      <w:tr w14:paraId="7C51F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4450" w:type="dxa"/>
            <w:vAlign w:val="center"/>
          </w:tcPr>
          <w:p w14:paraId="741EC14E">
            <w:pPr>
              <w:widowControl w:val="0"/>
              <w:adjustRightInd w:val="0"/>
              <w:snapToGrid w:val="0"/>
              <w:spacing w:before="62" w:beforeLines="20" w:line="240" w:lineRule="auto"/>
              <w:jc w:val="center"/>
              <w:textAlignment w:val="auto"/>
              <w:rPr>
                <w:kern w:val="2"/>
                <w:sz w:val="18"/>
                <w:szCs w:val="32"/>
              </w:rPr>
            </w:pPr>
            <w:r>
              <w:rPr>
                <w:rFonts w:hint="eastAsia"/>
                <w:kern w:val="2"/>
                <w:sz w:val="18"/>
                <w:szCs w:val="32"/>
              </w:rPr>
              <w:t>地面性质</w:t>
            </w:r>
          </w:p>
        </w:tc>
        <w:tc>
          <w:tcPr>
            <w:tcW w:w="4895" w:type="dxa"/>
            <w:vAlign w:val="center"/>
          </w:tcPr>
          <w:p w14:paraId="5AEAC9F1">
            <w:pPr>
              <w:widowControl w:val="0"/>
              <w:adjustRightInd w:val="0"/>
              <w:snapToGrid w:val="0"/>
              <w:spacing w:before="62" w:beforeLines="20" w:line="240" w:lineRule="auto"/>
              <w:jc w:val="center"/>
              <w:textAlignment w:val="auto"/>
              <w:rPr>
                <w:kern w:val="2"/>
                <w:sz w:val="18"/>
                <w:szCs w:val="32"/>
              </w:rPr>
            </w:pPr>
            <w:r>
              <w:rPr>
                <w:rFonts w:hint="eastAsia"/>
                <w:kern w:val="2"/>
                <w:sz w:val="18"/>
                <w:szCs w:val="32"/>
              </w:rPr>
              <w:t>最小物料层厚度</w:t>
            </w:r>
          </w:p>
        </w:tc>
      </w:tr>
      <w:tr w14:paraId="7E225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4450" w:type="dxa"/>
            <w:vAlign w:val="center"/>
          </w:tcPr>
          <w:p w14:paraId="70B3D557">
            <w:pPr>
              <w:widowControl w:val="0"/>
              <w:adjustRightInd w:val="0"/>
              <w:snapToGrid w:val="0"/>
              <w:spacing w:before="62" w:beforeLines="20" w:line="240" w:lineRule="auto"/>
              <w:jc w:val="center"/>
              <w:textAlignment w:val="auto"/>
              <w:rPr>
                <w:kern w:val="2"/>
                <w:sz w:val="18"/>
                <w:szCs w:val="32"/>
              </w:rPr>
            </w:pPr>
            <w:r>
              <w:rPr>
                <w:rFonts w:hint="eastAsia"/>
                <w:kern w:val="2"/>
                <w:sz w:val="18"/>
                <w:szCs w:val="32"/>
              </w:rPr>
              <w:t>草地</w:t>
            </w:r>
          </w:p>
        </w:tc>
        <w:tc>
          <w:tcPr>
            <w:tcW w:w="4895" w:type="dxa"/>
            <w:vAlign w:val="center"/>
          </w:tcPr>
          <w:p w14:paraId="3E0C6F9B">
            <w:pPr>
              <w:widowControl w:val="0"/>
              <w:adjustRightInd w:val="0"/>
              <w:snapToGrid w:val="0"/>
              <w:spacing w:before="62" w:beforeLines="20" w:line="240" w:lineRule="auto"/>
              <w:jc w:val="center"/>
              <w:textAlignment w:val="auto"/>
              <w:rPr>
                <w:kern w:val="2"/>
                <w:sz w:val="18"/>
                <w:szCs w:val="32"/>
              </w:rPr>
            </w:pPr>
            <w:r>
              <w:rPr>
                <w:kern w:val="2"/>
                <w:sz w:val="18"/>
                <w:szCs w:val="32"/>
              </w:rPr>
              <w:t>0.020</w:t>
            </w:r>
          </w:p>
        </w:tc>
      </w:tr>
      <w:tr w14:paraId="1C58B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4450" w:type="dxa"/>
            <w:vAlign w:val="center"/>
          </w:tcPr>
          <w:p w14:paraId="057D9547">
            <w:pPr>
              <w:widowControl w:val="0"/>
              <w:adjustRightInd w:val="0"/>
              <w:snapToGrid w:val="0"/>
              <w:spacing w:before="62" w:beforeLines="20" w:line="240" w:lineRule="auto"/>
              <w:jc w:val="center"/>
              <w:textAlignment w:val="auto"/>
              <w:rPr>
                <w:kern w:val="2"/>
                <w:sz w:val="18"/>
                <w:szCs w:val="32"/>
              </w:rPr>
            </w:pPr>
            <w:r>
              <w:rPr>
                <w:rFonts w:hint="eastAsia"/>
                <w:kern w:val="2"/>
                <w:sz w:val="18"/>
                <w:szCs w:val="32"/>
              </w:rPr>
              <w:t>粗糙地面</w:t>
            </w:r>
          </w:p>
        </w:tc>
        <w:tc>
          <w:tcPr>
            <w:tcW w:w="4895" w:type="dxa"/>
            <w:vAlign w:val="center"/>
          </w:tcPr>
          <w:p w14:paraId="3DD480A9">
            <w:pPr>
              <w:widowControl w:val="0"/>
              <w:adjustRightInd w:val="0"/>
              <w:snapToGrid w:val="0"/>
              <w:spacing w:before="62" w:beforeLines="20" w:line="240" w:lineRule="auto"/>
              <w:jc w:val="center"/>
              <w:textAlignment w:val="auto"/>
              <w:rPr>
                <w:kern w:val="2"/>
                <w:sz w:val="18"/>
                <w:szCs w:val="32"/>
              </w:rPr>
            </w:pPr>
            <w:r>
              <w:rPr>
                <w:kern w:val="2"/>
                <w:sz w:val="18"/>
                <w:szCs w:val="32"/>
              </w:rPr>
              <w:t>0.025</w:t>
            </w:r>
          </w:p>
        </w:tc>
      </w:tr>
      <w:tr w14:paraId="20AC7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4450" w:type="dxa"/>
            <w:vAlign w:val="center"/>
          </w:tcPr>
          <w:p w14:paraId="11BB3FCF">
            <w:pPr>
              <w:widowControl w:val="0"/>
              <w:adjustRightInd w:val="0"/>
              <w:snapToGrid w:val="0"/>
              <w:spacing w:before="62" w:beforeLines="20" w:line="240" w:lineRule="auto"/>
              <w:jc w:val="center"/>
              <w:textAlignment w:val="auto"/>
              <w:rPr>
                <w:kern w:val="2"/>
                <w:sz w:val="18"/>
                <w:szCs w:val="32"/>
              </w:rPr>
            </w:pPr>
            <w:r>
              <w:rPr>
                <w:rFonts w:hint="eastAsia"/>
                <w:kern w:val="2"/>
                <w:sz w:val="18"/>
                <w:szCs w:val="32"/>
              </w:rPr>
              <w:t>平整地面</w:t>
            </w:r>
          </w:p>
        </w:tc>
        <w:tc>
          <w:tcPr>
            <w:tcW w:w="4895" w:type="dxa"/>
            <w:vAlign w:val="center"/>
          </w:tcPr>
          <w:p w14:paraId="578B93A8">
            <w:pPr>
              <w:widowControl w:val="0"/>
              <w:adjustRightInd w:val="0"/>
              <w:snapToGrid w:val="0"/>
              <w:spacing w:before="62" w:beforeLines="20" w:line="240" w:lineRule="auto"/>
              <w:jc w:val="center"/>
              <w:textAlignment w:val="auto"/>
              <w:rPr>
                <w:kern w:val="2"/>
                <w:sz w:val="18"/>
                <w:szCs w:val="32"/>
              </w:rPr>
            </w:pPr>
            <w:r>
              <w:rPr>
                <w:kern w:val="2"/>
                <w:sz w:val="18"/>
                <w:szCs w:val="32"/>
              </w:rPr>
              <w:t>0.010</w:t>
            </w:r>
          </w:p>
        </w:tc>
      </w:tr>
      <w:tr w14:paraId="03D6F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4450" w:type="dxa"/>
            <w:vAlign w:val="center"/>
          </w:tcPr>
          <w:p w14:paraId="14053E68">
            <w:pPr>
              <w:widowControl w:val="0"/>
              <w:adjustRightInd w:val="0"/>
              <w:snapToGrid w:val="0"/>
              <w:spacing w:before="62" w:beforeLines="20" w:line="240" w:lineRule="auto"/>
              <w:jc w:val="center"/>
              <w:textAlignment w:val="auto"/>
              <w:rPr>
                <w:kern w:val="2"/>
                <w:sz w:val="18"/>
                <w:szCs w:val="32"/>
              </w:rPr>
            </w:pPr>
            <w:r>
              <w:rPr>
                <w:rFonts w:hint="eastAsia"/>
                <w:kern w:val="2"/>
                <w:sz w:val="18"/>
                <w:szCs w:val="32"/>
              </w:rPr>
              <w:t>混凝土地面</w:t>
            </w:r>
          </w:p>
        </w:tc>
        <w:tc>
          <w:tcPr>
            <w:tcW w:w="4895" w:type="dxa"/>
            <w:vAlign w:val="center"/>
          </w:tcPr>
          <w:p w14:paraId="2837E849">
            <w:pPr>
              <w:widowControl w:val="0"/>
              <w:adjustRightInd w:val="0"/>
              <w:snapToGrid w:val="0"/>
              <w:spacing w:before="62" w:beforeLines="20" w:line="240" w:lineRule="auto"/>
              <w:jc w:val="center"/>
              <w:textAlignment w:val="auto"/>
              <w:rPr>
                <w:kern w:val="2"/>
                <w:sz w:val="18"/>
                <w:szCs w:val="32"/>
              </w:rPr>
            </w:pPr>
            <w:r>
              <w:rPr>
                <w:kern w:val="2"/>
                <w:sz w:val="18"/>
                <w:szCs w:val="32"/>
              </w:rPr>
              <w:t>0.005</w:t>
            </w:r>
          </w:p>
        </w:tc>
      </w:tr>
      <w:tr w14:paraId="49610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4450" w:type="dxa"/>
            <w:vAlign w:val="center"/>
          </w:tcPr>
          <w:p w14:paraId="69C6292C">
            <w:pPr>
              <w:widowControl w:val="0"/>
              <w:adjustRightInd w:val="0"/>
              <w:snapToGrid w:val="0"/>
              <w:spacing w:before="62" w:beforeLines="20" w:line="240" w:lineRule="auto"/>
              <w:jc w:val="center"/>
              <w:textAlignment w:val="auto"/>
              <w:rPr>
                <w:kern w:val="2"/>
                <w:sz w:val="18"/>
                <w:szCs w:val="32"/>
              </w:rPr>
            </w:pPr>
            <w:r>
              <w:rPr>
                <w:rFonts w:hint="eastAsia"/>
                <w:kern w:val="2"/>
                <w:sz w:val="18"/>
                <w:szCs w:val="32"/>
              </w:rPr>
              <w:t>平静的水面</w:t>
            </w:r>
          </w:p>
        </w:tc>
        <w:tc>
          <w:tcPr>
            <w:tcW w:w="4895" w:type="dxa"/>
            <w:vAlign w:val="center"/>
          </w:tcPr>
          <w:p w14:paraId="72267B9C">
            <w:pPr>
              <w:widowControl w:val="0"/>
              <w:adjustRightInd w:val="0"/>
              <w:snapToGrid w:val="0"/>
              <w:spacing w:before="62" w:beforeLines="20" w:line="240" w:lineRule="auto"/>
              <w:jc w:val="center"/>
              <w:textAlignment w:val="auto"/>
              <w:rPr>
                <w:kern w:val="2"/>
                <w:sz w:val="18"/>
                <w:szCs w:val="32"/>
              </w:rPr>
            </w:pPr>
            <w:r>
              <w:rPr>
                <w:kern w:val="2"/>
                <w:sz w:val="18"/>
                <w:szCs w:val="32"/>
              </w:rPr>
              <w:t>0.0018</w:t>
            </w:r>
          </w:p>
        </w:tc>
      </w:tr>
      <w:bookmarkEnd w:id="210"/>
    </w:tbl>
    <w:p w14:paraId="2B8297EF">
      <w:pPr>
        <w:widowControl w:val="0"/>
        <w:spacing w:line="240" w:lineRule="auto"/>
        <w:ind w:firstLine="420" w:firstLineChars="200"/>
        <w:textAlignment w:val="auto"/>
        <w:rPr>
          <w:kern w:val="2"/>
          <w:szCs w:val="32"/>
        </w:rPr>
      </w:pPr>
    </w:p>
    <w:p w14:paraId="4C0B7926">
      <w:pPr>
        <w:widowControl w:val="0"/>
        <w:spacing w:line="240" w:lineRule="auto"/>
        <w:ind w:firstLine="420" w:firstLineChars="200"/>
        <w:textAlignment w:val="auto"/>
        <w:rPr>
          <w:kern w:val="2"/>
          <w:szCs w:val="32"/>
        </w:rPr>
      </w:pPr>
      <w:r>
        <w:rPr>
          <w:rFonts w:hint="eastAsia"/>
          <w:kern w:val="2"/>
          <w:szCs w:val="32"/>
        </w:rPr>
        <w:t>液池直径</w:t>
      </w:r>
      <w:r>
        <w:rPr>
          <w:kern w:val="2"/>
          <w:szCs w:val="32"/>
        </w:rPr>
        <w:t>D可按式</w:t>
      </w:r>
      <w:r>
        <w:rPr>
          <w:rFonts w:hint="eastAsia"/>
          <w:kern w:val="2"/>
          <w:szCs w:val="32"/>
        </w:rPr>
        <w:t>（B.13）计算：</w:t>
      </w:r>
    </w:p>
    <w:p w14:paraId="6F339206">
      <w:pPr>
        <w:pStyle w:val="163"/>
        <w:tabs>
          <w:tab w:val="right" w:leader="middleDot" w:pos="9450"/>
          <w:tab w:val="clear" w:pos="9660"/>
        </w:tabs>
      </w:pPr>
      <w:r>
        <w:tab/>
      </w:r>
      <w:r>
        <w:object>
          <v:shape id="_x0000_i1055" o:spt="75" type="#_x0000_t75" style="height:33.75pt;width:55.5pt;" o:ole="t" filled="f" o:preferrelative="t" stroked="f" coordsize="21600,21600">
            <v:path/>
            <v:fill on="f" focussize="0,0"/>
            <v:stroke on="f" joinstyle="miter"/>
            <v:imagedata r:id="rId73" o:title=""/>
            <o:lock v:ext="edit" aspectratio="f"/>
            <w10:wrap type="none"/>
            <w10:anchorlock/>
          </v:shape>
          <o:OLEObject Type="Embed" ProgID="Equation.3" ShapeID="_x0000_i1055" DrawAspect="Content" ObjectID="_1468075755" r:id="rId72">
            <o:LockedField>false</o:LockedField>
          </o:OLEObject>
        </w:object>
      </w:r>
      <w:r>
        <w:tab/>
      </w:r>
      <w:r>
        <w:rPr>
          <w:rFonts w:hint="eastAsia"/>
        </w:rPr>
        <w:t>（</w:t>
      </w:r>
      <w:r>
        <w:rPr>
          <w:rFonts w:hint="eastAsia"/>
          <w:lang w:val="en-US"/>
        </w:rPr>
        <w:t>B</w:t>
      </w:r>
      <w:r>
        <w:t>.</w:t>
      </w:r>
      <w:r>
        <w:rPr>
          <w:rFonts w:hint="eastAsia"/>
          <w:lang w:val="en-US"/>
        </w:rPr>
        <w:t>13</w:t>
      </w:r>
      <w:r>
        <w:rPr>
          <w:rFonts w:hint="eastAsia"/>
        </w:rPr>
        <w:t>）</w:t>
      </w:r>
    </w:p>
    <w:p w14:paraId="2875ED9D">
      <w:pPr>
        <w:widowControl w:val="0"/>
        <w:spacing w:line="240" w:lineRule="auto"/>
        <w:ind w:firstLine="420" w:firstLineChars="200"/>
        <w:textAlignment w:val="auto"/>
        <w:rPr>
          <w:kern w:val="2"/>
          <w:szCs w:val="32"/>
        </w:rPr>
      </w:pPr>
      <w:r>
        <w:rPr>
          <w:rFonts w:hint="eastAsia"/>
          <w:kern w:val="2"/>
          <w:szCs w:val="32"/>
        </w:rPr>
        <w:t>式中：</w:t>
      </w:r>
    </w:p>
    <w:p w14:paraId="4F295635">
      <w:pPr>
        <w:widowControl w:val="0"/>
        <w:spacing w:line="240" w:lineRule="auto"/>
        <w:ind w:firstLine="420" w:firstLineChars="200"/>
        <w:textAlignment w:val="auto"/>
        <w:rPr>
          <w:kern w:val="2"/>
          <w:szCs w:val="32"/>
        </w:rPr>
      </w:pPr>
      <w:r>
        <w:rPr>
          <w:i/>
          <w:kern w:val="2"/>
          <w:szCs w:val="32"/>
        </w:rPr>
        <w:t>S</w:t>
      </w:r>
      <w:r>
        <w:rPr>
          <w:kern w:val="2"/>
          <w:szCs w:val="32"/>
        </w:rPr>
        <w:t>——</w:t>
      </w:r>
      <w:r>
        <w:rPr>
          <w:rFonts w:hint="eastAsia"/>
          <w:kern w:val="2"/>
          <w:szCs w:val="32"/>
        </w:rPr>
        <w:t>最大的池面积，单位为平方米</w:t>
      </w:r>
      <w:r>
        <w:rPr>
          <w:kern w:val="2"/>
          <w:szCs w:val="32"/>
        </w:rPr>
        <w:t>（m</w:t>
      </w:r>
      <w:r>
        <w:rPr>
          <w:kern w:val="2"/>
          <w:szCs w:val="32"/>
          <w:vertAlign w:val="superscript"/>
        </w:rPr>
        <w:t>2</w:t>
      </w:r>
      <w:r>
        <w:rPr>
          <w:kern w:val="2"/>
          <w:szCs w:val="32"/>
        </w:rPr>
        <w:t>）</w:t>
      </w:r>
      <w:r>
        <w:rPr>
          <w:rFonts w:hint="eastAsia"/>
          <w:kern w:val="2"/>
          <w:szCs w:val="32"/>
        </w:rPr>
        <w:t>；</w:t>
      </w:r>
    </w:p>
    <w:p w14:paraId="7FDD159A">
      <w:pPr>
        <w:widowControl w:val="0"/>
        <w:spacing w:line="240" w:lineRule="auto"/>
        <w:ind w:firstLine="420" w:firstLineChars="200"/>
        <w:textAlignment w:val="auto"/>
        <w:rPr>
          <w:kern w:val="2"/>
          <w:szCs w:val="32"/>
        </w:rPr>
      </w:pPr>
      <w:r>
        <w:rPr>
          <w:i/>
          <w:kern w:val="2"/>
          <w:szCs w:val="32"/>
        </w:rPr>
        <w:t>D</w:t>
      </w:r>
      <w:r>
        <w:rPr>
          <w:kern w:val="2"/>
          <w:szCs w:val="32"/>
        </w:rPr>
        <w:t>——</w:t>
      </w:r>
      <w:r>
        <w:rPr>
          <w:rFonts w:hint="eastAsia"/>
          <w:kern w:val="2"/>
          <w:szCs w:val="32"/>
        </w:rPr>
        <w:t>液池直径，单位为米</w:t>
      </w:r>
      <w:r>
        <w:rPr>
          <w:kern w:val="2"/>
          <w:szCs w:val="32"/>
        </w:rPr>
        <w:t>（m）</w:t>
      </w:r>
      <w:r>
        <w:rPr>
          <w:rFonts w:hint="eastAsia"/>
          <w:kern w:val="2"/>
          <w:szCs w:val="32"/>
        </w:rPr>
        <w:t>。</w:t>
      </w:r>
    </w:p>
    <w:p w14:paraId="5F92B9CB">
      <w:pPr>
        <w:widowControl w:val="0"/>
        <w:spacing w:line="240" w:lineRule="auto"/>
        <w:ind w:firstLine="420" w:firstLineChars="200"/>
        <w:textAlignment w:val="auto"/>
        <w:rPr>
          <w:kern w:val="2"/>
          <w:szCs w:val="32"/>
        </w:rPr>
      </w:pPr>
      <w:r>
        <w:rPr>
          <w:kern w:val="2"/>
          <w:szCs w:val="32"/>
        </w:rPr>
        <w:t>b</w:t>
      </w:r>
      <w:r>
        <w:rPr>
          <w:rFonts w:hint="eastAsia"/>
          <w:kern w:val="2"/>
          <w:szCs w:val="32"/>
        </w:rPr>
        <w:t>）确定火焰高度</w:t>
      </w:r>
    </w:p>
    <w:p w14:paraId="1AEE7C89">
      <w:pPr>
        <w:widowControl w:val="0"/>
        <w:spacing w:line="240" w:lineRule="auto"/>
        <w:ind w:firstLine="420"/>
        <w:textAlignment w:val="auto"/>
        <w:rPr>
          <w:kern w:val="2"/>
          <w:szCs w:val="32"/>
        </w:rPr>
      </w:pPr>
      <w:r>
        <w:rPr>
          <w:rFonts w:hint="eastAsia"/>
          <w:kern w:val="2"/>
          <w:szCs w:val="32"/>
        </w:rPr>
        <w:t>计算池火焰高度的经验公式如下：</w:t>
      </w:r>
    </w:p>
    <w:p w14:paraId="4A2C5ACD">
      <w:pPr>
        <w:pStyle w:val="163"/>
        <w:tabs>
          <w:tab w:val="right" w:leader="middleDot" w:pos="9450"/>
          <w:tab w:val="clear" w:pos="9660"/>
        </w:tabs>
      </w:pPr>
      <w:r>
        <w:tab/>
      </w:r>
      <w:r>
        <w:object>
          <v:shape id="_x0000_i1056" o:spt="75" type="#_x0000_t75" style="height:21pt;width:126.75pt;" o:ole="t" fillcolor="#000005" filled="f" o:preferrelative="t" stroked="f" coordsize="21600,21600">
            <v:path/>
            <v:fill on="f" focussize="0,0"/>
            <v:stroke on="f" joinstyle="miter"/>
            <v:imagedata r:id="rId75" o:title=""/>
            <o:lock v:ext="edit" aspectratio="f"/>
            <w10:wrap type="none"/>
            <w10:anchorlock/>
          </v:shape>
          <o:OLEObject Type="Embed" ProgID="Equation.3" ShapeID="_x0000_i1056" DrawAspect="Content" ObjectID="_1468075756" r:id="rId74">
            <o:LockedField>false</o:LockedField>
          </o:OLEObject>
        </w:object>
      </w:r>
      <w:r>
        <w:t xml:space="preserve"> </w:t>
      </w:r>
      <w:r>
        <w:tab/>
      </w:r>
      <w:r>
        <w:rPr>
          <w:rFonts w:hint="eastAsia"/>
        </w:rPr>
        <w:t>（</w:t>
      </w:r>
      <w:r>
        <w:rPr>
          <w:rFonts w:hint="eastAsia"/>
          <w:lang w:val="en-US"/>
        </w:rPr>
        <w:t>B</w:t>
      </w:r>
      <w:r>
        <w:t>.</w:t>
      </w:r>
      <w:r>
        <w:rPr>
          <w:rFonts w:hint="eastAsia"/>
          <w:lang w:val="en-US"/>
        </w:rPr>
        <w:t>14</w:t>
      </w:r>
      <w:r>
        <w:rPr>
          <w:rFonts w:hint="eastAsia"/>
        </w:rPr>
        <w:t>）</w:t>
      </w:r>
    </w:p>
    <w:p w14:paraId="22A44BCE">
      <w:pPr>
        <w:widowControl w:val="0"/>
        <w:spacing w:line="240" w:lineRule="auto"/>
        <w:ind w:firstLine="420" w:firstLineChars="200"/>
        <w:textAlignment w:val="auto"/>
        <w:rPr>
          <w:kern w:val="2"/>
          <w:szCs w:val="32"/>
        </w:rPr>
      </w:pPr>
      <w:r>
        <w:rPr>
          <w:rFonts w:hint="eastAsia"/>
          <w:kern w:val="2"/>
          <w:szCs w:val="32"/>
        </w:rPr>
        <w:t>式中：</w:t>
      </w:r>
    </w:p>
    <w:p w14:paraId="13FCF5CE">
      <w:pPr>
        <w:widowControl w:val="0"/>
        <w:spacing w:line="240" w:lineRule="auto"/>
        <w:ind w:firstLine="420" w:firstLineChars="200"/>
        <w:textAlignment w:val="auto"/>
        <w:rPr>
          <w:kern w:val="2"/>
          <w:szCs w:val="32"/>
        </w:rPr>
      </w:pPr>
      <w:r>
        <w:rPr>
          <w:i/>
          <w:kern w:val="2"/>
          <w:szCs w:val="32"/>
        </w:rPr>
        <w:t>L</w:t>
      </w:r>
      <w:r>
        <w:rPr>
          <w:kern w:val="2"/>
          <w:szCs w:val="32"/>
        </w:rPr>
        <w:t>——</w:t>
      </w:r>
      <w:r>
        <w:rPr>
          <w:rFonts w:hint="eastAsia"/>
          <w:kern w:val="2"/>
          <w:szCs w:val="32"/>
        </w:rPr>
        <w:t>火焰高度，单位为米</w:t>
      </w:r>
      <w:r>
        <w:rPr>
          <w:kern w:val="2"/>
          <w:szCs w:val="32"/>
        </w:rPr>
        <w:t>（m）</w:t>
      </w:r>
      <w:r>
        <w:rPr>
          <w:rFonts w:hint="eastAsia"/>
          <w:kern w:val="2"/>
          <w:szCs w:val="32"/>
        </w:rPr>
        <w:t>；</w:t>
      </w:r>
    </w:p>
    <w:p w14:paraId="6A6E9CC0">
      <w:pPr>
        <w:widowControl w:val="0"/>
        <w:spacing w:line="240" w:lineRule="auto"/>
        <w:ind w:firstLine="420" w:firstLineChars="200"/>
        <w:textAlignment w:val="auto"/>
        <w:rPr>
          <w:kern w:val="2"/>
          <w:szCs w:val="32"/>
        </w:rPr>
      </w:pPr>
      <w:r>
        <w:rPr>
          <w:i/>
          <w:kern w:val="2"/>
          <w:szCs w:val="32"/>
        </w:rPr>
        <w:t>D</w:t>
      </w:r>
      <w:r>
        <w:rPr>
          <w:kern w:val="2"/>
          <w:szCs w:val="32"/>
        </w:rPr>
        <w:t>——</w:t>
      </w:r>
      <w:r>
        <w:rPr>
          <w:rFonts w:hint="eastAsia"/>
          <w:kern w:val="2"/>
          <w:szCs w:val="32"/>
        </w:rPr>
        <w:t>液池直径，单位为米</w:t>
      </w:r>
      <w:r>
        <w:rPr>
          <w:kern w:val="2"/>
          <w:szCs w:val="32"/>
        </w:rPr>
        <w:t>（m）</w:t>
      </w:r>
      <w:r>
        <w:rPr>
          <w:rFonts w:hint="eastAsia"/>
          <w:kern w:val="2"/>
          <w:szCs w:val="32"/>
        </w:rPr>
        <w:t>；</w:t>
      </w:r>
    </w:p>
    <w:p w14:paraId="30806571">
      <w:pPr>
        <w:widowControl w:val="0"/>
        <w:spacing w:line="240" w:lineRule="auto"/>
        <w:ind w:firstLine="420" w:firstLineChars="200"/>
        <w:textAlignment w:val="auto"/>
        <w:rPr>
          <w:kern w:val="2"/>
          <w:szCs w:val="32"/>
        </w:rPr>
      </w:pPr>
      <w:r>
        <w:rPr>
          <w:i/>
          <w:kern w:val="2"/>
          <w:szCs w:val="32"/>
        </w:rPr>
        <w:t>m</w:t>
      </w:r>
      <w:r>
        <w:rPr>
          <w:i/>
          <w:kern w:val="2"/>
          <w:szCs w:val="32"/>
          <w:vertAlign w:val="subscript"/>
        </w:rPr>
        <w:t>f</w:t>
      </w:r>
      <w:r>
        <w:rPr>
          <w:kern w:val="2"/>
          <w:szCs w:val="32"/>
        </w:rPr>
        <w:t>——</w:t>
      </w:r>
      <w:r>
        <w:rPr>
          <w:rFonts w:hint="eastAsia"/>
          <w:kern w:val="2"/>
          <w:szCs w:val="32"/>
        </w:rPr>
        <w:t>燃烧速率，单位为千克</w:t>
      </w:r>
      <w:r>
        <w:rPr>
          <w:kern w:val="2"/>
          <w:szCs w:val="32"/>
        </w:rPr>
        <w:t>每平方米秒（kg/</w:t>
      </w:r>
      <w:r>
        <w:rPr>
          <w:rFonts w:hint="eastAsia"/>
          <w:kern w:val="2"/>
          <w:szCs w:val="32"/>
        </w:rPr>
        <w:t>（</w:t>
      </w:r>
      <w:r>
        <w:rPr>
          <w:kern w:val="2"/>
          <w:szCs w:val="32"/>
        </w:rPr>
        <w:t>m</w:t>
      </w:r>
      <w:r>
        <w:rPr>
          <w:kern w:val="2"/>
          <w:szCs w:val="32"/>
          <w:vertAlign w:val="superscript"/>
        </w:rPr>
        <w:t>2</w:t>
      </w:r>
      <w:r>
        <w:rPr>
          <w:kern w:val="2"/>
          <w:szCs w:val="32"/>
        </w:rPr>
        <w:t>·s</w:t>
      </w:r>
      <w:r>
        <w:rPr>
          <w:rFonts w:hint="eastAsia"/>
          <w:kern w:val="2"/>
          <w:szCs w:val="32"/>
        </w:rPr>
        <w:t>）</w:t>
      </w:r>
      <w:r>
        <w:rPr>
          <w:kern w:val="2"/>
          <w:szCs w:val="32"/>
        </w:rPr>
        <w:t>）</w:t>
      </w:r>
      <w:r>
        <w:rPr>
          <w:rFonts w:hint="eastAsia"/>
          <w:kern w:val="2"/>
          <w:szCs w:val="32"/>
        </w:rPr>
        <w:t>；</w:t>
      </w:r>
    </w:p>
    <w:p w14:paraId="48C064E9">
      <w:pPr>
        <w:widowControl w:val="0"/>
        <w:spacing w:line="240" w:lineRule="auto"/>
        <w:ind w:firstLine="420" w:firstLineChars="200"/>
        <w:textAlignment w:val="auto"/>
        <w:rPr>
          <w:kern w:val="2"/>
          <w:szCs w:val="32"/>
        </w:rPr>
      </w:pPr>
      <w:r>
        <w:rPr>
          <w:i/>
          <w:kern w:val="2"/>
          <w:szCs w:val="32"/>
        </w:rPr>
        <w:t>ρ</w:t>
      </w:r>
      <w:r>
        <w:rPr>
          <w:i/>
          <w:kern w:val="2"/>
          <w:szCs w:val="32"/>
          <w:vertAlign w:val="subscript"/>
        </w:rPr>
        <w:t>0</w:t>
      </w:r>
      <w:r>
        <w:rPr>
          <w:kern w:val="2"/>
          <w:szCs w:val="32"/>
        </w:rPr>
        <w:t>——</w:t>
      </w:r>
      <w:r>
        <w:rPr>
          <w:rFonts w:hint="eastAsia"/>
          <w:kern w:val="2"/>
          <w:szCs w:val="32"/>
        </w:rPr>
        <w:t>空气密度，单位为千克</w:t>
      </w:r>
      <w:r>
        <w:rPr>
          <w:kern w:val="2"/>
          <w:szCs w:val="32"/>
        </w:rPr>
        <w:t>每立方米（kg/m</w:t>
      </w:r>
      <w:r>
        <w:rPr>
          <w:kern w:val="2"/>
          <w:szCs w:val="32"/>
          <w:vertAlign w:val="superscript"/>
        </w:rPr>
        <w:t>3</w:t>
      </w:r>
      <w:r>
        <w:rPr>
          <w:kern w:val="2"/>
          <w:szCs w:val="32"/>
        </w:rPr>
        <w:t>）</w:t>
      </w:r>
      <w:r>
        <w:rPr>
          <w:rFonts w:hint="eastAsia"/>
          <w:kern w:val="2"/>
          <w:szCs w:val="32"/>
        </w:rPr>
        <w:t>；</w:t>
      </w:r>
    </w:p>
    <w:p w14:paraId="17EC15B7">
      <w:pPr>
        <w:widowControl w:val="0"/>
        <w:spacing w:line="240" w:lineRule="auto"/>
        <w:ind w:firstLine="420" w:firstLineChars="200"/>
        <w:textAlignment w:val="auto"/>
        <w:rPr>
          <w:kern w:val="2"/>
          <w:szCs w:val="32"/>
        </w:rPr>
      </w:pPr>
      <w:r>
        <w:rPr>
          <w:i/>
          <w:kern w:val="2"/>
          <w:szCs w:val="32"/>
        </w:rPr>
        <w:t>g</w:t>
      </w:r>
      <w:r>
        <w:rPr>
          <w:kern w:val="2"/>
          <w:szCs w:val="32"/>
        </w:rPr>
        <w:t>——</w:t>
      </w:r>
      <w:r>
        <w:rPr>
          <w:rFonts w:hint="eastAsia"/>
          <w:kern w:val="2"/>
          <w:szCs w:val="32"/>
        </w:rPr>
        <w:t>重力加速度，单位为米</w:t>
      </w:r>
      <w:r>
        <w:rPr>
          <w:kern w:val="2"/>
          <w:szCs w:val="32"/>
        </w:rPr>
        <w:t>每二次方秒（m/s</w:t>
      </w:r>
      <w:r>
        <w:rPr>
          <w:kern w:val="2"/>
          <w:szCs w:val="32"/>
          <w:vertAlign w:val="superscript"/>
        </w:rPr>
        <w:t>2</w:t>
      </w:r>
      <w:r>
        <w:rPr>
          <w:kern w:val="2"/>
          <w:szCs w:val="32"/>
        </w:rPr>
        <w:t>）</w:t>
      </w:r>
      <w:r>
        <w:rPr>
          <w:rFonts w:hint="eastAsia"/>
          <w:kern w:val="2"/>
          <w:szCs w:val="32"/>
        </w:rPr>
        <w:t>。</w:t>
      </w:r>
    </w:p>
    <w:p w14:paraId="5709C381">
      <w:pPr>
        <w:widowControl w:val="0"/>
        <w:spacing w:before="156" w:beforeLines="50" w:line="240" w:lineRule="auto"/>
        <w:ind w:firstLine="420" w:firstLineChars="200"/>
        <w:textAlignment w:val="auto"/>
        <w:rPr>
          <w:kern w:val="2"/>
          <w:szCs w:val="32"/>
        </w:rPr>
      </w:pPr>
      <w:r>
        <w:rPr>
          <w:kern w:val="2"/>
          <w:szCs w:val="32"/>
        </w:rPr>
        <w:t>c</w:t>
      </w:r>
      <w:r>
        <w:rPr>
          <w:rFonts w:hint="eastAsia"/>
          <w:kern w:val="2"/>
          <w:szCs w:val="32"/>
        </w:rPr>
        <w:t>）计算火焰表面热通量</w:t>
      </w:r>
    </w:p>
    <w:p w14:paraId="2C9E0448">
      <w:pPr>
        <w:widowControl w:val="0"/>
        <w:spacing w:line="240" w:lineRule="auto"/>
        <w:ind w:firstLine="420"/>
        <w:textAlignment w:val="auto"/>
        <w:rPr>
          <w:kern w:val="2"/>
          <w:szCs w:val="32"/>
        </w:rPr>
      </w:pPr>
      <w:r>
        <w:rPr>
          <w:rFonts w:hint="eastAsia"/>
          <w:kern w:val="2"/>
          <w:szCs w:val="32"/>
        </w:rPr>
        <w:t>假定能量由圆柱形火焰侧面和顶部向周围均匀辐射，用式</w:t>
      </w:r>
      <w:r>
        <w:rPr>
          <w:rFonts w:hint="eastAsia"/>
          <w:kern w:val="2"/>
          <w:szCs w:val="21"/>
          <w:lang w:val="es-ES"/>
        </w:rPr>
        <w:t>（</w:t>
      </w:r>
      <w:r>
        <w:rPr>
          <w:rFonts w:hint="eastAsia"/>
          <w:kern w:val="2"/>
          <w:szCs w:val="21"/>
        </w:rPr>
        <w:t>B</w:t>
      </w:r>
      <w:r>
        <w:rPr>
          <w:kern w:val="2"/>
          <w:szCs w:val="21"/>
          <w:lang w:val="es-ES"/>
        </w:rPr>
        <w:t>.</w:t>
      </w:r>
      <w:r>
        <w:rPr>
          <w:rFonts w:hint="eastAsia"/>
          <w:kern w:val="2"/>
          <w:szCs w:val="21"/>
        </w:rPr>
        <w:t>15</w:t>
      </w:r>
      <w:r>
        <w:rPr>
          <w:rFonts w:hint="eastAsia"/>
          <w:kern w:val="2"/>
          <w:szCs w:val="21"/>
          <w:lang w:val="es-ES"/>
        </w:rPr>
        <w:t>）</w:t>
      </w:r>
      <w:r>
        <w:rPr>
          <w:rFonts w:hint="eastAsia"/>
          <w:kern w:val="2"/>
          <w:szCs w:val="32"/>
        </w:rPr>
        <w:t>计算火焰表面的热通量：</w:t>
      </w:r>
    </w:p>
    <w:p w14:paraId="4516FE85">
      <w:pPr>
        <w:pStyle w:val="163"/>
        <w:tabs>
          <w:tab w:val="right" w:leader="middleDot" w:pos="9450"/>
          <w:tab w:val="clear" w:pos="9660"/>
        </w:tabs>
      </w:pPr>
      <w:r>
        <w:tab/>
      </w:r>
      <w:r>
        <w:object>
          <v:shape id="_x0000_i1057" o:spt="75" type="#_x0000_t75" style="height:32.25pt;width:103.5pt;" o:ole="t" fillcolor="#000005" filled="f" o:preferrelative="t" stroked="f" coordsize="21600,21600">
            <v:path/>
            <v:fill on="f" focussize="0,0"/>
            <v:stroke on="f" joinstyle="miter"/>
            <v:imagedata r:id="rId77" o:title=""/>
            <o:lock v:ext="edit" aspectratio="f"/>
            <w10:wrap type="none"/>
            <w10:anchorlock/>
          </v:shape>
          <o:OLEObject Type="Embed" ProgID="Equation.3" ShapeID="_x0000_i1057" DrawAspect="Content" ObjectID="_1468075757" r:id="rId76">
            <o:LockedField>false</o:LockedField>
          </o:OLEObject>
        </w:object>
      </w:r>
      <w:r>
        <w:t xml:space="preserve"> </w:t>
      </w:r>
      <w:r>
        <w:tab/>
      </w:r>
      <w:r>
        <w:rPr>
          <w:rFonts w:hint="eastAsia"/>
        </w:rPr>
        <w:t>（</w:t>
      </w:r>
      <w:r>
        <w:rPr>
          <w:rFonts w:hint="eastAsia"/>
          <w:lang w:val="en-US"/>
        </w:rPr>
        <w:t>B</w:t>
      </w:r>
      <w:r>
        <w:t>.</w:t>
      </w:r>
      <w:r>
        <w:rPr>
          <w:rFonts w:hint="eastAsia"/>
          <w:lang w:val="en-US"/>
        </w:rPr>
        <w:t>15</w:t>
      </w:r>
      <w:r>
        <w:rPr>
          <w:rFonts w:hint="eastAsia"/>
        </w:rPr>
        <w:t>）</w:t>
      </w:r>
    </w:p>
    <w:p w14:paraId="1E2F0F48">
      <w:pPr>
        <w:widowControl w:val="0"/>
        <w:spacing w:line="240" w:lineRule="auto"/>
        <w:ind w:firstLine="420" w:firstLineChars="200"/>
        <w:textAlignment w:val="auto"/>
        <w:rPr>
          <w:kern w:val="2"/>
          <w:szCs w:val="32"/>
        </w:rPr>
      </w:pPr>
      <w:r>
        <w:rPr>
          <w:rFonts w:hint="eastAsia"/>
          <w:kern w:val="2"/>
          <w:szCs w:val="32"/>
        </w:rPr>
        <w:t>式中：</w:t>
      </w:r>
    </w:p>
    <w:p w14:paraId="0E6A0444">
      <w:pPr>
        <w:widowControl w:val="0"/>
        <w:spacing w:line="240" w:lineRule="auto"/>
        <w:ind w:firstLine="420" w:firstLineChars="200"/>
        <w:textAlignment w:val="auto"/>
        <w:rPr>
          <w:kern w:val="2"/>
          <w:szCs w:val="32"/>
        </w:rPr>
      </w:pPr>
      <w:r>
        <w:rPr>
          <w:i/>
          <w:kern w:val="2"/>
          <w:szCs w:val="32"/>
        </w:rPr>
        <w:t>q</w:t>
      </w:r>
      <w:r>
        <w:rPr>
          <w:i/>
          <w:kern w:val="2"/>
          <w:szCs w:val="32"/>
          <w:vertAlign w:val="subscript"/>
        </w:rPr>
        <w:t>0</w:t>
      </w:r>
      <w:r>
        <w:rPr>
          <w:kern w:val="2"/>
          <w:szCs w:val="32"/>
        </w:rPr>
        <w:t>——</w:t>
      </w:r>
      <w:r>
        <w:rPr>
          <w:rFonts w:hint="eastAsia"/>
          <w:kern w:val="2"/>
          <w:szCs w:val="32"/>
        </w:rPr>
        <w:t>火焰表面的热通量，单位为千瓦特每平方米</w:t>
      </w:r>
      <w:r>
        <w:rPr>
          <w:kern w:val="2"/>
          <w:szCs w:val="32"/>
        </w:rPr>
        <w:t>（kW/m</w:t>
      </w:r>
      <w:r>
        <w:rPr>
          <w:kern w:val="2"/>
          <w:szCs w:val="32"/>
          <w:vertAlign w:val="superscript"/>
        </w:rPr>
        <w:t>2</w:t>
      </w:r>
      <w:r>
        <w:rPr>
          <w:kern w:val="2"/>
          <w:szCs w:val="32"/>
        </w:rPr>
        <w:t>）</w:t>
      </w:r>
      <w:r>
        <w:rPr>
          <w:rFonts w:hint="eastAsia"/>
          <w:kern w:val="2"/>
          <w:szCs w:val="32"/>
        </w:rPr>
        <w:t>；</w:t>
      </w:r>
    </w:p>
    <w:p w14:paraId="143266A5">
      <w:pPr>
        <w:widowControl w:val="0"/>
        <w:spacing w:line="240" w:lineRule="auto"/>
        <w:ind w:firstLine="420" w:firstLineChars="200"/>
        <w:textAlignment w:val="auto"/>
        <w:rPr>
          <w:kern w:val="2"/>
          <w:szCs w:val="32"/>
        </w:rPr>
      </w:pPr>
      <w:r>
        <w:rPr>
          <w:i/>
          <w:kern w:val="2"/>
          <w:szCs w:val="32"/>
        </w:rPr>
        <w:t>ΔH</w:t>
      </w:r>
      <w:r>
        <w:rPr>
          <w:i/>
          <w:kern w:val="2"/>
          <w:szCs w:val="32"/>
          <w:vertAlign w:val="subscript"/>
        </w:rPr>
        <w:t>C</w:t>
      </w:r>
      <w:r>
        <w:rPr>
          <w:kern w:val="2"/>
          <w:szCs w:val="32"/>
        </w:rPr>
        <w:t>——</w:t>
      </w:r>
      <w:r>
        <w:rPr>
          <w:rFonts w:hint="eastAsia"/>
          <w:kern w:val="2"/>
          <w:szCs w:val="32"/>
        </w:rPr>
        <w:t>燃烧热，单位为千焦耳</w:t>
      </w:r>
      <w:r>
        <w:rPr>
          <w:kern w:val="2"/>
          <w:szCs w:val="32"/>
        </w:rPr>
        <w:t>每千克</w:t>
      </w:r>
      <w:r>
        <w:rPr>
          <w:rFonts w:hint="eastAsia"/>
          <w:kern w:val="2"/>
          <w:szCs w:val="32"/>
        </w:rPr>
        <w:t>（</w:t>
      </w:r>
      <w:r>
        <w:rPr>
          <w:kern w:val="2"/>
          <w:szCs w:val="32"/>
        </w:rPr>
        <w:t>kJ/kg</w:t>
      </w:r>
      <w:r>
        <w:rPr>
          <w:rFonts w:hint="eastAsia"/>
          <w:kern w:val="2"/>
          <w:szCs w:val="32"/>
        </w:rPr>
        <w:t>）；</w:t>
      </w:r>
    </w:p>
    <w:p w14:paraId="6C98756C">
      <w:pPr>
        <w:widowControl w:val="0"/>
        <w:spacing w:line="240" w:lineRule="auto"/>
        <w:ind w:firstLine="420" w:firstLineChars="200"/>
        <w:textAlignment w:val="auto"/>
        <w:rPr>
          <w:kern w:val="2"/>
          <w:szCs w:val="32"/>
        </w:rPr>
      </w:pPr>
      <w:r>
        <w:rPr>
          <w:kern w:val="2"/>
          <w:position w:val="-10"/>
          <w:szCs w:val="24"/>
        </w:rPr>
        <w:object>
          <v:shape id="_x0000_i1058" o:spt="75" type="#_x0000_t75" style="height:15.75pt;width:14.25pt;" o:ole="t" filled="f" o:preferrelative="t" stroked="f" coordsize="21600,21600">
            <v:path/>
            <v:fill on="f" focussize="0,0"/>
            <v:stroke on="f" joinstyle="miter"/>
            <v:imagedata r:id="rId79" o:title=""/>
            <o:lock v:ext="edit" aspectratio="f"/>
            <w10:wrap type="none"/>
            <w10:anchorlock/>
          </v:shape>
          <o:OLEObject Type="Embed" ProgID="Equation.3" ShapeID="_x0000_i1058" DrawAspect="Content" ObjectID="_1468075758" r:id="rId78">
            <o:LockedField>false</o:LockedField>
          </o:OLEObject>
        </w:object>
      </w:r>
      <w:r>
        <w:rPr>
          <w:kern w:val="2"/>
          <w:szCs w:val="32"/>
        </w:rPr>
        <w:t>——</w:t>
      </w:r>
      <w:r>
        <w:rPr>
          <w:rFonts w:hint="eastAsia"/>
          <w:kern w:val="2"/>
          <w:szCs w:val="32"/>
        </w:rPr>
        <w:t>热辐射系数，可取</w:t>
      </w:r>
      <w:r>
        <w:rPr>
          <w:kern w:val="2"/>
          <w:szCs w:val="32"/>
        </w:rPr>
        <w:t>0.15</w:t>
      </w:r>
      <w:r>
        <w:rPr>
          <w:rFonts w:hint="eastAsia"/>
          <w:kern w:val="2"/>
          <w:szCs w:val="32"/>
        </w:rPr>
        <w:t>；</w:t>
      </w:r>
    </w:p>
    <w:p w14:paraId="2FDD93E4">
      <w:pPr>
        <w:widowControl w:val="0"/>
        <w:spacing w:line="240" w:lineRule="auto"/>
        <w:ind w:firstLine="420" w:firstLineChars="200"/>
        <w:textAlignment w:val="auto"/>
        <w:rPr>
          <w:kern w:val="2"/>
          <w:szCs w:val="32"/>
        </w:rPr>
      </w:pPr>
      <w:r>
        <w:rPr>
          <w:kern w:val="2"/>
          <w:position w:val="-14"/>
          <w:szCs w:val="24"/>
        </w:rPr>
        <w:object>
          <v:shape id="_x0000_i1059" o:spt="75" type="#_x0000_t75" style="height:18.75pt;width:17.25pt;" o:ole="t" filled="f" o:preferrelative="t" stroked="f" coordsize="21600,21600">
            <v:path/>
            <v:fill on="f" focussize="0,0"/>
            <v:stroke on="f" joinstyle="miter"/>
            <v:imagedata r:id="rId81" o:title=""/>
            <o:lock v:ext="edit" aspectratio="f"/>
            <w10:wrap type="none"/>
            <w10:anchorlock/>
          </v:shape>
          <o:OLEObject Type="Embed" ProgID="Equation.3" ShapeID="_x0000_i1059" DrawAspect="Content" ObjectID="_1468075759" r:id="rId80">
            <o:LockedField>false</o:LockedField>
          </o:OLEObject>
        </w:object>
      </w:r>
      <w:r>
        <w:rPr>
          <w:kern w:val="2"/>
          <w:szCs w:val="32"/>
        </w:rPr>
        <w:t>——</w:t>
      </w:r>
      <w:r>
        <w:rPr>
          <w:rFonts w:hint="eastAsia"/>
          <w:kern w:val="2"/>
          <w:szCs w:val="32"/>
        </w:rPr>
        <w:t>燃烧速率，单位为千克</w:t>
      </w:r>
      <w:r>
        <w:rPr>
          <w:kern w:val="2"/>
          <w:szCs w:val="32"/>
        </w:rPr>
        <w:t>每平方米秒（kg/</w:t>
      </w:r>
      <w:r>
        <w:rPr>
          <w:kern w:val="2"/>
          <w:szCs w:val="21"/>
        </w:rPr>
        <w:t>(</w:t>
      </w:r>
      <w:r>
        <w:rPr>
          <w:kern w:val="2"/>
          <w:szCs w:val="32"/>
        </w:rPr>
        <w:t>m</w:t>
      </w:r>
      <w:r>
        <w:rPr>
          <w:kern w:val="2"/>
          <w:szCs w:val="32"/>
          <w:vertAlign w:val="superscript"/>
        </w:rPr>
        <w:t>2</w:t>
      </w:r>
      <w:r>
        <w:rPr>
          <w:kern w:val="2"/>
          <w:szCs w:val="21"/>
        </w:rPr>
        <w:t>·</w:t>
      </w:r>
      <w:r>
        <w:rPr>
          <w:kern w:val="2"/>
          <w:szCs w:val="32"/>
        </w:rPr>
        <w:t>s)）</w:t>
      </w:r>
      <w:r>
        <w:rPr>
          <w:rFonts w:hint="eastAsia"/>
          <w:kern w:val="2"/>
          <w:szCs w:val="32"/>
        </w:rPr>
        <w:t>。</w:t>
      </w:r>
    </w:p>
    <w:p w14:paraId="627F5BC8">
      <w:pPr>
        <w:widowControl w:val="0"/>
        <w:spacing w:line="240" w:lineRule="auto"/>
        <w:ind w:firstLine="420" w:firstLineChars="200"/>
        <w:textAlignment w:val="auto"/>
        <w:rPr>
          <w:kern w:val="2"/>
          <w:szCs w:val="32"/>
        </w:rPr>
      </w:pPr>
      <w:r>
        <w:rPr>
          <w:kern w:val="2"/>
          <w:szCs w:val="32"/>
        </w:rPr>
        <w:t>d</w:t>
      </w:r>
      <w:r>
        <w:rPr>
          <w:rFonts w:hint="eastAsia"/>
          <w:kern w:val="2"/>
          <w:szCs w:val="32"/>
        </w:rPr>
        <w:t>）目标接收到的热通量的计算</w:t>
      </w:r>
    </w:p>
    <w:p w14:paraId="4AF0EC36">
      <w:pPr>
        <w:widowControl w:val="0"/>
        <w:spacing w:line="240" w:lineRule="auto"/>
        <w:ind w:firstLine="420"/>
        <w:textAlignment w:val="auto"/>
        <w:rPr>
          <w:kern w:val="2"/>
          <w:szCs w:val="32"/>
        </w:rPr>
      </w:pPr>
      <w:r>
        <w:rPr>
          <w:rFonts w:hint="eastAsia"/>
          <w:kern w:val="2"/>
          <w:szCs w:val="32"/>
        </w:rPr>
        <w:t>目标接收到的热通量</w:t>
      </w:r>
      <w:r>
        <w:rPr>
          <w:i/>
          <w:kern w:val="2"/>
          <w:szCs w:val="32"/>
        </w:rPr>
        <w:t>q(r)</w:t>
      </w:r>
      <w:r>
        <w:rPr>
          <w:rFonts w:hint="eastAsia"/>
          <w:kern w:val="2"/>
          <w:szCs w:val="32"/>
        </w:rPr>
        <w:t>的计算公式为：</w:t>
      </w:r>
    </w:p>
    <w:p w14:paraId="17A2A451">
      <w:pPr>
        <w:pStyle w:val="163"/>
        <w:tabs>
          <w:tab w:val="right" w:leader="middleDot" w:pos="9450"/>
          <w:tab w:val="clear" w:pos="9660"/>
        </w:tabs>
      </w:pPr>
      <w:r>
        <w:tab/>
      </w:r>
      <w:r>
        <w:object>
          <v:shape id="_x0000_i1060" o:spt="75" type="#_x0000_t75" style="height:18.75pt;width:110.25pt;" o:ole="t" fillcolor="#000005" filled="f" o:preferrelative="t" stroked="f" coordsize="21600,21600">
            <v:path/>
            <v:fill on="f" focussize="0,0"/>
            <v:stroke on="f" joinstyle="miter"/>
            <v:imagedata r:id="rId83" o:title=""/>
            <o:lock v:ext="edit" aspectratio="f"/>
            <w10:wrap type="none"/>
            <w10:anchorlock/>
          </v:shape>
          <o:OLEObject Type="Embed" ProgID="Equation.3" ShapeID="_x0000_i1060" DrawAspect="Content" ObjectID="_1468075760" r:id="rId82">
            <o:LockedField>false</o:LockedField>
          </o:OLEObject>
        </w:object>
      </w:r>
      <w:r>
        <w:tab/>
      </w:r>
      <w:r>
        <w:rPr>
          <w:rFonts w:hint="eastAsia"/>
        </w:rPr>
        <w:t>（</w:t>
      </w:r>
      <w:r>
        <w:rPr>
          <w:rFonts w:hint="eastAsia"/>
          <w:lang w:val="en-US"/>
        </w:rPr>
        <w:t>B</w:t>
      </w:r>
      <w:r>
        <w:t>.</w:t>
      </w:r>
      <w:r>
        <w:rPr>
          <w:rFonts w:hint="eastAsia"/>
          <w:lang w:val="en-US"/>
        </w:rPr>
        <w:t>16</w:t>
      </w:r>
      <w:r>
        <w:rPr>
          <w:rFonts w:hint="eastAsia"/>
        </w:rPr>
        <w:t>）</w:t>
      </w:r>
    </w:p>
    <w:p w14:paraId="558682F4">
      <w:pPr>
        <w:widowControl w:val="0"/>
        <w:spacing w:line="240" w:lineRule="auto"/>
        <w:ind w:left="210" w:leftChars="100" w:firstLine="210" w:firstLineChars="100"/>
        <w:textAlignment w:val="auto"/>
        <w:rPr>
          <w:kern w:val="2"/>
          <w:szCs w:val="32"/>
        </w:rPr>
      </w:pPr>
      <w:r>
        <w:rPr>
          <w:rFonts w:hint="eastAsia"/>
          <w:kern w:val="2"/>
          <w:szCs w:val="32"/>
        </w:rPr>
        <w:t>式中：</w:t>
      </w:r>
    </w:p>
    <w:p w14:paraId="245AA814">
      <w:pPr>
        <w:widowControl w:val="0"/>
        <w:spacing w:line="240" w:lineRule="auto"/>
        <w:ind w:left="210" w:leftChars="100" w:firstLine="210" w:firstLineChars="100"/>
        <w:textAlignment w:val="auto"/>
        <w:rPr>
          <w:kern w:val="2"/>
          <w:szCs w:val="32"/>
        </w:rPr>
      </w:pPr>
      <w:r>
        <w:rPr>
          <w:i/>
          <w:kern w:val="2"/>
          <w:szCs w:val="32"/>
        </w:rPr>
        <w:t>q(r)</w:t>
      </w:r>
      <w:r>
        <w:rPr>
          <w:kern w:val="2"/>
          <w:szCs w:val="32"/>
        </w:rPr>
        <w:t>——</w:t>
      </w:r>
      <w:r>
        <w:rPr>
          <w:rFonts w:hint="eastAsia"/>
          <w:kern w:val="2"/>
          <w:szCs w:val="32"/>
        </w:rPr>
        <w:t>目标接收到的热通量，单位为千瓦特</w:t>
      </w:r>
      <w:r>
        <w:rPr>
          <w:kern w:val="2"/>
          <w:szCs w:val="32"/>
        </w:rPr>
        <w:t>每平方米（kW/m</w:t>
      </w:r>
      <w:r>
        <w:rPr>
          <w:kern w:val="2"/>
          <w:szCs w:val="32"/>
          <w:vertAlign w:val="superscript"/>
        </w:rPr>
        <w:t>2</w:t>
      </w:r>
      <w:r>
        <w:rPr>
          <w:kern w:val="2"/>
          <w:szCs w:val="32"/>
        </w:rPr>
        <w:t>）</w:t>
      </w:r>
      <w:r>
        <w:rPr>
          <w:rFonts w:hint="eastAsia"/>
          <w:kern w:val="2"/>
          <w:szCs w:val="32"/>
        </w:rPr>
        <w:t>；</w:t>
      </w:r>
    </w:p>
    <w:p w14:paraId="44EECE26">
      <w:pPr>
        <w:widowControl w:val="0"/>
        <w:spacing w:line="240" w:lineRule="auto"/>
        <w:ind w:left="210" w:leftChars="100" w:firstLine="210" w:firstLineChars="100"/>
        <w:textAlignment w:val="auto"/>
        <w:rPr>
          <w:kern w:val="2"/>
          <w:szCs w:val="32"/>
        </w:rPr>
      </w:pPr>
      <w:r>
        <w:rPr>
          <w:i/>
          <w:kern w:val="2"/>
          <w:szCs w:val="32"/>
        </w:rPr>
        <w:t>r</w:t>
      </w:r>
      <w:r>
        <w:rPr>
          <w:kern w:val="2"/>
          <w:szCs w:val="32"/>
        </w:rPr>
        <w:t>——</w:t>
      </w:r>
      <w:r>
        <w:rPr>
          <w:rFonts w:hint="eastAsia"/>
          <w:kern w:val="2"/>
          <w:szCs w:val="32"/>
        </w:rPr>
        <w:t>目标到泄漏中心的水平距离，单位为米</w:t>
      </w:r>
      <w:r>
        <w:rPr>
          <w:kern w:val="2"/>
          <w:szCs w:val="32"/>
        </w:rPr>
        <w:t>（m）</w:t>
      </w:r>
      <w:r>
        <w:rPr>
          <w:rFonts w:hint="eastAsia"/>
          <w:kern w:val="2"/>
          <w:szCs w:val="32"/>
        </w:rPr>
        <w:t>；</w:t>
      </w:r>
    </w:p>
    <w:p w14:paraId="18675B34">
      <w:pPr>
        <w:widowControl w:val="0"/>
        <w:spacing w:line="240" w:lineRule="auto"/>
        <w:ind w:left="210" w:leftChars="100" w:firstLine="210" w:firstLineChars="100"/>
        <w:textAlignment w:val="auto"/>
        <w:rPr>
          <w:kern w:val="2"/>
          <w:szCs w:val="32"/>
        </w:rPr>
      </w:pPr>
      <w:r>
        <w:rPr>
          <w:i/>
          <w:kern w:val="2"/>
          <w:szCs w:val="32"/>
        </w:rPr>
        <w:t>V</w:t>
      </w:r>
      <w:r>
        <w:rPr>
          <w:kern w:val="2"/>
          <w:szCs w:val="32"/>
        </w:rPr>
        <w:t>——</w:t>
      </w:r>
      <w:r>
        <w:rPr>
          <w:rFonts w:hint="eastAsia"/>
          <w:kern w:val="2"/>
          <w:szCs w:val="32"/>
        </w:rPr>
        <w:t>视角系数。</w:t>
      </w:r>
    </w:p>
    <w:p w14:paraId="502293BC">
      <w:pPr>
        <w:widowControl w:val="0"/>
        <w:spacing w:line="240" w:lineRule="auto"/>
        <w:ind w:left="210" w:leftChars="100" w:firstLine="210" w:firstLineChars="100"/>
        <w:textAlignment w:val="auto"/>
        <w:rPr>
          <w:kern w:val="2"/>
          <w:szCs w:val="32"/>
        </w:rPr>
      </w:pPr>
      <w:r>
        <w:rPr>
          <w:kern w:val="2"/>
          <w:szCs w:val="32"/>
        </w:rPr>
        <w:t>e</w:t>
      </w:r>
      <w:r>
        <w:rPr>
          <w:rFonts w:hint="eastAsia"/>
          <w:kern w:val="2"/>
          <w:szCs w:val="32"/>
        </w:rPr>
        <w:t>）视角系数的计算</w:t>
      </w:r>
    </w:p>
    <w:p w14:paraId="598A75D4">
      <w:pPr>
        <w:widowControl w:val="0"/>
        <w:spacing w:line="240" w:lineRule="auto"/>
        <w:ind w:firstLine="420" w:firstLineChars="200"/>
        <w:textAlignment w:val="auto"/>
        <w:rPr>
          <w:kern w:val="2"/>
          <w:szCs w:val="32"/>
        </w:rPr>
      </w:pPr>
      <w:r>
        <w:rPr>
          <w:rFonts w:hint="eastAsia"/>
          <w:kern w:val="2"/>
          <w:szCs w:val="32"/>
        </w:rPr>
        <w:t>视角系数</w:t>
      </w:r>
      <w:r>
        <w:rPr>
          <w:i/>
          <w:kern w:val="2"/>
          <w:szCs w:val="32"/>
        </w:rPr>
        <w:t>V</w:t>
      </w:r>
      <w:r>
        <w:rPr>
          <w:rFonts w:hint="eastAsia"/>
          <w:kern w:val="2"/>
          <w:szCs w:val="32"/>
        </w:rPr>
        <w:t>与目标到火焰垂直轴的距离与火焰半径之比</w:t>
      </w:r>
      <w:r>
        <w:rPr>
          <w:i/>
          <w:kern w:val="2"/>
          <w:szCs w:val="32"/>
        </w:rPr>
        <w:t>s</w:t>
      </w:r>
      <w:r>
        <w:rPr>
          <w:rFonts w:hint="eastAsia"/>
          <w:kern w:val="2"/>
          <w:szCs w:val="32"/>
        </w:rPr>
        <w:t>和火焰高度与直径之比</w:t>
      </w:r>
      <w:r>
        <w:rPr>
          <w:i/>
          <w:kern w:val="2"/>
          <w:szCs w:val="32"/>
        </w:rPr>
        <w:t>h</w:t>
      </w:r>
      <w:r>
        <w:rPr>
          <w:rFonts w:hint="eastAsia"/>
          <w:kern w:val="2"/>
          <w:szCs w:val="32"/>
        </w:rPr>
        <w:t>有关。</w:t>
      </w:r>
    </w:p>
    <w:p w14:paraId="2FD71A63">
      <w:pPr>
        <w:pStyle w:val="163"/>
        <w:tabs>
          <w:tab w:val="right" w:leader="middleDot" w:pos="9450"/>
          <w:tab w:val="clear" w:pos="9660"/>
        </w:tabs>
      </w:pPr>
      <w:r>
        <w:tab/>
      </w:r>
      <w:r>
        <w:object>
          <v:shape id="_x0000_i1061" o:spt="75" type="#_x0000_t75" style="height:21pt;width:63pt;" o:ole="t" fillcolor="#000005" filled="f" o:preferrelative="t" stroked="f" coordsize="21600,21600">
            <v:path/>
            <v:fill on="f" focussize="0,0"/>
            <v:stroke on="f" joinstyle="miter"/>
            <v:imagedata r:id="rId85" o:title=""/>
            <o:lock v:ext="edit" aspectratio="f"/>
            <w10:wrap type="none"/>
            <w10:anchorlock/>
          </v:shape>
          <o:OLEObject Type="Embed" ProgID="Equation.3" ShapeID="_x0000_i1061" DrawAspect="Content" ObjectID="_1468075761" r:id="rId84">
            <o:LockedField>false</o:LockedField>
          </o:OLEObject>
        </w:object>
      </w:r>
      <w:r>
        <w:tab/>
      </w:r>
      <w:r>
        <w:rPr>
          <w:rFonts w:hint="eastAsia"/>
        </w:rPr>
        <w:t>（B</w:t>
      </w:r>
      <w:r>
        <w:t>.</w:t>
      </w:r>
      <w:r>
        <w:rPr>
          <w:rFonts w:hint="eastAsia"/>
        </w:rPr>
        <w:t>17）</w:t>
      </w:r>
    </w:p>
    <w:p w14:paraId="6A1C0FAB">
      <w:pPr>
        <w:pStyle w:val="163"/>
        <w:tabs>
          <w:tab w:val="right" w:leader="middleDot" w:pos="9450"/>
          <w:tab w:val="clear" w:pos="9660"/>
        </w:tabs>
      </w:pPr>
      <w:r>
        <w:tab/>
      </w:r>
      <w:r>
        <w:object>
          <v:shape id="_x0000_i1062" o:spt="75" type="#_x0000_t75" style="height:15.75pt;width:56.25pt;" o:ole="t" fillcolor="#000005" filled="f" o:preferrelative="t" stroked="f" coordsize="21600,21600">
            <v:path/>
            <v:fill on="f" focussize="0,0"/>
            <v:stroke on="f" joinstyle="miter"/>
            <v:imagedata r:id="rId87" o:title=""/>
            <o:lock v:ext="edit" aspectratio="f"/>
            <w10:wrap type="none"/>
            <w10:anchorlock/>
          </v:shape>
          <o:OLEObject Type="Embed" ProgID="Equation.3" ShapeID="_x0000_i1062" DrawAspect="Content" ObjectID="_1468075762" r:id="rId86">
            <o:LockedField>false</o:LockedField>
          </o:OLEObject>
        </w:object>
      </w:r>
      <w:r>
        <w:tab/>
      </w:r>
      <w:r>
        <w:rPr>
          <w:rFonts w:hint="eastAsia"/>
        </w:rPr>
        <w:t>（B</w:t>
      </w:r>
      <w:r>
        <w:t>.</w:t>
      </w:r>
      <w:r>
        <w:rPr>
          <w:rFonts w:hint="eastAsia"/>
        </w:rPr>
        <w:t>18）</w:t>
      </w:r>
    </w:p>
    <w:p w14:paraId="51920CCE">
      <w:pPr>
        <w:pStyle w:val="163"/>
        <w:tabs>
          <w:tab w:val="right" w:leader="middleDot" w:pos="9450"/>
          <w:tab w:val="clear" w:pos="9660"/>
        </w:tabs>
      </w:pPr>
      <w:r>
        <w:tab/>
      </w:r>
      <w:r>
        <w:object>
          <v:shape id="_x0000_i1063" o:spt="75" type="#_x0000_t75" style="height:39.75pt;width:206.25pt;" o:ole="t" fillcolor="#000005" filled="f" o:preferrelative="t" stroked="f" coordsize="21600,21600">
            <v:path/>
            <v:fill on="f" focussize="0,0"/>
            <v:stroke on="f" joinstyle="miter"/>
            <v:imagedata r:id="rId89" o:title=""/>
            <o:lock v:ext="edit" aspectratio="f"/>
            <w10:wrap type="none"/>
            <w10:anchorlock/>
          </v:shape>
          <o:OLEObject Type="Embed" ProgID="Equation.3" ShapeID="_x0000_i1063" DrawAspect="Content" ObjectID="_1468075763" r:id="rId88">
            <o:LockedField>false</o:LockedField>
          </o:OLEObject>
        </w:object>
      </w:r>
      <w:r>
        <w:tab/>
      </w:r>
      <w:r>
        <w:rPr>
          <w:rFonts w:hint="eastAsia"/>
        </w:rPr>
        <w:t>（B</w:t>
      </w:r>
      <w:r>
        <w:t>.</w:t>
      </w:r>
      <w:r>
        <w:rPr>
          <w:rFonts w:hint="eastAsia"/>
        </w:rPr>
        <w:t>19）</w:t>
      </w:r>
    </w:p>
    <w:p w14:paraId="6B021413">
      <w:pPr>
        <w:pStyle w:val="163"/>
        <w:tabs>
          <w:tab w:val="right" w:leader="middleDot" w:pos="9450"/>
          <w:tab w:val="clear" w:pos="9660"/>
        </w:tabs>
      </w:pPr>
      <w:r>
        <w:tab/>
      </w:r>
      <w:r>
        <w:object>
          <v:shape id="_x0000_i1064" o:spt="75" type="#_x0000_t75" style="height:39pt;width:207pt;" o:ole="t" fillcolor="#000005" filled="f" o:preferrelative="t" stroked="f" coordsize="21600,21600">
            <v:path/>
            <v:fill on="f" focussize="0,0"/>
            <v:stroke on="f" joinstyle="miter"/>
            <v:imagedata r:id="rId91" o:title=""/>
            <o:lock v:ext="edit" aspectratio="f"/>
            <w10:wrap type="none"/>
            <w10:anchorlock/>
          </v:shape>
          <o:OLEObject Type="Embed" ProgID="Equation.3" ShapeID="_x0000_i1064" DrawAspect="Content" ObjectID="_1468075764" r:id="rId90">
            <o:LockedField>false</o:LockedField>
          </o:OLEObject>
        </w:object>
      </w:r>
      <w:r>
        <w:tab/>
      </w:r>
      <w:r>
        <w:rPr>
          <w:rFonts w:hint="eastAsia"/>
        </w:rPr>
        <w:t>（B</w:t>
      </w:r>
      <w:r>
        <w:t>.</w:t>
      </w:r>
      <w:r>
        <w:rPr>
          <w:rFonts w:hint="eastAsia"/>
        </w:rPr>
        <w:t>20）</w:t>
      </w:r>
    </w:p>
    <w:p w14:paraId="49C9038E">
      <w:pPr>
        <w:pStyle w:val="163"/>
        <w:tabs>
          <w:tab w:val="right" w:leader="middleDot" w:pos="9450"/>
          <w:tab w:val="clear" w:pos="9660"/>
        </w:tabs>
        <w:rPr>
          <w:szCs w:val="32"/>
        </w:rPr>
      </w:pPr>
      <w:r>
        <w:tab/>
      </w:r>
      <w:r>
        <w:object>
          <v:shape id="_x0000_i1065" o:spt="75" type="#_x0000_t75" style="height:27pt;width:176.25pt;" o:ole="t" fillcolor="#000005" filled="f" o:preferrelative="t" stroked="f" coordsize="21600,21600">
            <v:path/>
            <v:fill on="f" focussize="0,0"/>
            <v:stroke on="f" joinstyle="miter"/>
            <v:imagedata r:id="rId93" o:title=""/>
            <o:lock v:ext="edit" aspectratio="f"/>
            <w10:wrap type="none"/>
            <w10:anchorlock/>
          </v:shape>
          <o:OLEObject Type="Embed" ProgID="Equation.3" ShapeID="_x0000_i1065" DrawAspect="Content" ObjectID="_1468075765" r:id="rId92">
            <o:LockedField>false</o:LockedField>
          </o:OLEObject>
        </w:object>
      </w:r>
      <w:r>
        <w:tab/>
      </w:r>
      <w:r>
        <w:rPr>
          <w:rFonts w:hint="eastAsia"/>
          <w:szCs w:val="32"/>
        </w:rPr>
        <w:t>（B</w:t>
      </w:r>
      <w:r>
        <w:rPr>
          <w:szCs w:val="32"/>
        </w:rPr>
        <w:t>.</w:t>
      </w:r>
      <w:r>
        <w:rPr>
          <w:rFonts w:hint="eastAsia"/>
          <w:szCs w:val="32"/>
        </w:rPr>
        <w:t>21）</w:t>
      </w:r>
    </w:p>
    <w:p w14:paraId="3F9A32BB">
      <w:pPr>
        <w:pStyle w:val="163"/>
        <w:tabs>
          <w:tab w:val="right" w:leader="middleDot" w:pos="9450"/>
          <w:tab w:val="clear" w:pos="9660"/>
        </w:tabs>
      </w:pPr>
      <w:r>
        <w:tab/>
      </w:r>
      <w:r>
        <w:object>
          <v:shape id="_x0000_i1066" o:spt="75" type="#_x0000_t75" style="height:39pt;width:161.25pt;" o:ole="t" fillcolor="#000005" filled="f" o:preferrelative="t" stroked="f" coordsize="21600,21600">
            <v:path/>
            <v:fill on="f" focussize="0,0"/>
            <v:stroke on="f" joinstyle="miter"/>
            <v:imagedata r:id="rId95" o:title=""/>
            <o:lock v:ext="edit" aspectratio="f"/>
            <w10:wrap type="none"/>
            <w10:anchorlock/>
          </v:shape>
          <o:OLEObject Type="Embed" ProgID="Equation.3" ShapeID="_x0000_i1066" DrawAspect="Content" ObjectID="_1468075766" r:id="rId94">
            <o:LockedField>false</o:LockedField>
          </o:OLEObject>
        </w:object>
      </w:r>
      <w:r>
        <w:tab/>
      </w:r>
      <w:r>
        <w:rPr>
          <w:rFonts w:hint="eastAsia"/>
        </w:rPr>
        <w:t>（B</w:t>
      </w:r>
      <w:r>
        <w:t>.</w:t>
      </w:r>
      <w:r>
        <w:rPr>
          <w:rFonts w:hint="eastAsia"/>
        </w:rPr>
        <w:t>22）</w:t>
      </w:r>
    </w:p>
    <w:p w14:paraId="1999091A">
      <w:pPr>
        <w:pStyle w:val="163"/>
        <w:tabs>
          <w:tab w:val="right" w:leader="middleDot" w:pos="9450"/>
          <w:tab w:val="clear" w:pos="9660"/>
        </w:tabs>
      </w:pPr>
      <w:r>
        <w:tab/>
      </w:r>
      <w:r>
        <w:object>
          <v:shape id="_x0000_i1067" o:spt="75" type="#_x0000_t75" style="height:18.75pt;width:114pt;" o:ole="t" fillcolor="#000005" filled="f" o:preferrelative="t" stroked="f" coordsize="21600,21600">
            <v:path/>
            <v:fill on="f" focussize="0,0"/>
            <v:stroke on="f" joinstyle="miter"/>
            <v:imagedata r:id="rId97" o:title=""/>
            <o:lock v:ext="edit" aspectratio="f"/>
            <w10:wrap type="none"/>
            <w10:anchorlock/>
          </v:shape>
          <o:OLEObject Type="Embed" ProgID="Equation.3" ShapeID="_x0000_i1067" DrawAspect="Content" ObjectID="_1468075767" r:id="rId96">
            <o:LockedField>false</o:LockedField>
          </o:OLEObject>
        </w:object>
      </w:r>
      <w:r>
        <w:tab/>
      </w:r>
      <w:r>
        <w:rPr>
          <w:rFonts w:hint="eastAsia"/>
        </w:rPr>
        <w:t>（B</w:t>
      </w:r>
      <w:r>
        <w:t>.</w:t>
      </w:r>
      <w:r>
        <w:rPr>
          <w:rFonts w:hint="eastAsia"/>
        </w:rPr>
        <w:t>23）</w:t>
      </w:r>
    </w:p>
    <w:p w14:paraId="1EFEE3C5">
      <w:pPr>
        <w:pStyle w:val="163"/>
        <w:tabs>
          <w:tab w:val="right" w:leader="middleDot" w:pos="9450"/>
          <w:tab w:val="clear" w:pos="9660"/>
        </w:tabs>
      </w:pPr>
      <w:r>
        <w:tab/>
      </w:r>
      <w:r>
        <w:object>
          <v:shape id="_x0000_i1068" o:spt="75" type="#_x0000_t75" style="height:18.75pt;width:89.25pt;" o:ole="t" fillcolor="#000005" filled="f" o:preferrelative="t" stroked="f" coordsize="21600,21600">
            <v:path/>
            <v:fill on="f" focussize="0,0"/>
            <v:stroke on="f" joinstyle="miter"/>
            <v:imagedata r:id="rId99" o:title=""/>
            <o:lock v:ext="edit" aspectratio="f"/>
            <w10:wrap type="none"/>
            <w10:anchorlock/>
          </v:shape>
          <o:OLEObject Type="Embed" ProgID="Equation.3" ShapeID="_x0000_i1068" DrawAspect="Content" ObjectID="_1468075768" r:id="rId98">
            <o:LockedField>false</o:LockedField>
          </o:OLEObject>
        </w:object>
      </w:r>
      <w:r>
        <w:tab/>
      </w:r>
      <w:r>
        <w:rPr>
          <w:rFonts w:hint="eastAsia"/>
        </w:rPr>
        <w:t>（B</w:t>
      </w:r>
      <w:r>
        <w:t>.</w:t>
      </w:r>
      <w:r>
        <w:rPr>
          <w:rFonts w:hint="eastAsia"/>
        </w:rPr>
        <w:t>24）</w:t>
      </w:r>
    </w:p>
    <w:p w14:paraId="3374AE52">
      <w:pPr>
        <w:pStyle w:val="163"/>
        <w:tabs>
          <w:tab w:val="right" w:leader="middleDot" w:pos="9450"/>
          <w:tab w:val="clear" w:pos="9660"/>
        </w:tabs>
      </w:pPr>
      <w:r>
        <w:tab/>
      </w:r>
      <w:r>
        <w:object>
          <v:shape id="_x0000_i1069" o:spt="75" type="#_x0000_t75" style="height:18.75pt;width:69pt;" o:ole="t" fillcolor="#000005" filled="f" o:preferrelative="t" stroked="f" coordsize="21600,21600">
            <v:path/>
            <v:fill on="f" focussize="0,0"/>
            <v:stroke on="f" joinstyle="miter"/>
            <v:imagedata r:id="rId101" o:title=""/>
            <o:lock v:ext="edit" aspectratio="f"/>
            <w10:wrap type="none"/>
            <w10:anchorlock/>
          </v:shape>
          <o:OLEObject Type="Embed" ProgID="Equation.3" ShapeID="_x0000_i1069" DrawAspect="Content" ObjectID="_1468075769" r:id="rId100">
            <o:LockedField>false</o:LockedField>
          </o:OLEObject>
        </w:object>
      </w:r>
      <w:r>
        <w:tab/>
      </w:r>
      <w:r>
        <w:rPr>
          <w:rFonts w:hint="eastAsia"/>
        </w:rPr>
        <w:t>（B</w:t>
      </w:r>
      <w:r>
        <w:t>.</w:t>
      </w:r>
      <w:r>
        <w:rPr>
          <w:rFonts w:hint="eastAsia"/>
        </w:rPr>
        <w:t>25）</w:t>
      </w:r>
    </w:p>
    <w:p w14:paraId="1E504AA5">
      <w:pPr>
        <w:widowControl w:val="0"/>
        <w:spacing w:line="240" w:lineRule="auto"/>
        <w:ind w:firstLine="420" w:firstLineChars="200"/>
        <w:textAlignment w:val="auto"/>
        <w:rPr>
          <w:kern w:val="2"/>
          <w:szCs w:val="32"/>
          <w:lang w:val="es-ES"/>
        </w:rPr>
      </w:pPr>
      <w:r>
        <w:rPr>
          <w:rFonts w:hint="eastAsia"/>
          <w:kern w:val="2"/>
          <w:szCs w:val="32"/>
        </w:rPr>
        <w:t>式中</w:t>
      </w:r>
      <w:r>
        <w:rPr>
          <w:rFonts w:hint="eastAsia"/>
          <w:kern w:val="2"/>
          <w:szCs w:val="32"/>
          <w:lang w:val="es-ES"/>
        </w:rPr>
        <w:t>：</w:t>
      </w:r>
    </w:p>
    <w:p w14:paraId="094C6107">
      <w:pPr>
        <w:widowControl w:val="0"/>
        <w:spacing w:line="240" w:lineRule="auto"/>
        <w:ind w:firstLine="420" w:firstLineChars="200"/>
        <w:textAlignment w:val="auto"/>
        <w:rPr>
          <w:kern w:val="2"/>
          <w:szCs w:val="32"/>
          <w:lang w:val="es-ES"/>
        </w:rPr>
      </w:pPr>
      <w:r>
        <w:rPr>
          <w:i/>
          <w:kern w:val="2"/>
          <w:szCs w:val="32"/>
          <w:lang w:val="es-ES"/>
        </w:rPr>
        <w:t>S</w:t>
      </w:r>
      <w:r>
        <w:rPr>
          <w:kern w:val="2"/>
          <w:szCs w:val="32"/>
          <w:lang w:val="es-ES"/>
        </w:rPr>
        <w:t>——</w:t>
      </w:r>
      <w:r>
        <w:rPr>
          <w:rFonts w:hint="eastAsia"/>
          <w:kern w:val="2"/>
          <w:szCs w:val="32"/>
        </w:rPr>
        <w:t>目标到火焰垂直轴的距离与火焰半径之比</w:t>
      </w:r>
      <w:r>
        <w:rPr>
          <w:rFonts w:hint="eastAsia"/>
          <w:kern w:val="2"/>
          <w:szCs w:val="32"/>
          <w:lang w:val="es-ES"/>
        </w:rPr>
        <w:t>；</w:t>
      </w:r>
    </w:p>
    <w:p w14:paraId="52330F27">
      <w:pPr>
        <w:widowControl w:val="0"/>
        <w:spacing w:line="240" w:lineRule="auto"/>
        <w:ind w:firstLine="420" w:firstLineChars="200"/>
        <w:textAlignment w:val="auto"/>
        <w:rPr>
          <w:kern w:val="2"/>
          <w:szCs w:val="32"/>
          <w:lang w:val="es-ES"/>
        </w:rPr>
      </w:pPr>
      <w:r>
        <w:rPr>
          <w:i/>
          <w:kern w:val="2"/>
          <w:szCs w:val="32"/>
          <w:lang w:val="es-ES"/>
        </w:rPr>
        <w:t>h</w:t>
      </w:r>
      <w:r>
        <w:rPr>
          <w:kern w:val="2"/>
          <w:szCs w:val="32"/>
          <w:lang w:val="es-ES"/>
        </w:rPr>
        <w:t>——</w:t>
      </w:r>
      <w:r>
        <w:rPr>
          <w:rFonts w:hint="eastAsia"/>
          <w:kern w:val="2"/>
          <w:szCs w:val="32"/>
        </w:rPr>
        <w:t>火焰高度与直径之比</w:t>
      </w:r>
      <w:r>
        <w:rPr>
          <w:rFonts w:hint="eastAsia"/>
          <w:kern w:val="2"/>
          <w:szCs w:val="32"/>
          <w:lang w:val="es-ES"/>
        </w:rPr>
        <w:t>；</w:t>
      </w:r>
    </w:p>
    <w:p w14:paraId="0BD91B32">
      <w:pPr>
        <w:widowControl w:val="0"/>
        <w:spacing w:line="240" w:lineRule="auto"/>
        <w:ind w:firstLine="420" w:firstLineChars="200"/>
        <w:textAlignment w:val="auto"/>
        <w:rPr>
          <w:kern w:val="2"/>
          <w:szCs w:val="32"/>
        </w:rPr>
      </w:pPr>
      <w:r>
        <w:rPr>
          <w:i/>
          <w:kern w:val="2"/>
          <w:szCs w:val="32"/>
        </w:rPr>
        <w:t>A</w:t>
      </w:r>
      <w:r>
        <w:rPr>
          <w:rFonts w:hint="eastAsia"/>
          <w:kern w:val="2"/>
          <w:szCs w:val="32"/>
        </w:rPr>
        <w:t>、</w:t>
      </w:r>
      <w:r>
        <w:rPr>
          <w:i/>
          <w:kern w:val="2"/>
          <w:szCs w:val="32"/>
        </w:rPr>
        <w:t>B</w:t>
      </w:r>
      <w:r>
        <w:rPr>
          <w:rFonts w:hint="eastAsia"/>
          <w:kern w:val="2"/>
          <w:szCs w:val="32"/>
        </w:rPr>
        <w:t>、</w:t>
      </w:r>
      <w:r>
        <w:rPr>
          <w:i/>
          <w:kern w:val="2"/>
          <w:szCs w:val="32"/>
        </w:rPr>
        <w:t>J</w:t>
      </w:r>
      <w:r>
        <w:rPr>
          <w:rFonts w:hint="eastAsia"/>
          <w:kern w:val="2"/>
          <w:szCs w:val="32"/>
        </w:rPr>
        <w:t>、</w:t>
      </w:r>
      <w:r>
        <w:rPr>
          <w:i/>
          <w:kern w:val="2"/>
          <w:szCs w:val="32"/>
        </w:rPr>
        <w:t>K</w:t>
      </w:r>
      <w:r>
        <w:rPr>
          <w:rFonts w:hint="eastAsia"/>
          <w:kern w:val="2"/>
          <w:szCs w:val="32"/>
        </w:rPr>
        <w:t>、</w:t>
      </w:r>
      <w:r>
        <w:rPr>
          <w:i/>
          <w:kern w:val="2"/>
          <w:szCs w:val="32"/>
        </w:rPr>
        <w:t>V</w:t>
      </w:r>
      <w:r>
        <w:rPr>
          <w:i/>
          <w:kern w:val="2"/>
          <w:szCs w:val="32"/>
          <w:vertAlign w:val="subscript"/>
        </w:rPr>
        <w:t>H</w:t>
      </w:r>
      <w:r>
        <w:rPr>
          <w:rFonts w:hint="eastAsia"/>
          <w:kern w:val="2"/>
          <w:szCs w:val="32"/>
        </w:rPr>
        <w:t>、</w:t>
      </w:r>
      <w:r>
        <w:rPr>
          <w:i/>
          <w:kern w:val="2"/>
          <w:szCs w:val="32"/>
        </w:rPr>
        <w:t>V</w:t>
      </w:r>
      <w:r>
        <w:rPr>
          <w:i/>
          <w:kern w:val="2"/>
          <w:szCs w:val="32"/>
          <w:vertAlign w:val="subscript"/>
        </w:rPr>
        <w:t>V</w:t>
      </w:r>
      <w:r>
        <w:rPr>
          <w:kern w:val="2"/>
          <w:szCs w:val="32"/>
        </w:rPr>
        <w:t>——</w:t>
      </w:r>
      <w:r>
        <w:rPr>
          <w:rFonts w:hint="eastAsia"/>
          <w:kern w:val="2"/>
          <w:szCs w:val="32"/>
        </w:rPr>
        <w:t>描述方便而引入的中间变量。</w:t>
      </w:r>
    </w:p>
    <w:p w14:paraId="22F50058">
      <w:pPr>
        <w:spacing w:before="156" w:beforeLines="50" w:after="156" w:afterLines="50" w:line="240" w:lineRule="auto"/>
        <w:jc w:val="left"/>
        <w:textAlignment w:val="auto"/>
        <w:rPr>
          <w:rFonts w:hint="eastAsia" w:hAnsi="宋体"/>
          <w:kern w:val="2"/>
          <w:szCs w:val="32"/>
        </w:rPr>
      </w:pPr>
      <w:r>
        <w:rPr>
          <w:rFonts w:hint="eastAsia" w:hAnsi="宋体"/>
          <w:kern w:val="2"/>
          <w:szCs w:val="32"/>
        </w:rPr>
        <w:t>B.5.1.6.2 喷射火计算</w:t>
      </w:r>
    </w:p>
    <w:p w14:paraId="2C1AE5C5">
      <w:pPr>
        <w:spacing w:before="156" w:beforeLines="50" w:after="156" w:afterLines="50" w:line="240" w:lineRule="auto"/>
        <w:jc w:val="left"/>
        <w:textAlignment w:val="auto"/>
        <w:rPr>
          <w:rFonts w:hint="eastAsia" w:hAnsi="宋体"/>
          <w:kern w:val="2"/>
          <w:szCs w:val="32"/>
        </w:rPr>
      </w:pPr>
      <w:r>
        <w:rPr>
          <w:rFonts w:hint="eastAsia" w:hAnsi="宋体"/>
          <w:kern w:val="2"/>
          <w:szCs w:val="32"/>
        </w:rPr>
        <w:t>B.5.1.6.2.1  垂直方向喷射火计算</w:t>
      </w:r>
    </w:p>
    <w:p w14:paraId="1EED7A14">
      <w:pPr>
        <w:widowControl w:val="0"/>
        <w:spacing w:line="240" w:lineRule="auto"/>
        <w:ind w:firstLine="420" w:firstLineChars="200"/>
        <w:textAlignment w:val="auto"/>
        <w:rPr>
          <w:rFonts w:ascii="宋体"/>
          <w:kern w:val="2"/>
          <w:szCs w:val="21"/>
        </w:rPr>
      </w:pPr>
      <w:r>
        <w:rPr>
          <w:rFonts w:hint="eastAsia" w:ascii="宋体" w:hAnsi="宋体"/>
          <w:kern w:val="2"/>
          <w:szCs w:val="21"/>
        </w:rPr>
        <w:t>垂直方向喷射火热辐射通量计算步骤如下：</w:t>
      </w:r>
    </w:p>
    <w:p w14:paraId="17711DFF">
      <w:pPr>
        <w:widowControl w:val="0"/>
        <w:spacing w:line="240" w:lineRule="auto"/>
        <w:ind w:firstLine="420"/>
        <w:textAlignment w:val="auto"/>
        <w:rPr>
          <w:rFonts w:ascii="宋体"/>
          <w:kern w:val="2"/>
          <w:szCs w:val="24"/>
        </w:rPr>
      </w:pPr>
      <w:r>
        <w:rPr>
          <w:kern w:val="2"/>
          <w:szCs w:val="24"/>
        </w:rPr>
        <w:t>a</w:t>
      </w:r>
      <w:r>
        <w:rPr>
          <w:rFonts w:hint="eastAsia" w:hAnsi="宋体"/>
          <w:kern w:val="2"/>
          <w:szCs w:val="24"/>
        </w:rPr>
        <w:t>）</w:t>
      </w:r>
      <w:r>
        <w:rPr>
          <w:rFonts w:hint="eastAsia" w:ascii="宋体" w:hAnsi="宋体"/>
          <w:kern w:val="2"/>
          <w:szCs w:val="24"/>
        </w:rPr>
        <w:t>火焰长度的计算</w:t>
      </w:r>
    </w:p>
    <w:p w14:paraId="6998731C">
      <w:pPr>
        <w:widowControl w:val="0"/>
        <w:spacing w:line="240" w:lineRule="auto"/>
        <w:ind w:firstLine="420" w:firstLineChars="200"/>
        <w:textAlignment w:val="auto"/>
        <w:rPr>
          <w:rFonts w:ascii="宋体"/>
          <w:kern w:val="2"/>
          <w:szCs w:val="24"/>
        </w:rPr>
      </w:pPr>
      <w:r>
        <w:rPr>
          <w:rFonts w:hint="eastAsia" w:ascii="宋体" w:hAnsi="宋体"/>
          <w:kern w:val="2"/>
          <w:szCs w:val="24"/>
        </w:rPr>
        <w:t>火焰长度按式</w:t>
      </w:r>
      <w:r>
        <w:rPr>
          <w:rFonts w:hint="eastAsia"/>
          <w:kern w:val="2"/>
          <w:szCs w:val="21"/>
          <w:lang w:val="es-ES"/>
        </w:rPr>
        <w:t>（</w:t>
      </w:r>
      <w:r>
        <w:rPr>
          <w:rFonts w:hint="eastAsia"/>
          <w:kern w:val="2"/>
          <w:szCs w:val="21"/>
        </w:rPr>
        <w:t>B</w:t>
      </w:r>
      <w:r>
        <w:rPr>
          <w:kern w:val="2"/>
          <w:szCs w:val="21"/>
          <w:lang w:val="es-ES"/>
        </w:rPr>
        <w:t>.</w:t>
      </w:r>
      <w:r>
        <w:rPr>
          <w:rFonts w:hint="eastAsia"/>
          <w:kern w:val="2"/>
          <w:szCs w:val="21"/>
        </w:rPr>
        <w:t>26</w:t>
      </w:r>
      <w:r>
        <w:rPr>
          <w:rFonts w:hint="eastAsia"/>
          <w:kern w:val="2"/>
          <w:szCs w:val="21"/>
          <w:lang w:val="es-ES"/>
        </w:rPr>
        <w:t>）</w:t>
      </w:r>
      <w:r>
        <w:rPr>
          <w:rFonts w:hint="eastAsia" w:ascii="宋体" w:hAnsi="宋体"/>
          <w:kern w:val="2"/>
          <w:szCs w:val="24"/>
        </w:rPr>
        <w:t>计算：</w:t>
      </w:r>
    </w:p>
    <w:p w14:paraId="1884F136">
      <w:pPr>
        <w:pStyle w:val="163"/>
        <w:tabs>
          <w:tab w:val="right" w:leader="middleDot" w:pos="9450"/>
          <w:tab w:val="clear" w:pos="9660"/>
        </w:tabs>
      </w:pPr>
      <w:r>
        <w:tab/>
      </w:r>
      <w:r>
        <w:object>
          <v:shape id="_x0000_i1070" o:spt="75" type="#_x0000_t75" style="height:41.25pt;width:158.25pt;" o:ole="t" filled="f" o:preferrelative="t" stroked="f" coordsize="21600,21600">
            <v:path/>
            <v:fill on="f" focussize="0,0"/>
            <v:stroke on="f" joinstyle="miter"/>
            <v:imagedata r:id="rId103" o:title=""/>
            <o:lock v:ext="edit" aspectratio="f"/>
            <w10:wrap type="none"/>
            <w10:anchorlock/>
          </v:shape>
          <o:OLEObject Type="Embed" ProgID="Equation.3" ShapeID="_x0000_i1070" DrawAspect="Content" ObjectID="_1468075770" r:id="rId102">
            <o:LockedField>false</o:LockedField>
          </o:OLEObject>
        </w:object>
      </w:r>
      <w:r>
        <w:tab/>
      </w:r>
      <w:r>
        <w:rPr>
          <w:rFonts w:hint="eastAsia"/>
        </w:rPr>
        <w:t>（</w:t>
      </w:r>
      <w:r>
        <w:rPr>
          <w:rFonts w:hint="eastAsia"/>
          <w:lang w:val="en-US"/>
        </w:rPr>
        <w:t>B</w:t>
      </w:r>
      <w:r>
        <w:t>.</w:t>
      </w:r>
      <w:r>
        <w:rPr>
          <w:rFonts w:hint="eastAsia"/>
          <w:lang w:val="en-US"/>
        </w:rPr>
        <w:t>26</w:t>
      </w:r>
      <w:r>
        <w:rPr>
          <w:rFonts w:hint="eastAsia"/>
        </w:rPr>
        <w:t>）</w:t>
      </w:r>
    </w:p>
    <w:p w14:paraId="3F2657A5">
      <w:pPr>
        <w:widowControl w:val="0"/>
        <w:spacing w:line="240" w:lineRule="auto"/>
        <w:ind w:firstLine="420" w:firstLineChars="200"/>
        <w:textAlignment w:val="auto"/>
        <w:rPr>
          <w:rFonts w:ascii="宋体"/>
          <w:kern w:val="2"/>
          <w:szCs w:val="24"/>
        </w:rPr>
      </w:pPr>
      <w:r>
        <w:rPr>
          <w:rFonts w:hint="eastAsia" w:ascii="宋体" w:hAnsi="宋体"/>
          <w:kern w:val="2"/>
          <w:szCs w:val="24"/>
        </w:rPr>
        <w:t>式中：</w:t>
      </w:r>
    </w:p>
    <w:p w14:paraId="3CFD232B">
      <w:pPr>
        <w:widowControl w:val="0"/>
        <w:spacing w:line="240" w:lineRule="auto"/>
        <w:ind w:firstLine="420"/>
        <w:textAlignment w:val="auto"/>
        <w:rPr>
          <w:rFonts w:ascii="宋体"/>
          <w:kern w:val="2"/>
          <w:szCs w:val="24"/>
        </w:rPr>
      </w:pPr>
      <w:r>
        <w:rPr>
          <w:rFonts w:ascii="宋体" w:hAnsi="宋体"/>
          <w:i/>
          <w:kern w:val="2"/>
          <w:szCs w:val="24"/>
        </w:rPr>
        <w:t>L</w:t>
      </w:r>
      <w:r>
        <w:rPr>
          <w:kern w:val="2"/>
          <w:szCs w:val="24"/>
        </w:rPr>
        <w:t>——</w:t>
      </w:r>
      <w:r>
        <w:rPr>
          <w:rFonts w:hint="eastAsia" w:ascii="宋体" w:hAnsi="宋体"/>
          <w:kern w:val="2"/>
          <w:szCs w:val="24"/>
        </w:rPr>
        <w:t>火焰长度，单位为米</w:t>
      </w:r>
      <w:r>
        <w:rPr>
          <w:rFonts w:ascii="宋体" w:hAnsi="宋体"/>
          <w:kern w:val="2"/>
          <w:szCs w:val="24"/>
        </w:rPr>
        <w:t>（</w:t>
      </w:r>
      <w:r>
        <w:rPr>
          <w:kern w:val="2"/>
          <w:szCs w:val="24"/>
        </w:rPr>
        <w:t>m</w:t>
      </w:r>
      <w:r>
        <w:rPr>
          <w:rFonts w:ascii="宋体" w:hAnsi="宋体"/>
          <w:kern w:val="2"/>
          <w:szCs w:val="24"/>
        </w:rPr>
        <w:t>）</w:t>
      </w:r>
      <w:r>
        <w:rPr>
          <w:rFonts w:hint="eastAsia" w:hAnsi="宋体"/>
          <w:kern w:val="2"/>
          <w:szCs w:val="24"/>
        </w:rPr>
        <w:t>；</w:t>
      </w:r>
    </w:p>
    <w:p w14:paraId="563AF45F">
      <w:pPr>
        <w:widowControl w:val="0"/>
        <w:spacing w:line="240" w:lineRule="auto"/>
        <w:ind w:firstLine="420"/>
        <w:textAlignment w:val="auto"/>
        <w:rPr>
          <w:kern w:val="2"/>
          <w:szCs w:val="24"/>
        </w:rPr>
      </w:pPr>
      <w:r>
        <w:rPr>
          <w:i/>
          <w:kern w:val="2"/>
          <w:szCs w:val="24"/>
        </w:rPr>
        <w:t>d</w:t>
      </w:r>
      <w:r>
        <w:rPr>
          <w:i/>
          <w:kern w:val="2"/>
          <w:szCs w:val="24"/>
          <w:vertAlign w:val="subscript"/>
        </w:rPr>
        <w:t>j</w:t>
      </w:r>
      <w:r>
        <w:rPr>
          <w:kern w:val="2"/>
          <w:szCs w:val="24"/>
        </w:rPr>
        <w:t>——</w:t>
      </w:r>
      <w:r>
        <w:rPr>
          <w:rFonts w:hint="eastAsia"/>
          <w:kern w:val="2"/>
          <w:szCs w:val="24"/>
        </w:rPr>
        <w:t>管道直径，单位为米</w:t>
      </w:r>
      <w:r>
        <w:rPr>
          <w:kern w:val="2"/>
          <w:szCs w:val="24"/>
        </w:rPr>
        <w:t>（m）</w:t>
      </w:r>
      <w:r>
        <w:rPr>
          <w:rFonts w:hint="eastAsia"/>
          <w:kern w:val="2"/>
          <w:szCs w:val="24"/>
        </w:rPr>
        <w:t>；</w:t>
      </w:r>
    </w:p>
    <w:p w14:paraId="2EBDD2DB">
      <w:pPr>
        <w:widowControl w:val="0"/>
        <w:spacing w:line="240" w:lineRule="auto"/>
        <w:ind w:firstLine="420"/>
        <w:textAlignment w:val="auto"/>
        <w:rPr>
          <w:kern w:val="2"/>
          <w:szCs w:val="24"/>
        </w:rPr>
      </w:pPr>
      <w:r>
        <w:rPr>
          <w:i/>
          <w:kern w:val="2"/>
          <w:szCs w:val="24"/>
        </w:rPr>
        <w:t>C</w:t>
      </w:r>
      <w:r>
        <w:rPr>
          <w:i/>
          <w:kern w:val="2"/>
          <w:szCs w:val="24"/>
          <w:vertAlign w:val="subscript"/>
        </w:rPr>
        <w:t>T</w:t>
      </w:r>
      <w:r>
        <w:rPr>
          <w:kern w:val="2"/>
          <w:szCs w:val="24"/>
        </w:rPr>
        <w:t>——</w:t>
      </w:r>
      <w:r>
        <w:rPr>
          <w:rFonts w:hint="eastAsia"/>
          <w:kern w:val="2"/>
          <w:szCs w:val="24"/>
        </w:rPr>
        <w:t>燃料</w:t>
      </w:r>
      <w:r>
        <w:rPr>
          <w:kern w:val="2"/>
          <w:szCs w:val="24"/>
        </w:rPr>
        <w:t>-</w:t>
      </w:r>
      <w:r>
        <w:rPr>
          <w:rFonts w:hint="eastAsia"/>
          <w:kern w:val="2"/>
          <w:szCs w:val="24"/>
        </w:rPr>
        <w:t>空气计算化学反应中燃料的摩尔系数；</w:t>
      </w:r>
    </w:p>
    <w:p w14:paraId="434ED614">
      <w:pPr>
        <w:widowControl w:val="0"/>
        <w:spacing w:line="240" w:lineRule="auto"/>
        <w:ind w:firstLine="420"/>
        <w:textAlignment w:val="auto"/>
        <w:rPr>
          <w:kern w:val="2"/>
          <w:szCs w:val="24"/>
        </w:rPr>
      </w:pPr>
      <w:r>
        <w:rPr>
          <w:i/>
          <w:kern w:val="2"/>
          <w:szCs w:val="24"/>
        </w:rPr>
        <w:t>T</w:t>
      </w:r>
      <w:r>
        <w:rPr>
          <w:i/>
          <w:kern w:val="2"/>
          <w:szCs w:val="24"/>
          <w:vertAlign w:val="subscript"/>
        </w:rPr>
        <w:t>f</w:t>
      </w:r>
      <w:r>
        <w:rPr>
          <w:kern w:val="2"/>
          <w:szCs w:val="24"/>
        </w:rPr>
        <w:t>——</w:t>
      </w:r>
      <w:r>
        <w:rPr>
          <w:rFonts w:hint="eastAsia"/>
          <w:kern w:val="2"/>
          <w:szCs w:val="24"/>
        </w:rPr>
        <w:t>燃烧火焰的绝热温度，单位为开尔文</w:t>
      </w:r>
      <w:r>
        <w:rPr>
          <w:kern w:val="2"/>
          <w:szCs w:val="24"/>
        </w:rPr>
        <w:t>（K）</w:t>
      </w:r>
      <w:r>
        <w:rPr>
          <w:rFonts w:hint="eastAsia"/>
          <w:kern w:val="2"/>
          <w:szCs w:val="24"/>
        </w:rPr>
        <w:t>；</w:t>
      </w:r>
    </w:p>
    <w:p w14:paraId="427791C9">
      <w:pPr>
        <w:widowControl w:val="0"/>
        <w:spacing w:line="240" w:lineRule="auto"/>
        <w:ind w:firstLine="420"/>
        <w:textAlignment w:val="auto"/>
        <w:rPr>
          <w:kern w:val="2"/>
          <w:szCs w:val="24"/>
        </w:rPr>
      </w:pPr>
      <w:r>
        <w:rPr>
          <w:i/>
          <w:kern w:val="2"/>
          <w:szCs w:val="24"/>
        </w:rPr>
        <w:t>T</w:t>
      </w:r>
      <w:r>
        <w:rPr>
          <w:i/>
          <w:kern w:val="2"/>
          <w:szCs w:val="24"/>
          <w:vertAlign w:val="subscript"/>
        </w:rPr>
        <w:t>j</w:t>
      </w:r>
      <w:r>
        <w:rPr>
          <w:kern w:val="2"/>
          <w:szCs w:val="24"/>
        </w:rPr>
        <w:t>——</w:t>
      </w:r>
      <w:r>
        <w:rPr>
          <w:rFonts w:hint="eastAsia"/>
          <w:kern w:val="2"/>
          <w:szCs w:val="24"/>
        </w:rPr>
        <w:t>喷射流体的绝热温度，单位为开尔文</w:t>
      </w:r>
      <w:r>
        <w:rPr>
          <w:kern w:val="2"/>
          <w:szCs w:val="24"/>
        </w:rPr>
        <w:t>（K）</w:t>
      </w:r>
      <w:r>
        <w:rPr>
          <w:rFonts w:hint="eastAsia"/>
          <w:kern w:val="2"/>
          <w:szCs w:val="24"/>
        </w:rPr>
        <w:t>；</w:t>
      </w:r>
    </w:p>
    <w:p w14:paraId="0020A1AB">
      <w:pPr>
        <w:widowControl w:val="0"/>
        <w:spacing w:line="240" w:lineRule="auto"/>
        <w:ind w:firstLine="420"/>
        <w:textAlignment w:val="auto"/>
        <w:rPr>
          <w:kern w:val="2"/>
          <w:szCs w:val="24"/>
        </w:rPr>
      </w:pPr>
      <w:r>
        <w:rPr>
          <w:kern w:val="2"/>
          <w:szCs w:val="24"/>
        </w:rPr>
        <w:t>α</w:t>
      </w:r>
      <w:r>
        <w:rPr>
          <w:kern w:val="2"/>
          <w:szCs w:val="24"/>
          <w:vertAlign w:val="subscript"/>
        </w:rPr>
        <w:t>T</w:t>
      </w:r>
      <w:r>
        <w:rPr>
          <w:kern w:val="2"/>
          <w:szCs w:val="24"/>
        </w:rPr>
        <w:t>——</w:t>
      </w:r>
      <w:r>
        <w:rPr>
          <w:rFonts w:hint="eastAsia"/>
          <w:kern w:val="2"/>
          <w:szCs w:val="24"/>
        </w:rPr>
        <w:t>燃料</w:t>
      </w:r>
      <w:r>
        <w:rPr>
          <w:kern w:val="2"/>
          <w:szCs w:val="24"/>
        </w:rPr>
        <w:t>-</w:t>
      </w:r>
      <w:r>
        <w:rPr>
          <w:rFonts w:hint="eastAsia"/>
          <w:kern w:val="2"/>
          <w:szCs w:val="24"/>
        </w:rPr>
        <w:t>空气计量化学反应中产生每摩尔燃烧产物所需反应物的摩尔数；</w:t>
      </w:r>
    </w:p>
    <w:p w14:paraId="7EE6C1D5">
      <w:pPr>
        <w:widowControl w:val="0"/>
        <w:spacing w:line="240" w:lineRule="auto"/>
        <w:ind w:firstLine="420"/>
        <w:textAlignment w:val="auto"/>
        <w:rPr>
          <w:kern w:val="2"/>
          <w:szCs w:val="24"/>
        </w:rPr>
      </w:pPr>
      <w:r>
        <w:rPr>
          <w:i/>
          <w:kern w:val="2"/>
          <w:szCs w:val="24"/>
        </w:rPr>
        <w:t>M</w:t>
      </w:r>
      <w:r>
        <w:rPr>
          <w:i/>
          <w:kern w:val="2"/>
          <w:szCs w:val="24"/>
          <w:vertAlign w:val="subscript"/>
        </w:rPr>
        <w:t>a</w:t>
      </w:r>
      <w:r>
        <w:rPr>
          <w:kern w:val="2"/>
          <w:szCs w:val="24"/>
        </w:rPr>
        <w:t>——</w:t>
      </w:r>
      <w:r>
        <w:rPr>
          <w:rFonts w:hint="eastAsia"/>
          <w:kern w:val="2"/>
          <w:szCs w:val="24"/>
        </w:rPr>
        <w:t>空气的摩尔质量，单位为克每</w:t>
      </w:r>
      <w:r>
        <w:rPr>
          <w:kern w:val="2"/>
          <w:szCs w:val="24"/>
        </w:rPr>
        <w:t>摩尔（g/mol）</w:t>
      </w:r>
      <w:r>
        <w:rPr>
          <w:rFonts w:hint="eastAsia"/>
          <w:kern w:val="2"/>
          <w:szCs w:val="24"/>
        </w:rPr>
        <w:t>；</w:t>
      </w:r>
    </w:p>
    <w:p w14:paraId="75A708BB">
      <w:pPr>
        <w:widowControl w:val="0"/>
        <w:spacing w:line="240" w:lineRule="auto"/>
        <w:ind w:firstLine="420"/>
        <w:textAlignment w:val="auto"/>
        <w:rPr>
          <w:kern w:val="2"/>
          <w:szCs w:val="24"/>
        </w:rPr>
      </w:pPr>
      <w:r>
        <w:rPr>
          <w:i/>
          <w:kern w:val="2"/>
          <w:szCs w:val="24"/>
        </w:rPr>
        <w:t>M</w:t>
      </w:r>
      <w:r>
        <w:rPr>
          <w:i/>
          <w:kern w:val="2"/>
          <w:szCs w:val="24"/>
          <w:vertAlign w:val="subscript"/>
        </w:rPr>
        <w:t>f</w:t>
      </w:r>
      <w:r>
        <w:rPr>
          <w:kern w:val="2"/>
          <w:szCs w:val="24"/>
        </w:rPr>
        <w:t>——</w:t>
      </w:r>
      <w:r>
        <w:rPr>
          <w:rFonts w:hint="eastAsia"/>
          <w:kern w:val="2"/>
          <w:szCs w:val="24"/>
        </w:rPr>
        <w:t>燃料的摩尔质量，单位为克</w:t>
      </w:r>
      <w:r>
        <w:rPr>
          <w:kern w:val="2"/>
          <w:szCs w:val="24"/>
        </w:rPr>
        <w:t>每摩尔（g/mol）</w:t>
      </w:r>
      <w:r>
        <w:rPr>
          <w:rFonts w:hint="eastAsia"/>
          <w:kern w:val="2"/>
          <w:szCs w:val="24"/>
        </w:rPr>
        <w:t>。</w:t>
      </w:r>
    </w:p>
    <w:p w14:paraId="2406DC01">
      <w:pPr>
        <w:widowControl w:val="0"/>
        <w:spacing w:line="240" w:lineRule="auto"/>
        <w:ind w:firstLine="420"/>
        <w:textAlignment w:val="auto"/>
        <w:rPr>
          <w:kern w:val="2"/>
          <w:szCs w:val="24"/>
        </w:rPr>
      </w:pPr>
      <w:r>
        <w:rPr>
          <w:rFonts w:hint="eastAsia"/>
          <w:kern w:val="2"/>
          <w:szCs w:val="24"/>
        </w:rPr>
        <w:t>对于大多数燃料而言，</w:t>
      </w:r>
      <w:r>
        <w:rPr>
          <w:i/>
          <w:kern w:val="2"/>
          <w:szCs w:val="24"/>
        </w:rPr>
        <w:t>C</w:t>
      </w:r>
      <w:r>
        <w:rPr>
          <w:i/>
          <w:kern w:val="2"/>
          <w:szCs w:val="24"/>
          <w:vertAlign w:val="subscript"/>
        </w:rPr>
        <w:t>T</w:t>
      </w:r>
      <w:r>
        <w:rPr>
          <w:rFonts w:hint="eastAsia"/>
          <w:kern w:val="2"/>
          <w:szCs w:val="24"/>
        </w:rPr>
        <w:t>远小于</w:t>
      </w:r>
      <w:r>
        <w:rPr>
          <w:kern w:val="2"/>
          <w:szCs w:val="24"/>
        </w:rPr>
        <w:t>1</w:t>
      </w:r>
      <w:r>
        <w:rPr>
          <w:rFonts w:hint="eastAsia"/>
          <w:kern w:val="2"/>
          <w:szCs w:val="24"/>
        </w:rPr>
        <w:t>，</w:t>
      </w:r>
      <w:r>
        <w:rPr>
          <w:kern w:val="2"/>
          <w:szCs w:val="24"/>
        </w:rPr>
        <w:t>α</w:t>
      </w:r>
      <w:r>
        <w:rPr>
          <w:kern w:val="2"/>
          <w:szCs w:val="24"/>
          <w:vertAlign w:val="subscript"/>
        </w:rPr>
        <w:t>T</w:t>
      </w:r>
      <w:r>
        <w:rPr>
          <w:rFonts w:hint="eastAsia"/>
          <w:kern w:val="2"/>
          <w:szCs w:val="24"/>
        </w:rPr>
        <w:t>近似等于</w:t>
      </w:r>
      <w:r>
        <w:rPr>
          <w:kern w:val="2"/>
          <w:szCs w:val="24"/>
        </w:rPr>
        <w:t>1</w:t>
      </w:r>
      <w:r>
        <w:rPr>
          <w:rFonts w:hint="eastAsia"/>
          <w:kern w:val="2"/>
          <w:szCs w:val="24"/>
        </w:rPr>
        <w:t>，</w:t>
      </w:r>
      <w:r>
        <w:rPr>
          <w:i/>
          <w:kern w:val="2"/>
          <w:szCs w:val="24"/>
        </w:rPr>
        <w:t>T</w:t>
      </w:r>
      <w:r>
        <w:rPr>
          <w:i/>
          <w:kern w:val="2"/>
          <w:szCs w:val="24"/>
          <w:vertAlign w:val="subscript"/>
        </w:rPr>
        <w:t>f</w:t>
      </w:r>
      <w:r>
        <w:rPr>
          <w:rFonts w:hint="eastAsia"/>
          <w:kern w:val="2"/>
          <w:szCs w:val="24"/>
        </w:rPr>
        <w:t>和</w:t>
      </w:r>
      <w:r>
        <w:rPr>
          <w:i/>
          <w:kern w:val="2"/>
          <w:szCs w:val="24"/>
        </w:rPr>
        <w:t>T</w:t>
      </w:r>
      <w:r>
        <w:rPr>
          <w:i/>
          <w:kern w:val="2"/>
          <w:szCs w:val="24"/>
          <w:vertAlign w:val="subscript"/>
        </w:rPr>
        <w:t>j</w:t>
      </w:r>
      <w:r>
        <w:rPr>
          <w:rFonts w:hint="eastAsia"/>
          <w:kern w:val="2"/>
          <w:szCs w:val="24"/>
        </w:rPr>
        <w:t>的比值在</w:t>
      </w:r>
      <w:r>
        <w:rPr>
          <w:kern w:val="2"/>
          <w:szCs w:val="24"/>
        </w:rPr>
        <w:t>7</w:t>
      </w:r>
      <w:r>
        <w:rPr>
          <w:rFonts w:hint="eastAsia"/>
          <w:kern w:val="2"/>
          <w:szCs w:val="24"/>
        </w:rPr>
        <w:t>到</w:t>
      </w:r>
      <w:r>
        <w:rPr>
          <w:kern w:val="2"/>
          <w:szCs w:val="24"/>
        </w:rPr>
        <w:t>9</w:t>
      </w:r>
      <w:r>
        <w:rPr>
          <w:rFonts w:hint="eastAsia"/>
          <w:kern w:val="2"/>
          <w:szCs w:val="24"/>
        </w:rPr>
        <w:t>之间。</w:t>
      </w:r>
    </w:p>
    <w:p w14:paraId="3632E5C2">
      <w:pPr>
        <w:widowControl w:val="0"/>
        <w:spacing w:line="240" w:lineRule="auto"/>
        <w:ind w:firstLine="420" w:firstLineChars="200"/>
        <w:textAlignment w:val="auto"/>
        <w:rPr>
          <w:kern w:val="2"/>
          <w:szCs w:val="24"/>
        </w:rPr>
      </w:pPr>
      <w:r>
        <w:rPr>
          <w:kern w:val="2"/>
          <w:szCs w:val="24"/>
        </w:rPr>
        <w:t>b</w:t>
      </w:r>
      <w:r>
        <w:rPr>
          <w:rFonts w:hint="eastAsia" w:hAnsi="宋体"/>
          <w:kern w:val="2"/>
          <w:szCs w:val="24"/>
        </w:rPr>
        <w:t>）目标接收到热辐射通量的计算</w:t>
      </w:r>
    </w:p>
    <w:p w14:paraId="59A523AF">
      <w:pPr>
        <w:pStyle w:val="163"/>
        <w:tabs>
          <w:tab w:val="right" w:leader="middleDot" w:pos="9450"/>
          <w:tab w:val="clear" w:pos="9660"/>
        </w:tabs>
      </w:pPr>
      <w:r>
        <w:tab/>
      </w:r>
      <w:r>
        <w:object>
          <v:shape id="_x0000_i1071" o:spt="75" type="#_x0000_t75" style="height:18.75pt;width:83.25pt;" o:ole="t" filled="f" o:preferrelative="t" stroked="f" coordsize="21600,21600">
            <v:path/>
            <v:fill on="f" focussize="0,0"/>
            <v:stroke on="f" joinstyle="miter"/>
            <v:imagedata r:id="rId105" o:title=""/>
            <o:lock v:ext="edit" aspectratio="f"/>
            <w10:wrap type="none"/>
            <w10:anchorlock/>
          </v:shape>
          <o:OLEObject Type="Embed" ProgID="Equation.3" ShapeID="_x0000_i1071" DrawAspect="Content" ObjectID="_1468075771" r:id="rId104">
            <o:LockedField>false</o:LockedField>
          </o:OLEObject>
        </w:object>
      </w:r>
      <w:r>
        <w:tab/>
      </w:r>
      <w:r>
        <w:rPr>
          <w:rFonts w:hint="eastAsia"/>
        </w:rPr>
        <w:t>（</w:t>
      </w:r>
      <w:r>
        <w:rPr>
          <w:rFonts w:hint="eastAsia"/>
          <w:lang w:val="en-US"/>
        </w:rPr>
        <w:t>B</w:t>
      </w:r>
      <w:r>
        <w:t>.</w:t>
      </w:r>
      <w:r>
        <w:rPr>
          <w:rFonts w:hint="eastAsia"/>
          <w:lang w:val="en-US"/>
        </w:rPr>
        <w:t>27</w:t>
      </w:r>
      <w:r>
        <w:rPr>
          <w:rFonts w:hint="eastAsia"/>
        </w:rPr>
        <w:t>）</w:t>
      </w:r>
    </w:p>
    <w:p w14:paraId="2F56D31B">
      <w:pPr>
        <w:widowControl w:val="0"/>
        <w:spacing w:line="240" w:lineRule="auto"/>
        <w:ind w:firstLine="420" w:firstLineChars="200"/>
        <w:textAlignment w:val="auto"/>
        <w:rPr>
          <w:kern w:val="2"/>
          <w:szCs w:val="24"/>
        </w:rPr>
      </w:pPr>
      <w:r>
        <w:rPr>
          <w:rFonts w:hint="eastAsia" w:hAnsi="宋体"/>
          <w:kern w:val="2"/>
          <w:szCs w:val="24"/>
        </w:rPr>
        <w:t>式中：</w:t>
      </w:r>
    </w:p>
    <w:p w14:paraId="30ED872E">
      <w:pPr>
        <w:widowControl w:val="0"/>
        <w:spacing w:line="240" w:lineRule="auto"/>
        <w:ind w:firstLine="420" w:firstLineChars="200"/>
        <w:textAlignment w:val="auto"/>
        <w:rPr>
          <w:kern w:val="2"/>
          <w:szCs w:val="24"/>
        </w:rPr>
      </w:pPr>
      <w:r>
        <w:rPr>
          <w:i/>
          <w:kern w:val="2"/>
          <w:szCs w:val="24"/>
        </w:rPr>
        <w:t>q</w:t>
      </w:r>
      <w:r>
        <w:rPr>
          <w:kern w:val="2"/>
          <w:szCs w:val="24"/>
        </w:rPr>
        <w:t>(</w:t>
      </w:r>
      <w:r>
        <w:rPr>
          <w:i/>
          <w:kern w:val="2"/>
          <w:szCs w:val="24"/>
        </w:rPr>
        <w:t>r</w:t>
      </w:r>
      <w:r>
        <w:rPr>
          <w:kern w:val="2"/>
          <w:szCs w:val="24"/>
        </w:rPr>
        <w:t>)——</w:t>
      </w:r>
      <w:r>
        <w:rPr>
          <w:rFonts w:hint="eastAsia" w:hAnsi="宋体"/>
          <w:kern w:val="2"/>
          <w:szCs w:val="24"/>
        </w:rPr>
        <w:t>距离</w:t>
      </w:r>
      <w:r>
        <w:rPr>
          <w:kern w:val="2"/>
          <w:szCs w:val="24"/>
        </w:rPr>
        <w:t>r</w:t>
      </w:r>
      <w:r>
        <w:rPr>
          <w:rFonts w:hint="eastAsia" w:hAnsi="宋体"/>
          <w:kern w:val="2"/>
          <w:szCs w:val="24"/>
        </w:rPr>
        <w:t>处目标接收到的热通量，单位为千瓦特</w:t>
      </w:r>
      <w:r>
        <w:rPr>
          <w:rFonts w:hAnsi="宋体"/>
          <w:kern w:val="2"/>
          <w:szCs w:val="24"/>
        </w:rPr>
        <w:t>每平方米（</w:t>
      </w:r>
      <w:r>
        <w:rPr>
          <w:kern w:val="2"/>
          <w:szCs w:val="24"/>
        </w:rPr>
        <w:t>kW/m</w:t>
      </w:r>
      <w:r>
        <w:rPr>
          <w:kern w:val="2"/>
          <w:szCs w:val="24"/>
          <w:vertAlign w:val="superscript"/>
        </w:rPr>
        <w:t>2</w:t>
      </w:r>
      <w:r>
        <w:rPr>
          <w:rFonts w:hAnsi="宋体"/>
          <w:kern w:val="2"/>
          <w:szCs w:val="24"/>
        </w:rPr>
        <w:t>）</w:t>
      </w:r>
      <w:r>
        <w:rPr>
          <w:rFonts w:hint="eastAsia" w:hAnsi="宋体"/>
          <w:kern w:val="2"/>
          <w:szCs w:val="24"/>
        </w:rPr>
        <w:t>；</w:t>
      </w:r>
    </w:p>
    <w:p w14:paraId="2367B76B">
      <w:pPr>
        <w:widowControl w:val="0"/>
        <w:spacing w:line="240" w:lineRule="auto"/>
        <w:ind w:firstLine="420" w:firstLineChars="200"/>
        <w:textAlignment w:val="auto"/>
        <w:rPr>
          <w:kern w:val="2"/>
          <w:szCs w:val="24"/>
        </w:rPr>
      </w:pPr>
      <w:r>
        <w:rPr>
          <w:kern w:val="2"/>
          <w:position w:val="-10"/>
          <w:szCs w:val="24"/>
        </w:rPr>
        <w:object>
          <v:shape id="_x0000_i1072" o:spt="75" type="#_x0000_t75" style="height:15.75pt;width:12pt;" o:ole="t" filled="f" o:preferrelative="t" stroked="f" coordsize="21600,21600">
            <v:path/>
            <v:fill on="f" focussize="0,0"/>
            <v:stroke on="f" joinstyle="miter"/>
            <v:imagedata r:id="rId107" o:title=""/>
            <o:lock v:ext="edit" aspectratio="f"/>
            <w10:wrap type="none"/>
            <w10:anchorlock/>
          </v:shape>
          <o:OLEObject Type="Embed" ProgID="Equation.3" ShapeID="_x0000_i1072" DrawAspect="Content" ObjectID="_1468075772" r:id="rId106">
            <o:LockedField>false</o:LockedField>
          </o:OLEObject>
        </w:object>
      </w:r>
      <w:r>
        <w:rPr>
          <w:kern w:val="2"/>
          <w:szCs w:val="24"/>
        </w:rPr>
        <w:t>——</w:t>
      </w:r>
      <w:r>
        <w:rPr>
          <w:rFonts w:hint="eastAsia" w:hAnsi="宋体"/>
          <w:kern w:val="2"/>
          <w:szCs w:val="24"/>
        </w:rPr>
        <w:t>大气传输率；</w:t>
      </w:r>
    </w:p>
    <w:p w14:paraId="5CF45731">
      <w:pPr>
        <w:widowControl w:val="0"/>
        <w:spacing w:line="240" w:lineRule="auto"/>
        <w:ind w:firstLine="420" w:firstLineChars="200"/>
        <w:textAlignment w:val="auto"/>
        <w:rPr>
          <w:kern w:val="2"/>
          <w:szCs w:val="24"/>
        </w:rPr>
      </w:pPr>
      <w:r>
        <w:rPr>
          <w:kern w:val="2"/>
          <w:position w:val="-10"/>
          <w:szCs w:val="24"/>
        </w:rPr>
        <w:object>
          <v:shape id="_x0000_i1073" o:spt="75" type="#_x0000_t75" style="height:13.5pt;width:9.75pt;" o:ole="t" filled="f" o:preferrelative="t" stroked="f" coordsize="21600,21600">
            <v:path/>
            <v:fill on="f" focussize="0,0"/>
            <v:stroke on="f" joinstyle="miter"/>
            <v:imagedata r:id="rId109" o:title=""/>
            <o:lock v:ext="edit" aspectratio="f"/>
            <w10:wrap type="none"/>
            <w10:anchorlock/>
          </v:shape>
          <o:OLEObject Type="Embed" ProgID="Equation.3" ShapeID="_x0000_i1073" DrawAspect="Content" ObjectID="_1468075773" r:id="rId108">
            <o:LockedField>false</o:LockedField>
          </o:OLEObject>
        </w:object>
      </w:r>
      <w:r>
        <w:rPr>
          <w:kern w:val="2"/>
          <w:szCs w:val="24"/>
        </w:rPr>
        <w:t>——</w:t>
      </w:r>
      <w:r>
        <w:rPr>
          <w:rFonts w:hint="eastAsia" w:hAnsi="宋体"/>
          <w:kern w:val="2"/>
          <w:szCs w:val="24"/>
        </w:rPr>
        <w:t>热辐射系数；</w:t>
      </w:r>
    </w:p>
    <w:p w14:paraId="24C1CC0B">
      <w:pPr>
        <w:widowControl w:val="0"/>
        <w:spacing w:line="240" w:lineRule="auto"/>
        <w:ind w:firstLine="420" w:firstLineChars="200"/>
        <w:textAlignment w:val="auto"/>
        <w:rPr>
          <w:kern w:val="2"/>
          <w:szCs w:val="24"/>
          <w:highlight w:val="yellow"/>
        </w:rPr>
      </w:pPr>
      <w:r>
        <w:rPr>
          <w:kern w:val="2"/>
          <w:position w:val="-6"/>
          <w:szCs w:val="24"/>
        </w:rPr>
        <w:object>
          <v:shape id="_x0000_i1074" o:spt="75" type="#_x0000_t75" style="height:14.25pt;width:13.5pt;" o:ole="t" filled="f" o:preferrelative="t" stroked="f" coordsize="21600,21600">
            <v:path/>
            <v:fill on="f" focussize="0,0"/>
            <v:stroke on="f" joinstyle="miter"/>
            <v:imagedata r:id="rId111" o:title=""/>
            <o:lock v:ext="edit" aspectratio="f"/>
            <w10:wrap type="none"/>
            <w10:anchorlock/>
          </v:shape>
          <o:OLEObject Type="Embed" ProgID="Equation.3" ShapeID="_x0000_i1074" DrawAspect="Content" ObjectID="_1468075774" r:id="rId110">
            <o:LockedField>false</o:LockedField>
          </o:OLEObject>
        </w:object>
      </w:r>
      <w:r>
        <w:rPr>
          <w:kern w:val="2"/>
          <w:szCs w:val="24"/>
        </w:rPr>
        <w:t>——</w:t>
      </w:r>
      <w:r>
        <w:rPr>
          <w:rFonts w:hint="eastAsia" w:hAnsi="宋体"/>
          <w:kern w:val="2"/>
          <w:szCs w:val="24"/>
        </w:rPr>
        <w:t>燃料的质量流速，单位为千克</w:t>
      </w:r>
      <w:r>
        <w:rPr>
          <w:rFonts w:hAnsi="宋体"/>
          <w:kern w:val="2"/>
          <w:szCs w:val="24"/>
        </w:rPr>
        <w:t>每秒（</w:t>
      </w:r>
      <w:r>
        <w:rPr>
          <w:kern w:val="2"/>
          <w:szCs w:val="24"/>
        </w:rPr>
        <w:t>kg/s</w:t>
      </w:r>
      <w:r>
        <w:rPr>
          <w:rFonts w:hAnsi="宋体"/>
          <w:kern w:val="2"/>
          <w:szCs w:val="24"/>
        </w:rPr>
        <w:t>）</w:t>
      </w:r>
      <w:r>
        <w:rPr>
          <w:rFonts w:hint="eastAsia" w:hAnsi="宋体"/>
          <w:kern w:val="2"/>
          <w:szCs w:val="24"/>
        </w:rPr>
        <w:t>；</w:t>
      </w:r>
    </w:p>
    <w:p w14:paraId="39BD8249">
      <w:pPr>
        <w:widowControl w:val="0"/>
        <w:spacing w:line="240" w:lineRule="auto"/>
        <w:ind w:firstLine="420" w:firstLineChars="200"/>
        <w:textAlignment w:val="auto"/>
        <w:rPr>
          <w:kern w:val="2"/>
          <w:szCs w:val="24"/>
        </w:rPr>
      </w:pPr>
      <w:r>
        <w:rPr>
          <w:kern w:val="2"/>
          <w:position w:val="-10"/>
          <w:szCs w:val="24"/>
        </w:rPr>
        <w:object>
          <v:shape id="_x0000_i1075" o:spt="75" type="#_x0000_t75" style="height:15.75pt;width:21.75pt;" o:ole="t" filled="f" o:preferrelative="t" stroked="f" coordsize="21600,21600">
            <v:path/>
            <v:fill on="f" focussize="0,0"/>
            <v:stroke on="f" joinstyle="miter"/>
            <v:imagedata r:id="rId113" o:title=""/>
            <o:lock v:ext="edit" aspectratio="f"/>
            <w10:wrap type="none"/>
            <w10:anchorlock/>
          </v:shape>
          <o:OLEObject Type="Embed" ProgID="Equation.3" ShapeID="_x0000_i1075" DrawAspect="Content" ObjectID="_1468075775" r:id="rId112">
            <o:LockedField>false</o:LockedField>
          </o:OLEObject>
        </w:object>
      </w:r>
      <w:r>
        <w:rPr>
          <w:kern w:val="2"/>
          <w:szCs w:val="24"/>
        </w:rPr>
        <w:t>——</w:t>
      </w:r>
      <w:r>
        <w:rPr>
          <w:rFonts w:hint="eastAsia" w:hAnsi="宋体"/>
          <w:kern w:val="2"/>
          <w:szCs w:val="24"/>
        </w:rPr>
        <w:t>燃烧热，单位为千焦耳</w:t>
      </w:r>
      <w:r>
        <w:rPr>
          <w:rFonts w:hAnsi="宋体"/>
          <w:kern w:val="2"/>
          <w:szCs w:val="24"/>
        </w:rPr>
        <w:t>每千克（</w:t>
      </w:r>
      <w:r>
        <w:rPr>
          <w:kern w:val="2"/>
          <w:szCs w:val="24"/>
        </w:rPr>
        <w:t>kJ/kg</w:t>
      </w:r>
      <w:r>
        <w:rPr>
          <w:rFonts w:hAnsi="宋体"/>
          <w:kern w:val="2"/>
          <w:szCs w:val="24"/>
        </w:rPr>
        <w:t>）</w:t>
      </w:r>
      <w:r>
        <w:rPr>
          <w:rFonts w:hint="eastAsia" w:hAnsi="宋体"/>
          <w:kern w:val="2"/>
          <w:szCs w:val="24"/>
        </w:rPr>
        <w:t>；</w:t>
      </w:r>
    </w:p>
    <w:p w14:paraId="363BFE84">
      <w:pPr>
        <w:widowControl w:val="0"/>
        <w:spacing w:line="240" w:lineRule="auto"/>
        <w:ind w:firstLine="420" w:firstLineChars="200"/>
        <w:textAlignment w:val="auto"/>
        <w:rPr>
          <w:kern w:val="2"/>
          <w:szCs w:val="24"/>
        </w:rPr>
      </w:pPr>
      <w:r>
        <w:rPr>
          <w:kern w:val="2"/>
          <w:position w:val="-14"/>
          <w:szCs w:val="24"/>
        </w:rPr>
        <w:object>
          <v:shape id="_x0000_i1076" o:spt="75" type="#_x0000_t75" style="height:18.75pt;width:14.25pt;" o:ole="t" filled="f" o:preferrelative="t" stroked="f" coordsize="21600,21600">
            <v:path/>
            <v:fill on="f" focussize="0,0"/>
            <v:stroke on="f" joinstyle="miter"/>
            <v:imagedata r:id="rId115" o:title=""/>
            <o:lock v:ext="edit" aspectratio="f"/>
            <w10:wrap type="none"/>
            <w10:anchorlock/>
          </v:shape>
          <o:OLEObject Type="Embed" ProgID="Equation.3" ShapeID="_x0000_i1076" DrawAspect="Content" ObjectID="_1468075776" r:id="rId114">
            <o:LockedField>false</o:LockedField>
          </o:OLEObject>
        </w:object>
      </w:r>
      <w:r>
        <w:rPr>
          <w:kern w:val="2"/>
          <w:szCs w:val="24"/>
        </w:rPr>
        <w:t>——</w:t>
      </w:r>
      <w:r>
        <w:rPr>
          <w:rFonts w:hint="eastAsia" w:hAnsi="宋体"/>
          <w:kern w:val="2"/>
          <w:szCs w:val="24"/>
        </w:rPr>
        <w:t>视角因子。</w:t>
      </w:r>
    </w:p>
    <w:p w14:paraId="369FD92F">
      <w:pPr>
        <w:widowControl w:val="0"/>
        <w:spacing w:line="240" w:lineRule="auto"/>
        <w:ind w:firstLine="420" w:firstLineChars="200"/>
        <w:textAlignment w:val="auto"/>
        <w:rPr>
          <w:kern w:val="2"/>
          <w:szCs w:val="24"/>
        </w:rPr>
      </w:pPr>
      <w:r>
        <w:rPr>
          <w:rFonts w:hint="eastAsia" w:hAnsi="宋体"/>
          <w:kern w:val="2"/>
          <w:szCs w:val="24"/>
        </w:rPr>
        <w:t>大气传输率</w:t>
      </w:r>
      <w:r>
        <w:rPr>
          <w:rFonts w:hint="eastAsia"/>
          <w:kern w:val="2"/>
          <w:szCs w:val="24"/>
        </w:rPr>
        <w:t>可按式</w:t>
      </w:r>
      <w:r>
        <w:rPr>
          <w:rFonts w:hint="eastAsia"/>
          <w:kern w:val="2"/>
          <w:szCs w:val="21"/>
          <w:lang w:val="es-ES"/>
        </w:rPr>
        <w:t>（</w:t>
      </w:r>
      <w:r>
        <w:rPr>
          <w:rFonts w:hint="eastAsia"/>
          <w:kern w:val="2"/>
          <w:szCs w:val="21"/>
        </w:rPr>
        <w:t>B</w:t>
      </w:r>
      <w:r>
        <w:rPr>
          <w:kern w:val="2"/>
          <w:szCs w:val="21"/>
          <w:lang w:val="es-ES"/>
        </w:rPr>
        <w:t>.</w:t>
      </w:r>
      <w:r>
        <w:rPr>
          <w:rFonts w:hint="eastAsia"/>
          <w:kern w:val="2"/>
          <w:szCs w:val="21"/>
        </w:rPr>
        <w:t>28</w:t>
      </w:r>
      <w:r>
        <w:rPr>
          <w:rFonts w:hint="eastAsia"/>
          <w:kern w:val="2"/>
          <w:szCs w:val="21"/>
          <w:lang w:val="es-ES"/>
        </w:rPr>
        <w:t>）</w:t>
      </w:r>
      <w:r>
        <w:rPr>
          <w:rFonts w:hint="eastAsia"/>
          <w:kern w:val="2"/>
          <w:szCs w:val="24"/>
        </w:rPr>
        <w:t>计算：</w:t>
      </w:r>
    </w:p>
    <w:p w14:paraId="2D5BA1A3">
      <w:pPr>
        <w:pStyle w:val="163"/>
        <w:tabs>
          <w:tab w:val="right" w:leader="middleDot" w:pos="9450"/>
          <w:tab w:val="clear" w:pos="9660"/>
        </w:tabs>
      </w:pPr>
      <w:r>
        <w:tab/>
      </w:r>
      <w:r>
        <w:object>
          <v:shape id="_x0000_i1077" o:spt="75" type="#_x0000_t75" style="height:18.75pt;width:96pt;" o:ole="t" filled="f" o:preferrelative="t" stroked="f" coordsize="21600,21600">
            <v:path/>
            <v:fill on="f" focussize="0,0"/>
            <v:stroke on="f" joinstyle="miter"/>
            <v:imagedata r:id="rId117" o:title=""/>
            <o:lock v:ext="edit" aspectratio="f"/>
            <w10:wrap type="none"/>
            <w10:anchorlock/>
          </v:shape>
          <o:OLEObject Type="Embed" ProgID="Equation.3" ShapeID="_x0000_i1077" DrawAspect="Content" ObjectID="_1468075777" r:id="rId116">
            <o:LockedField>false</o:LockedField>
          </o:OLEObject>
        </w:object>
      </w:r>
      <w:r>
        <w:tab/>
      </w:r>
      <w:r>
        <w:rPr>
          <w:rFonts w:hint="eastAsia"/>
        </w:rPr>
        <w:t>（</w:t>
      </w:r>
      <w:r>
        <w:rPr>
          <w:rFonts w:hint="eastAsia"/>
          <w:lang w:val="en-US"/>
        </w:rPr>
        <w:t>B</w:t>
      </w:r>
      <w:r>
        <w:t>.</w:t>
      </w:r>
      <w:r>
        <w:rPr>
          <w:rFonts w:hint="eastAsia"/>
          <w:lang w:val="en-US"/>
        </w:rPr>
        <w:t>28</w:t>
      </w:r>
      <w:r>
        <w:rPr>
          <w:rFonts w:hint="eastAsia"/>
        </w:rPr>
        <w:t>）</w:t>
      </w:r>
    </w:p>
    <w:p w14:paraId="2F54C195">
      <w:pPr>
        <w:widowControl w:val="0"/>
        <w:spacing w:line="240" w:lineRule="auto"/>
        <w:ind w:firstLine="420" w:firstLineChars="200"/>
        <w:textAlignment w:val="auto"/>
        <w:rPr>
          <w:kern w:val="2"/>
          <w:szCs w:val="24"/>
        </w:rPr>
      </w:pPr>
      <w:r>
        <w:rPr>
          <w:rFonts w:hint="eastAsia" w:hAnsi="宋体"/>
          <w:kern w:val="2"/>
          <w:szCs w:val="24"/>
        </w:rPr>
        <w:t>式中</w:t>
      </w:r>
      <w:r>
        <w:rPr>
          <w:rFonts w:hint="eastAsia"/>
          <w:kern w:val="2"/>
          <w:szCs w:val="24"/>
        </w:rPr>
        <w:t>：</w:t>
      </w:r>
    </w:p>
    <w:p w14:paraId="61934306">
      <w:pPr>
        <w:widowControl w:val="0"/>
        <w:spacing w:line="240" w:lineRule="auto"/>
        <w:ind w:firstLine="420" w:firstLineChars="200"/>
        <w:textAlignment w:val="auto"/>
        <w:rPr>
          <w:kern w:val="2"/>
          <w:szCs w:val="24"/>
        </w:rPr>
      </w:pPr>
      <w:r>
        <w:rPr>
          <w:kern w:val="2"/>
          <w:position w:val="-10"/>
          <w:szCs w:val="24"/>
        </w:rPr>
        <w:object>
          <v:shape id="_x0000_i1078" o:spt="75" type="#_x0000_t75" style="height:15.75pt;width:12pt;" o:ole="t" filled="f" o:preferrelative="t" stroked="f" coordsize="21600,21600">
            <v:path/>
            <v:fill on="f" focussize="0,0"/>
            <v:stroke on="f" joinstyle="miter"/>
            <v:imagedata r:id="rId119" o:title=""/>
            <o:lock v:ext="edit" aspectratio="f"/>
            <w10:wrap type="none"/>
            <w10:anchorlock/>
          </v:shape>
          <o:OLEObject Type="Embed" ProgID="Equation.3" ShapeID="_x0000_i1078" DrawAspect="Content" ObjectID="_1468075778" r:id="rId118">
            <o:LockedField>false</o:LockedField>
          </o:OLEObject>
        </w:object>
      </w:r>
      <w:r>
        <w:rPr>
          <w:kern w:val="2"/>
          <w:szCs w:val="24"/>
        </w:rPr>
        <w:t>——</w:t>
      </w:r>
      <w:r>
        <w:rPr>
          <w:rFonts w:hint="eastAsia" w:hAnsi="宋体"/>
          <w:kern w:val="2"/>
          <w:szCs w:val="24"/>
        </w:rPr>
        <w:t>大气传输率；</w:t>
      </w:r>
    </w:p>
    <w:p w14:paraId="697F2B79">
      <w:pPr>
        <w:widowControl w:val="0"/>
        <w:spacing w:line="240" w:lineRule="auto"/>
        <w:ind w:firstLine="420" w:firstLineChars="200"/>
        <w:textAlignment w:val="auto"/>
        <w:rPr>
          <w:kern w:val="2"/>
          <w:szCs w:val="24"/>
        </w:rPr>
      </w:pPr>
      <w:r>
        <w:rPr>
          <w:i/>
          <w:kern w:val="2"/>
          <w:szCs w:val="24"/>
        </w:rPr>
        <w:t>P</w:t>
      </w:r>
      <w:r>
        <w:rPr>
          <w:i/>
          <w:kern w:val="2"/>
          <w:szCs w:val="24"/>
          <w:vertAlign w:val="subscript"/>
        </w:rPr>
        <w:t>w</w:t>
      </w:r>
      <w:r>
        <w:rPr>
          <w:kern w:val="2"/>
          <w:szCs w:val="24"/>
        </w:rPr>
        <w:t>——</w:t>
      </w:r>
      <w:r>
        <w:rPr>
          <w:rFonts w:hint="eastAsia"/>
          <w:kern w:val="2"/>
          <w:szCs w:val="24"/>
        </w:rPr>
        <w:t>大气中水</w:t>
      </w:r>
      <w:r>
        <w:rPr>
          <w:rFonts w:hint="eastAsia" w:hAnsi="宋体"/>
          <w:kern w:val="2"/>
          <w:szCs w:val="24"/>
        </w:rPr>
        <w:t>蒸汽的分压，单位为帕斯卡</w:t>
      </w:r>
      <w:r>
        <w:rPr>
          <w:rFonts w:hAnsi="宋体"/>
          <w:kern w:val="2"/>
          <w:szCs w:val="24"/>
        </w:rPr>
        <w:t>（</w:t>
      </w:r>
      <w:r>
        <w:rPr>
          <w:kern w:val="2"/>
          <w:szCs w:val="24"/>
        </w:rPr>
        <w:t>Pa</w:t>
      </w:r>
      <w:r>
        <w:rPr>
          <w:rFonts w:hAnsi="宋体"/>
          <w:kern w:val="2"/>
          <w:szCs w:val="24"/>
        </w:rPr>
        <w:t>）</w:t>
      </w:r>
      <w:r>
        <w:rPr>
          <w:rFonts w:hint="eastAsia" w:hAnsi="宋体"/>
          <w:kern w:val="2"/>
          <w:szCs w:val="24"/>
        </w:rPr>
        <w:t>；</w:t>
      </w:r>
    </w:p>
    <w:p w14:paraId="4EB3A92F">
      <w:pPr>
        <w:widowControl w:val="0"/>
        <w:spacing w:line="240" w:lineRule="auto"/>
        <w:ind w:firstLine="420" w:firstLineChars="200"/>
        <w:textAlignment w:val="auto"/>
        <w:rPr>
          <w:kern w:val="2"/>
          <w:szCs w:val="24"/>
        </w:rPr>
      </w:pPr>
      <w:r>
        <w:rPr>
          <w:i/>
          <w:kern w:val="2"/>
          <w:szCs w:val="24"/>
        </w:rPr>
        <w:t>X</w:t>
      </w:r>
      <w:r>
        <w:rPr>
          <w:i/>
          <w:kern w:val="2"/>
          <w:szCs w:val="24"/>
          <w:vertAlign w:val="subscript"/>
        </w:rPr>
        <w:t>s</w:t>
      </w:r>
      <w:r>
        <w:rPr>
          <w:kern w:val="2"/>
          <w:szCs w:val="24"/>
        </w:rPr>
        <w:t>——</w:t>
      </w:r>
      <w:r>
        <w:rPr>
          <w:rFonts w:hint="eastAsia" w:hAnsi="宋体"/>
          <w:kern w:val="2"/>
          <w:szCs w:val="24"/>
        </w:rPr>
        <w:t>目标到火焰表面的距离，单位为米</w:t>
      </w:r>
      <w:r>
        <w:rPr>
          <w:rFonts w:hAnsi="宋体"/>
          <w:kern w:val="2"/>
          <w:szCs w:val="24"/>
        </w:rPr>
        <w:t>（</w:t>
      </w:r>
      <w:r>
        <w:rPr>
          <w:kern w:val="2"/>
          <w:szCs w:val="24"/>
        </w:rPr>
        <w:t>m</w:t>
      </w:r>
      <w:r>
        <w:rPr>
          <w:rFonts w:hAnsi="宋体"/>
          <w:kern w:val="2"/>
          <w:szCs w:val="24"/>
        </w:rPr>
        <w:t>）</w:t>
      </w:r>
      <w:r>
        <w:rPr>
          <w:rFonts w:hint="eastAsia" w:hAnsi="宋体"/>
          <w:kern w:val="2"/>
          <w:szCs w:val="24"/>
        </w:rPr>
        <w:t>。</w:t>
      </w:r>
    </w:p>
    <w:p w14:paraId="5D6E3CF3">
      <w:pPr>
        <w:widowControl w:val="0"/>
        <w:spacing w:line="240" w:lineRule="auto"/>
        <w:ind w:firstLine="420" w:firstLineChars="200"/>
        <w:textAlignment w:val="auto"/>
        <w:rPr>
          <w:kern w:val="2"/>
          <w:szCs w:val="24"/>
        </w:rPr>
      </w:pPr>
      <w:r>
        <w:rPr>
          <w:rFonts w:hint="eastAsia" w:hAnsi="宋体"/>
          <w:kern w:val="2"/>
          <w:szCs w:val="24"/>
        </w:rPr>
        <w:t>大气中水蒸汽分压</w:t>
      </w:r>
      <w:r>
        <w:rPr>
          <w:i/>
          <w:kern w:val="2"/>
          <w:szCs w:val="24"/>
        </w:rPr>
        <w:t>P</w:t>
      </w:r>
      <w:r>
        <w:rPr>
          <w:i/>
          <w:kern w:val="2"/>
          <w:szCs w:val="24"/>
          <w:vertAlign w:val="subscript"/>
        </w:rPr>
        <w:t>w</w:t>
      </w:r>
      <w:r>
        <w:rPr>
          <w:rFonts w:hint="eastAsia"/>
          <w:kern w:val="2"/>
          <w:szCs w:val="24"/>
        </w:rPr>
        <w:t>可按式</w:t>
      </w:r>
      <w:r>
        <w:rPr>
          <w:rFonts w:hint="eastAsia"/>
          <w:kern w:val="2"/>
          <w:szCs w:val="21"/>
          <w:lang w:val="es-ES"/>
        </w:rPr>
        <w:t>（</w:t>
      </w:r>
      <w:r>
        <w:rPr>
          <w:rFonts w:hint="eastAsia"/>
          <w:kern w:val="2"/>
          <w:szCs w:val="21"/>
        </w:rPr>
        <w:t>B</w:t>
      </w:r>
      <w:r>
        <w:rPr>
          <w:kern w:val="2"/>
          <w:szCs w:val="21"/>
          <w:lang w:val="es-ES"/>
        </w:rPr>
        <w:t>.</w:t>
      </w:r>
      <w:r>
        <w:rPr>
          <w:rFonts w:hint="eastAsia"/>
          <w:kern w:val="2"/>
          <w:szCs w:val="21"/>
        </w:rPr>
        <w:t>29</w:t>
      </w:r>
      <w:r>
        <w:rPr>
          <w:rFonts w:hint="eastAsia"/>
          <w:kern w:val="2"/>
          <w:szCs w:val="21"/>
          <w:lang w:val="es-ES"/>
        </w:rPr>
        <w:t>）</w:t>
      </w:r>
      <w:r>
        <w:rPr>
          <w:rFonts w:hint="eastAsia"/>
          <w:kern w:val="2"/>
          <w:szCs w:val="24"/>
        </w:rPr>
        <w:t>计算：</w:t>
      </w:r>
    </w:p>
    <w:p w14:paraId="69251E0D">
      <w:pPr>
        <w:pStyle w:val="163"/>
        <w:tabs>
          <w:tab w:val="right" w:leader="middleDot" w:pos="9450"/>
          <w:tab w:val="clear" w:pos="9660"/>
        </w:tabs>
      </w:pPr>
      <w:r>
        <w:tab/>
      </w:r>
      <w:r>
        <w:object>
          <v:shape id="_x0000_i1079" o:spt="75" type="#_x0000_t75" style="height:29.25pt;width:140.25pt;" o:ole="t" filled="f" o:preferrelative="t" stroked="f" coordsize="21600,21600">
            <v:path/>
            <v:fill on="f" focussize="0,0"/>
            <v:stroke on="f" joinstyle="miter"/>
            <v:imagedata r:id="rId121" o:title=""/>
            <o:lock v:ext="edit" aspectratio="f"/>
            <w10:wrap type="none"/>
            <w10:anchorlock/>
          </v:shape>
          <o:OLEObject Type="Embed" ProgID="Equation.3" ShapeID="_x0000_i1079" DrawAspect="Content" ObjectID="_1468075779" r:id="rId120">
            <o:LockedField>false</o:LockedField>
          </o:OLEObject>
        </w:object>
      </w:r>
      <w:r>
        <w:tab/>
      </w:r>
      <w:r>
        <w:rPr>
          <w:rFonts w:hint="eastAsia"/>
        </w:rPr>
        <w:t>（</w:t>
      </w:r>
      <w:r>
        <w:rPr>
          <w:rFonts w:hint="eastAsia"/>
          <w:lang w:val="en-US"/>
        </w:rPr>
        <w:t>B</w:t>
      </w:r>
      <w:r>
        <w:t>.</w:t>
      </w:r>
      <w:r>
        <w:rPr>
          <w:rFonts w:hint="eastAsia"/>
          <w:lang w:val="en-US"/>
        </w:rPr>
        <w:t>29</w:t>
      </w:r>
      <w:r>
        <w:rPr>
          <w:rFonts w:hint="eastAsia"/>
        </w:rPr>
        <w:t>）</w:t>
      </w:r>
    </w:p>
    <w:p w14:paraId="4FFEC884">
      <w:pPr>
        <w:widowControl w:val="0"/>
        <w:spacing w:line="240" w:lineRule="auto"/>
        <w:ind w:firstLine="420" w:firstLineChars="200"/>
        <w:textAlignment w:val="auto"/>
        <w:rPr>
          <w:kern w:val="2"/>
          <w:szCs w:val="24"/>
        </w:rPr>
      </w:pPr>
      <w:r>
        <w:rPr>
          <w:rFonts w:hint="eastAsia" w:hAnsi="宋体"/>
          <w:kern w:val="2"/>
          <w:szCs w:val="24"/>
        </w:rPr>
        <w:t>式中：</w:t>
      </w:r>
    </w:p>
    <w:p w14:paraId="7C5F4A17">
      <w:pPr>
        <w:widowControl w:val="0"/>
        <w:spacing w:line="240" w:lineRule="auto"/>
        <w:ind w:firstLine="420" w:firstLineChars="200"/>
        <w:textAlignment w:val="auto"/>
        <w:rPr>
          <w:kern w:val="2"/>
          <w:szCs w:val="24"/>
        </w:rPr>
      </w:pPr>
      <w:r>
        <w:rPr>
          <w:i/>
          <w:kern w:val="2"/>
          <w:szCs w:val="24"/>
        </w:rPr>
        <w:t>P</w:t>
      </w:r>
      <w:r>
        <w:rPr>
          <w:i/>
          <w:kern w:val="2"/>
          <w:szCs w:val="24"/>
          <w:vertAlign w:val="subscript"/>
        </w:rPr>
        <w:t>w</w:t>
      </w:r>
      <w:r>
        <w:rPr>
          <w:kern w:val="2"/>
          <w:szCs w:val="24"/>
        </w:rPr>
        <w:t>——</w:t>
      </w:r>
      <w:r>
        <w:rPr>
          <w:rFonts w:hint="eastAsia" w:hAnsi="宋体"/>
          <w:kern w:val="2"/>
          <w:szCs w:val="24"/>
        </w:rPr>
        <w:t>大气中水蒸汽的分压，单位为帕斯卡</w:t>
      </w:r>
      <w:r>
        <w:rPr>
          <w:rFonts w:hAnsi="宋体"/>
          <w:kern w:val="2"/>
          <w:szCs w:val="24"/>
        </w:rPr>
        <w:t>（</w:t>
      </w:r>
      <w:r>
        <w:rPr>
          <w:kern w:val="2"/>
          <w:szCs w:val="24"/>
        </w:rPr>
        <w:t>Pa</w:t>
      </w:r>
      <w:r>
        <w:rPr>
          <w:rFonts w:hAnsi="宋体"/>
          <w:kern w:val="2"/>
          <w:szCs w:val="24"/>
        </w:rPr>
        <w:t>）</w:t>
      </w:r>
      <w:r>
        <w:rPr>
          <w:rFonts w:hint="eastAsia" w:hAnsi="宋体"/>
          <w:kern w:val="2"/>
          <w:szCs w:val="24"/>
        </w:rPr>
        <w:t>；</w:t>
      </w:r>
    </w:p>
    <w:p w14:paraId="6EAA41E6">
      <w:pPr>
        <w:widowControl w:val="0"/>
        <w:spacing w:line="240" w:lineRule="auto"/>
        <w:ind w:firstLine="420" w:firstLineChars="200"/>
        <w:textAlignment w:val="auto"/>
        <w:rPr>
          <w:kern w:val="2"/>
          <w:szCs w:val="24"/>
        </w:rPr>
      </w:pPr>
      <w:r>
        <w:rPr>
          <w:i/>
          <w:kern w:val="2"/>
          <w:szCs w:val="24"/>
        </w:rPr>
        <w:t>RH</w:t>
      </w:r>
      <w:r>
        <w:rPr>
          <w:kern w:val="2"/>
          <w:szCs w:val="24"/>
        </w:rPr>
        <w:t>——</w:t>
      </w:r>
      <w:r>
        <w:rPr>
          <w:rFonts w:hint="eastAsia" w:hAnsi="宋体"/>
          <w:kern w:val="2"/>
          <w:szCs w:val="24"/>
        </w:rPr>
        <w:t>相对湿度，</w:t>
      </w:r>
      <w:r>
        <w:rPr>
          <w:kern w:val="2"/>
          <w:szCs w:val="24"/>
        </w:rPr>
        <w:t>%</w:t>
      </w:r>
      <w:r>
        <w:rPr>
          <w:rFonts w:hint="eastAsia" w:hAnsi="宋体"/>
          <w:kern w:val="2"/>
          <w:szCs w:val="24"/>
        </w:rPr>
        <w:t>；</w:t>
      </w:r>
    </w:p>
    <w:p w14:paraId="14AF03FA">
      <w:pPr>
        <w:widowControl w:val="0"/>
        <w:spacing w:line="240" w:lineRule="auto"/>
        <w:ind w:firstLine="420" w:firstLineChars="200"/>
        <w:textAlignment w:val="auto"/>
        <w:rPr>
          <w:kern w:val="2"/>
          <w:szCs w:val="24"/>
        </w:rPr>
      </w:pPr>
      <w:r>
        <w:rPr>
          <w:i/>
          <w:kern w:val="2"/>
          <w:szCs w:val="24"/>
        </w:rPr>
        <w:t>T</w:t>
      </w:r>
      <w:r>
        <w:rPr>
          <w:i/>
          <w:kern w:val="2"/>
          <w:szCs w:val="24"/>
          <w:vertAlign w:val="subscript"/>
        </w:rPr>
        <w:t>a</w:t>
      </w:r>
      <w:r>
        <w:rPr>
          <w:kern w:val="2"/>
          <w:szCs w:val="24"/>
        </w:rPr>
        <w:t>——</w:t>
      </w:r>
      <w:r>
        <w:rPr>
          <w:rFonts w:hint="eastAsia" w:hAnsi="宋体"/>
          <w:kern w:val="2"/>
          <w:szCs w:val="24"/>
        </w:rPr>
        <w:t>环境温度，单位</w:t>
      </w:r>
      <w:r>
        <w:rPr>
          <w:rFonts w:hAnsi="宋体"/>
          <w:kern w:val="2"/>
          <w:szCs w:val="24"/>
        </w:rPr>
        <w:t>为开尔文（</w:t>
      </w:r>
      <w:r>
        <w:rPr>
          <w:kern w:val="2"/>
          <w:szCs w:val="24"/>
        </w:rPr>
        <w:t>K</w:t>
      </w:r>
      <w:r>
        <w:rPr>
          <w:rFonts w:hAnsi="宋体"/>
          <w:kern w:val="2"/>
          <w:szCs w:val="24"/>
        </w:rPr>
        <w:t>）</w:t>
      </w:r>
      <w:r>
        <w:rPr>
          <w:rFonts w:hint="eastAsia" w:hAnsi="宋体"/>
          <w:kern w:val="2"/>
          <w:szCs w:val="24"/>
        </w:rPr>
        <w:t>。</w:t>
      </w:r>
    </w:p>
    <w:p w14:paraId="19384532">
      <w:pPr>
        <w:widowControl w:val="0"/>
        <w:spacing w:line="240" w:lineRule="auto"/>
        <w:ind w:firstLine="420" w:firstLineChars="200"/>
        <w:textAlignment w:val="auto"/>
        <w:rPr>
          <w:kern w:val="2"/>
          <w:szCs w:val="24"/>
        </w:rPr>
      </w:pPr>
      <w:r>
        <w:rPr>
          <w:rFonts w:hint="eastAsia" w:hAnsi="宋体"/>
          <w:kern w:val="2"/>
          <w:szCs w:val="24"/>
        </w:rPr>
        <w:t>视角因子</w:t>
      </w:r>
      <w:r>
        <w:rPr>
          <w:kern w:val="2"/>
          <w:position w:val="-14"/>
          <w:szCs w:val="24"/>
        </w:rPr>
        <w:object>
          <v:shape id="_x0000_i1080" o:spt="75" type="#_x0000_t75" style="height:21pt;width:16.5pt;" o:ole="t" filled="f" o:preferrelative="t" stroked="f" coordsize="21600,21600">
            <v:path/>
            <v:fill on="f" focussize="0,0"/>
            <v:stroke on="f" joinstyle="miter"/>
            <v:imagedata r:id="rId123" o:title=""/>
            <o:lock v:ext="edit" aspectratio="t"/>
            <w10:wrap type="none"/>
            <w10:anchorlock/>
          </v:shape>
          <o:OLEObject Type="Embed" ProgID="Equation.3" ShapeID="_x0000_i1080" DrawAspect="Content" ObjectID="_1468075780" r:id="rId122">
            <o:LockedField>false</o:LockedField>
          </o:OLEObject>
        </w:object>
      </w:r>
      <w:r>
        <w:rPr>
          <w:rFonts w:hint="eastAsia" w:hAnsi="宋体"/>
          <w:kern w:val="2"/>
          <w:szCs w:val="24"/>
        </w:rPr>
        <w:t>可按式</w:t>
      </w:r>
      <w:r>
        <w:rPr>
          <w:rFonts w:hint="eastAsia"/>
          <w:kern w:val="2"/>
          <w:szCs w:val="21"/>
          <w:lang w:val="es-ES"/>
        </w:rPr>
        <w:t>（</w:t>
      </w:r>
      <w:r>
        <w:rPr>
          <w:rFonts w:hint="eastAsia"/>
          <w:kern w:val="2"/>
          <w:szCs w:val="21"/>
        </w:rPr>
        <w:t>B</w:t>
      </w:r>
      <w:r>
        <w:rPr>
          <w:kern w:val="2"/>
          <w:szCs w:val="21"/>
          <w:lang w:val="es-ES"/>
        </w:rPr>
        <w:t>.</w:t>
      </w:r>
      <w:r>
        <w:rPr>
          <w:rFonts w:hint="eastAsia"/>
          <w:kern w:val="2"/>
          <w:szCs w:val="21"/>
        </w:rPr>
        <w:t>30</w:t>
      </w:r>
      <w:r>
        <w:rPr>
          <w:rFonts w:hint="eastAsia"/>
          <w:kern w:val="2"/>
          <w:szCs w:val="21"/>
          <w:lang w:val="es-ES"/>
        </w:rPr>
        <w:t>）</w:t>
      </w:r>
      <w:r>
        <w:rPr>
          <w:rFonts w:hint="eastAsia" w:hAnsi="宋体"/>
          <w:kern w:val="2"/>
          <w:szCs w:val="24"/>
        </w:rPr>
        <w:t>计算：</w:t>
      </w:r>
    </w:p>
    <w:p w14:paraId="1EC34B8F">
      <w:pPr>
        <w:pStyle w:val="163"/>
        <w:tabs>
          <w:tab w:val="right" w:leader="middleDot" w:pos="9450"/>
          <w:tab w:val="clear" w:pos="9660"/>
        </w:tabs>
      </w:pPr>
      <w:r>
        <w:tab/>
      </w:r>
      <w:r>
        <w:object>
          <v:shape id="_x0000_i1081" o:spt="75" type="#_x0000_t75" style="height:28.5pt;width:46.5pt;" o:ole="t" filled="f" o:preferrelative="t" stroked="f" coordsize="21600,21600">
            <v:path/>
            <v:fill on="f" focussize="0,0"/>
            <v:stroke on="f" joinstyle="miter"/>
            <v:imagedata r:id="rId125" o:title=""/>
            <o:lock v:ext="edit" aspectratio="f"/>
            <w10:wrap type="none"/>
            <w10:anchorlock/>
          </v:shape>
          <o:OLEObject Type="Embed" ProgID="Equation.3" ShapeID="_x0000_i1081" DrawAspect="Content" ObjectID="_1468075781" r:id="rId124">
            <o:LockedField>false</o:LockedField>
          </o:OLEObject>
        </w:object>
      </w:r>
      <w:r>
        <w:tab/>
      </w:r>
      <w:r>
        <w:rPr>
          <w:rFonts w:hint="eastAsia"/>
        </w:rPr>
        <w:t>（</w:t>
      </w:r>
      <w:r>
        <w:rPr>
          <w:rFonts w:hint="eastAsia"/>
          <w:lang w:val="en-US"/>
        </w:rPr>
        <w:t>B</w:t>
      </w:r>
      <w:r>
        <w:t>.</w:t>
      </w:r>
      <w:r>
        <w:rPr>
          <w:rFonts w:hint="eastAsia"/>
          <w:lang w:val="en-US"/>
        </w:rPr>
        <w:t>30</w:t>
      </w:r>
      <w:r>
        <w:rPr>
          <w:rFonts w:hint="eastAsia"/>
        </w:rPr>
        <w:t>）</w:t>
      </w:r>
    </w:p>
    <w:p w14:paraId="45366FDC">
      <w:pPr>
        <w:widowControl w:val="0"/>
        <w:spacing w:line="240" w:lineRule="auto"/>
        <w:ind w:firstLine="420" w:firstLineChars="200"/>
        <w:textAlignment w:val="auto"/>
        <w:rPr>
          <w:kern w:val="2"/>
          <w:szCs w:val="24"/>
        </w:rPr>
      </w:pPr>
      <w:r>
        <w:rPr>
          <w:rFonts w:hint="eastAsia" w:hAnsi="宋体"/>
          <w:kern w:val="2"/>
          <w:szCs w:val="24"/>
        </w:rPr>
        <w:t>式中：</w:t>
      </w:r>
    </w:p>
    <w:p w14:paraId="546E2CA1">
      <w:pPr>
        <w:widowControl w:val="0"/>
        <w:spacing w:line="240" w:lineRule="auto"/>
        <w:ind w:firstLine="420" w:firstLineChars="200"/>
        <w:textAlignment w:val="auto"/>
        <w:rPr>
          <w:rFonts w:hint="eastAsia" w:hAnsi="宋体"/>
          <w:kern w:val="2"/>
          <w:szCs w:val="24"/>
        </w:rPr>
      </w:pPr>
      <w:r>
        <w:rPr>
          <w:i/>
          <w:kern w:val="2"/>
          <w:szCs w:val="24"/>
        </w:rPr>
        <w:t>r</w:t>
      </w:r>
      <w:r>
        <w:rPr>
          <w:kern w:val="2"/>
          <w:szCs w:val="24"/>
        </w:rPr>
        <w:t>——</w:t>
      </w:r>
      <w:r>
        <w:rPr>
          <w:rFonts w:hint="eastAsia" w:hAnsi="宋体"/>
          <w:kern w:val="2"/>
          <w:szCs w:val="24"/>
        </w:rPr>
        <w:t>目标到火焰中心的距离，单位为米</w:t>
      </w:r>
      <w:r>
        <w:rPr>
          <w:rFonts w:hAnsi="宋体"/>
          <w:kern w:val="2"/>
          <w:szCs w:val="24"/>
        </w:rPr>
        <w:t>（</w:t>
      </w:r>
      <w:r>
        <w:rPr>
          <w:kern w:val="2"/>
          <w:szCs w:val="24"/>
        </w:rPr>
        <w:t>m</w:t>
      </w:r>
      <w:r>
        <w:rPr>
          <w:rFonts w:hAnsi="宋体"/>
          <w:kern w:val="2"/>
          <w:szCs w:val="24"/>
        </w:rPr>
        <w:t>）</w:t>
      </w:r>
      <w:r>
        <w:rPr>
          <w:rFonts w:hint="eastAsia" w:hAnsi="宋体"/>
          <w:kern w:val="2"/>
          <w:szCs w:val="24"/>
        </w:rPr>
        <w:t>。</w:t>
      </w:r>
    </w:p>
    <w:p w14:paraId="21B2F0EF">
      <w:pPr>
        <w:spacing w:before="156" w:beforeLines="50" w:after="156" w:afterLines="50" w:line="240" w:lineRule="auto"/>
        <w:jc w:val="left"/>
        <w:textAlignment w:val="auto"/>
        <w:rPr>
          <w:rFonts w:ascii="黑体" w:eastAsia="黑体"/>
          <w:kern w:val="2"/>
          <w:szCs w:val="32"/>
        </w:rPr>
      </w:pPr>
      <w:r>
        <w:rPr>
          <w:rFonts w:hint="eastAsia" w:hAnsi="宋体"/>
          <w:kern w:val="2"/>
          <w:szCs w:val="32"/>
        </w:rPr>
        <w:t xml:space="preserve">B.5.1.6.2.2 </w:t>
      </w:r>
      <w:r>
        <w:rPr>
          <w:rFonts w:hint="eastAsia" w:ascii="黑体" w:eastAsia="黑体"/>
          <w:kern w:val="2"/>
          <w:szCs w:val="32"/>
        </w:rPr>
        <w:t>水平方向喷射火计算</w:t>
      </w:r>
    </w:p>
    <w:p w14:paraId="68D1CF7F">
      <w:pPr>
        <w:widowControl w:val="0"/>
        <w:spacing w:line="240" w:lineRule="auto"/>
        <w:textAlignment w:val="auto"/>
        <w:rPr>
          <w:rFonts w:ascii="宋体" w:cs="宋体"/>
          <w:kern w:val="2"/>
          <w:szCs w:val="32"/>
        </w:rPr>
      </w:pPr>
      <w:r>
        <w:rPr>
          <w:rFonts w:hint="eastAsia" w:hAnsi="宋体"/>
          <w:kern w:val="2"/>
          <w:szCs w:val="32"/>
        </w:rPr>
        <w:t>B.5.1.6.2.2.1</w:t>
      </w:r>
      <w:r>
        <w:rPr>
          <w:rFonts w:ascii="黑体" w:eastAsia="黑体"/>
          <w:kern w:val="2"/>
          <w:szCs w:val="21"/>
        </w:rPr>
        <w:t xml:space="preserve">  </w:t>
      </w:r>
      <w:r>
        <w:rPr>
          <w:rFonts w:hint="eastAsia" w:ascii="宋体" w:hAnsi="宋体" w:cs="宋体"/>
          <w:kern w:val="2"/>
          <w:szCs w:val="32"/>
        </w:rPr>
        <w:t>加压的可燃物泄漏时形成射流，如果在泄漏裂口处被点燃，则形成喷射火。假定火焰为圆锥形，并用从泄漏处到火焰长度</w:t>
      </w:r>
      <w:r>
        <w:rPr>
          <w:kern w:val="2"/>
          <w:szCs w:val="32"/>
        </w:rPr>
        <w:t>4/5</w:t>
      </w:r>
      <w:r>
        <w:rPr>
          <w:rFonts w:hint="eastAsia" w:ascii="宋体" w:hAnsi="宋体" w:cs="宋体"/>
          <w:kern w:val="2"/>
          <w:szCs w:val="32"/>
        </w:rPr>
        <w:t>处的点源模型来表示。</w:t>
      </w:r>
    </w:p>
    <w:p w14:paraId="541230B3">
      <w:pPr>
        <w:widowControl w:val="0"/>
        <w:spacing w:line="240" w:lineRule="auto"/>
        <w:textAlignment w:val="auto"/>
        <w:rPr>
          <w:rFonts w:ascii="宋体" w:cs="宋体"/>
          <w:kern w:val="2"/>
          <w:szCs w:val="32"/>
        </w:rPr>
      </w:pPr>
      <w:r>
        <w:rPr>
          <w:rFonts w:hint="eastAsia" w:hAnsi="宋体"/>
          <w:kern w:val="2"/>
          <w:szCs w:val="32"/>
        </w:rPr>
        <w:t>B.5.1.6.2.2.2</w:t>
      </w:r>
      <w:r>
        <w:rPr>
          <w:rFonts w:ascii="黑体" w:eastAsia="黑体"/>
          <w:kern w:val="2"/>
          <w:szCs w:val="21"/>
        </w:rPr>
        <w:t xml:space="preserve">  </w:t>
      </w:r>
      <w:r>
        <w:rPr>
          <w:rFonts w:hint="eastAsia" w:ascii="宋体" w:hAnsi="宋体" w:cs="宋体"/>
          <w:kern w:val="2"/>
          <w:szCs w:val="32"/>
        </w:rPr>
        <w:t>喷射火的火焰长度可按式（</w:t>
      </w:r>
      <w:r>
        <w:rPr>
          <w:rFonts w:hint="eastAsia"/>
          <w:kern w:val="2"/>
          <w:szCs w:val="24"/>
        </w:rPr>
        <w:t>B</w:t>
      </w:r>
      <w:r>
        <w:rPr>
          <w:kern w:val="2"/>
          <w:szCs w:val="24"/>
        </w:rPr>
        <w:t>.</w:t>
      </w:r>
      <w:r>
        <w:rPr>
          <w:rFonts w:hint="eastAsia"/>
          <w:kern w:val="2"/>
          <w:szCs w:val="24"/>
        </w:rPr>
        <w:t>31</w:t>
      </w:r>
      <w:r>
        <w:rPr>
          <w:rFonts w:hint="eastAsia" w:ascii="宋体" w:hAnsi="宋体" w:cs="宋体"/>
          <w:kern w:val="2"/>
          <w:szCs w:val="32"/>
        </w:rPr>
        <w:t>）计算：</w:t>
      </w:r>
    </w:p>
    <w:p w14:paraId="58E31CA4">
      <w:pPr>
        <w:pStyle w:val="163"/>
        <w:tabs>
          <w:tab w:val="right" w:leader="middleDot" w:pos="9450"/>
          <w:tab w:val="clear" w:pos="9660"/>
        </w:tabs>
      </w:pPr>
      <w:r>
        <w:tab/>
      </w:r>
      <w:r>
        <w:object>
          <v:shape id="_x0000_i1082" o:spt="75" type="#_x0000_t75" style="height:30pt;width:69.75pt;" o:ole="t" fillcolor="#000005" filled="f" o:preferrelative="t" stroked="f" coordsize="21600,21600">
            <v:path/>
            <v:fill on="f" focussize="0,0"/>
            <v:stroke on="f" joinstyle="miter"/>
            <v:imagedata r:id="rId127" o:title=""/>
            <o:lock v:ext="edit" aspectratio="f"/>
            <w10:wrap type="none"/>
            <w10:anchorlock/>
          </v:shape>
          <o:OLEObject Type="Embed" ProgID="Equation.3" ShapeID="_x0000_i1082" DrawAspect="Content" ObjectID="_1468075782" r:id="rId126">
            <o:LockedField>false</o:LockedField>
          </o:OLEObject>
        </w:object>
      </w:r>
      <w:r>
        <w:tab/>
      </w:r>
      <w:r>
        <w:rPr>
          <w:rFonts w:hint="eastAsia"/>
        </w:rPr>
        <w:t>（</w:t>
      </w:r>
      <w:r>
        <w:rPr>
          <w:rFonts w:hint="eastAsia"/>
          <w:lang w:val="en-US"/>
        </w:rPr>
        <w:t>B</w:t>
      </w:r>
      <w:r>
        <w:t>.</w:t>
      </w:r>
      <w:r>
        <w:rPr>
          <w:rFonts w:hint="eastAsia"/>
          <w:lang w:val="en-US"/>
        </w:rPr>
        <w:t>31</w:t>
      </w:r>
      <w:r>
        <w:rPr>
          <w:rFonts w:hint="eastAsia"/>
        </w:rPr>
        <w:t>）</w:t>
      </w:r>
    </w:p>
    <w:p w14:paraId="1BCEA2B6">
      <w:pPr>
        <w:widowControl w:val="0"/>
        <w:spacing w:line="240" w:lineRule="auto"/>
        <w:ind w:firstLine="480"/>
        <w:textAlignment w:val="auto"/>
        <w:rPr>
          <w:rFonts w:ascii="宋体" w:cs="宋体"/>
          <w:kern w:val="2"/>
          <w:szCs w:val="32"/>
        </w:rPr>
      </w:pPr>
      <w:r>
        <w:rPr>
          <w:rFonts w:hint="eastAsia" w:ascii="宋体" w:hAnsi="宋体" w:cs="宋体"/>
          <w:kern w:val="2"/>
          <w:szCs w:val="32"/>
        </w:rPr>
        <w:t>式中：</w:t>
      </w:r>
    </w:p>
    <w:p w14:paraId="6144DF81">
      <w:pPr>
        <w:widowControl w:val="0"/>
        <w:spacing w:line="240" w:lineRule="auto"/>
        <w:ind w:firstLine="480"/>
        <w:textAlignment w:val="auto"/>
        <w:rPr>
          <w:rFonts w:cs="宋体"/>
          <w:kern w:val="2"/>
          <w:szCs w:val="32"/>
        </w:rPr>
      </w:pPr>
      <w:r>
        <w:rPr>
          <w:rFonts w:cs="宋体"/>
          <w:i/>
          <w:iCs/>
          <w:kern w:val="2"/>
          <w:szCs w:val="32"/>
        </w:rPr>
        <w:t>L</w:t>
      </w:r>
      <w:r>
        <w:rPr>
          <w:kern w:val="2"/>
          <w:szCs w:val="24"/>
        </w:rPr>
        <w:t>——</w:t>
      </w:r>
      <w:r>
        <w:rPr>
          <w:rFonts w:hint="eastAsia" w:hAnsi="宋体" w:cs="宋体"/>
          <w:kern w:val="2"/>
          <w:szCs w:val="32"/>
        </w:rPr>
        <w:t>火焰长度，单位为米</w:t>
      </w:r>
      <w:r>
        <w:rPr>
          <w:rFonts w:hAnsi="宋体" w:cs="宋体"/>
          <w:kern w:val="2"/>
          <w:szCs w:val="32"/>
        </w:rPr>
        <w:t>（</w:t>
      </w:r>
      <w:r>
        <w:rPr>
          <w:rFonts w:cs="宋体"/>
          <w:kern w:val="2"/>
          <w:szCs w:val="32"/>
        </w:rPr>
        <w:t>m</w:t>
      </w:r>
      <w:r>
        <w:rPr>
          <w:rFonts w:hAnsi="宋体" w:cs="宋体"/>
          <w:kern w:val="2"/>
          <w:szCs w:val="32"/>
        </w:rPr>
        <w:t>）</w:t>
      </w:r>
      <w:r>
        <w:rPr>
          <w:rFonts w:hint="eastAsia" w:hAnsi="宋体" w:cs="宋体"/>
          <w:kern w:val="2"/>
          <w:szCs w:val="32"/>
        </w:rPr>
        <w:t>；</w:t>
      </w:r>
    </w:p>
    <w:p w14:paraId="2A3F4B54">
      <w:pPr>
        <w:widowControl w:val="0"/>
        <w:spacing w:line="240" w:lineRule="auto"/>
        <w:ind w:firstLine="480"/>
        <w:textAlignment w:val="auto"/>
        <w:rPr>
          <w:rFonts w:cs="宋体"/>
          <w:kern w:val="2"/>
          <w:szCs w:val="32"/>
        </w:rPr>
      </w:pPr>
      <w:r>
        <w:rPr>
          <w:rFonts w:cs="宋体"/>
          <w:i/>
          <w:iCs/>
          <w:kern w:val="2"/>
          <w:szCs w:val="32"/>
        </w:rPr>
        <w:t>H</w:t>
      </w:r>
      <w:r>
        <w:rPr>
          <w:rFonts w:cs="宋体"/>
          <w:i/>
          <w:iCs/>
          <w:kern w:val="2"/>
          <w:szCs w:val="32"/>
          <w:vertAlign w:val="subscript"/>
        </w:rPr>
        <w:t>C</w:t>
      </w:r>
      <w:r>
        <w:rPr>
          <w:kern w:val="2"/>
          <w:szCs w:val="24"/>
        </w:rPr>
        <w:t>——</w:t>
      </w:r>
      <w:r>
        <w:rPr>
          <w:rFonts w:hint="eastAsia" w:hAnsi="宋体" w:cs="宋体"/>
          <w:kern w:val="2"/>
          <w:szCs w:val="32"/>
        </w:rPr>
        <w:t>燃烧热，单位为焦耳</w:t>
      </w:r>
      <w:r>
        <w:rPr>
          <w:rFonts w:hAnsi="宋体" w:cs="宋体"/>
          <w:kern w:val="2"/>
          <w:szCs w:val="32"/>
        </w:rPr>
        <w:t>每千克（</w:t>
      </w:r>
      <w:r>
        <w:rPr>
          <w:rFonts w:cs="宋体"/>
          <w:kern w:val="2"/>
          <w:szCs w:val="32"/>
        </w:rPr>
        <w:t>J/kg</w:t>
      </w:r>
      <w:r>
        <w:rPr>
          <w:rFonts w:hAnsi="宋体" w:cs="宋体"/>
          <w:kern w:val="2"/>
          <w:szCs w:val="32"/>
        </w:rPr>
        <w:t>）</w:t>
      </w:r>
      <w:r>
        <w:rPr>
          <w:rFonts w:hint="eastAsia" w:hAnsi="宋体" w:cs="宋体"/>
          <w:kern w:val="2"/>
          <w:szCs w:val="32"/>
        </w:rPr>
        <w:t>；</w:t>
      </w:r>
    </w:p>
    <w:p w14:paraId="5939ABD5">
      <w:pPr>
        <w:widowControl w:val="0"/>
        <w:spacing w:line="240" w:lineRule="auto"/>
        <w:ind w:firstLine="480"/>
        <w:textAlignment w:val="auto"/>
        <w:rPr>
          <w:rFonts w:cs="宋体"/>
          <w:kern w:val="2"/>
          <w:szCs w:val="32"/>
        </w:rPr>
      </w:pPr>
      <w:r>
        <w:rPr>
          <w:rFonts w:cs="宋体"/>
          <w:i/>
          <w:iCs/>
          <w:kern w:val="2"/>
          <w:szCs w:val="32"/>
        </w:rPr>
        <w:t>m</w:t>
      </w:r>
      <w:r>
        <w:rPr>
          <w:kern w:val="2"/>
          <w:szCs w:val="24"/>
        </w:rPr>
        <w:t>——</w:t>
      </w:r>
      <w:r>
        <w:rPr>
          <w:rFonts w:hint="eastAsia" w:hAnsi="宋体" w:cs="宋体"/>
          <w:kern w:val="2"/>
          <w:szCs w:val="32"/>
        </w:rPr>
        <w:t>质量流速，单位为千克</w:t>
      </w:r>
      <w:r>
        <w:rPr>
          <w:rFonts w:hAnsi="宋体" w:cs="宋体"/>
          <w:kern w:val="2"/>
          <w:szCs w:val="32"/>
        </w:rPr>
        <w:t>每秒（</w:t>
      </w:r>
      <w:r>
        <w:rPr>
          <w:rFonts w:cs="宋体"/>
          <w:kern w:val="2"/>
          <w:szCs w:val="32"/>
        </w:rPr>
        <w:t>kg/s</w:t>
      </w:r>
      <w:r>
        <w:rPr>
          <w:rFonts w:hAnsi="宋体" w:cs="宋体"/>
          <w:kern w:val="2"/>
          <w:szCs w:val="32"/>
        </w:rPr>
        <w:t>）</w:t>
      </w:r>
      <w:r>
        <w:rPr>
          <w:rFonts w:hint="eastAsia" w:hAnsi="宋体" w:cs="宋体"/>
          <w:kern w:val="2"/>
          <w:szCs w:val="32"/>
        </w:rPr>
        <w:t>。</w:t>
      </w:r>
    </w:p>
    <w:p w14:paraId="1481EDD0">
      <w:pPr>
        <w:widowControl w:val="0"/>
        <w:spacing w:line="240" w:lineRule="auto"/>
        <w:textAlignment w:val="auto"/>
        <w:rPr>
          <w:rFonts w:cs="宋体"/>
          <w:kern w:val="2"/>
          <w:szCs w:val="32"/>
        </w:rPr>
      </w:pPr>
      <w:r>
        <w:rPr>
          <w:rFonts w:hint="eastAsia" w:hAnsi="宋体"/>
          <w:kern w:val="2"/>
          <w:szCs w:val="32"/>
        </w:rPr>
        <w:t>B.5.1.6.2.2.3</w:t>
      </w:r>
      <w:r>
        <w:rPr>
          <w:rFonts w:ascii="黑体" w:eastAsia="黑体"/>
          <w:kern w:val="2"/>
          <w:szCs w:val="21"/>
        </w:rPr>
        <w:t xml:space="preserve">  </w:t>
      </w:r>
      <w:r>
        <w:rPr>
          <w:rFonts w:hint="eastAsia" w:hAnsi="宋体" w:cs="宋体"/>
          <w:kern w:val="2"/>
          <w:szCs w:val="32"/>
        </w:rPr>
        <w:t>距离火焰点源</w:t>
      </w:r>
      <w:r>
        <w:rPr>
          <w:rFonts w:cs="宋体"/>
          <w:kern w:val="2"/>
          <w:szCs w:val="32"/>
        </w:rPr>
        <w:t>X(m)</w:t>
      </w:r>
      <w:r>
        <w:rPr>
          <w:rFonts w:hint="eastAsia" w:hAnsi="宋体" w:cs="宋体"/>
          <w:kern w:val="2"/>
          <w:szCs w:val="32"/>
        </w:rPr>
        <w:t>处接收到的热辐射通量可按式</w:t>
      </w:r>
      <w:r>
        <w:rPr>
          <w:rFonts w:hint="eastAsia"/>
          <w:kern w:val="2"/>
          <w:szCs w:val="21"/>
          <w:lang w:val="es-ES"/>
        </w:rPr>
        <w:t>（</w:t>
      </w:r>
      <w:r>
        <w:rPr>
          <w:rFonts w:hint="eastAsia"/>
          <w:kern w:val="2"/>
          <w:szCs w:val="21"/>
        </w:rPr>
        <w:t>B</w:t>
      </w:r>
      <w:r>
        <w:rPr>
          <w:kern w:val="2"/>
          <w:szCs w:val="21"/>
          <w:lang w:val="es-ES"/>
        </w:rPr>
        <w:t>.</w:t>
      </w:r>
      <w:r>
        <w:rPr>
          <w:rFonts w:hint="eastAsia"/>
          <w:kern w:val="2"/>
          <w:szCs w:val="21"/>
        </w:rPr>
        <w:t>32</w:t>
      </w:r>
      <w:r>
        <w:rPr>
          <w:rFonts w:hint="eastAsia"/>
          <w:kern w:val="2"/>
          <w:szCs w:val="21"/>
          <w:lang w:val="es-ES"/>
        </w:rPr>
        <w:t>）</w:t>
      </w:r>
      <w:r>
        <w:rPr>
          <w:rFonts w:hint="eastAsia" w:hAnsi="宋体" w:cs="宋体"/>
          <w:kern w:val="2"/>
          <w:szCs w:val="32"/>
        </w:rPr>
        <w:t>计算：</w:t>
      </w:r>
    </w:p>
    <w:p w14:paraId="578CF976">
      <w:pPr>
        <w:pStyle w:val="163"/>
        <w:tabs>
          <w:tab w:val="right" w:leader="middleDot" w:pos="9450"/>
          <w:tab w:val="clear" w:pos="9660"/>
        </w:tabs>
      </w:pPr>
      <w:r>
        <w:tab/>
      </w:r>
      <w:r>
        <w:object>
          <v:shape id="_x0000_i1083" o:spt="75" type="#_x0000_t75" style="height:28.5pt;width:74.25pt;" o:ole="t" fillcolor="#000005" filled="f" o:preferrelative="t" stroked="f" coordsize="21600,21600">
            <v:path/>
            <v:fill on="f" focussize="0,0"/>
            <v:stroke on="f" joinstyle="miter"/>
            <v:imagedata r:id="rId129" o:title=""/>
            <o:lock v:ext="edit" aspectratio="f"/>
            <w10:wrap type="none"/>
            <w10:anchorlock/>
          </v:shape>
          <o:OLEObject Type="Embed" ProgID="Equation.3" ShapeID="_x0000_i1083" DrawAspect="Content" ObjectID="_1468075783" r:id="rId128">
            <o:LockedField>false</o:LockedField>
          </o:OLEObject>
        </w:object>
      </w:r>
      <w:r>
        <w:tab/>
      </w:r>
      <w:r>
        <w:rPr>
          <w:rFonts w:hint="eastAsia"/>
        </w:rPr>
        <w:t>（</w:t>
      </w:r>
      <w:r>
        <w:rPr>
          <w:rFonts w:hint="eastAsia"/>
          <w:lang w:val="en-US"/>
        </w:rPr>
        <w:t>B</w:t>
      </w:r>
      <w:r>
        <w:t>.</w:t>
      </w:r>
      <w:r>
        <w:rPr>
          <w:rFonts w:hint="eastAsia"/>
          <w:lang w:val="en-US"/>
        </w:rPr>
        <w:t>32</w:t>
      </w:r>
      <w:r>
        <w:rPr>
          <w:rFonts w:hint="eastAsia"/>
        </w:rPr>
        <w:t>）</w:t>
      </w:r>
    </w:p>
    <w:p w14:paraId="564B06D9">
      <w:pPr>
        <w:widowControl w:val="0"/>
        <w:spacing w:line="240" w:lineRule="auto"/>
        <w:ind w:firstLine="480"/>
        <w:textAlignment w:val="auto"/>
        <w:rPr>
          <w:rFonts w:cs="宋体"/>
          <w:kern w:val="2"/>
          <w:szCs w:val="32"/>
        </w:rPr>
      </w:pPr>
      <w:r>
        <w:rPr>
          <w:rFonts w:hint="eastAsia" w:hAnsi="宋体" w:cs="宋体"/>
          <w:kern w:val="2"/>
          <w:szCs w:val="32"/>
        </w:rPr>
        <w:t>式中：</w:t>
      </w:r>
    </w:p>
    <w:p w14:paraId="17528AA7">
      <w:pPr>
        <w:widowControl w:val="0"/>
        <w:spacing w:line="240" w:lineRule="auto"/>
        <w:ind w:firstLine="480"/>
        <w:textAlignment w:val="auto"/>
        <w:rPr>
          <w:rFonts w:cs="宋体"/>
          <w:kern w:val="2"/>
          <w:szCs w:val="32"/>
        </w:rPr>
      </w:pPr>
      <w:r>
        <w:rPr>
          <w:rFonts w:cs="宋体"/>
          <w:i/>
          <w:iCs/>
          <w:kern w:val="2"/>
          <w:szCs w:val="32"/>
        </w:rPr>
        <w:t>q</w:t>
      </w:r>
      <w:r>
        <w:rPr>
          <w:kern w:val="2"/>
          <w:szCs w:val="24"/>
        </w:rPr>
        <w:t>——</w:t>
      </w:r>
      <w:r>
        <w:rPr>
          <w:rFonts w:hint="eastAsia" w:hAnsi="宋体" w:cs="宋体"/>
          <w:kern w:val="2"/>
          <w:szCs w:val="32"/>
        </w:rPr>
        <w:t>距离</w:t>
      </w:r>
      <w:r>
        <w:rPr>
          <w:rFonts w:cs="宋体"/>
          <w:kern w:val="2"/>
          <w:szCs w:val="32"/>
        </w:rPr>
        <w:t>X</w:t>
      </w:r>
      <w:r>
        <w:rPr>
          <w:rFonts w:hint="eastAsia" w:hAnsi="宋体" w:cs="宋体"/>
          <w:kern w:val="2"/>
          <w:szCs w:val="32"/>
        </w:rPr>
        <w:t>处接收的热辐射的通量，单位为千瓦特</w:t>
      </w:r>
      <w:r>
        <w:rPr>
          <w:rFonts w:hAnsi="宋体" w:cs="宋体"/>
          <w:kern w:val="2"/>
          <w:szCs w:val="32"/>
        </w:rPr>
        <w:t>每平方米（</w:t>
      </w:r>
      <w:r>
        <w:rPr>
          <w:rFonts w:cs="宋体"/>
          <w:kern w:val="2"/>
          <w:szCs w:val="32"/>
        </w:rPr>
        <w:t>kW/m</w:t>
      </w:r>
      <w:r>
        <w:rPr>
          <w:rFonts w:cs="宋体"/>
          <w:kern w:val="2"/>
          <w:szCs w:val="32"/>
          <w:vertAlign w:val="superscript"/>
        </w:rPr>
        <w:t>2</w:t>
      </w:r>
      <w:r>
        <w:rPr>
          <w:rFonts w:hAnsi="宋体" w:cs="宋体"/>
          <w:kern w:val="2"/>
          <w:szCs w:val="32"/>
        </w:rPr>
        <w:t>）</w:t>
      </w:r>
      <w:r>
        <w:rPr>
          <w:rFonts w:hint="eastAsia" w:hAnsi="宋体" w:cs="宋体"/>
          <w:kern w:val="2"/>
          <w:szCs w:val="32"/>
        </w:rPr>
        <w:t>；</w:t>
      </w:r>
    </w:p>
    <w:p w14:paraId="549DD7A6">
      <w:pPr>
        <w:widowControl w:val="0"/>
        <w:spacing w:line="240" w:lineRule="auto"/>
        <w:ind w:firstLine="480"/>
        <w:textAlignment w:val="auto"/>
        <w:rPr>
          <w:rFonts w:cs="宋体"/>
          <w:kern w:val="2"/>
          <w:szCs w:val="32"/>
        </w:rPr>
      </w:pPr>
      <w:r>
        <w:rPr>
          <w:rFonts w:cs="宋体"/>
          <w:i/>
          <w:iCs/>
          <w:kern w:val="2"/>
          <w:szCs w:val="32"/>
        </w:rPr>
        <w:t>f</w:t>
      </w:r>
      <w:r>
        <w:rPr>
          <w:kern w:val="2"/>
          <w:szCs w:val="24"/>
        </w:rPr>
        <w:t>——</w:t>
      </w:r>
      <w:r>
        <w:rPr>
          <w:rFonts w:hint="eastAsia" w:hAnsi="宋体" w:cs="宋体"/>
          <w:kern w:val="2"/>
          <w:szCs w:val="32"/>
        </w:rPr>
        <w:t>热辐射率；</w:t>
      </w:r>
    </w:p>
    <w:p w14:paraId="4666D0DF">
      <w:pPr>
        <w:widowControl w:val="0"/>
        <w:spacing w:line="240" w:lineRule="auto"/>
        <w:ind w:firstLine="480"/>
        <w:textAlignment w:val="auto"/>
        <w:rPr>
          <w:rFonts w:cs="宋体"/>
          <w:kern w:val="2"/>
          <w:szCs w:val="32"/>
        </w:rPr>
      </w:pPr>
      <w:r>
        <w:rPr>
          <w:rFonts w:cs="宋体"/>
          <w:i/>
          <w:iCs/>
          <w:kern w:val="2"/>
          <w:szCs w:val="32"/>
        </w:rPr>
        <w:t>τ</w:t>
      </w:r>
      <w:r>
        <w:rPr>
          <w:kern w:val="2"/>
          <w:szCs w:val="24"/>
        </w:rPr>
        <w:t>——</w:t>
      </w:r>
      <w:r>
        <w:rPr>
          <w:rFonts w:hint="eastAsia" w:hAnsi="宋体" w:cs="宋体"/>
          <w:kern w:val="2"/>
          <w:szCs w:val="32"/>
        </w:rPr>
        <w:t>大气传输率。</w:t>
      </w:r>
    </w:p>
    <w:p w14:paraId="7167E57B">
      <w:pPr>
        <w:widowControl w:val="0"/>
        <w:spacing w:line="240" w:lineRule="auto"/>
        <w:ind w:firstLine="480"/>
        <w:textAlignment w:val="auto"/>
        <w:rPr>
          <w:rFonts w:cs="宋体"/>
          <w:kern w:val="2"/>
          <w:szCs w:val="32"/>
        </w:rPr>
      </w:pPr>
      <w:r>
        <w:rPr>
          <w:rFonts w:hint="eastAsia" w:hAnsi="宋体" w:cs="宋体"/>
          <w:kern w:val="2"/>
          <w:szCs w:val="32"/>
        </w:rPr>
        <w:t>大气传输率</w:t>
      </w:r>
      <w:r>
        <w:rPr>
          <w:rFonts w:cs="宋体"/>
          <w:kern w:val="2"/>
          <w:szCs w:val="32"/>
        </w:rPr>
        <w:t>τ</w:t>
      </w:r>
      <w:r>
        <w:rPr>
          <w:rFonts w:hint="eastAsia" w:hAnsi="宋体" w:cs="宋体"/>
          <w:kern w:val="2"/>
          <w:szCs w:val="32"/>
        </w:rPr>
        <w:t>按式</w:t>
      </w:r>
      <w:r>
        <w:rPr>
          <w:rFonts w:hint="eastAsia"/>
          <w:kern w:val="2"/>
          <w:szCs w:val="21"/>
          <w:lang w:val="es-ES"/>
        </w:rPr>
        <w:t>（</w:t>
      </w:r>
      <w:r>
        <w:rPr>
          <w:rFonts w:hint="eastAsia"/>
          <w:kern w:val="2"/>
          <w:szCs w:val="21"/>
        </w:rPr>
        <w:t>B</w:t>
      </w:r>
      <w:r>
        <w:rPr>
          <w:kern w:val="2"/>
          <w:szCs w:val="21"/>
          <w:lang w:val="es-ES"/>
        </w:rPr>
        <w:t>.</w:t>
      </w:r>
      <w:r>
        <w:rPr>
          <w:rFonts w:hint="eastAsia"/>
          <w:kern w:val="2"/>
          <w:szCs w:val="21"/>
        </w:rPr>
        <w:t>33</w:t>
      </w:r>
      <w:r>
        <w:rPr>
          <w:rFonts w:hint="eastAsia"/>
          <w:kern w:val="2"/>
          <w:szCs w:val="21"/>
          <w:lang w:val="es-ES"/>
        </w:rPr>
        <w:t>）</w:t>
      </w:r>
      <w:r>
        <w:rPr>
          <w:rFonts w:hint="eastAsia" w:hAnsi="宋体" w:cs="宋体"/>
          <w:kern w:val="2"/>
          <w:szCs w:val="32"/>
        </w:rPr>
        <w:t>计算：</w:t>
      </w:r>
    </w:p>
    <w:p w14:paraId="39DBA428">
      <w:pPr>
        <w:pStyle w:val="163"/>
        <w:tabs>
          <w:tab w:val="right" w:leader="middleDot" w:pos="9450"/>
          <w:tab w:val="clear" w:pos="9660"/>
        </w:tabs>
      </w:pPr>
      <w:r>
        <w:tab/>
      </w:r>
      <w:r>
        <w:object>
          <v:shape id="_x0000_i1084" o:spt="75" type="#_x0000_t75" style="height:13.5pt;width:80.25pt;" o:ole="t" fillcolor="#000005" filled="f" o:preferrelative="t" stroked="f" coordsize="21600,21600">
            <v:path/>
            <v:fill on="f" focussize="0,0"/>
            <v:stroke on="f" joinstyle="miter"/>
            <v:imagedata r:id="rId131" o:title=""/>
            <o:lock v:ext="edit" aspectratio="f"/>
            <w10:wrap type="none"/>
            <w10:anchorlock/>
          </v:shape>
          <o:OLEObject Type="Embed" ProgID="Equation.3" ShapeID="_x0000_i1084" DrawAspect="Content" ObjectID="_1468075784" r:id="rId130">
            <o:LockedField>false</o:LockedField>
          </o:OLEObject>
        </w:object>
      </w:r>
      <w:r>
        <w:tab/>
      </w:r>
      <w:r>
        <w:rPr>
          <w:rFonts w:hint="eastAsia"/>
        </w:rPr>
        <w:t>（</w:t>
      </w:r>
      <w:r>
        <w:rPr>
          <w:rFonts w:hint="eastAsia"/>
          <w:lang w:val="en-US"/>
        </w:rPr>
        <w:t>B</w:t>
      </w:r>
      <w:r>
        <w:t>.</w:t>
      </w:r>
      <w:r>
        <w:rPr>
          <w:rFonts w:hint="eastAsia"/>
          <w:lang w:val="en-US"/>
        </w:rPr>
        <w:t>33</w:t>
      </w:r>
      <w:r>
        <w:rPr>
          <w:rFonts w:hint="eastAsia"/>
        </w:rPr>
        <w:t>）</w:t>
      </w:r>
    </w:p>
    <w:p w14:paraId="3A3571C4">
      <w:pPr>
        <w:spacing w:before="156" w:beforeLines="50" w:after="156" w:afterLines="50" w:line="240" w:lineRule="auto"/>
        <w:jc w:val="left"/>
        <w:textAlignment w:val="auto"/>
        <w:rPr>
          <w:rFonts w:hint="eastAsia" w:hAnsi="宋体"/>
          <w:kern w:val="2"/>
          <w:szCs w:val="32"/>
        </w:rPr>
      </w:pPr>
      <w:r>
        <w:rPr>
          <w:rFonts w:hint="eastAsia" w:hAnsi="宋体"/>
          <w:kern w:val="2"/>
          <w:szCs w:val="32"/>
        </w:rPr>
        <w:t>B.5.1.6.3  蒸气云爆炸（TNO模型）计算</w:t>
      </w:r>
    </w:p>
    <w:p w14:paraId="2F5A40E0">
      <w:pPr>
        <w:spacing w:before="156" w:beforeLines="50" w:after="156" w:afterLines="50" w:line="240" w:lineRule="auto"/>
        <w:jc w:val="left"/>
        <w:textAlignment w:val="auto"/>
        <w:rPr>
          <w:rFonts w:ascii="黑体" w:eastAsia="黑体"/>
          <w:kern w:val="2"/>
          <w:szCs w:val="32"/>
        </w:rPr>
      </w:pPr>
      <w:r>
        <w:rPr>
          <w:rFonts w:hint="eastAsia" w:hAnsi="宋体"/>
          <w:kern w:val="2"/>
          <w:szCs w:val="32"/>
        </w:rPr>
        <w:t>B.5.1.6.3.1</w:t>
      </w:r>
      <w:r>
        <w:rPr>
          <w:rFonts w:ascii="黑体" w:eastAsia="黑体"/>
          <w:kern w:val="2"/>
          <w:szCs w:val="32"/>
        </w:rPr>
        <w:t xml:space="preserve">  </w:t>
      </w:r>
      <w:r>
        <w:rPr>
          <w:rFonts w:hAnsi="宋体"/>
          <w:kern w:val="2"/>
          <w:szCs w:val="21"/>
        </w:rPr>
        <w:t>TNO</w:t>
      </w:r>
      <w:r>
        <w:rPr>
          <w:rFonts w:hint="eastAsia" w:hAnsi="宋体"/>
          <w:kern w:val="2"/>
          <w:szCs w:val="21"/>
        </w:rPr>
        <w:t>方法计算包括以下步骤：</w:t>
      </w:r>
    </w:p>
    <w:p w14:paraId="34778E98">
      <w:pPr>
        <w:widowControl w:val="0"/>
        <w:spacing w:line="240" w:lineRule="auto"/>
        <w:ind w:firstLine="420" w:firstLineChars="200"/>
        <w:textAlignment w:val="auto"/>
        <w:rPr>
          <w:kern w:val="2"/>
          <w:szCs w:val="21"/>
        </w:rPr>
      </w:pPr>
      <w:r>
        <w:rPr>
          <w:kern w:val="2"/>
          <w:szCs w:val="21"/>
        </w:rPr>
        <w:t>a</w:t>
      </w:r>
      <w:r>
        <w:rPr>
          <w:rFonts w:hint="eastAsia" w:ascii="宋体" w:hAnsi="宋体"/>
          <w:kern w:val="2"/>
          <w:szCs w:val="21"/>
        </w:rPr>
        <w:t>）</w:t>
      </w:r>
      <w:r>
        <w:rPr>
          <w:rFonts w:hint="eastAsia" w:hAnsi="宋体"/>
          <w:kern w:val="2"/>
          <w:szCs w:val="21"/>
        </w:rPr>
        <w:t>进行扩散计算，确定可燃气云的范围；</w:t>
      </w:r>
    </w:p>
    <w:p w14:paraId="69A6200D">
      <w:pPr>
        <w:widowControl w:val="0"/>
        <w:spacing w:line="240" w:lineRule="auto"/>
        <w:ind w:firstLine="420" w:firstLineChars="200"/>
        <w:textAlignment w:val="auto"/>
        <w:rPr>
          <w:kern w:val="2"/>
          <w:szCs w:val="21"/>
        </w:rPr>
      </w:pPr>
      <w:r>
        <w:rPr>
          <w:kern w:val="2"/>
          <w:szCs w:val="21"/>
        </w:rPr>
        <w:t>b</w:t>
      </w:r>
      <w:r>
        <w:rPr>
          <w:rFonts w:hint="eastAsia" w:ascii="宋体" w:hAnsi="宋体"/>
          <w:kern w:val="2"/>
          <w:szCs w:val="21"/>
        </w:rPr>
        <w:t>）</w:t>
      </w:r>
      <w:r>
        <w:rPr>
          <w:rFonts w:hint="eastAsia" w:hAnsi="宋体"/>
          <w:kern w:val="2"/>
          <w:szCs w:val="21"/>
        </w:rPr>
        <w:t>进行区域检查，确定拥挤的区域；</w:t>
      </w:r>
    </w:p>
    <w:p w14:paraId="252893D3">
      <w:pPr>
        <w:widowControl w:val="0"/>
        <w:spacing w:line="240" w:lineRule="auto"/>
        <w:ind w:firstLine="420" w:firstLineChars="200"/>
        <w:textAlignment w:val="auto"/>
        <w:rPr>
          <w:rFonts w:hint="eastAsia" w:hAnsi="宋体"/>
          <w:kern w:val="2"/>
          <w:szCs w:val="21"/>
        </w:rPr>
      </w:pPr>
      <w:r>
        <w:rPr>
          <w:kern w:val="2"/>
          <w:szCs w:val="21"/>
        </w:rPr>
        <w:t>c</w:t>
      </w:r>
      <w:r>
        <w:rPr>
          <w:rFonts w:hint="eastAsia" w:ascii="宋体" w:hAnsi="宋体"/>
          <w:kern w:val="2"/>
          <w:szCs w:val="21"/>
        </w:rPr>
        <w:t>）</w:t>
      </w:r>
      <w:r>
        <w:rPr>
          <w:rFonts w:hint="eastAsia" w:hAnsi="宋体"/>
          <w:kern w:val="2"/>
          <w:szCs w:val="21"/>
        </w:rPr>
        <w:t>在被可燃气云覆盖的区域内，确定引起强烈冲击波的爆炸源，包括：</w:t>
      </w:r>
    </w:p>
    <w:p w14:paraId="20BBDE38">
      <w:pPr>
        <w:widowControl w:val="0"/>
        <w:spacing w:line="240" w:lineRule="auto"/>
        <w:ind w:firstLine="898" w:firstLineChars="428"/>
        <w:textAlignment w:val="auto"/>
        <w:rPr>
          <w:rFonts w:hint="eastAsia" w:hAnsi="宋体"/>
          <w:kern w:val="2"/>
          <w:szCs w:val="21"/>
        </w:rPr>
      </w:pPr>
      <w:r>
        <w:rPr>
          <w:kern w:val="2"/>
          <w:szCs w:val="21"/>
        </w:rPr>
        <w:t>1</w:t>
      </w:r>
      <w:r>
        <w:rPr>
          <w:rFonts w:hint="eastAsia" w:ascii="宋体" w:hAnsi="宋体"/>
          <w:kern w:val="2"/>
          <w:szCs w:val="21"/>
        </w:rPr>
        <w:t>）</w:t>
      </w:r>
      <w:r>
        <w:rPr>
          <w:rFonts w:hint="eastAsia" w:hAnsi="宋体"/>
          <w:kern w:val="2"/>
          <w:szCs w:val="21"/>
        </w:rPr>
        <w:t>拥挤的空间和建筑物；</w:t>
      </w:r>
    </w:p>
    <w:p w14:paraId="6248D8A4">
      <w:pPr>
        <w:widowControl w:val="0"/>
        <w:spacing w:line="240" w:lineRule="auto"/>
        <w:ind w:firstLine="898" w:firstLineChars="428"/>
        <w:textAlignment w:val="auto"/>
        <w:rPr>
          <w:rFonts w:hint="eastAsia" w:hAnsi="宋体"/>
          <w:kern w:val="2"/>
          <w:szCs w:val="21"/>
        </w:rPr>
      </w:pPr>
      <w:r>
        <w:rPr>
          <w:kern w:val="2"/>
          <w:szCs w:val="21"/>
        </w:rPr>
        <w:t>2</w:t>
      </w:r>
      <w:r>
        <w:rPr>
          <w:rFonts w:hint="eastAsia" w:ascii="宋体" w:hAnsi="宋体"/>
          <w:kern w:val="2"/>
          <w:szCs w:val="21"/>
        </w:rPr>
        <w:t>）</w:t>
      </w:r>
      <w:r>
        <w:rPr>
          <w:rFonts w:hint="eastAsia" w:hAnsi="宋体"/>
          <w:kern w:val="2"/>
          <w:szCs w:val="21"/>
        </w:rPr>
        <w:t>平行平面之间的空间；</w:t>
      </w:r>
    </w:p>
    <w:p w14:paraId="1FAC04AA">
      <w:pPr>
        <w:widowControl w:val="0"/>
        <w:spacing w:line="240" w:lineRule="auto"/>
        <w:ind w:firstLine="898" w:firstLineChars="428"/>
        <w:textAlignment w:val="auto"/>
        <w:rPr>
          <w:rFonts w:hint="eastAsia" w:hAnsi="宋体"/>
          <w:kern w:val="2"/>
          <w:szCs w:val="21"/>
        </w:rPr>
      </w:pPr>
      <w:r>
        <w:rPr>
          <w:kern w:val="2"/>
          <w:szCs w:val="21"/>
        </w:rPr>
        <w:t>3</w:t>
      </w:r>
      <w:r>
        <w:rPr>
          <w:rFonts w:hint="eastAsia" w:ascii="宋体" w:hAnsi="宋体"/>
          <w:kern w:val="2"/>
          <w:szCs w:val="21"/>
        </w:rPr>
        <w:t>）</w:t>
      </w:r>
      <w:r>
        <w:rPr>
          <w:rFonts w:hint="eastAsia" w:hAnsi="宋体"/>
          <w:kern w:val="2"/>
          <w:szCs w:val="21"/>
        </w:rPr>
        <w:t>管状结构内的空间；</w:t>
      </w:r>
    </w:p>
    <w:p w14:paraId="253BB59E">
      <w:pPr>
        <w:widowControl w:val="0"/>
        <w:spacing w:line="240" w:lineRule="auto"/>
        <w:ind w:firstLine="898" w:firstLineChars="428"/>
        <w:textAlignment w:val="auto"/>
        <w:rPr>
          <w:kern w:val="2"/>
          <w:szCs w:val="21"/>
        </w:rPr>
      </w:pPr>
      <w:r>
        <w:rPr>
          <w:kern w:val="2"/>
          <w:szCs w:val="21"/>
        </w:rPr>
        <w:t>4</w:t>
      </w:r>
      <w:r>
        <w:rPr>
          <w:rFonts w:hint="eastAsia" w:ascii="宋体" w:hAnsi="宋体"/>
          <w:kern w:val="2"/>
          <w:szCs w:val="21"/>
        </w:rPr>
        <w:t>）</w:t>
      </w:r>
      <w:r>
        <w:rPr>
          <w:rFonts w:hint="eastAsia" w:hAnsi="宋体"/>
          <w:kern w:val="2"/>
          <w:szCs w:val="21"/>
        </w:rPr>
        <w:t>高压泄放喷射形成的剧烈扰动的燃料</w:t>
      </w:r>
      <w:r>
        <w:rPr>
          <w:rFonts w:hAnsi="宋体"/>
          <w:kern w:val="2"/>
          <w:szCs w:val="21"/>
        </w:rPr>
        <w:t>-</w:t>
      </w:r>
      <w:r>
        <w:rPr>
          <w:rFonts w:hint="eastAsia" w:hAnsi="宋体"/>
          <w:kern w:val="2"/>
          <w:szCs w:val="21"/>
        </w:rPr>
        <w:t>空气。</w:t>
      </w:r>
    </w:p>
    <w:p w14:paraId="7EB3294A">
      <w:pPr>
        <w:widowControl w:val="0"/>
        <w:spacing w:line="240" w:lineRule="auto"/>
        <w:ind w:firstLine="420" w:firstLineChars="200"/>
        <w:textAlignment w:val="auto"/>
        <w:rPr>
          <w:kern w:val="2"/>
          <w:szCs w:val="21"/>
        </w:rPr>
      </w:pPr>
      <w:r>
        <w:rPr>
          <w:kern w:val="2"/>
          <w:szCs w:val="21"/>
        </w:rPr>
        <w:t>d</w:t>
      </w:r>
      <w:r>
        <w:rPr>
          <w:rFonts w:hint="eastAsia" w:ascii="宋体" w:hAnsi="宋体"/>
          <w:kern w:val="2"/>
          <w:szCs w:val="21"/>
        </w:rPr>
        <w:t>）</w:t>
      </w:r>
      <w:r>
        <w:rPr>
          <w:rFonts w:hint="eastAsia" w:hAnsi="宋体"/>
          <w:kern w:val="2"/>
          <w:szCs w:val="21"/>
        </w:rPr>
        <w:t>通过下列步骤，估算区域内（作为爆炸源）燃料</w:t>
      </w:r>
      <w:r>
        <w:rPr>
          <w:rFonts w:hAnsi="宋体"/>
          <w:kern w:val="2"/>
          <w:szCs w:val="21"/>
        </w:rPr>
        <w:t>-</w:t>
      </w:r>
      <w:r>
        <w:rPr>
          <w:rFonts w:hint="eastAsia" w:hAnsi="宋体"/>
          <w:kern w:val="2"/>
          <w:szCs w:val="21"/>
        </w:rPr>
        <w:t>空气混合物的燃烧能：</w:t>
      </w:r>
    </w:p>
    <w:p w14:paraId="3A43F33F">
      <w:pPr>
        <w:widowControl w:val="0"/>
        <w:spacing w:line="240" w:lineRule="auto"/>
        <w:ind w:firstLine="898" w:firstLineChars="428"/>
        <w:textAlignment w:val="auto"/>
        <w:rPr>
          <w:kern w:val="2"/>
          <w:szCs w:val="21"/>
        </w:rPr>
      </w:pPr>
      <w:r>
        <w:rPr>
          <w:kern w:val="2"/>
          <w:szCs w:val="21"/>
        </w:rPr>
        <w:t>1</w:t>
      </w:r>
      <w:r>
        <w:rPr>
          <w:rFonts w:hint="eastAsia" w:ascii="宋体" w:hAnsi="宋体"/>
          <w:kern w:val="2"/>
          <w:szCs w:val="21"/>
        </w:rPr>
        <w:t>）</w:t>
      </w:r>
      <w:r>
        <w:rPr>
          <w:rFonts w:hint="eastAsia" w:hAnsi="宋体"/>
          <w:kern w:val="2"/>
          <w:szCs w:val="21"/>
        </w:rPr>
        <w:t>单独考虑每一个爆炸源；</w:t>
      </w:r>
    </w:p>
    <w:p w14:paraId="5BD778FF">
      <w:pPr>
        <w:widowControl w:val="0"/>
        <w:spacing w:line="240" w:lineRule="auto"/>
        <w:ind w:left="1212" w:leftChars="427" w:hanging="315" w:hangingChars="150"/>
        <w:textAlignment w:val="auto"/>
        <w:rPr>
          <w:kern w:val="2"/>
          <w:szCs w:val="21"/>
        </w:rPr>
      </w:pPr>
      <w:r>
        <w:rPr>
          <w:kern w:val="2"/>
          <w:szCs w:val="21"/>
        </w:rPr>
        <w:t>2</w:t>
      </w:r>
      <w:r>
        <w:rPr>
          <w:rFonts w:hint="eastAsia" w:ascii="宋体" w:hAnsi="宋体"/>
          <w:kern w:val="2"/>
          <w:szCs w:val="21"/>
        </w:rPr>
        <w:t>）</w:t>
      </w:r>
      <w:r>
        <w:rPr>
          <w:rFonts w:hint="eastAsia" w:hAnsi="宋体"/>
          <w:kern w:val="2"/>
          <w:szCs w:val="21"/>
        </w:rPr>
        <w:t>假设位于部分受约束或受阻碍区域的燃料</w:t>
      </w:r>
      <w:r>
        <w:rPr>
          <w:rFonts w:hAnsi="宋体"/>
          <w:kern w:val="2"/>
          <w:szCs w:val="21"/>
        </w:rPr>
        <w:t>-</w:t>
      </w:r>
      <w:r>
        <w:rPr>
          <w:rFonts w:hint="eastAsia" w:hAnsi="宋体"/>
          <w:kern w:val="2"/>
          <w:szCs w:val="21"/>
        </w:rPr>
        <w:t>空气或喷射时剧烈绕动的燃料</w:t>
      </w:r>
      <w:r>
        <w:rPr>
          <w:rFonts w:hAnsi="宋体"/>
          <w:kern w:val="2"/>
          <w:szCs w:val="21"/>
        </w:rPr>
        <w:t>-</w:t>
      </w:r>
      <w:r>
        <w:rPr>
          <w:rFonts w:hint="eastAsia" w:hAnsi="宋体"/>
          <w:kern w:val="2"/>
          <w:szCs w:val="21"/>
        </w:rPr>
        <w:t>空气为气云中的爆炸源，对爆炸冲击波有贡献；</w:t>
      </w:r>
    </w:p>
    <w:p w14:paraId="7449C8EB">
      <w:pPr>
        <w:widowControl w:val="0"/>
        <w:spacing w:line="240" w:lineRule="auto"/>
        <w:ind w:left="1214" w:leftChars="428" w:hanging="315" w:hangingChars="150"/>
        <w:textAlignment w:val="auto"/>
        <w:rPr>
          <w:rFonts w:ascii="宋体"/>
          <w:kern w:val="2"/>
          <w:szCs w:val="21"/>
        </w:rPr>
      </w:pPr>
      <w:r>
        <w:rPr>
          <w:kern w:val="2"/>
          <w:szCs w:val="21"/>
        </w:rPr>
        <w:t>3</w:t>
      </w:r>
      <w:r>
        <w:rPr>
          <w:rFonts w:hint="eastAsia" w:ascii="宋体" w:hAnsi="宋体"/>
          <w:kern w:val="2"/>
          <w:szCs w:val="21"/>
        </w:rPr>
        <w:t>）估算出现在区域内（爆炸源）的燃料</w:t>
      </w:r>
      <w:r>
        <w:rPr>
          <w:rFonts w:ascii="宋体"/>
          <w:kern w:val="2"/>
          <w:szCs w:val="21"/>
        </w:rPr>
        <w:t>-</w:t>
      </w:r>
      <w:r>
        <w:rPr>
          <w:rFonts w:hint="eastAsia" w:ascii="宋体" w:hAnsi="宋体"/>
          <w:kern w:val="2"/>
          <w:szCs w:val="21"/>
        </w:rPr>
        <w:t>空气混合物体积。（估算是基于整个区域的大小。注意燃料</w:t>
      </w:r>
      <w:r>
        <w:rPr>
          <w:rFonts w:ascii="宋体"/>
          <w:kern w:val="2"/>
          <w:szCs w:val="21"/>
        </w:rPr>
        <w:t>-</w:t>
      </w:r>
      <w:r>
        <w:rPr>
          <w:rFonts w:hint="eastAsia" w:ascii="宋体" w:hAnsi="宋体"/>
          <w:kern w:val="2"/>
          <w:szCs w:val="21"/>
        </w:rPr>
        <w:t>空气混合物可能没有充满整个区域，此时爆炸源内的燃料</w:t>
      </w:r>
      <w:r>
        <w:rPr>
          <w:rFonts w:ascii="宋体"/>
          <w:kern w:val="2"/>
          <w:szCs w:val="21"/>
        </w:rPr>
        <w:t>-</w:t>
      </w:r>
      <w:r>
        <w:rPr>
          <w:rFonts w:hint="eastAsia" w:ascii="宋体" w:hAnsi="宋体"/>
          <w:kern w:val="2"/>
          <w:szCs w:val="21"/>
        </w:rPr>
        <w:t>空气混合物为实际进入该区域的体积；此外在估算受阻碍区域体积时，应减去该区域内设备所占体积。）</w:t>
      </w:r>
    </w:p>
    <w:p w14:paraId="4DADC9FE">
      <w:pPr>
        <w:widowControl w:val="0"/>
        <w:spacing w:line="240" w:lineRule="auto"/>
        <w:ind w:firstLine="898" w:firstLineChars="428"/>
        <w:textAlignment w:val="auto"/>
        <w:rPr>
          <w:rFonts w:ascii="宋体"/>
          <w:kern w:val="2"/>
          <w:szCs w:val="21"/>
        </w:rPr>
      </w:pPr>
      <w:r>
        <w:rPr>
          <w:kern w:val="2"/>
          <w:szCs w:val="21"/>
        </w:rPr>
        <w:t>4</w:t>
      </w:r>
      <w:r>
        <w:rPr>
          <w:rFonts w:hint="eastAsia" w:ascii="宋体" w:hAnsi="宋体"/>
          <w:kern w:val="2"/>
          <w:szCs w:val="21"/>
        </w:rPr>
        <w:t>）爆炸源的燃烧能按式</w:t>
      </w:r>
      <w:r>
        <w:rPr>
          <w:rFonts w:hint="eastAsia"/>
          <w:kern w:val="2"/>
          <w:szCs w:val="24"/>
        </w:rPr>
        <w:t>（B</w:t>
      </w:r>
      <w:r>
        <w:rPr>
          <w:kern w:val="2"/>
          <w:szCs w:val="24"/>
        </w:rPr>
        <w:t>.</w:t>
      </w:r>
      <w:r>
        <w:rPr>
          <w:rFonts w:hint="eastAsia"/>
          <w:kern w:val="2"/>
          <w:szCs w:val="24"/>
        </w:rPr>
        <w:t>34）计算</w:t>
      </w:r>
      <w:r>
        <w:rPr>
          <w:rFonts w:hint="eastAsia" w:ascii="宋体" w:hAnsi="宋体"/>
          <w:kern w:val="2"/>
          <w:szCs w:val="21"/>
        </w:rPr>
        <w:t>：</w:t>
      </w:r>
    </w:p>
    <w:p w14:paraId="1F2B0166">
      <w:pPr>
        <w:pStyle w:val="163"/>
        <w:tabs>
          <w:tab w:val="right" w:leader="middleDot" w:pos="9450"/>
          <w:tab w:val="clear" w:pos="9660"/>
        </w:tabs>
      </w:pPr>
      <w:r>
        <w:tab/>
      </w:r>
      <w:r>
        <w:object>
          <v:shape id="_x0000_i1085" o:spt="75" type="#_x0000_t75" style="height:18.75pt;width:74.25pt;" o:ole="t" filled="f" o:preferrelative="t" stroked="f" coordsize="21600,21600">
            <v:path/>
            <v:fill on="f" focussize="0,0"/>
            <v:stroke on="f" joinstyle="miter"/>
            <v:imagedata r:id="rId133" o:title=""/>
            <o:lock v:ext="edit" aspectratio="f"/>
            <w10:wrap type="none"/>
            <w10:anchorlock/>
          </v:shape>
          <o:OLEObject Type="Embed" ProgID="Equation.3" ShapeID="_x0000_i1085" DrawAspect="Content" ObjectID="_1468075785" r:id="rId132">
            <o:LockedField>false</o:LockedField>
          </o:OLEObject>
        </w:object>
      </w:r>
      <w:r>
        <w:tab/>
      </w:r>
      <w:r>
        <w:rPr>
          <w:rFonts w:hint="eastAsia"/>
        </w:rPr>
        <w:t>（</w:t>
      </w:r>
      <w:r>
        <w:rPr>
          <w:rFonts w:hint="eastAsia"/>
          <w:lang w:val="en-US"/>
        </w:rPr>
        <w:t>B</w:t>
      </w:r>
      <w:r>
        <w:t>.</w:t>
      </w:r>
      <w:r>
        <w:rPr>
          <w:rFonts w:hint="eastAsia"/>
          <w:lang w:val="en-US"/>
        </w:rPr>
        <w:t>34</w:t>
      </w:r>
      <w:r>
        <w:rPr>
          <w:rFonts w:hint="eastAsia"/>
        </w:rPr>
        <w:t>）</w:t>
      </w:r>
    </w:p>
    <w:p w14:paraId="4FE15DA7">
      <w:pPr>
        <w:widowControl w:val="0"/>
        <w:spacing w:line="240" w:lineRule="auto"/>
        <w:ind w:firstLine="840" w:firstLineChars="400"/>
        <w:textAlignment w:val="auto"/>
        <w:rPr>
          <w:kern w:val="2"/>
          <w:szCs w:val="21"/>
        </w:rPr>
      </w:pPr>
      <w:r>
        <w:rPr>
          <w:rFonts w:hint="eastAsia"/>
          <w:kern w:val="2"/>
          <w:szCs w:val="21"/>
        </w:rPr>
        <w:t>式中：</w:t>
      </w:r>
    </w:p>
    <w:p w14:paraId="13D2A0F8">
      <w:pPr>
        <w:widowControl w:val="0"/>
        <w:spacing w:line="240" w:lineRule="auto"/>
        <w:ind w:firstLine="840" w:firstLineChars="400"/>
        <w:textAlignment w:val="auto"/>
        <w:rPr>
          <w:kern w:val="2"/>
          <w:szCs w:val="21"/>
        </w:rPr>
      </w:pPr>
      <w:r>
        <w:rPr>
          <w:i/>
          <w:kern w:val="2"/>
          <w:szCs w:val="21"/>
        </w:rPr>
        <w:t>E</w:t>
      </w:r>
      <w:r>
        <w:rPr>
          <w:kern w:val="2"/>
          <w:szCs w:val="24"/>
        </w:rPr>
        <w:t>——</w:t>
      </w:r>
      <w:r>
        <w:rPr>
          <w:rFonts w:hint="eastAsia" w:hAnsi="宋体"/>
          <w:kern w:val="2"/>
          <w:szCs w:val="21"/>
        </w:rPr>
        <w:t>爆炸源内燃料</w:t>
      </w:r>
      <w:r>
        <w:rPr>
          <w:rFonts w:hAnsi="宋体"/>
          <w:kern w:val="2"/>
          <w:szCs w:val="21"/>
        </w:rPr>
        <w:t>-</w:t>
      </w:r>
      <w:r>
        <w:rPr>
          <w:rFonts w:hint="eastAsia" w:hAnsi="宋体"/>
          <w:kern w:val="2"/>
          <w:szCs w:val="21"/>
        </w:rPr>
        <w:t>空气混合物的燃烧能</w:t>
      </w:r>
      <w:r>
        <w:rPr>
          <w:rFonts w:hint="eastAsia"/>
          <w:kern w:val="2"/>
          <w:szCs w:val="21"/>
        </w:rPr>
        <w:t>，单位为焦耳</w:t>
      </w:r>
      <w:r>
        <w:rPr>
          <w:kern w:val="2"/>
          <w:szCs w:val="21"/>
        </w:rPr>
        <w:t>（J）</w:t>
      </w:r>
      <w:r>
        <w:rPr>
          <w:rFonts w:hint="eastAsia"/>
          <w:kern w:val="2"/>
          <w:szCs w:val="21"/>
        </w:rPr>
        <w:t>；</w:t>
      </w:r>
    </w:p>
    <w:p w14:paraId="127600A5">
      <w:pPr>
        <w:widowControl w:val="0"/>
        <w:spacing w:line="240" w:lineRule="auto"/>
        <w:ind w:firstLine="840" w:firstLineChars="400"/>
        <w:textAlignment w:val="auto"/>
        <w:rPr>
          <w:kern w:val="2"/>
          <w:szCs w:val="21"/>
        </w:rPr>
      </w:pPr>
      <w:r>
        <w:rPr>
          <w:i/>
          <w:kern w:val="2"/>
          <w:szCs w:val="21"/>
        </w:rPr>
        <w:t>V</w:t>
      </w:r>
      <w:r>
        <w:rPr>
          <w:rFonts w:hint="eastAsia"/>
          <w:i/>
          <w:kern w:val="2"/>
          <w:szCs w:val="21"/>
          <w:vertAlign w:val="subscript"/>
        </w:rPr>
        <w:t>S</w:t>
      </w:r>
      <w:r>
        <w:rPr>
          <w:kern w:val="2"/>
          <w:szCs w:val="24"/>
        </w:rPr>
        <w:t>——</w:t>
      </w:r>
      <w:r>
        <w:rPr>
          <w:rFonts w:hint="eastAsia"/>
          <w:kern w:val="2"/>
          <w:szCs w:val="21"/>
        </w:rPr>
        <w:t>爆炸源中燃料</w:t>
      </w:r>
      <w:r>
        <w:rPr>
          <w:kern w:val="2"/>
          <w:szCs w:val="21"/>
        </w:rPr>
        <w:t>-</w:t>
      </w:r>
      <w:r>
        <w:rPr>
          <w:rFonts w:hint="eastAsia"/>
          <w:kern w:val="2"/>
          <w:szCs w:val="21"/>
        </w:rPr>
        <w:t>空气混合物体积，单位为立方米</w:t>
      </w:r>
      <w:r>
        <w:rPr>
          <w:kern w:val="2"/>
          <w:szCs w:val="21"/>
        </w:rPr>
        <w:t>（m</w:t>
      </w:r>
      <w:r>
        <w:rPr>
          <w:kern w:val="2"/>
          <w:szCs w:val="21"/>
          <w:vertAlign w:val="superscript"/>
        </w:rPr>
        <w:t>3</w:t>
      </w:r>
      <w:r>
        <w:rPr>
          <w:kern w:val="2"/>
          <w:szCs w:val="21"/>
        </w:rPr>
        <w:t>）</w:t>
      </w:r>
      <w:r>
        <w:rPr>
          <w:rFonts w:hint="eastAsia"/>
          <w:kern w:val="2"/>
          <w:szCs w:val="21"/>
        </w:rPr>
        <w:t>。</w:t>
      </w:r>
    </w:p>
    <w:p w14:paraId="54037668">
      <w:pPr>
        <w:widowControl w:val="0"/>
        <w:spacing w:line="240" w:lineRule="auto"/>
        <w:ind w:firstLine="420" w:firstLineChars="200"/>
        <w:textAlignment w:val="auto"/>
        <w:rPr>
          <w:kern w:val="2"/>
          <w:szCs w:val="21"/>
        </w:rPr>
      </w:pPr>
      <w:r>
        <w:rPr>
          <w:kern w:val="2"/>
          <w:szCs w:val="21"/>
        </w:rPr>
        <w:t>e</w:t>
      </w:r>
      <w:r>
        <w:rPr>
          <w:rFonts w:hint="eastAsia" w:ascii="宋体" w:hAnsi="宋体"/>
          <w:kern w:val="2"/>
          <w:szCs w:val="21"/>
        </w:rPr>
        <w:t>）</w:t>
      </w:r>
      <w:r>
        <w:rPr>
          <w:rFonts w:hint="eastAsia" w:hAnsi="宋体"/>
          <w:kern w:val="2"/>
          <w:szCs w:val="21"/>
        </w:rPr>
        <w:t>估计爆炸源的强度</w:t>
      </w:r>
      <w:r>
        <w:rPr>
          <w:kern w:val="2"/>
          <w:position w:val="-6"/>
          <w:szCs w:val="21"/>
        </w:rPr>
        <w:object>
          <v:shape id="_x0000_i1086" o:spt="75" type="#_x0000_t75" style="height:16.5pt;width:16.5pt;" o:ole="t" filled="f" o:preferrelative="t" stroked="f" coordsize="21600,21600">
            <v:path/>
            <v:fill on="f" focussize="0,0"/>
            <v:stroke on="f" joinstyle="miter"/>
            <v:imagedata r:id="rId135" o:title=""/>
            <o:lock v:ext="edit" aspectratio="t"/>
            <w10:wrap type="none"/>
            <w10:anchorlock/>
          </v:shape>
          <o:OLEObject Type="Embed" ProgID="Equation.3" ShapeID="_x0000_i1086" DrawAspect="Content" ObjectID="_1468075786" r:id="rId134">
            <o:LockedField>false</o:LockedField>
          </o:OLEObject>
        </w:object>
      </w:r>
      <w:r>
        <w:rPr>
          <w:rFonts w:hint="eastAsia" w:hAnsi="宋体"/>
          <w:kern w:val="2"/>
          <w:szCs w:val="21"/>
        </w:rPr>
        <w:t>，取值范围为</w:t>
      </w:r>
      <w:r>
        <w:rPr>
          <w:kern w:val="2"/>
          <w:szCs w:val="21"/>
        </w:rPr>
        <w:t>1~10</w:t>
      </w:r>
      <w:r>
        <w:rPr>
          <w:rFonts w:hint="eastAsia" w:hAnsi="宋体"/>
          <w:kern w:val="2"/>
          <w:szCs w:val="21"/>
        </w:rPr>
        <w:t>，如：</w:t>
      </w:r>
    </w:p>
    <w:p w14:paraId="23E26407">
      <w:pPr>
        <w:widowControl w:val="0"/>
        <w:spacing w:line="240" w:lineRule="auto"/>
        <w:ind w:firstLine="898" w:firstLineChars="428"/>
        <w:textAlignment w:val="auto"/>
        <w:rPr>
          <w:kern w:val="2"/>
          <w:szCs w:val="21"/>
        </w:rPr>
      </w:pPr>
      <w:r>
        <w:rPr>
          <w:kern w:val="2"/>
          <w:szCs w:val="21"/>
        </w:rPr>
        <w:t>1</w:t>
      </w:r>
      <w:r>
        <w:rPr>
          <w:rFonts w:hint="eastAsia" w:ascii="宋体" w:hAnsi="宋体"/>
          <w:kern w:val="2"/>
          <w:szCs w:val="21"/>
        </w:rPr>
        <w:t>）</w:t>
      </w:r>
      <w:r>
        <w:rPr>
          <w:rFonts w:hint="eastAsia" w:hAnsi="宋体"/>
          <w:kern w:val="2"/>
          <w:szCs w:val="21"/>
        </w:rPr>
        <w:t>对气云中未受约束或未受阻碍的部分，取</w:t>
      </w:r>
      <w:r>
        <w:rPr>
          <w:kern w:val="2"/>
          <w:szCs w:val="21"/>
        </w:rPr>
        <w:t>1</w:t>
      </w:r>
      <w:r>
        <w:rPr>
          <w:rFonts w:hint="eastAsia" w:hAnsi="宋体"/>
          <w:kern w:val="2"/>
          <w:szCs w:val="21"/>
        </w:rPr>
        <w:t>；</w:t>
      </w:r>
    </w:p>
    <w:p w14:paraId="3F2417C4">
      <w:pPr>
        <w:widowControl w:val="0"/>
        <w:spacing w:line="240" w:lineRule="auto"/>
        <w:ind w:firstLine="898" w:firstLineChars="428"/>
        <w:textAlignment w:val="auto"/>
        <w:rPr>
          <w:kern w:val="2"/>
          <w:szCs w:val="21"/>
        </w:rPr>
      </w:pPr>
      <w:r>
        <w:rPr>
          <w:kern w:val="2"/>
          <w:szCs w:val="21"/>
        </w:rPr>
        <w:t>2</w:t>
      </w:r>
      <w:r>
        <w:rPr>
          <w:rFonts w:hint="eastAsia" w:ascii="宋体" w:hAnsi="宋体"/>
          <w:kern w:val="2"/>
          <w:szCs w:val="21"/>
        </w:rPr>
        <w:t>）</w:t>
      </w:r>
      <w:r>
        <w:rPr>
          <w:rFonts w:hint="eastAsia" w:hAnsi="宋体"/>
          <w:kern w:val="2"/>
          <w:szCs w:val="21"/>
        </w:rPr>
        <w:t>对喷射时强扰动的气云部分，取</w:t>
      </w:r>
      <w:r>
        <w:rPr>
          <w:kern w:val="2"/>
          <w:szCs w:val="21"/>
        </w:rPr>
        <w:t>3</w:t>
      </w:r>
      <w:r>
        <w:rPr>
          <w:rFonts w:hint="eastAsia" w:hAnsi="宋体"/>
          <w:kern w:val="2"/>
          <w:szCs w:val="21"/>
        </w:rPr>
        <w:t>；</w:t>
      </w:r>
    </w:p>
    <w:p w14:paraId="66B08F05">
      <w:pPr>
        <w:widowControl w:val="0"/>
        <w:spacing w:line="240" w:lineRule="auto"/>
        <w:ind w:firstLine="898" w:firstLineChars="428"/>
        <w:textAlignment w:val="auto"/>
        <w:rPr>
          <w:kern w:val="2"/>
          <w:szCs w:val="21"/>
        </w:rPr>
      </w:pPr>
      <w:r>
        <w:rPr>
          <w:rFonts w:hint="eastAsia"/>
          <w:kern w:val="2"/>
          <w:szCs w:val="21"/>
        </w:rPr>
        <w:t>3</w:t>
      </w:r>
      <w:r>
        <w:rPr>
          <w:rFonts w:hint="eastAsia" w:ascii="宋体" w:hAnsi="宋体"/>
          <w:kern w:val="2"/>
          <w:szCs w:val="21"/>
        </w:rPr>
        <w:t>）</w:t>
      </w:r>
      <w:r>
        <w:rPr>
          <w:rFonts w:hint="eastAsia" w:hAnsi="宋体"/>
          <w:kern w:val="2"/>
          <w:szCs w:val="21"/>
        </w:rPr>
        <w:t>最大爆炸源强度取</w:t>
      </w:r>
      <w:r>
        <w:rPr>
          <w:kern w:val="2"/>
          <w:szCs w:val="21"/>
        </w:rPr>
        <w:t>10</w:t>
      </w:r>
      <w:r>
        <w:rPr>
          <w:rFonts w:hint="eastAsia" w:hAnsi="宋体"/>
          <w:kern w:val="2"/>
          <w:szCs w:val="21"/>
        </w:rPr>
        <w:t>。</w:t>
      </w:r>
    </w:p>
    <w:p w14:paraId="1E6BA456">
      <w:pPr>
        <w:widowControl w:val="0"/>
        <w:spacing w:line="240" w:lineRule="auto"/>
        <w:ind w:firstLine="420" w:firstLineChars="200"/>
        <w:textAlignment w:val="auto"/>
        <w:rPr>
          <w:rFonts w:ascii="宋体"/>
          <w:kern w:val="2"/>
          <w:szCs w:val="21"/>
        </w:rPr>
      </w:pPr>
      <w:r>
        <w:rPr>
          <w:kern w:val="2"/>
          <w:szCs w:val="21"/>
        </w:rPr>
        <w:t>f</w:t>
      </w:r>
      <w:r>
        <w:rPr>
          <w:rFonts w:hint="eastAsia" w:ascii="宋体" w:hAnsi="宋体"/>
          <w:kern w:val="2"/>
          <w:szCs w:val="21"/>
        </w:rPr>
        <w:t>）比拟距离</w:t>
      </w:r>
      <w:r>
        <w:rPr>
          <w:kern w:val="2"/>
          <w:position w:val="-4"/>
          <w:szCs w:val="24"/>
        </w:rPr>
        <w:object>
          <v:shape id="_x0000_i1087" o:spt="75" type="#_x0000_t75" style="height:15pt;width:15pt;" o:ole="t" filled="f" o:preferrelative="t" stroked="f" coordsize="21600,21600">
            <v:path/>
            <v:fill on="f" focussize="0,0"/>
            <v:stroke on="f" joinstyle="miter"/>
            <v:imagedata r:id="rId137" o:title=""/>
            <o:lock v:ext="edit" aspectratio="t"/>
            <w10:wrap type="none"/>
            <w10:anchorlock/>
          </v:shape>
          <o:OLEObject Type="Embed" ProgID="Equation.3" ShapeID="_x0000_i1087" DrawAspect="Content" ObjectID="_1468075787" r:id="rId136">
            <o:LockedField>false</o:LockedField>
          </o:OLEObject>
        </w:object>
      </w:r>
      <w:r>
        <w:rPr>
          <w:rFonts w:hint="eastAsia"/>
          <w:kern w:val="2"/>
          <w:szCs w:val="24"/>
        </w:rPr>
        <w:t>按式（B</w:t>
      </w:r>
      <w:r>
        <w:rPr>
          <w:kern w:val="2"/>
          <w:szCs w:val="24"/>
        </w:rPr>
        <w:t>.</w:t>
      </w:r>
      <w:r>
        <w:rPr>
          <w:rFonts w:hint="eastAsia"/>
          <w:kern w:val="2"/>
          <w:szCs w:val="24"/>
        </w:rPr>
        <w:t>35）计算：</w:t>
      </w:r>
    </w:p>
    <w:p w14:paraId="228C31D7">
      <w:pPr>
        <w:pStyle w:val="163"/>
        <w:tabs>
          <w:tab w:val="right" w:leader="middleDot" w:pos="9450"/>
          <w:tab w:val="clear" w:pos="9660"/>
        </w:tabs>
      </w:pPr>
      <w:r>
        <w:tab/>
      </w:r>
      <w:r>
        <w:object>
          <v:shape id="_x0000_i1088" o:spt="75" type="#_x0000_t75" style="height:32.25pt;width:60pt;" o:ole="t" filled="f" o:preferrelative="t" stroked="f" coordsize="21600,21600">
            <v:path/>
            <v:fill on="f" focussize="0,0"/>
            <v:stroke on="f" joinstyle="miter"/>
            <v:imagedata r:id="rId139" o:title=""/>
            <o:lock v:ext="edit" aspectratio="f"/>
            <w10:wrap type="none"/>
            <w10:anchorlock/>
          </v:shape>
          <o:OLEObject Type="Embed" ProgID="Equation.3" ShapeID="_x0000_i1088" DrawAspect="Content" ObjectID="_1468075788" r:id="rId138">
            <o:LockedField>false</o:LockedField>
          </o:OLEObject>
        </w:object>
      </w:r>
      <w:r>
        <w:tab/>
      </w:r>
      <w:r>
        <w:rPr>
          <w:rFonts w:hint="eastAsia"/>
        </w:rPr>
        <w:t>（</w:t>
      </w:r>
      <w:r>
        <w:rPr>
          <w:rFonts w:hint="eastAsia"/>
          <w:lang w:val="en-US"/>
        </w:rPr>
        <w:t>B</w:t>
      </w:r>
      <w:r>
        <w:t>.</w:t>
      </w:r>
      <w:r>
        <w:rPr>
          <w:rFonts w:hint="eastAsia"/>
          <w:lang w:val="en-US"/>
        </w:rPr>
        <w:t>35</w:t>
      </w:r>
      <w:r>
        <w:rPr>
          <w:rFonts w:hint="eastAsia"/>
        </w:rPr>
        <w:t>）</w:t>
      </w:r>
    </w:p>
    <w:p w14:paraId="7760BA3A">
      <w:pPr>
        <w:widowControl w:val="0"/>
        <w:spacing w:line="240" w:lineRule="auto"/>
        <w:ind w:firstLine="525" w:firstLineChars="250"/>
        <w:textAlignment w:val="auto"/>
        <w:rPr>
          <w:rFonts w:ascii="宋体"/>
          <w:kern w:val="2"/>
          <w:szCs w:val="21"/>
        </w:rPr>
      </w:pPr>
      <w:r>
        <w:rPr>
          <w:rFonts w:hint="eastAsia" w:ascii="宋体" w:hAnsi="宋体"/>
          <w:kern w:val="2"/>
          <w:szCs w:val="21"/>
        </w:rPr>
        <w:t>式中：</w:t>
      </w:r>
    </w:p>
    <w:p w14:paraId="54D53AF4">
      <w:pPr>
        <w:widowControl w:val="0"/>
        <w:spacing w:line="240" w:lineRule="auto"/>
        <w:ind w:firstLine="525" w:firstLineChars="250"/>
        <w:textAlignment w:val="auto"/>
        <w:rPr>
          <w:rFonts w:ascii="宋体"/>
          <w:kern w:val="2"/>
          <w:szCs w:val="21"/>
        </w:rPr>
      </w:pPr>
      <w:r>
        <w:rPr>
          <w:kern w:val="2"/>
          <w:position w:val="-4"/>
          <w:szCs w:val="24"/>
        </w:rPr>
        <w:object>
          <v:shape id="_x0000_i1089" o:spt="75" type="#_x0000_t75" style="height:13.5pt;width:12pt;" o:ole="t" filled="f" o:preferrelative="t" stroked="f" coordsize="21600,21600">
            <v:path/>
            <v:fill on="f" focussize="0,0"/>
            <v:stroke on="f" joinstyle="miter"/>
            <v:imagedata r:id="rId141" o:title=""/>
            <o:lock v:ext="edit" aspectratio="f"/>
            <w10:wrap type="none"/>
            <w10:anchorlock/>
          </v:shape>
          <o:OLEObject Type="Embed" ProgID="Equation.3" ShapeID="_x0000_i1089" DrawAspect="Content" ObjectID="_1468075789" r:id="rId140">
            <o:LockedField>false</o:LockedField>
          </o:OLEObject>
        </w:object>
      </w:r>
      <w:r>
        <w:rPr>
          <w:kern w:val="2"/>
          <w:szCs w:val="24"/>
        </w:rPr>
        <w:t>——</w:t>
      </w:r>
      <w:r>
        <w:rPr>
          <w:rFonts w:hint="eastAsia"/>
          <w:kern w:val="2"/>
          <w:szCs w:val="24"/>
        </w:rPr>
        <w:t>爆炸源的</w:t>
      </w:r>
      <w:r>
        <w:rPr>
          <w:kern w:val="2"/>
          <w:szCs w:val="21"/>
        </w:rPr>
        <w:t>Sachs</w:t>
      </w:r>
      <w:r>
        <w:rPr>
          <w:rFonts w:hint="eastAsia" w:ascii="宋体" w:hAnsi="宋体"/>
          <w:kern w:val="2"/>
          <w:szCs w:val="21"/>
        </w:rPr>
        <w:t>比拟距离（无量纲）；</w:t>
      </w:r>
    </w:p>
    <w:p w14:paraId="13439476">
      <w:pPr>
        <w:widowControl w:val="0"/>
        <w:spacing w:line="240" w:lineRule="auto"/>
        <w:ind w:firstLine="525" w:firstLineChars="250"/>
        <w:textAlignment w:val="auto"/>
        <w:rPr>
          <w:kern w:val="2"/>
          <w:szCs w:val="24"/>
        </w:rPr>
      </w:pPr>
      <w:r>
        <w:rPr>
          <w:kern w:val="2"/>
          <w:position w:val="-4"/>
          <w:szCs w:val="24"/>
        </w:rPr>
        <w:object>
          <v:shape id="_x0000_i1090" o:spt="75" type="#_x0000_t75" style="height:12pt;width:10.5pt;" o:ole="t" filled="f" o:preferrelative="t" stroked="f" coordsize="21600,21600">
            <v:path/>
            <v:fill on="f" focussize="0,0"/>
            <v:stroke on="f" joinstyle="miter"/>
            <v:imagedata r:id="rId143" o:title=""/>
            <o:lock v:ext="edit" aspectratio="f"/>
            <w10:wrap type="none"/>
            <w10:anchorlock/>
          </v:shape>
          <o:OLEObject Type="Embed" ProgID="Equation.3" ShapeID="_x0000_i1090" DrawAspect="Content" ObjectID="_1468075790" r:id="rId142">
            <o:LockedField>false</o:LockedField>
          </o:OLEObject>
        </w:object>
      </w:r>
      <w:r>
        <w:rPr>
          <w:kern w:val="2"/>
          <w:szCs w:val="24"/>
        </w:rPr>
        <w:t>——</w:t>
      </w:r>
      <w:r>
        <w:rPr>
          <w:rFonts w:hint="eastAsia"/>
          <w:kern w:val="2"/>
          <w:szCs w:val="24"/>
        </w:rPr>
        <w:t>距爆炸源中心的距离，单位为米</w:t>
      </w:r>
      <w:r>
        <w:rPr>
          <w:kern w:val="2"/>
          <w:szCs w:val="24"/>
        </w:rPr>
        <w:t>（m）</w:t>
      </w:r>
      <w:r>
        <w:rPr>
          <w:rFonts w:hint="eastAsia"/>
          <w:kern w:val="2"/>
          <w:szCs w:val="24"/>
        </w:rPr>
        <w:t>；</w:t>
      </w:r>
    </w:p>
    <w:p w14:paraId="22A322F9">
      <w:pPr>
        <w:widowControl w:val="0"/>
        <w:spacing w:line="240" w:lineRule="auto"/>
        <w:ind w:firstLine="525" w:firstLineChars="250"/>
        <w:textAlignment w:val="auto"/>
        <w:rPr>
          <w:kern w:val="2"/>
          <w:szCs w:val="24"/>
        </w:rPr>
      </w:pPr>
      <w:r>
        <w:rPr>
          <w:i/>
          <w:kern w:val="2"/>
          <w:szCs w:val="24"/>
        </w:rPr>
        <w:t>E</w:t>
      </w:r>
      <w:r>
        <w:rPr>
          <w:kern w:val="2"/>
          <w:szCs w:val="24"/>
        </w:rPr>
        <w:t>——</w:t>
      </w:r>
      <w:r>
        <w:rPr>
          <w:rFonts w:hint="eastAsia"/>
          <w:kern w:val="2"/>
          <w:szCs w:val="24"/>
        </w:rPr>
        <w:t>爆炸源的燃烧能，单位为焦耳</w:t>
      </w:r>
      <w:r>
        <w:rPr>
          <w:kern w:val="2"/>
          <w:szCs w:val="24"/>
        </w:rPr>
        <w:t>（J）</w:t>
      </w:r>
      <w:r>
        <w:rPr>
          <w:rFonts w:hint="eastAsia"/>
          <w:kern w:val="2"/>
          <w:szCs w:val="24"/>
        </w:rPr>
        <w:t>；</w:t>
      </w:r>
    </w:p>
    <w:p w14:paraId="67817575">
      <w:pPr>
        <w:widowControl w:val="0"/>
        <w:spacing w:line="240" w:lineRule="auto"/>
        <w:ind w:firstLine="525" w:firstLineChars="250"/>
        <w:textAlignment w:val="auto"/>
        <w:rPr>
          <w:kern w:val="2"/>
          <w:szCs w:val="24"/>
        </w:rPr>
      </w:pPr>
      <w:r>
        <w:rPr>
          <w:i/>
          <w:kern w:val="2"/>
          <w:szCs w:val="24"/>
        </w:rPr>
        <w:t>P</w:t>
      </w:r>
      <w:r>
        <w:rPr>
          <w:i/>
          <w:kern w:val="2"/>
          <w:szCs w:val="24"/>
          <w:vertAlign w:val="subscript"/>
        </w:rPr>
        <w:t>0</w:t>
      </w:r>
      <w:r>
        <w:rPr>
          <w:kern w:val="2"/>
          <w:szCs w:val="24"/>
        </w:rPr>
        <w:t>——</w:t>
      </w:r>
      <w:r>
        <w:rPr>
          <w:rFonts w:hint="eastAsia"/>
          <w:kern w:val="2"/>
          <w:szCs w:val="24"/>
        </w:rPr>
        <w:t>环境大气压，单位为帕斯卡</w:t>
      </w:r>
      <w:r>
        <w:rPr>
          <w:kern w:val="2"/>
          <w:szCs w:val="24"/>
        </w:rPr>
        <w:t>（Pa）</w:t>
      </w:r>
      <w:r>
        <w:rPr>
          <w:rFonts w:hint="eastAsia"/>
          <w:kern w:val="2"/>
          <w:szCs w:val="24"/>
        </w:rPr>
        <w:t>。</w:t>
      </w:r>
    </w:p>
    <w:p w14:paraId="6C8402E3">
      <w:pPr>
        <w:widowControl w:val="0"/>
        <w:spacing w:line="240" w:lineRule="auto"/>
        <w:ind w:firstLine="525" w:firstLineChars="250"/>
        <w:textAlignment w:val="auto"/>
        <w:rPr>
          <w:kern w:val="2"/>
          <w:szCs w:val="24"/>
        </w:rPr>
      </w:pPr>
      <w:r>
        <w:rPr>
          <w:kern w:val="2"/>
          <w:szCs w:val="24"/>
        </w:rPr>
        <w:t>g</w:t>
      </w:r>
      <w:r>
        <w:rPr>
          <w:rFonts w:hint="eastAsia"/>
          <w:kern w:val="2"/>
          <w:szCs w:val="24"/>
        </w:rPr>
        <w:t>）计算爆炸超压：</w:t>
      </w:r>
    </w:p>
    <w:p w14:paraId="1F6FA232">
      <w:pPr>
        <w:widowControl w:val="0"/>
        <w:spacing w:line="240" w:lineRule="auto"/>
        <w:ind w:firstLine="525" w:firstLineChars="250"/>
        <w:textAlignment w:val="auto"/>
        <w:rPr>
          <w:kern w:val="2"/>
          <w:szCs w:val="24"/>
        </w:rPr>
      </w:pPr>
      <w:r>
        <w:rPr>
          <w:rFonts w:hint="eastAsia"/>
          <w:kern w:val="2"/>
          <w:szCs w:val="24"/>
        </w:rPr>
        <w:t>查图B</w:t>
      </w:r>
      <w:r>
        <w:rPr>
          <w:kern w:val="2"/>
          <w:szCs w:val="24"/>
        </w:rPr>
        <w:t>.</w:t>
      </w:r>
      <w:r>
        <w:rPr>
          <w:rFonts w:hint="eastAsia"/>
          <w:kern w:val="2"/>
          <w:szCs w:val="24"/>
        </w:rPr>
        <w:t>2得到</w:t>
      </w:r>
      <w:r>
        <w:rPr>
          <w:kern w:val="2"/>
          <w:szCs w:val="21"/>
        </w:rPr>
        <w:t>Sachs</w:t>
      </w:r>
      <w:r>
        <w:rPr>
          <w:rFonts w:hint="eastAsia" w:ascii="宋体" w:hAnsi="宋体"/>
          <w:kern w:val="2"/>
          <w:szCs w:val="21"/>
        </w:rPr>
        <w:t>比拟爆炸超压</w:t>
      </w:r>
      <w:r>
        <w:rPr>
          <w:kern w:val="2"/>
          <w:position w:val="-10"/>
          <w:szCs w:val="24"/>
        </w:rPr>
        <w:object>
          <v:shape id="_x0000_i1091" o:spt="75" type="#_x0000_t75" style="height:18.75pt;width:18.75pt;" o:ole="t" filled="f" o:preferrelative="t" stroked="f" coordsize="21600,21600">
            <v:path/>
            <v:fill on="f" focussize="0,0"/>
            <v:stroke on="f" joinstyle="miter"/>
            <v:imagedata r:id="rId145" o:title=""/>
            <o:lock v:ext="edit" aspectratio="t"/>
            <w10:wrap type="none"/>
            <w10:anchorlock/>
          </v:shape>
          <o:OLEObject Type="Embed" ProgID="Equation.3" ShapeID="_x0000_i1091" DrawAspect="Content" ObjectID="_1468075791" r:id="rId144">
            <o:LockedField>false</o:LockedField>
          </o:OLEObject>
        </w:object>
      </w:r>
      <w:r>
        <w:rPr>
          <w:rFonts w:hint="eastAsia"/>
          <w:kern w:val="2"/>
          <w:szCs w:val="24"/>
        </w:rPr>
        <w:t>，爆炸超压按式</w:t>
      </w:r>
      <w:r>
        <w:rPr>
          <w:rFonts w:hint="eastAsia"/>
          <w:kern w:val="2"/>
          <w:szCs w:val="21"/>
          <w:lang w:val="es-ES"/>
        </w:rPr>
        <w:t>（</w:t>
      </w:r>
      <w:r>
        <w:rPr>
          <w:rFonts w:hint="eastAsia"/>
          <w:kern w:val="2"/>
          <w:szCs w:val="21"/>
        </w:rPr>
        <w:t>B</w:t>
      </w:r>
      <w:r>
        <w:rPr>
          <w:kern w:val="2"/>
          <w:szCs w:val="21"/>
          <w:lang w:val="es-ES"/>
        </w:rPr>
        <w:t>.</w:t>
      </w:r>
      <w:r>
        <w:rPr>
          <w:rFonts w:hint="eastAsia"/>
          <w:kern w:val="2"/>
          <w:szCs w:val="21"/>
        </w:rPr>
        <w:t>36</w:t>
      </w:r>
      <w:r>
        <w:rPr>
          <w:rFonts w:hint="eastAsia"/>
          <w:kern w:val="2"/>
          <w:szCs w:val="21"/>
          <w:lang w:val="es-ES"/>
        </w:rPr>
        <w:t>）计算</w:t>
      </w:r>
      <w:r>
        <w:rPr>
          <w:rFonts w:hint="eastAsia"/>
          <w:kern w:val="2"/>
          <w:szCs w:val="24"/>
        </w:rPr>
        <w:t>：</w:t>
      </w:r>
    </w:p>
    <w:p w14:paraId="18AE2904">
      <w:pPr>
        <w:pStyle w:val="163"/>
        <w:tabs>
          <w:tab w:val="right" w:leader="middleDot" w:pos="9450"/>
          <w:tab w:val="clear" w:pos="9660"/>
        </w:tabs>
      </w:pPr>
      <w:r>
        <w:tab/>
      </w:r>
      <w:r>
        <w:object>
          <v:shape id="_x0000_i1092" o:spt="75" type="#_x0000_t75" style="height:16.5pt;width:46.5pt;" o:ole="t" filled="f" o:preferrelative="t" stroked="f" coordsize="21600,21600">
            <v:path/>
            <v:fill on="f" focussize="0,0"/>
            <v:stroke on="f" joinstyle="miter"/>
            <v:imagedata r:id="rId147" o:title=""/>
            <o:lock v:ext="edit" aspectratio="f"/>
            <w10:wrap type="none"/>
            <w10:anchorlock/>
          </v:shape>
          <o:OLEObject Type="Embed" ProgID="Equation.3" ShapeID="_x0000_i1092" DrawAspect="Content" ObjectID="_1468075792" r:id="rId146">
            <o:LockedField>false</o:LockedField>
          </o:OLEObject>
        </w:object>
      </w:r>
      <w:r>
        <w:tab/>
      </w:r>
      <w:r>
        <w:rPr>
          <w:rFonts w:hint="eastAsia"/>
        </w:rPr>
        <w:t>（</w:t>
      </w:r>
      <w:r>
        <w:rPr>
          <w:rFonts w:hint="eastAsia"/>
          <w:lang w:val="en-US"/>
        </w:rPr>
        <w:t>B</w:t>
      </w:r>
      <w:r>
        <w:t>.</w:t>
      </w:r>
      <w:r>
        <w:rPr>
          <w:rFonts w:hint="eastAsia"/>
          <w:lang w:val="en-US"/>
        </w:rPr>
        <w:t>36</w:t>
      </w:r>
      <w:r>
        <w:rPr>
          <w:rFonts w:hint="eastAsia"/>
        </w:rPr>
        <w:t>）</w:t>
      </w:r>
    </w:p>
    <w:p w14:paraId="6C68318D">
      <w:pPr>
        <w:widowControl w:val="0"/>
        <w:spacing w:line="240" w:lineRule="auto"/>
        <w:ind w:firstLine="525" w:firstLineChars="250"/>
        <w:textAlignment w:val="auto"/>
        <w:rPr>
          <w:rFonts w:ascii="宋体"/>
          <w:kern w:val="2"/>
          <w:szCs w:val="21"/>
        </w:rPr>
      </w:pPr>
      <w:r>
        <w:rPr>
          <w:rFonts w:hint="eastAsia" w:ascii="宋体" w:hAnsi="宋体"/>
          <w:kern w:val="2"/>
          <w:szCs w:val="21"/>
        </w:rPr>
        <w:t>式中：</w:t>
      </w:r>
    </w:p>
    <w:p w14:paraId="7441E9C7">
      <w:pPr>
        <w:widowControl w:val="0"/>
        <w:spacing w:line="240" w:lineRule="auto"/>
        <w:ind w:firstLine="630" w:firstLineChars="300"/>
        <w:textAlignment w:val="auto"/>
        <w:rPr>
          <w:kern w:val="2"/>
          <w:szCs w:val="24"/>
        </w:rPr>
      </w:pPr>
      <w:r>
        <w:rPr>
          <w:i/>
          <w:kern w:val="2"/>
          <w:szCs w:val="24"/>
        </w:rPr>
        <w:t>P</w:t>
      </w:r>
      <w:r>
        <w:rPr>
          <w:kern w:val="2"/>
          <w:szCs w:val="24"/>
        </w:rPr>
        <w:t>——</w:t>
      </w:r>
      <w:r>
        <w:rPr>
          <w:rFonts w:hint="eastAsia" w:ascii="宋体" w:hAnsi="宋体"/>
          <w:kern w:val="2"/>
          <w:szCs w:val="21"/>
        </w:rPr>
        <w:t>爆炸超压，单位为帕斯卡</w:t>
      </w:r>
      <w:r>
        <w:rPr>
          <w:rFonts w:ascii="宋体" w:hAnsi="宋体"/>
          <w:kern w:val="2"/>
          <w:szCs w:val="21"/>
        </w:rPr>
        <w:t>（</w:t>
      </w:r>
      <w:r>
        <w:rPr>
          <w:kern w:val="2"/>
          <w:szCs w:val="24"/>
        </w:rPr>
        <w:t>Pa</w:t>
      </w:r>
      <w:r>
        <w:rPr>
          <w:rFonts w:ascii="宋体" w:hAnsi="宋体"/>
          <w:kern w:val="2"/>
          <w:szCs w:val="21"/>
        </w:rPr>
        <w:t>）</w:t>
      </w:r>
      <w:r>
        <w:rPr>
          <w:rFonts w:hint="eastAsia"/>
          <w:kern w:val="2"/>
          <w:szCs w:val="24"/>
        </w:rPr>
        <w:t>；</w:t>
      </w:r>
    </w:p>
    <w:p w14:paraId="1FB2655D">
      <w:pPr>
        <w:widowControl w:val="0"/>
        <w:spacing w:line="240" w:lineRule="auto"/>
        <w:ind w:firstLine="525" w:firstLineChars="250"/>
        <w:textAlignment w:val="auto"/>
        <w:rPr>
          <w:rFonts w:ascii="宋体"/>
          <w:kern w:val="2"/>
          <w:szCs w:val="21"/>
        </w:rPr>
      </w:pPr>
      <w:r>
        <w:rPr>
          <w:kern w:val="2"/>
          <w:position w:val="-10"/>
          <w:szCs w:val="24"/>
        </w:rPr>
        <w:object>
          <v:shape id="_x0000_i1093" o:spt="75" type="#_x0000_t75" style="height:16.5pt;width:19.5pt;" o:ole="t" filled="f" o:preferrelative="t" stroked="f" coordsize="21600,21600">
            <v:path/>
            <v:fill on="f" focussize="0,0"/>
            <v:stroke on="f" joinstyle="miter"/>
            <v:imagedata r:id="rId149" o:title=""/>
            <o:lock v:ext="edit" aspectratio="f"/>
            <w10:wrap type="none"/>
            <w10:anchorlock/>
          </v:shape>
          <o:OLEObject Type="Embed" ProgID="Equation.3" ShapeID="_x0000_i1093" DrawAspect="Content" ObjectID="_1468075793" r:id="rId148">
            <o:LockedField>false</o:LockedField>
          </o:OLEObject>
        </w:object>
      </w:r>
      <w:r>
        <w:rPr>
          <w:kern w:val="2"/>
          <w:szCs w:val="24"/>
        </w:rPr>
        <w:t>——</w:t>
      </w:r>
      <w:r>
        <w:rPr>
          <w:kern w:val="2"/>
          <w:szCs w:val="21"/>
        </w:rPr>
        <w:t>Sachs</w:t>
      </w:r>
      <w:r>
        <w:rPr>
          <w:rFonts w:hint="eastAsia" w:ascii="宋体" w:hAnsi="宋体"/>
          <w:kern w:val="2"/>
          <w:szCs w:val="21"/>
        </w:rPr>
        <w:t>比拟爆炸超压（无量纲）；</w:t>
      </w:r>
    </w:p>
    <w:p w14:paraId="19E7742F">
      <w:pPr>
        <w:widowControl w:val="0"/>
        <w:spacing w:line="240" w:lineRule="auto"/>
        <w:ind w:firstLine="525" w:firstLineChars="250"/>
        <w:textAlignment w:val="auto"/>
        <w:rPr>
          <w:kern w:val="2"/>
          <w:szCs w:val="24"/>
        </w:rPr>
      </w:pPr>
      <w:r>
        <w:rPr>
          <w:kern w:val="2"/>
          <w:position w:val="-10"/>
          <w:szCs w:val="24"/>
        </w:rPr>
        <w:object>
          <v:shape id="_x0000_i1094" o:spt="75" type="#_x0000_t75" style="height:16.5pt;width:15pt;" o:ole="t" filled="f" o:preferrelative="t" stroked="f" coordsize="21600,21600">
            <v:path/>
            <v:fill on="f" focussize="0,0"/>
            <v:stroke on="f" joinstyle="miter"/>
            <v:imagedata r:id="rId151" o:title=""/>
            <o:lock v:ext="edit" aspectratio="f"/>
            <w10:wrap type="none"/>
            <w10:anchorlock/>
          </v:shape>
          <o:OLEObject Type="Embed" ProgID="Equation.3" ShapeID="_x0000_i1094" DrawAspect="Content" ObjectID="_1468075794" r:id="rId150">
            <o:LockedField>false</o:LockedField>
          </o:OLEObject>
        </w:object>
      </w:r>
      <w:r>
        <w:rPr>
          <w:kern w:val="2"/>
          <w:szCs w:val="24"/>
        </w:rPr>
        <w:t>——</w:t>
      </w:r>
      <w:r>
        <w:rPr>
          <w:rFonts w:hint="eastAsia"/>
          <w:kern w:val="2"/>
          <w:szCs w:val="24"/>
        </w:rPr>
        <w:t>环境大气压，单位为</w:t>
      </w:r>
      <w:r>
        <w:rPr>
          <w:rFonts w:hint="eastAsia" w:ascii="宋体" w:hAnsi="宋体"/>
          <w:kern w:val="2"/>
          <w:szCs w:val="21"/>
        </w:rPr>
        <w:t>帕斯卡</w:t>
      </w:r>
      <w:r>
        <w:rPr>
          <w:rFonts w:ascii="宋体" w:hAnsi="宋体"/>
          <w:kern w:val="2"/>
          <w:szCs w:val="21"/>
        </w:rPr>
        <w:t>（</w:t>
      </w:r>
      <w:r>
        <w:rPr>
          <w:kern w:val="2"/>
          <w:szCs w:val="24"/>
        </w:rPr>
        <w:t>Pa</w:t>
      </w:r>
      <w:r>
        <w:rPr>
          <w:rFonts w:ascii="宋体" w:hAnsi="宋体"/>
          <w:kern w:val="2"/>
          <w:szCs w:val="21"/>
        </w:rPr>
        <w:t>）</w:t>
      </w:r>
      <w:r>
        <w:rPr>
          <w:rFonts w:hint="eastAsia"/>
          <w:kern w:val="2"/>
          <w:szCs w:val="24"/>
        </w:rPr>
        <w:t>。</w:t>
      </w:r>
    </w:p>
    <w:p w14:paraId="5F60E8EB">
      <w:pPr>
        <w:widowControl w:val="0"/>
        <w:spacing w:line="240" w:lineRule="auto"/>
        <w:jc w:val="center"/>
        <w:textAlignment w:val="auto"/>
        <w:rPr>
          <w:rFonts w:ascii="宋体"/>
          <w:kern w:val="2"/>
          <w:szCs w:val="21"/>
        </w:rPr>
      </w:pPr>
      <w:r>
        <w:rPr>
          <w:kern w:val="2"/>
          <w:szCs w:val="24"/>
        </w:rPr>
        <mc:AlternateContent>
          <mc:Choice Requires="wps">
            <w:drawing>
              <wp:anchor distT="0" distB="0" distL="114300" distR="114300" simplePos="0" relativeHeight="251667456" behindDoc="0" locked="0" layoutInCell="1" allowOverlap="1">
                <wp:simplePos x="0" y="0"/>
                <wp:positionH relativeFrom="column">
                  <wp:posOffset>1544320</wp:posOffset>
                </wp:positionH>
                <wp:positionV relativeFrom="paragraph">
                  <wp:posOffset>1019810</wp:posOffset>
                </wp:positionV>
                <wp:extent cx="370205" cy="937260"/>
                <wp:effectExtent l="0" t="0" r="0" b="0"/>
                <wp:wrapNone/>
                <wp:docPr id="2" name="Text Box 373"/>
                <wp:cNvGraphicFramePr/>
                <a:graphic xmlns:a="http://schemas.openxmlformats.org/drawingml/2006/main">
                  <a:graphicData uri="http://schemas.microsoft.com/office/word/2010/wordprocessingShape">
                    <wps:wsp>
                      <wps:cNvSpPr txBox="1">
                        <a:spLocks noChangeArrowheads="1"/>
                      </wps:cNvSpPr>
                      <wps:spPr bwMode="auto">
                        <a:xfrm>
                          <a:off x="0" y="0"/>
                          <a:ext cx="370205" cy="937260"/>
                        </a:xfrm>
                        <a:prstGeom prst="rect">
                          <a:avLst/>
                        </a:prstGeom>
                        <a:noFill/>
                        <a:ln>
                          <a:noFill/>
                        </a:ln>
                      </wps:spPr>
                      <wps:txbx>
                        <w:txbxContent>
                          <w:p w14:paraId="56347DD7">
                            <w:pPr>
                              <w:widowControl w:val="0"/>
                              <w:snapToGrid w:val="0"/>
                              <w:spacing w:line="240" w:lineRule="auto"/>
                              <w:rPr>
                                <w:kern w:val="2"/>
                                <w:sz w:val="15"/>
                                <w:szCs w:val="15"/>
                              </w:rPr>
                            </w:pPr>
                            <w:r>
                              <w:rPr>
                                <w:rFonts w:hint="eastAsia"/>
                                <w:kern w:val="2"/>
                                <w:sz w:val="15"/>
                                <w:szCs w:val="15"/>
                              </w:rPr>
                              <w:t>比拟爆炸超压</w:t>
                            </w:r>
                            <w:r>
                              <w:rPr>
                                <w:kern w:val="2"/>
                                <w:position w:val="-12"/>
                                <w:szCs w:val="24"/>
                              </w:rPr>
                              <w:object>
                                <v:shape id="_x0000_i1095" o:spt="75" type="#_x0000_t75" style="height:15pt;width:16.5pt;" o:ole="t" filled="f" o:preferrelative="t" stroked="f" coordsize="21600,21600">
                                  <v:path/>
                                  <v:fill on="f" focussize="0,0"/>
                                  <v:stroke on="f" joinstyle="miter"/>
                                  <v:imagedata r:id="rId153" o:title=""/>
                                  <o:lock v:ext="edit" aspectratio="t"/>
                                  <w10:wrap type="none"/>
                                  <w10:anchorlock/>
                                </v:shape>
                                <o:OLEObject Type="Embed" ProgID="Equation.3" ShapeID="_x0000_i1095" DrawAspect="Content" ObjectID="_1468075795" r:id="rId152">
                                  <o:LockedField>false</o:LockedField>
                                </o:OLEObject>
                              </w:object>
                            </w:r>
                          </w:p>
                        </w:txbxContent>
                      </wps:txbx>
                      <wps:bodyPr rot="0" vert="eaVert" wrap="square" lIns="91440" tIns="45720" rIns="91440" bIns="45720" anchor="t" anchorCtr="0" upright="1">
                        <a:noAutofit/>
                      </wps:bodyPr>
                    </wps:wsp>
                  </a:graphicData>
                </a:graphic>
              </wp:anchor>
            </w:drawing>
          </mc:Choice>
          <mc:Fallback>
            <w:pict>
              <v:shape id="Text Box 373" o:spid="_x0000_s1026" o:spt="202" type="#_x0000_t202" style="position:absolute;left:0pt;margin-left:121.6pt;margin-top:80.3pt;height:73.8pt;width:29.15pt;z-index:251667456;mso-width-relative:page;mso-height-relative:page;" filled="f" stroked="f" coordsize="21600,21600" o:gfxdata="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hBS8p2wAAAAsBAAAPAAAAAAAAAAEAIAAA&#10;ACIAAABkcnMvZG93bnJldi54bWxQSwECFAAUAAAACACHTuJAwDLWcQkCAAAXBAAADgAAAAAAAAAB&#10;ACAAAAAqAQAAZHJzL2Uyb0RvYy54bWxQSwUGAAAAAAYABgBZAQAApQUAAAAA&#10;">
                <v:fill on="f" focussize="0,0"/>
                <v:stroke on="f"/>
                <v:imagedata o:title=""/>
                <o:lock v:ext="edit" aspectratio="f"/>
                <v:textbox style="layout-flow:vertical-ideographic;">
                  <w:txbxContent>
                    <w:p w14:paraId="56347DD7">
                      <w:pPr>
                        <w:widowControl w:val="0"/>
                        <w:snapToGrid w:val="0"/>
                        <w:spacing w:line="240" w:lineRule="auto"/>
                        <w:rPr>
                          <w:kern w:val="2"/>
                          <w:sz w:val="15"/>
                          <w:szCs w:val="15"/>
                        </w:rPr>
                      </w:pPr>
                      <w:r>
                        <w:rPr>
                          <w:rFonts w:hint="eastAsia"/>
                          <w:kern w:val="2"/>
                          <w:sz w:val="15"/>
                          <w:szCs w:val="15"/>
                        </w:rPr>
                        <w:t>比拟爆炸超压</w:t>
                      </w:r>
                      <w:r>
                        <w:rPr>
                          <w:kern w:val="2"/>
                          <w:position w:val="-12"/>
                          <w:szCs w:val="24"/>
                        </w:rPr>
                        <w:object>
                          <v:shape id="_x0000_i1095" o:spt="75" type="#_x0000_t75" style="height:15pt;width:16.5pt;" o:ole="t" filled="f" o:preferrelative="t" stroked="f" coordsize="21600,21600">
                            <v:path/>
                            <v:fill on="f" focussize="0,0"/>
                            <v:stroke on="f" joinstyle="miter"/>
                            <v:imagedata r:id="rId153" o:title=""/>
                            <o:lock v:ext="edit" aspectratio="t"/>
                            <w10:wrap type="none"/>
                            <w10:anchorlock/>
                          </v:shape>
                          <o:OLEObject Type="Embed" ProgID="Equation.3" ShapeID="_x0000_i1095" DrawAspect="Content" ObjectID="_1468075796" r:id="rId154">
                            <o:LockedField>false</o:LockedField>
                          </o:OLEObject>
                        </w:object>
                      </w:r>
                    </w:p>
                  </w:txbxContent>
                </v:textbox>
              </v:shape>
            </w:pict>
          </mc:Fallback>
        </mc:AlternateContent>
      </w:r>
      <w:r>
        <w:rPr>
          <w:kern w:val="2"/>
          <w:szCs w:val="24"/>
        </w:rPr>
        <mc:AlternateContent>
          <mc:Choice Requires="wps">
            <w:drawing>
              <wp:anchor distT="0" distB="0" distL="114300" distR="114300" simplePos="0" relativeHeight="251668480" behindDoc="0" locked="0" layoutInCell="1" allowOverlap="1">
                <wp:simplePos x="0" y="0"/>
                <wp:positionH relativeFrom="column">
                  <wp:posOffset>2618105</wp:posOffset>
                </wp:positionH>
                <wp:positionV relativeFrom="paragraph">
                  <wp:posOffset>2730500</wp:posOffset>
                </wp:positionV>
                <wp:extent cx="706120" cy="271780"/>
                <wp:effectExtent l="0" t="0" r="0" b="0"/>
                <wp:wrapNone/>
                <wp:docPr id="6" name="Text Box 370"/>
                <wp:cNvGraphicFramePr/>
                <a:graphic xmlns:a="http://schemas.openxmlformats.org/drawingml/2006/main">
                  <a:graphicData uri="http://schemas.microsoft.com/office/word/2010/wordprocessingShape">
                    <wps:wsp>
                      <wps:cNvSpPr txBox="1">
                        <a:spLocks noChangeArrowheads="1"/>
                      </wps:cNvSpPr>
                      <wps:spPr bwMode="auto">
                        <a:xfrm>
                          <a:off x="0" y="0"/>
                          <a:ext cx="706120" cy="271780"/>
                        </a:xfrm>
                        <a:prstGeom prst="rect">
                          <a:avLst/>
                        </a:prstGeom>
                        <a:noFill/>
                        <a:ln>
                          <a:noFill/>
                        </a:ln>
                      </wps:spPr>
                      <wps:txbx>
                        <w:txbxContent>
                          <w:p w14:paraId="5E7E3D1C">
                            <w:pPr>
                              <w:widowControl w:val="0"/>
                              <w:spacing w:line="240" w:lineRule="auto"/>
                              <w:textAlignment w:val="auto"/>
                              <w:rPr>
                                <w:kern w:val="2"/>
                                <w:sz w:val="15"/>
                                <w:szCs w:val="15"/>
                              </w:rPr>
                            </w:pPr>
                            <w:r>
                              <w:rPr>
                                <w:rFonts w:hint="eastAsia"/>
                                <w:kern w:val="2"/>
                                <w:sz w:val="15"/>
                                <w:szCs w:val="15"/>
                              </w:rPr>
                              <w:t>比拟距离</w:t>
                            </w:r>
                            <w:r>
                              <w:rPr>
                                <w:kern w:val="2"/>
                                <w:position w:val="-4"/>
                                <w:szCs w:val="24"/>
                              </w:rPr>
                              <w:object>
                                <v:shape id="_x0000_i1096" o:spt="75" type="#_x0000_t75" style="height:13.5pt;width:10.5pt;" o:ole="t" filled="f" o:preferrelative="t" stroked="f" coordsize="21600,21600">
                                  <v:path/>
                                  <v:fill on="f" focussize="0,0"/>
                                  <v:stroke on="f" joinstyle="miter"/>
                                  <v:imagedata r:id="rId156" o:title=""/>
                                  <o:lock v:ext="edit" aspectratio="t"/>
                                  <w10:wrap type="none"/>
                                  <w10:anchorlock/>
                                </v:shape>
                                <o:OLEObject Type="Embed" ProgID="Equation.3" ShapeID="_x0000_i1096" DrawAspect="Content" ObjectID="_1468075797" r:id="rId155">
                                  <o:LockedField>false</o:LockedField>
                                </o:OLEObject>
                              </w:object>
                            </w:r>
                          </w:p>
                        </w:txbxContent>
                      </wps:txbx>
                      <wps:bodyPr rot="0" vert="horz" wrap="square" lIns="91440" tIns="45720" rIns="91440" bIns="45720" anchor="t" anchorCtr="0" upright="1">
                        <a:noAutofit/>
                      </wps:bodyPr>
                    </wps:wsp>
                  </a:graphicData>
                </a:graphic>
              </wp:anchor>
            </w:drawing>
          </mc:Choice>
          <mc:Fallback>
            <w:pict>
              <v:shape id="Text Box 370" o:spid="_x0000_s1026" o:spt="202" type="#_x0000_t202" style="position:absolute;left:0pt;margin-left:206.15pt;margin-top:215pt;height:21.4pt;width:55.6pt;z-index:251668480;mso-width-relative:page;mso-height-relative:page;" filled="f" stroked="f" coordsize="21600,21600" o:gfxdata="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r/KtEtgAAAALAQAADwAAAAAAAAABACAAAAAiAAAA&#10;ZHJzL2Rvd25yZXYueG1sUEsBAhQAFAAAAAgAh07iQIadEQ4HAgAAFQQAAA4AAAAAAAAAAQAgAAAA&#10;JwEAAGRycy9lMm9Eb2MueG1sUEsFBgAAAAAGAAYAWQEAAKAFAAAAAA==&#10;">
                <v:fill on="f" focussize="0,0"/>
                <v:stroke on="f"/>
                <v:imagedata o:title=""/>
                <o:lock v:ext="edit" aspectratio="f"/>
                <v:textbox>
                  <w:txbxContent>
                    <w:p w14:paraId="5E7E3D1C">
                      <w:pPr>
                        <w:widowControl w:val="0"/>
                        <w:spacing w:line="240" w:lineRule="auto"/>
                        <w:textAlignment w:val="auto"/>
                        <w:rPr>
                          <w:kern w:val="2"/>
                          <w:sz w:val="15"/>
                          <w:szCs w:val="15"/>
                        </w:rPr>
                      </w:pPr>
                      <w:r>
                        <w:rPr>
                          <w:rFonts w:hint="eastAsia"/>
                          <w:kern w:val="2"/>
                          <w:sz w:val="15"/>
                          <w:szCs w:val="15"/>
                        </w:rPr>
                        <w:t>比拟距离</w:t>
                      </w:r>
                      <w:r>
                        <w:rPr>
                          <w:kern w:val="2"/>
                          <w:position w:val="-4"/>
                          <w:szCs w:val="24"/>
                        </w:rPr>
                        <w:object>
                          <v:shape id="_x0000_i1096" o:spt="75" type="#_x0000_t75" style="height:13.5pt;width:10.5pt;" o:ole="t" filled="f" o:preferrelative="t" stroked="f" coordsize="21600,21600">
                            <v:path/>
                            <v:fill on="f" focussize="0,0"/>
                            <v:stroke on="f" joinstyle="miter"/>
                            <v:imagedata r:id="rId156" o:title=""/>
                            <o:lock v:ext="edit" aspectratio="t"/>
                            <w10:wrap type="none"/>
                            <w10:anchorlock/>
                          </v:shape>
                          <o:OLEObject Type="Embed" ProgID="Equation.3" ShapeID="_x0000_i1096" DrawAspect="Content" ObjectID="_1468075798" r:id="rId157">
                            <o:LockedField>false</o:LockedField>
                          </o:OLEObject>
                        </w:object>
                      </w:r>
                    </w:p>
                  </w:txbxContent>
                </v:textbox>
              </v:shape>
            </w:pict>
          </mc:Fallback>
        </mc:AlternateContent>
      </w:r>
      <w:r>
        <w:rPr>
          <w:kern w:val="2"/>
          <w:szCs w:val="24"/>
        </w:rPr>
        <w:object>
          <v:shape id="_x0000_i1097" o:spt="75" type="#_x0000_t75" style="height:231pt;width:178.5pt;" o:ole="t" filled="f" o:preferrelative="t" stroked="f" coordsize="21600,21600">
            <v:path/>
            <v:fill on="f" focussize="0,0"/>
            <v:stroke on="f" joinstyle="miter"/>
            <v:imagedata r:id="rId159" cropleft="21969f" croptop="11593f" cropright="28581f" cropbottom="12352f" o:title=""/>
            <o:lock v:ext="edit" aspectratio="t"/>
            <w10:wrap type="none"/>
            <w10:anchorlock/>
          </v:shape>
          <o:OLEObject Type="Embed" ProgID="AutoCAD.Drawing.19" ShapeID="_x0000_i1097" DrawAspect="Content" ObjectID="_1468075799" r:id="rId158">
            <o:LockedField>false</o:LockedField>
          </o:OLEObject>
        </w:object>
      </w:r>
    </w:p>
    <w:p w14:paraId="23D461E7">
      <w:pPr>
        <w:widowControl w:val="0"/>
        <w:spacing w:before="156" w:beforeLines="50" w:after="156" w:afterLines="50"/>
        <w:jc w:val="center"/>
        <w:rPr>
          <w:rFonts w:hint="eastAsia" w:ascii="黑体" w:hAnsi="黑体" w:eastAsia="黑体"/>
          <w:kern w:val="2"/>
          <w:szCs w:val="24"/>
        </w:rPr>
      </w:pPr>
      <w:bookmarkStart w:id="211" w:name="_Toc310769359"/>
      <w:bookmarkStart w:id="212" w:name="_Toc310952761"/>
      <w:bookmarkStart w:id="213" w:name="_Toc296956173"/>
      <w:r>
        <w:rPr>
          <w:rFonts w:hint="eastAsia" w:ascii="黑体" w:hAnsi="黑体" w:eastAsia="黑体"/>
          <w:kern w:val="2"/>
          <w:szCs w:val="24"/>
        </w:rPr>
        <w:t>图 B</w:t>
      </w:r>
      <w:r>
        <w:rPr>
          <w:rFonts w:ascii="黑体" w:hAnsi="黑体" w:eastAsia="黑体"/>
          <w:kern w:val="2"/>
          <w:szCs w:val="24"/>
        </w:rPr>
        <w:t>.</w:t>
      </w:r>
      <w:r>
        <w:rPr>
          <w:rFonts w:hint="eastAsia" w:ascii="黑体" w:hAnsi="黑体" w:eastAsia="黑体"/>
          <w:kern w:val="2"/>
          <w:szCs w:val="24"/>
        </w:rPr>
        <w:t>2</w:t>
      </w:r>
      <w:r>
        <w:rPr>
          <w:rFonts w:ascii="黑体" w:hAnsi="黑体" w:eastAsia="黑体"/>
          <w:kern w:val="2"/>
          <w:szCs w:val="24"/>
        </w:rPr>
        <w:t xml:space="preserve">  TNO</w:t>
      </w:r>
      <w:r>
        <w:rPr>
          <w:rFonts w:hint="eastAsia" w:ascii="黑体" w:hAnsi="黑体" w:eastAsia="黑体"/>
          <w:kern w:val="2"/>
          <w:szCs w:val="24"/>
        </w:rPr>
        <w:t>模型的</w:t>
      </w:r>
      <w:r>
        <w:rPr>
          <w:rFonts w:ascii="黑体" w:hAnsi="黑体" w:eastAsia="黑体"/>
          <w:kern w:val="2"/>
          <w:szCs w:val="24"/>
        </w:rPr>
        <w:t>Sachs</w:t>
      </w:r>
      <w:r>
        <w:rPr>
          <w:rFonts w:hint="eastAsia" w:ascii="黑体" w:hAnsi="黑体" w:eastAsia="黑体"/>
          <w:kern w:val="2"/>
          <w:szCs w:val="24"/>
        </w:rPr>
        <w:t>比拟超压</w:t>
      </w:r>
      <w:bookmarkEnd w:id="211"/>
      <w:bookmarkEnd w:id="212"/>
      <w:bookmarkEnd w:id="213"/>
    </w:p>
    <w:p w14:paraId="25BCAF4A">
      <w:pPr>
        <w:widowControl w:val="0"/>
        <w:spacing w:line="240" w:lineRule="auto"/>
        <w:textAlignment w:val="auto"/>
        <w:rPr>
          <w:kern w:val="2"/>
          <w:szCs w:val="24"/>
        </w:rPr>
      </w:pPr>
      <w:r>
        <w:rPr>
          <w:kern w:val="2"/>
          <w:szCs w:val="24"/>
        </w:rPr>
        <w:t xml:space="preserve">     h</w:t>
      </w:r>
      <w:r>
        <w:rPr>
          <w:rFonts w:hint="eastAsia"/>
          <w:kern w:val="2"/>
          <w:szCs w:val="24"/>
        </w:rPr>
        <w:t>）如果两个爆炸源的距离很近，需考虑两个爆炸源同时爆炸的影响。</w:t>
      </w:r>
    </w:p>
    <w:p w14:paraId="529D7197">
      <w:pPr>
        <w:spacing w:before="156" w:beforeLines="50" w:after="156" w:afterLines="50" w:line="240" w:lineRule="auto"/>
        <w:jc w:val="left"/>
        <w:textAlignment w:val="auto"/>
        <w:rPr>
          <w:kern w:val="2"/>
          <w:szCs w:val="24"/>
        </w:rPr>
      </w:pPr>
      <w:r>
        <w:rPr>
          <w:rFonts w:hint="eastAsia" w:hAnsi="宋体"/>
          <w:kern w:val="2"/>
          <w:szCs w:val="32"/>
        </w:rPr>
        <w:t>B.5.1.6.3.2</w:t>
      </w:r>
      <w:r>
        <w:rPr>
          <w:rFonts w:ascii="黑体" w:eastAsia="黑体"/>
          <w:kern w:val="2"/>
          <w:szCs w:val="32"/>
        </w:rPr>
        <w:t xml:space="preserve"> </w:t>
      </w:r>
      <w:r>
        <w:rPr>
          <w:rFonts w:hint="eastAsia" w:ascii="宋体" w:hAnsi="宋体"/>
          <w:kern w:val="2"/>
          <w:szCs w:val="21"/>
        </w:rPr>
        <w:t>爆炸源强度选择可采用</w:t>
      </w:r>
      <w:r>
        <w:rPr>
          <w:kern w:val="2"/>
          <w:szCs w:val="24"/>
        </w:rPr>
        <w:t>Kinsella</w:t>
      </w:r>
      <w:r>
        <w:rPr>
          <w:rFonts w:hint="eastAsia"/>
          <w:kern w:val="2"/>
          <w:szCs w:val="24"/>
        </w:rPr>
        <w:t>方法，见表B.9。</w:t>
      </w:r>
    </w:p>
    <w:p w14:paraId="7D1B812C">
      <w:pPr>
        <w:widowControl w:val="0"/>
        <w:spacing w:before="156" w:beforeLines="50" w:after="156" w:afterLines="50"/>
        <w:jc w:val="center"/>
        <w:rPr>
          <w:rFonts w:hint="eastAsia" w:ascii="黑体" w:hAnsi="黑体" w:eastAsia="黑体"/>
          <w:kern w:val="2"/>
          <w:szCs w:val="24"/>
        </w:rPr>
      </w:pPr>
      <w:r>
        <w:rPr>
          <w:rFonts w:hint="eastAsia" w:ascii="黑体" w:hAnsi="黑体" w:eastAsia="黑体"/>
          <w:kern w:val="2"/>
          <w:szCs w:val="24"/>
        </w:rPr>
        <w:t>表 B</w:t>
      </w:r>
      <w:r>
        <w:rPr>
          <w:rFonts w:ascii="黑体" w:hAnsi="黑体" w:eastAsia="黑体"/>
          <w:kern w:val="2"/>
          <w:szCs w:val="24"/>
        </w:rPr>
        <w:t>.</w:t>
      </w:r>
      <w:r>
        <w:rPr>
          <w:rFonts w:hint="eastAsia" w:ascii="黑体" w:hAnsi="黑体" w:eastAsia="黑体"/>
          <w:kern w:val="2"/>
          <w:szCs w:val="24"/>
        </w:rPr>
        <w:t>9</w:t>
      </w:r>
      <w:r>
        <w:rPr>
          <w:rFonts w:ascii="黑体" w:hAnsi="黑体" w:eastAsia="黑体"/>
          <w:kern w:val="2"/>
          <w:szCs w:val="24"/>
        </w:rPr>
        <w:t xml:space="preserve">  </w:t>
      </w:r>
      <w:r>
        <w:rPr>
          <w:rFonts w:hint="eastAsia" w:ascii="黑体" w:hAnsi="黑体" w:eastAsia="黑体"/>
          <w:kern w:val="2"/>
          <w:szCs w:val="24"/>
        </w:rPr>
        <w:t>定性判断法分析表</w:t>
      </w:r>
    </w:p>
    <w:tbl>
      <w:tblPr>
        <w:tblStyle w:val="36"/>
        <w:tblW w:w="9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963"/>
        <w:gridCol w:w="1148"/>
        <w:gridCol w:w="1002"/>
        <w:gridCol w:w="1600"/>
        <w:gridCol w:w="1529"/>
        <w:gridCol w:w="1336"/>
        <w:gridCol w:w="882"/>
      </w:tblGrid>
      <w:tr w14:paraId="3D06E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848" w:type="dxa"/>
            <w:gridSpan w:val="2"/>
          </w:tcPr>
          <w:p w14:paraId="23377497">
            <w:pPr>
              <w:widowControl w:val="0"/>
              <w:adjustRightInd w:val="0"/>
              <w:snapToGrid w:val="0"/>
              <w:spacing w:before="62" w:beforeLines="20" w:line="240" w:lineRule="auto"/>
              <w:jc w:val="center"/>
              <w:textAlignment w:val="auto"/>
              <w:rPr>
                <w:kern w:val="2"/>
                <w:sz w:val="18"/>
                <w:szCs w:val="32"/>
              </w:rPr>
            </w:pPr>
            <w:r>
              <w:rPr>
                <w:rFonts w:hint="eastAsia"/>
                <w:kern w:val="2"/>
                <w:sz w:val="18"/>
                <w:szCs w:val="32"/>
              </w:rPr>
              <w:t>点火能</w:t>
            </w:r>
          </w:p>
        </w:tc>
        <w:tc>
          <w:tcPr>
            <w:tcW w:w="3750" w:type="dxa"/>
            <w:gridSpan w:val="3"/>
          </w:tcPr>
          <w:p w14:paraId="21808539">
            <w:pPr>
              <w:widowControl w:val="0"/>
              <w:adjustRightInd w:val="0"/>
              <w:snapToGrid w:val="0"/>
              <w:spacing w:before="62" w:beforeLines="20" w:line="240" w:lineRule="auto"/>
              <w:jc w:val="center"/>
              <w:textAlignment w:val="auto"/>
              <w:rPr>
                <w:kern w:val="2"/>
                <w:sz w:val="18"/>
                <w:szCs w:val="32"/>
              </w:rPr>
            </w:pPr>
            <w:r>
              <w:rPr>
                <w:rFonts w:hint="eastAsia"/>
                <w:kern w:val="2"/>
                <w:sz w:val="18"/>
                <w:szCs w:val="32"/>
              </w:rPr>
              <w:t>受阻塞程度</w:t>
            </w:r>
          </w:p>
        </w:tc>
        <w:tc>
          <w:tcPr>
            <w:tcW w:w="2865" w:type="dxa"/>
            <w:gridSpan w:val="2"/>
          </w:tcPr>
          <w:p w14:paraId="5A83904E">
            <w:pPr>
              <w:widowControl w:val="0"/>
              <w:adjustRightInd w:val="0"/>
              <w:snapToGrid w:val="0"/>
              <w:spacing w:before="62" w:beforeLines="20" w:line="240" w:lineRule="auto"/>
              <w:jc w:val="center"/>
              <w:textAlignment w:val="auto"/>
              <w:rPr>
                <w:kern w:val="2"/>
                <w:sz w:val="18"/>
                <w:szCs w:val="32"/>
              </w:rPr>
            </w:pPr>
            <w:r>
              <w:rPr>
                <w:rFonts w:hint="eastAsia"/>
                <w:kern w:val="2"/>
                <w:sz w:val="18"/>
                <w:szCs w:val="32"/>
              </w:rPr>
              <w:t>受约束程度</w:t>
            </w:r>
          </w:p>
        </w:tc>
        <w:tc>
          <w:tcPr>
            <w:tcW w:w="882" w:type="dxa"/>
            <w:vMerge w:val="restart"/>
            <w:vAlign w:val="center"/>
          </w:tcPr>
          <w:p w14:paraId="0443EDCF">
            <w:pPr>
              <w:widowControl w:val="0"/>
              <w:spacing w:line="240" w:lineRule="auto"/>
              <w:jc w:val="center"/>
              <w:textAlignment w:val="auto"/>
              <w:rPr>
                <w:rFonts w:ascii="黑体" w:eastAsia="黑体"/>
                <w:bCs/>
                <w:kern w:val="2"/>
                <w:szCs w:val="21"/>
              </w:rPr>
            </w:pPr>
            <w:r>
              <w:rPr>
                <w:rFonts w:hint="eastAsia"/>
                <w:kern w:val="2"/>
                <w:sz w:val="18"/>
                <w:szCs w:val="32"/>
              </w:rPr>
              <w:t>强度等级</w:t>
            </w:r>
          </w:p>
        </w:tc>
      </w:tr>
      <w:tr w14:paraId="5C21E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85" w:type="dxa"/>
          </w:tcPr>
          <w:p w14:paraId="4BD1728F">
            <w:pPr>
              <w:widowControl w:val="0"/>
              <w:adjustRightInd w:val="0"/>
              <w:snapToGrid w:val="0"/>
              <w:spacing w:before="62" w:beforeLines="20" w:line="240" w:lineRule="auto"/>
              <w:jc w:val="center"/>
              <w:textAlignment w:val="auto"/>
              <w:rPr>
                <w:kern w:val="2"/>
                <w:sz w:val="18"/>
                <w:szCs w:val="32"/>
              </w:rPr>
            </w:pPr>
            <w:r>
              <w:rPr>
                <w:rFonts w:hint="eastAsia"/>
                <w:kern w:val="2"/>
                <w:sz w:val="18"/>
                <w:szCs w:val="32"/>
              </w:rPr>
              <w:t>弱</w:t>
            </w:r>
          </w:p>
        </w:tc>
        <w:tc>
          <w:tcPr>
            <w:tcW w:w="963" w:type="dxa"/>
          </w:tcPr>
          <w:p w14:paraId="3D24BB9B">
            <w:pPr>
              <w:widowControl w:val="0"/>
              <w:adjustRightInd w:val="0"/>
              <w:snapToGrid w:val="0"/>
              <w:spacing w:before="62" w:beforeLines="20" w:line="240" w:lineRule="auto"/>
              <w:jc w:val="center"/>
              <w:textAlignment w:val="auto"/>
              <w:rPr>
                <w:kern w:val="2"/>
                <w:sz w:val="18"/>
                <w:szCs w:val="32"/>
              </w:rPr>
            </w:pPr>
            <w:r>
              <w:rPr>
                <w:rFonts w:hint="eastAsia"/>
                <w:kern w:val="2"/>
                <w:sz w:val="18"/>
                <w:szCs w:val="32"/>
              </w:rPr>
              <w:t>强</w:t>
            </w:r>
          </w:p>
        </w:tc>
        <w:tc>
          <w:tcPr>
            <w:tcW w:w="1148" w:type="dxa"/>
          </w:tcPr>
          <w:p w14:paraId="453DF31D">
            <w:pPr>
              <w:widowControl w:val="0"/>
              <w:adjustRightInd w:val="0"/>
              <w:snapToGrid w:val="0"/>
              <w:spacing w:before="62" w:beforeLines="20" w:line="240" w:lineRule="auto"/>
              <w:jc w:val="center"/>
              <w:textAlignment w:val="auto"/>
              <w:rPr>
                <w:kern w:val="2"/>
                <w:sz w:val="18"/>
                <w:szCs w:val="32"/>
              </w:rPr>
            </w:pPr>
            <w:r>
              <w:rPr>
                <w:rFonts w:hint="eastAsia"/>
                <w:kern w:val="2"/>
                <w:sz w:val="18"/>
                <w:szCs w:val="32"/>
              </w:rPr>
              <w:t>强</w:t>
            </w:r>
          </w:p>
        </w:tc>
        <w:tc>
          <w:tcPr>
            <w:tcW w:w="1002" w:type="dxa"/>
          </w:tcPr>
          <w:p w14:paraId="74A47626">
            <w:pPr>
              <w:widowControl w:val="0"/>
              <w:adjustRightInd w:val="0"/>
              <w:snapToGrid w:val="0"/>
              <w:spacing w:before="62" w:beforeLines="20" w:line="240" w:lineRule="auto"/>
              <w:jc w:val="center"/>
              <w:textAlignment w:val="auto"/>
              <w:rPr>
                <w:kern w:val="2"/>
                <w:sz w:val="18"/>
                <w:szCs w:val="32"/>
              </w:rPr>
            </w:pPr>
            <w:r>
              <w:rPr>
                <w:rFonts w:hint="eastAsia"/>
                <w:kern w:val="2"/>
                <w:sz w:val="18"/>
                <w:szCs w:val="32"/>
              </w:rPr>
              <w:t>弱</w:t>
            </w:r>
          </w:p>
        </w:tc>
        <w:tc>
          <w:tcPr>
            <w:tcW w:w="1600" w:type="dxa"/>
          </w:tcPr>
          <w:p w14:paraId="64558F1B">
            <w:pPr>
              <w:widowControl w:val="0"/>
              <w:adjustRightInd w:val="0"/>
              <w:snapToGrid w:val="0"/>
              <w:spacing w:before="62" w:beforeLines="20" w:line="240" w:lineRule="auto"/>
              <w:jc w:val="center"/>
              <w:textAlignment w:val="auto"/>
              <w:rPr>
                <w:kern w:val="2"/>
                <w:sz w:val="18"/>
                <w:szCs w:val="32"/>
              </w:rPr>
            </w:pPr>
            <w:r>
              <w:rPr>
                <w:rFonts w:hint="eastAsia"/>
                <w:kern w:val="2"/>
                <w:sz w:val="18"/>
                <w:szCs w:val="32"/>
              </w:rPr>
              <w:t>不存在阻塞</w:t>
            </w:r>
          </w:p>
        </w:tc>
        <w:tc>
          <w:tcPr>
            <w:tcW w:w="1529" w:type="dxa"/>
          </w:tcPr>
          <w:p w14:paraId="415FF007">
            <w:pPr>
              <w:widowControl w:val="0"/>
              <w:adjustRightInd w:val="0"/>
              <w:snapToGrid w:val="0"/>
              <w:spacing w:before="62" w:beforeLines="20" w:line="240" w:lineRule="auto"/>
              <w:jc w:val="center"/>
              <w:textAlignment w:val="auto"/>
              <w:rPr>
                <w:kern w:val="2"/>
                <w:sz w:val="18"/>
                <w:szCs w:val="32"/>
              </w:rPr>
            </w:pPr>
            <w:r>
              <w:rPr>
                <w:rFonts w:hint="eastAsia"/>
                <w:kern w:val="2"/>
                <w:sz w:val="18"/>
                <w:szCs w:val="32"/>
              </w:rPr>
              <w:t>不存在约束</w:t>
            </w:r>
          </w:p>
        </w:tc>
        <w:tc>
          <w:tcPr>
            <w:tcW w:w="1336" w:type="dxa"/>
          </w:tcPr>
          <w:p w14:paraId="188801A1">
            <w:pPr>
              <w:widowControl w:val="0"/>
              <w:adjustRightInd w:val="0"/>
              <w:snapToGrid w:val="0"/>
              <w:spacing w:before="62" w:beforeLines="20" w:line="240" w:lineRule="auto"/>
              <w:jc w:val="center"/>
              <w:textAlignment w:val="auto"/>
              <w:rPr>
                <w:kern w:val="2"/>
                <w:sz w:val="18"/>
                <w:szCs w:val="32"/>
              </w:rPr>
            </w:pPr>
            <w:r>
              <w:rPr>
                <w:rFonts w:hint="eastAsia"/>
                <w:kern w:val="2"/>
                <w:sz w:val="18"/>
                <w:szCs w:val="32"/>
              </w:rPr>
              <w:t>存在约束</w:t>
            </w:r>
          </w:p>
        </w:tc>
        <w:tc>
          <w:tcPr>
            <w:tcW w:w="882" w:type="dxa"/>
            <w:vMerge w:val="continue"/>
          </w:tcPr>
          <w:p w14:paraId="34B34319">
            <w:pPr>
              <w:widowControl w:val="0"/>
              <w:spacing w:line="240" w:lineRule="auto"/>
              <w:jc w:val="center"/>
              <w:textAlignment w:val="auto"/>
              <w:rPr>
                <w:rFonts w:ascii="黑体" w:eastAsia="黑体"/>
                <w:bCs/>
                <w:kern w:val="2"/>
                <w:szCs w:val="21"/>
              </w:rPr>
            </w:pPr>
          </w:p>
        </w:tc>
      </w:tr>
      <w:tr w14:paraId="43D1D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85" w:type="dxa"/>
          </w:tcPr>
          <w:p w14:paraId="1B85735A">
            <w:pPr>
              <w:widowControl w:val="0"/>
              <w:adjustRightInd w:val="0"/>
              <w:snapToGrid w:val="0"/>
              <w:spacing w:before="62" w:beforeLines="20" w:line="240" w:lineRule="auto"/>
              <w:jc w:val="center"/>
              <w:textAlignment w:val="auto"/>
              <w:rPr>
                <w:kern w:val="2"/>
                <w:sz w:val="18"/>
                <w:szCs w:val="32"/>
              </w:rPr>
            </w:pPr>
          </w:p>
        </w:tc>
        <w:tc>
          <w:tcPr>
            <w:tcW w:w="963" w:type="dxa"/>
          </w:tcPr>
          <w:p w14:paraId="69A6F97E">
            <w:pPr>
              <w:widowControl w:val="0"/>
              <w:adjustRightInd w:val="0"/>
              <w:snapToGrid w:val="0"/>
              <w:spacing w:before="62" w:beforeLines="20" w:line="240" w:lineRule="auto"/>
              <w:jc w:val="center"/>
              <w:textAlignment w:val="auto"/>
              <w:rPr>
                <w:kern w:val="2"/>
                <w:sz w:val="18"/>
                <w:szCs w:val="32"/>
              </w:rPr>
            </w:pPr>
            <w:r>
              <w:rPr>
                <w:kern w:val="2"/>
                <w:sz w:val="18"/>
                <w:szCs w:val="32"/>
              </w:rPr>
              <w:t>X</w:t>
            </w:r>
          </w:p>
        </w:tc>
        <w:tc>
          <w:tcPr>
            <w:tcW w:w="1148" w:type="dxa"/>
          </w:tcPr>
          <w:p w14:paraId="45BE40A6">
            <w:pPr>
              <w:widowControl w:val="0"/>
              <w:adjustRightInd w:val="0"/>
              <w:snapToGrid w:val="0"/>
              <w:spacing w:before="62" w:beforeLines="20" w:line="240" w:lineRule="auto"/>
              <w:jc w:val="center"/>
              <w:textAlignment w:val="auto"/>
              <w:rPr>
                <w:kern w:val="2"/>
                <w:sz w:val="18"/>
                <w:szCs w:val="32"/>
              </w:rPr>
            </w:pPr>
            <w:r>
              <w:rPr>
                <w:kern w:val="2"/>
                <w:sz w:val="18"/>
                <w:szCs w:val="32"/>
              </w:rPr>
              <w:t>X</w:t>
            </w:r>
          </w:p>
        </w:tc>
        <w:tc>
          <w:tcPr>
            <w:tcW w:w="1002" w:type="dxa"/>
          </w:tcPr>
          <w:p w14:paraId="2EC2ED08">
            <w:pPr>
              <w:widowControl w:val="0"/>
              <w:adjustRightInd w:val="0"/>
              <w:snapToGrid w:val="0"/>
              <w:spacing w:before="62" w:beforeLines="20" w:line="240" w:lineRule="auto"/>
              <w:jc w:val="center"/>
              <w:textAlignment w:val="auto"/>
              <w:rPr>
                <w:kern w:val="2"/>
                <w:sz w:val="18"/>
                <w:szCs w:val="32"/>
              </w:rPr>
            </w:pPr>
          </w:p>
        </w:tc>
        <w:tc>
          <w:tcPr>
            <w:tcW w:w="1600" w:type="dxa"/>
          </w:tcPr>
          <w:p w14:paraId="070C25C0">
            <w:pPr>
              <w:widowControl w:val="0"/>
              <w:adjustRightInd w:val="0"/>
              <w:snapToGrid w:val="0"/>
              <w:spacing w:before="62" w:beforeLines="20" w:line="240" w:lineRule="auto"/>
              <w:jc w:val="center"/>
              <w:textAlignment w:val="auto"/>
              <w:rPr>
                <w:kern w:val="2"/>
                <w:sz w:val="18"/>
                <w:szCs w:val="32"/>
              </w:rPr>
            </w:pPr>
          </w:p>
        </w:tc>
        <w:tc>
          <w:tcPr>
            <w:tcW w:w="1529" w:type="dxa"/>
          </w:tcPr>
          <w:p w14:paraId="7810E20E">
            <w:pPr>
              <w:widowControl w:val="0"/>
              <w:adjustRightInd w:val="0"/>
              <w:snapToGrid w:val="0"/>
              <w:spacing w:before="62" w:beforeLines="20" w:line="240" w:lineRule="auto"/>
              <w:jc w:val="center"/>
              <w:textAlignment w:val="auto"/>
              <w:rPr>
                <w:kern w:val="2"/>
                <w:sz w:val="18"/>
                <w:szCs w:val="32"/>
              </w:rPr>
            </w:pPr>
            <w:r>
              <w:rPr>
                <w:kern w:val="2"/>
                <w:sz w:val="18"/>
                <w:szCs w:val="32"/>
              </w:rPr>
              <w:t>X</w:t>
            </w:r>
          </w:p>
        </w:tc>
        <w:tc>
          <w:tcPr>
            <w:tcW w:w="1336" w:type="dxa"/>
          </w:tcPr>
          <w:p w14:paraId="3ABD32D7">
            <w:pPr>
              <w:widowControl w:val="0"/>
              <w:adjustRightInd w:val="0"/>
              <w:snapToGrid w:val="0"/>
              <w:spacing w:before="62" w:beforeLines="20" w:line="240" w:lineRule="auto"/>
              <w:jc w:val="center"/>
              <w:textAlignment w:val="auto"/>
              <w:rPr>
                <w:kern w:val="2"/>
                <w:sz w:val="18"/>
                <w:szCs w:val="32"/>
              </w:rPr>
            </w:pPr>
          </w:p>
        </w:tc>
        <w:tc>
          <w:tcPr>
            <w:tcW w:w="882" w:type="dxa"/>
          </w:tcPr>
          <w:p w14:paraId="07543069">
            <w:pPr>
              <w:widowControl w:val="0"/>
              <w:adjustRightInd w:val="0"/>
              <w:snapToGrid w:val="0"/>
              <w:spacing w:before="62" w:beforeLines="20" w:line="240" w:lineRule="auto"/>
              <w:jc w:val="center"/>
              <w:textAlignment w:val="auto"/>
              <w:rPr>
                <w:kern w:val="2"/>
                <w:sz w:val="18"/>
                <w:szCs w:val="32"/>
              </w:rPr>
            </w:pPr>
            <w:r>
              <w:rPr>
                <w:kern w:val="2"/>
                <w:sz w:val="18"/>
                <w:szCs w:val="32"/>
              </w:rPr>
              <w:t>7</w:t>
            </w:r>
            <w:r>
              <w:rPr>
                <w:rFonts w:hint="eastAsia"/>
                <w:kern w:val="2"/>
                <w:sz w:val="18"/>
                <w:szCs w:val="32"/>
              </w:rPr>
              <w:t>~</w:t>
            </w:r>
            <w:r>
              <w:rPr>
                <w:kern w:val="2"/>
                <w:sz w:val="18"/>
                <w:szCs w:val="32"/>
              </w:rPr>
              <w:t>10</w:t>
            </w:r>
          </w:p>
        </w:tc>
      </w:tr>
      <w:tr w14:paraId="53E30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85" w:type="dxa"/>
          </w:tcPr>
          <w:p w14:paraId="646B94B8">
            <w:pPr>
              <w:widowControl w:val="0"/>
              <w:adjustRightInd w:val="0"/>
              <w:snapToGrid w:val="0"/>
              <w:spacing w:before="62" w:beforeLines="20" w:line="240" w:lineRule="auto"/>
              <w:jc w:val="center"/>
              <w:textAlignment w:val="auto"/>
              <w:rPr>
                <w:kern w:val="2"/>
                <w:sz w:val="18"/>
                <w:szCs w:val="32"/>
              </w:rPr>
            </w:pPr>
          </w:p>
        </w:tc>
        <w:tc>
          <w:tcPr>
            <w:tcW w:w="963" w:type="dxa"/>
          </w:tcPr>
          <w:p w14:paraId="0E35381B">
            <w:pPr>
              <w:widowControl w:val="0"/>
              <w:adjustRightInd w:val="0"/>
              <w:snapToGrid w:val="0"/>
              <w:spacing w:before="62" w:beforeLines="20" w:line="240" w:lineRule="auto"/>
              <w:jc w:val="center"/>
              <w:textAlignment w:val="auto"/>
              <w:rPr>
                <w:kern w:val="2"/>
                <w:sz w:val="18"/>
                <w:szCs w:val="32"/>
              </w:rPr>
            </w:pPr>
            <w:r>
              <w:rPr>
                <w:kern w:val="2"/>
                <w:sz w:val="18"/>
                <w:szCs w:val="32"/>
              </w:rPr>
              <w:t>X</w:t>
            </w:r>
          </w:p>
        </w:tc>
        <w:tc>
          <w:tcPr>
            <w:tcW w:w="1148" w:type="dxa"/>
          </w:tcPr>
          <w:p w14:paraId="2AB60E72">
            <w:pPr>
              <w:widowControl w:val="0"/>
              <w:adjustRightInd w:val="0"/>
              <w:snapToGrid w:val="0"/>
              <w:spacing w:before="62" w:beforeLines="20" w:line="240" w:lineRule="auto"/>
              <w:jc w:val="center"/>
              <w:textAlignment w:val="auto"/>
              <w:rPr>
                <w:kern w:val="2"/>
                <w:sz w:val="18"/>
                <w:szCs w:val="32"/>
              </w:rPr>
            </w:pPr>
            <w:r>
              <w:rPr>
                <w:kern w:val="2"/>
                <w:sz w:val="18"/>
                <w:szCs w:val="32"/>
              </w:rPr>
              <w:t>X</w:t>
            </w:r>
          </w:p>
        </w:tc>
        <w:tc>
          <w:tcPr>
            <w:tcW w:w="1002" w:type="dxa"/>
          </w:tcPr>
          <w:p w14:paraId="2554EC74">
            <w:pPr>
              <w:widowControl w:val="0"/>
              <w:adjustRightInd w:val="0"/>
              <w:snapToGrid w:val="0"/>
              <w:spacing w:before="62" w:beforeLines="20" w:line="240" w:lineRule="auto"/>
              <w:jc w:val="center"/>
              <w:textAlignment w:val="auto"/>
              <w:rPr>
                <w:kern w:val="2"/>
                <w:sz w:val="18"/>
                <w:szCs w:val="32"/>
              </w:rPr>
            </w:pPr>
          </w:p>
        </w:tc>
        <w:tc>
          <w:tcPr>
            <w:tcW w:w="1600" w:type="dxa"/>
          </w:tcPr>
          <w:p w14:paraId="45FFEB18">
            <w:pPr>
              <w:widowControl w:val="0"/>
              <w:adjustRightInd w:val="0"/>
              <w:snapToGrid w:val="0"/>
              <w:spacing w:before="62" w:beforeLines="20" w:line="240" w:lineRule="auto"/>
              <w:jc w:val="center"/>
              <w:textAlignment w:val="auto"/>
              <w:rPr>
                <w:kern w:val="2"/>
                <w:sz w:val="18"/>
                <w:szCs w:val="32"/>
              </w:rPr>
            </w:pPr>
          </w:p>
        </w:tc>
        <w:tc>
          <w:tcPr>
            <w:tcW w:w="1529" w:type="dxa"/>
          </w:tcPr>
          <w:p w14:paraId="05EAC01A">
            <w:pPr>
              <w:widowControl w:val="0"/>
              <w:adjustRightInd w:val="0"/>
              <w:snapToGrid w:val="0"/>
              <w:spacing w:before="62" w:beforeLines="20" w:line="240" w:lineRule="auto"/>
              <w:jc w:val="center"/>
              <w:textAlignment w:val="auto"/>
              <w:rPr>
                <w:kern w:val="2"/>
                <w:sz w:val="18"/>
                <w:szCs w:val="32"/>
              </w:rPr>
            </w:pPr>
          </w:p>
        </w:tc>
        <w:tc>
          <w:tcPr>
            <w:tcW w:w="1336" w:type="dxa"/>
          </w:tcPr>
          <w:p w14:paraId="19D86AC2">
            <w:pPr>
              <w:widowControl w:val="0"/>
              <w:adjustRightInd w:val="0"/>
              <w:snapToGrid w:val="0"/>
              <w:spacing w:before="62" w:beforeLines="20" w:line="240" w:lineRule="auto"/>
              <w:jc w:val="center"/>
              <w:textAlignment w:val="auto"/>
              <w:rPr>
                <w:kern w:val="2"/>
                <w:sz w:val="18"/>
                <w:szCs w:val="32"/>
              </w:rPr>
            </w:pPr>
            <w:r>
              <w:rPr>
                <w:kern w:val="2"/>
                <w:sz w:val="18"/>
                <w:szCs w:val="32"/>
              </w:rPr>
              <w:t>X</w:t>
            </w:r>
          </w:p>
        </w:tc>
        <w:tc>
          <w:tcPr>
            <w:tcW w:w="882" w:type="dxa"/>
          </w:tcPr>
          <w:p w14:paraId="1E8448A1">
            <w:pPr>
              <w:widowControl w:val="0"/>
              <w:adjustRightInd w:val="0"/>
              <w:snapToGrid w:val="0"/>
              <w:spacing w:before="62" w:beforeLines="20" w:line="240" w:lineRule="auto"/>
              <w:jc w:val="center"/>
              <w:textAlignment w:val="auto"/>
              <w:rPr>
                <w:kern w:val="2"/>
                <w:sz w:val="18"/>
                <w:szCs w:val="32"/>
              </w:rPr>
            </w:pPr>
            <w:r>
              <w:rPr>
                <w:kern w:val="2"/>
                <w:sz w:val="18"/>
                <w:szCs w:val="32"/>
              </w:rPr>
              <w:t>7-10</w:t>
            </w:r>
          </w:p>
        </w:tc>
      </w:tr>
      <w:tr w14:paraId="76DF8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85" w:type="dxa"/>
          </w:tcPr>
          <w:p w14:paraId="4855E878">
            <w:pPr>
              <w:widowControl w:val="0"/>
              <w:adjustRightInd w:val="0"/>
              <w:snapToGrid w:val="0"/>
              <w:spacing w:before="62" w:beforeLines="20" w:line="240" w:lineRule="auto"/>
              <w:jc w:val="center"/>
              <w:textAlignment w:val="auto"/>
              <w:rPr>
                <w:kern w:val="2"/>
                <w:sz w:val="18"/>
                <w:szCs w:val="32"/>
              </w:rPr>
            </w:pPr>
            <w:r>
              <w:rPr>
                <w:kern w:val="2"/>
                <w:sz w:val="18"/>
                <w:szCs w:val="32"/>
              </w:rPr>
              <w:t>X</w:t>
            </w:r>
          </w:p>
        </w:tc>
        <w:tc>
          <w:tcPr>
            <w:tcW w:w="963" w:type="dxa"/>
          </w:tcPr>
          <w:p w14:paraId="22C41531">
            <w:pPr>
              <w:widowControl w:val="0"/>
              <w:adjustRightInd w:val="0"/>
              <w:snapToGrid w:val="0"/>
              <w:spacing w:before="62" w:beforeLines="20" w:line="240" w:lineRule="auto"/>
              <w:jc w:val="center"/>
              <w:textAlignment w:val="auto"/>
              <w:rPr>
                <w:kern w:val="2"/>
                <w:sz w:val="18"/>
                <w:szCs w:val="32"/>
              </w:rPr>
            </w:pPr>
          </w:p>
        </w:tc>
        <w:tc>
          <w:tcPr>
            <w:tcW w:w="1148" w:type="dxa"/>
          </w:tcPr>
          <w:p w14:paraId="576DCB39">
            <w:pPr>
              <w:widowControl w:val="0"/>
              <w:adjustRightInd w:val="0"/>
              <w:snapToGrid w:val="0"/>
              <w:spacing w:before="62" w:beforeLines="20" w:line="240" w:lineRule="auto"/>
              <w:jc w:val="center"/>
              <w:textAlignment w:val="auto"/>
              <w:rPr>
                <w:kern w:val="2"/>
                <w:sz w:val="18"/>
                <w:szCs w:val="32"/>
              </w:rPr>
            </w:pPr>
            <w:r>
              <w:rPr>
                <w:kern w:val="2"/>
                <w:sz w:val="18"/>
                <w:szCs w:val="32"/>
              </w:rPr>
              <w:t>X</w:t>
            </w:r>
          </w:p>
        </w:tc>
        <w:tc>
          <w:tcPr>
            <w:tcW w:w="1002" w:type="dxa"/>
          </w:tcPr>
          <w:p w14:paraId="2A1A1C0E">
            <w:pPr>
              <w:widowControl w:val="0"/>
              <w:adjustRightInd w:val="0"/>
              <w:snapToGrid w:val="0"/>
              <w:spacing w:before="62" w:beforeLines="20" w:line="240" w:lineRule="auto"/>
              <w:jc w:val="center"/>
              <w:textAlignment w:val="auto"/>
              <w:rPr>
                <w:kern w:val="2"/>
                <w:sz w:val="18"/>
                <w:szCs w:val="32"/>
              </w:rPr>
            </w:pPr>
          </w:p>
        </w:tc>
        <w:tc>
          <w:tcPr>
            <w:tcW w:w="1600" w:type="dxa"/>
          </w:tcPr>
          <w:p w14:paraId="46B31077">
            <w:pPr>
              <w:widowControl w:val="0"/>
              <w:adjustRightInd w:val="0"/>
              <w:snapToGrid w:val="0"/>
              <w:spacing w:before="62" w:beforeLines="20" w:line="240" w:lineRule="auto"/>
              <w:jc w:val="center"/>
              <w:textAlignment w:val="auto"/>
              <w:rPr>
                <w:kern w:val="2"/>
                <w:sz w:val="18"/>
                <w:szCs w:val="32"/>
              </w:rPr>
            </w:pPr>
          </w:p>
        </w:tc>
        <w:tc>
          <w:tcPr>
            <w:tcW w:w="1529" w:type="dxa"/>
          </w:tcPr>
          <w:p w14:paraId="5E8B74BA">
            <w:pPr>
              <w:widowControl w:val="0"/>
              <w:adjustRightInd w:val="0"/>
              <w:snapToGrid w:val="0"/>
              <w:spacing w:before="62" w:beforeLines="20" w:line="240" w:lineRule="auto"/>
              <w:jc w:val="center"/>
              <w:textAlignment w:val="auto"/>
              <w:rPr>
                <w:kern w:val="2"/>
                <w:sz w:val="18"/>
                <w:szCs w:val="32"/>
              </w:rPr>
            </w:pPr>
            <w:r>
              <w:rPr>
                <w:kern w:val="2"/>
                <w:sz w:val="18"/>
                <w:szCs w:val="32"/>
              </w:rPr>
              <w:t>X</w:t>
            </w:r>
          </w:p>
        </w:tc>
        <w:tc>
          <w:tcPr>
            <w:tcW w:w="1336" w:type="dxa"/>
          </w:tcPr>
          <w:p w14:paraId="2709F90F">
            <w:pPr>
              <w:widowControl w:val="0"/>
              <w:adjustRightInd w:val="0"/>
              <w:snapToGrid w:val="0"/>
              <w:spacing w:before="62" w:beforeLines="20" w:line="240" w:lineRule="auto"/>
              <w:jc w:val="center"/>
              <w:textAlignment w:val="auto"/>
              <w:rPr>
                <w:kern w:val="2"/>
                <w:sz w:val="18"/>
                <w:szCs w:val="32"/>
              </w:rPr>
            </w:pPr>
          </w:p>
        </w:tc>
        <w:tc>
          <w:tcPr>
            <w:tcW w:w="882" w:type="dxa"/>
          </w:tcPr>
          <w:p w14:paraId="44A48718">
            <w:pPr>
              <w:widowControl w:val="0"/>
              <w:adjustRightInd w:val="0"/>
              <w:snapToGrid w:val="0"/>
              <w:spacing w:before="62" w:beforeLines="20" w:line="240" w:lineRule="auto"/>
              <w:jc w:val="center"/>
              <w:textAlignment w:val="auto"/>
              <w:rPr>
                <w:kern w:val="2"/>
                <w:sz w:val="18"/>
                <w:szCs w:val="32"/>
              </w:rPr>
            </w:pPr>
            <w:r>
              <w:rPr>
                <w:kern w:val="2"/>
                <w:sz w:val="18"/>
                <w:szCs w:val="32"/>
              </w:rPr>
              <w:t>5-7</w:t>
            </w:r>
          </w:p>
        </w:tc>
      </w:tr>
      <w:tr w14:paraId="2C04F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85" w:type="dxa"/>
          </w:tcPr>
          <w:p w14:paraId="78E33178">
            <w:pPr>
              <w:widowControl w:val="0"/>
              <w:adjustRightInd w:val="0"/>
              <w:snapToGrid w:val="0"/>
              <w:spacing w:before="62" w:beforeLines="20" w:line="240" w:lineRule="auto"/>
              <w:jc w:val="center"/>
              <w:textAlignment w:val="auto"/>
              <w:rPr>
                <w:kern w:val="2"/>
                <w:sz w:val="18"/>
                <w:szCs w:val="32"/>
              </w:rPr>
            </w:pPr>
          </w:p>
        </w:tc>
        <w:tc>
          <w:tcPr>
            <w:tcW w:w="963" w:type="dxa"/>
          </w:tcPr>
          <w:p w14:paraId="3EEDBFA8">
            <w:pPr>
              <w:widowControl w:val="0"/>
              <w:adjustRightInd w:val="0"/>
              <w:snapToGrid w:val="0"/>
              <w:spacing w:before="62" w:beforeLines="20" w:line="240" w:lineRule="auto"/>
              <w:jc w:val="center"/>
              <w:textAlignment w:val="auto"/>
              <w:rPr>
                <w:kern w:val="2"/>
                <w:sz w:val="18"/>
                <w:szCs w:val="32"/>
              </w:rPr>
            </w:pPr>
            <w:r>
              <w:rPr>
                <w:kern w:val="2"/>
                <w:sz w:val="18"/>
                <w:szCs w:val="32"/>
              </w:rPr>
              <w:t>X</w:t>
            </w:r>
          </w:p>
        </w:tc>
        <w:tc>
          <w:tcPr>
            <w:tcW w:w="1148" w:type="dxa"/>
          </w:tcPr>
          <w:p w14:paraId="41DE5BA2">
            <w:pPr>
              <w:widowControl w:val="0"/>
              <w:adjustRightInd w:val="0"/>
              <w:snapToGrid w:val="0"/>
              <w:spacing w:before="62" w:beforeLines="20" w:line="240" w:lineRule="auto"/>
              <w:jc w:val="center"/>
              <w:textAlignment w:val="auto"/>
              <w:rPr>
                <w:kern w:val="2"/>
                <w:sz w:val="18"/>
                <w:szCs w:val="32"/>
              </w:rPr>
            </w:pPr>
          </w:p>
        </w:tc>
        <w:tc>
          <w:tcPr>
            <w:tcW w:w="1002" w:type="dxa"/>
          </w:tcPr>
          <w:p w14:paraId="0A6E3A42">
            <w:pPr>
              <w:widowControl w:val="0"/>
              <w:adjustRightInd w:val="0"/>
              <w:snapToGrid w:val="0"/>
              <w:spacing w:before="62" w:beforeLines="20" w:line="240" w:lineRule="auto"/>
              <w:jc w:val="center"/>
              <w:textAlignment w:val="auto"/>
              <w:rPr>
                <w:kern w:val="2"/>
                <w:sz w:val="18"/>
                <w:szCs w:val="32"/>
              </w:rPr>
            </w:pPr>
            <w:r>
              <w:rPr>
                <w:kern w:val="2"/>
                <w:sz w:val="18"/>
                <w:szCs w:val="32"/>
              </w:rPr>
              <w:t>X</w:t>
            </w:r>
          </w:p>
        </w:tc>
        <w:tc>
          <w:tcPr>
            <w:tcW w:w="1600" w:type="dxa"/>
          </w:tcPr>
          <w:p w14:paraId="41BDB8BD">
            <w:pPr>
              <w:widowControl w:val="0"/>
              <w:adjustRightInd w:val="0"/>
              <w:snapToGrid w:val="0"/>
              <w:spacing w:before="62" w:beforeLines="20" w:line="240" w:lineRule="auto"/>
              <w:jc w:val="center"/>
              <w:textAlignment w:val="auto"/>
              <w:rPr>
                <w:kern w:val="2"/>
                <w:sz w:val="18"/>
                <w:szCs w:val="32"/>
              </w:rPr>
            </w:pPr>
          </w:p>
        </w:tc>
        <w:tc>
          <w:tcPr>
            <w:tcW w:w="1529" w:type="dxa"/>
          </w:tcPr>
          <w:p w14:paraId="2664FE6F">
            <w:pPr>
              <w:widowControl w:val="0"/>
              <w:adjustRightInd w:val="0"/>
              <w:snapToGrid w:val="0"/>
              <w:spacing w:before="62" w:beforeLines="20" w:line="240" w:lineRule="auto"/>
              <w:jc w:val="center"/>
              <w:textAlignment w:val="auto"/>
              <w:rPr>
                <w:kern w:val="2"/>
                <w:sz w:val="18"/>
                <w:szCs w:val="32"/>
              </w:rPr>
            </w:pPr>
            <w:r>
              <w:rPr>
                <w:kern w:val="2"/>
                <w:sz w:val="18"/>
                <w:szCs w:val="32"/>
              </w:rPr>
              <w:t>X</w:t>
            </w:r>
          </w:p>
        </w:tc>
        <w:tc>
          <w:tcPr>
            <w:tcW w:w="1336" w:type="dxa"/>
          </w:tcPr>
          <w:p w14:paraId="0B819EA7">
            <w:pPr>
              <w:widowControl w:val="0"/>
              <w:adjustRightInd w:val="0"/>
              <w:snapToGrid w:val="0"/>
              <w:spacing w:before="62" w:beforeLines="20" w:line="240" w:lineRule="auto"/>
              <w:jc w:val="center"/>
              <w:textAlignment w:val="auto"/>
              <w:rPr>
                <w:kern w:val="2"/>
                <w:sz w:val="18"/>
                <w:szCs w:val="32"/>
              </w:rPr>
            </w:pPr>
          </w:p>
        </w:tc>
        <w:tc>
          <w:tcPr>
            <w:tcW w:w="882" w:type="dxa"/>
          </w:tcPr>
          <w:p w14:paraId="06B0143C">
            <w:pPr>
              <w:widowControl w:val="0"/>
              <w:adjustRightInd w:val="0"/>
              <w:snapToGrid w:val="0"/>
              <w:spacing w:before="62" w:beforeLines="20" w:line="240" w:lineRule="auto"/>
              <w:jc w:val="center"/>
              <w:textAlignment w:val="auto"/>
              <w:rPr>
                <w:kern w:val="2"/>
                <w:sz w:val="18"/>
                <w:szCs w:val="32"/>
              </w:rPr>
            </w:pPr>
            <w:r>
              <w:rPr>
                <w:kern w:val="2"/>
                <w:sz w:val="18"/>
                <w:szCs w:val="32"/>
              </w:rPr>
              <w:t>5-7</w:t>
            </w:r>
          </w:p>
        </w:tc>
      </w:tr>
      <w:tr w14:paraId="79775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85" w:type="dxa"/>
          </w:tcPr>
          <w:p w14:paraId="54B8564F">
            <w:pPr>
              <w:widowControl w:val="0"/>
              <w:adjustRightInd w:val="0"/>
              <w:snapToGrid w:val="0"/>
              <w:spacing w:before="62" w:beforeLines="20" w:line="240" w:lineRule="auto"/>
              <w:jc w:val="center"/>
              <w:textAlignment w:val="auto"/>
              <w:rPr>
                <w:kern w:val="2"/>
                <w:sz w:val="18"/>
                <w:szCs w:val="32"/>
              </w:rPr>
            </w:pPr>
          </w:p>
        </w:tc>
        <w:tc>
          <w:tcPr>
            <w:tcW w:w="963" w:type="dxa"/>
          </w:tcPr>
          <w:p w14:paraId="3ED3F415">
            <w:pPr>
              <w:widowControl w:val="0"/>
              <w:adjustRightInd w:val="0"/>
              <w:snapToGrid w:val="0"/>
              <w:spacing w:before="62" w:beforeLines="20" w:line="240" w:lineRule="auto"/>
              <w:jc w:val="center"/>
              <w:textAlignment w:val="auto"/>
              <w:rPr>
                <w:kern w:val="2"/>
                <w:sz w:val="18"/>
                <w:szCs w:val="32"/>
              </w:rPr>
            </w:pPr>
            <w:r>
              <w:rPr>
                <w:kern w:val="2"/>
                <w:sz w:val="18"/>
                <w:szCs w:val="32"/>
              </w:rPr>
              <w:t>X</w:t>
            </w:r>
          </w:p>
        </w:tc>
        <w:tc>
          <w:tcPr>
            <w:tcW w:w="1148" w:type="dxa"/>
          </w:tcPr>
          <w:p w14:paraId="6447AC3C">
            <w:pPr>
              <w:widowControl w:val="0"/>
              <w:adjustRightInd w:val="0"/>
              <w:snapToGrid w:val="0"/>
              <w:spacing w:before="62" w:beforeLines="20" w:line="240" w:lineRule="auto"/>
              <w:jc w:val="center"/>
              <w:textAlignment w:val="auto"/>
              <w:rPr>
                <w:kern w:val="2"/>
                <w:sz w:val="18"/>
                <w:szCs w:val="32"/>
              </w:rPr>
            </w:pPr>
          </w:p>
        </w:tc>
        <w:tc>
          <w:tcPr>
            <w:tcW w:w="1002" w:type="dxa"/>
          </w:tcPr>
          <w:p w14:paraId="2CA75523">
            <w:pPr>
              <w:widowControl w:val="0"/>
              <w:adjustRightInd w:val="0"/>
              <w:snapToGrid w:val="0"/>
              <w:spacing w:before="62" w:beforeLines="20" w:line="240" w:lineRule="auto"/>
              <w:jc w:val="center"/>
              <w:textAlignment w:val="auto"/>
              <w:rPr>
                <w:kern w:val="2"/>
                <w:sz w:val="18"/>
                <w:szCs w:val="32"/>
              </w:rPr>
            </w:pPr>
            <w:r>
              <w:rPr>
                <w:kern w:val="2"/>
                <w:sz w:val="18"/>
                <w:szCs w:val="32"/>
              </w:rPr>
              <w:t>X</w:t>
            </w:r>
          </w:p>
        </w:tc>
        <w:tc>
          <w:tcPr>
            <w:tcW w:w="1600" w:type="dxa"/>
          </w:tcPr>
          <w:p w14:paraId="2A79E34D">
            <w:pPr>
              <w:widowControl w:val="0"/>
              <w:adjustRightInd w:val="0"/>
              <w:snapToGrid w:val="0"/>
              <w:spacing w:before="62" w:beforeLines="20" w:line="240" w:lineRule="auto"/>
              <w:jc w:val="center"/>
              <w:textAlignment w:val="auto"/>
              <w:rPr>
                <w:kern w:val="2"/>
                <w:sz w:val="18"/>
                <w:szCs w:val="32"/>
              </w:rPr>
            </w:pPr>
          </w:p>
        </w:tc>
        <w:tc>
          <w:tcPr>
            <w:tcW w:w="1529" w:type="dxa"/>
          </w:tcPr>
          <w:p w14:paraId="2111D4AB">
            <w:pPr>
              <w:widowControl w:val="0"/>
              <w:adjustRightInd w:val="0"/>
              <w:snapToGrid w:val="0"/>
              <w:spacing w:before="62" w:beforeLines="20" w:line="240" w:lineRule="auto"/>
              <w:jc w:val="center"/>
              <w:textAlignment w:val="auto"/>
              <w:rPr>
                <w:kern w:val="2"/>
                <w:sz w:val="18"/>
                <w:szCs w:val="32"/>
              </w:rPr>
            </w:pPr>
          </w:p>
        </w:tc>
        <w:tc>
          <w:tcPr>
            <w:tcW w:w="1336" w:type="dxa"/>
          </w:tcPr>
          <w:p w14:paraId="441879D7">
            <w:pPr>
              <w:widowControl w:val="0"/>
              <w:adjustRightInd w:val="0"/>
              <w:snapToGrid w:val="0"/>
              <w:spacing w:before="62" w:beforeLines="20" w:line="240" w:lineRule="auto"/>
              <w:jc w:val="center"/>
              <w:textAlignment w:val="auto"/>
              <w:rPr>
                <w:kern w:val="2"/>
                <w:sz w:val="18"/>
                <w:szCs w:val="32"/>
              </w:rPr>
            </w:pPr>
            <w:r>
              <w:rPr>
                <w:kern w:val="2"/>
                <w:sz w:val="18"/>
                <w:szCs w:val="32"/>
              </w:rPr>
              <w:t>X</w:t>
            </w:r>
          </w:p>
        </w:tc>
        <w:tc>
          <w:tcPr>
            <w:tcW w:w="882" w:type="dxa"/>
          </w:tcPr>
          <w:p w14:paraId="7A06FF26">
            <w:pPr>
              <w:widowControl w:val="0"/>
              <w:adjustRightInd w:val="0"/>
              <w:snapToGrid w:val="0"/>
              <w:spacing w:before="62" w:beforeLines="20" w:line="240" w:lineRule="auto"/>
              <w:jc w:val="center"/>
              <w:textAlignment w:val="auto"/>
              <w:rPr>
                <w:kern w:val="2"/>
                <w:sz w:val="18"/>
                <w:szCs w:val="32"/>
              </w:rPr>
            </w:pPr>
            <w:r>
              <w:rPr>
                <w:kern w:val="2"/>
                <w:sz w:val="18"/>
                <w:szCs w:val="32"/>
              </w:rPr>
              <w:t>4-6</w:t>
            </w:r>
          </w:p>
        </w:tc>
      </w:tr>
      <w:tr w14:paraId="05352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85" w:type="dxa"/>
          </w:tcPr>
          <w:p w14:paraId="716CA666">
            <w:pPr>
              <w:widowControl w:val="0"/>
              <w:adjustRightInd w:val="0"/>
              <w:snapToGrid w:val="0"/>
              <w:spacing w:before="62" w:beforeLines="20" w:line="240" w:lineRule="auto"/>
              <w:jc w:val="center"/>
              <w:textAlignment w:val="auto"/>
              <w:rPr>
                <w:kern w:val="2"/>
                <w:sz w:val="18"/>
                <w:szCs w:val="32"/>
              </w:rPr>
            </w:pPr>
          </w:p>
        </w:tc>
        <w:tc>
          <w:tcPr>
            <w:tcW w:w="963" w:type="dxa"/>
          </w:tcPr>
          <w:p w14:paraId="7038990D">
            <w:pPr>
              <w:widowControl w:val="0"/>
              <w:adjustRightInd w:val="0"/>
              <w:snapToGrid w:val="0"/>
              <w:spacing w:before="62" w:beforeLines="20" w:line="240" w:lineRule="auto"/>
              <w:jc w:val="center"/>
              <w:textAlignment w:val="auto"/>
              <w:rPr>
                <w:kern w:val="2"/>
                <w:sz w:val="18"/>
                <w:szCs w:val="32"/>
              </w:rPr>
            </w:pPr>
            <w:r>
              <w:rPr>
                <w:kern w:val="2"/>
                <w:sz w:val="18"/>
                <w:szCs w:val="32"/>
              </w:rPr>
              <w:t>X</w:t>
            </w:r>
          </w:p>
        </w:tc>
        <w:tc>
          <w:tcPr>
            <w:tcW w:w="1148" w:type="dxa"/>
          </w:tcPr>
          <w:p w14:paraId="46548D9F">
            <w:pPr>
              <w:widowControl w:val="0"/>
              <w:adjustRightInd w:val="0"/>
              <w:snapToGrid w:val="0"/>
              <w:spacing w:before="62" w:beforeLines="20" w:line="240" w:lineRule="auto"/>
              <w:jc w:val="center"/>
              <w:textAlignment w:val="auto"/>
              <w:rPr>
                <w:kern w:val="2"/>
                <w:sz w:val="18"/>
                <w:szCs w:val="32"/>
              </w:rPr>
            </w:pPr>
          </w:p>
        </w:tc>
        <w:tc>
          <w:tcPr>
            <w:tcW w:w="1002" w:type="dxa"/>
          </w:tcPr>
          <w:p w14:paraId="34C9D704">
            <w:pPr>
              <w:widowControl w:val="0"/>
              <w:adjustRightInd w:val="0"/>
              <w:snapToGrid w:val="0"/>
              <w:spacing w:before="62" w:beforeLines="20" w:line="240" w:lineRule="auto"/>
              <w:jc w:val="center"/>
              <w:textAlignment w:val="auto"/>
              <w:rPr>
                <w:kern w:val="2"/>
                <w:sz w:val="18"/>
                <w:szCs w:val="32"/>
              </w:rPr>
            </w:pPr>
          </w:p>
        </w:tc>
        <w:tc>
          <w:tcPr>
            <w:tcW w:w="1600" w:type="dxa"/>
          </w:tcPr>
          <w:p w14:paraId="3E4A8E84">
            <w:pPr>
              <w:widowControl w:val="0"/>
              <w:adjustRightInd w:val="0"/>
              <w:snapToGrid w:val="0"/>
              <w:spacing w:before="62" w:beforeLines="20" w:line="240" w:lineRule="auto"/>
              <w:jc w:val="center"/>
              <w:textAlignment w:val="auto"/>
              <w:rPr>
                <w:kern w:val="2"/>
                <w:sz w:val="18"/>
                <w:szCs w:val="32"/>
              </w:rPr>
            </w:pPr>
            <w:r>
              <w:rPr>
                <w:kern w:val="2"/>
                <w:sz w:val="18"/>
                <w:szCs w:val="32"/>
              </w:rPr>
              <w:t>X</w:t>
            </w:r>
          </w:p>
        </w:tc>
        <w:tc>
          <w:tcPr>
            <w:tcW w:w="1529" w:type="dxa"/>
          </w:tcPr>
          <w:p w14:paraId="4D4A4488">
            <w:pPr>
              <w:widowControl w:val="0"/>
              <w:adjustRightInd w:val="0"/>
              <w:snapToGrid w:val="0"/>
              <w:spacing w:before="62" w:beforeLines="20" w:line="240" w:lineRule="auto"/>
              <w:jc w:val="center"/>
              <w:textAlignment w:val="auto"/>
              <w:rPr>
                <w:kern w:val="2"/>
                <w:sz w:val="18"/>
                <w:szCs w:val="32"/>
              </w:rPr>
            </w:pPr>
            <w:r>
              <w:rPr>
                <w:kern w:val="2"/>
                <w:sz w:val="18"/>
                <w:szCs w:val="32"/>
              </w:rPr>
              <w:t>X</w:t>
            </w:r>
          </w:p>
        </w:tc>
        <w:tc>
          <w:tcPr>
            <w:tcW w:w="1336" w:type="dxa"/>
          </w:tcPr>
          <w:p w14:paraId="3533E26F">
            <w:pPr>
              <w:widowControl w:val="0"/>
              <w:adjustRightInd w:val="0"/>
              <w:snapToGrid w:val="0"/>
              <w:spacing w:before="62" w:beforeLines="20" w:line="240" w:lineRule="auto"/>
              <w:jc w:val="center"/>
              <w:textAlignment w:val="auto"/>
              <w:rPr>
                <w:kern w:val="2"/>
                <w:sz w:val="18"/>
                <w:szCs w:val="32"/>
              </w:rPr>
            </w:pPr>
          </w:p>
        </w:tc>
        <w:tc>
          <w:tcPr>
            <w:tcW w:w="882" w:type="dxa"/>
          </w:tcPr>
          <w:p w14:paraId="22828BAD">
            <w:pPr>
              <w:widowControl w:val="0"/>
              <w:adjustRightInd w:val="0"/>
              <w:snapToGrid w:val="0"/>
              <w:spacing w:before="62" w:beforeLines="20" w:line="240" w:lineRule="auto"/>
              <w:jc w:val="center"/>
              <w:textAlignment w:val="auto"/>
              <w:rPr>
                <w:kern w:val="2"/>
                <w:sz w:val="18"/>
                <w:szCs w:val="32"/>
              </w:rPr>
            </w:pPr>
            <w:r>
              <w:rPr>
                <w:kern w:val="2"/>
                <w:sz w:val="18"/>
                <w:szCs w:val="32"/>
              </w:rPr>
              <w:t>4-6</w:t>
            </w:r>
          </w:p>
        </w:tc>
      </w:tr>
      <w:tr w14:paraId="789A4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85" w:type="dxa"/>
          </w:tcPr>
          <w:p w14:paraId="640D8D28">
            <w:pPr>
              <w:widowControl w:val="0"/>
              <w:adjustRightInd w:val="0"/>
              <w:snapToGrid w:val="0"/>
              <w:spacing w:before="62" w:beforeLines="20" w:line="240" w:lineRule="auto"/>
              <w:jc w:val="center"/>
              <w:textAlignment w:val="auto"/>
              <w:rPr>
                <w:kern w:val="2"/>
                <w:sz w:val="18"/>
                <w:szCs w:val="32"/>
              </w:rPr>
            </w:pPr>
            <w:r>
              <w:rPr>
                <w:kern w:val="2"/>
                <w:sz w:val="18"/>
                <w:szCs w:val="32"/>
              </w:rPr>
              <w:t>X</w:t>
            </w:r>
          </w:p>
        </w:tc>
        <w:tc>
          <w:tcPr>
            <w:tcW w:w="963" w:type="dxa"/>
          </w:tcPr>
          <w:p w14:paraId="76ED1E08">
            <w:pPr>
              <w:widowControl w:val="0"/>
              <w:adjustRightInd w:val="0"/>
              <w:snapToGrid w:val="0"/>
              <w:spacing w:before="62" w:beforeLines="20" w:line="240" w:lineRule="auto"/>
              <w:jc w:val="center"/>
              <w:textAlignment w:val="auto"/>
              <w:rPr>
                <w:kern w:val="2"/>
                <w:sz w:val="18"/>
                <w:szCs w:val="32"/>
              </w:rPr>
            </w:pPr>
          </w:p>
        </w:tc>
        <w:tc>
          <w:tcPr>
            <w:tcW w:w="1148" w:type="dxa"/>
          </w:tcPr>
          <w:p w14:paraId="01A60555">
            <w:pPr>
              <w:widowControl w:val="0"/>
              <w:adjustRightInd w:val="0"/>
              <w:snapToGrid w:val="0"/>
              <w:spacing w:before="62" w:beforeLines="20" w:line="240" w:lineRule="auto"/>
              <w:jc w:val="center"/>
              <w:textAlignment w:val="auto"/>
              <w:rPr>
                <w:kern w:val="2"/>
                <w:sz w:val="18"/>
                <w:szCs w:val="32"/>
              </w:rPr>
            </w:pPr>
            <w:r>
              <w:rPr>
                <w:kern w:val="2"/>
                <w:sz w:val="18"/>
                <w:szCs w:val="32"/>
              </w:rPr>
              <w:t>X</w:t>
            </w:r>
          </w:p>
        </w:tc>
        <w:tc>
          <w:tcPr>
            <w:tcW w:w="1002" w:type="dxa"/>
          </w:tcPr>
          <w:p w14:paraId="59273B0F">
            <w:pPr>
              <w:widowControl w:val="0"/>
              <w:adjustRightInd w:val="0"/>
              <w:snapToGrid w:val="0"/>
              <w:spacing w:before="62" w:beforeLines="20" w:line="240" w:lineRule="auto"/>
              <w:jc w:val="center"/>
              <w:textAlignment w:val="auto"/>
              <w:rPr>
                <w:kern w:val="2"/>
                <w:sz w:val="18"/>
                <w:szCs w:val="32"/>
              </w:rPr>
            </w:pPr>
          </w:p>
        </w:tc>
        <w:tc>
          <w:tcPr>
            <w:tcW w:w="1600" w:type="dxa"/>
          </w:tcPr>
          <w:p w14:paraId="51119C98">
            <w:pPr>
              <w:widowControl w:val="0"/>
              <w:adjustRightInd w:val="0"/>
              <w:snapToGrid w:val="0"/>
              <w:spacing w:before="62" w:beforeLines="20" w:line="240" w:lineRule="auto"/>
              <w:jc w:val="center"/>
              <w:textAlignment w:val="auto"/>
              <w:rPr>
                <w:kern w:val="2"/>
                <w:sz w:val="18"/>
                <w:szCs w:val="32"/>
              </w:rPr>
            </w:pPr>
          </w:p>
        </w:tc>
        <w:tc>
          <w:tcPr>
            <w:tcW w:w="1529" w:type="dxa"/>
          </w:tcPr>
          <w:p w14:paraId="2BB158F9">
            <w:pPr>
              <w:widowControl w:val="0"/>
              <w:adjustRightInd w:val="0"/>
              <w:snapToGrid w:val="0"/>
              <w:spacing w:before="62" w:beforeLines="20" w:line="240" w:lineRule="auto"/>
              <w:jc w:val="center"/>
              <w:textAlignment w:val="auto"/>
              <w:rPr>
                <w:kern w:val="2"/>
                <w:sz w:val="18"/>
                <w:szCs w:val="32"/>
              </w:rPr>
            </w:pPr>
          </w:p>
        </w:tc>
        <w:tc>
          <w:tcPr>
            <w:tcW w:w="1336" w:type="dxa"/>
          </w:tcPr>
          <w:p w14:paraId="4DAF158F">
            <w:pPr>
              <w:widowControl w:val="0"/>
              <w:adjustRightInd w:val="0"/>
              <w:snapToGrid w:val="0"/>
              <w:spacing w:before="62" w:beforeLines="20" w:line="240" w:lineRule="auto"/>
              <w:jc w:val="center"/>
              <w:textAlignment w:val="auto"/>
              <w:rPr>
                <w:kern w:val="2"/>
                <w:sz w:val="18"/>
                <w:szCs w:val="32"/>
              </w:rPr>
            </w:pPr>
            <w:r>
              <w:rPr>
                <w:kern w:val="2"/>
                <w:sz w:val="18"/>
                <w:szCs w:val="32"/>
              </w:rPr>
              <w:t>X</w:t>
            </w:r>
          </w:p>
        </w:tc>
        <w:tc>
          <w:tcPr>
            <w:tcW w:w="882" w:type="dxa"/>
          </w:tcPr>
          <w:p w14:paraId="50DAE544">
            <w:pPr>
              <w:widowControl w:val="0"/>
              <w:adjustRightInd w:val="0"/>
              <w:snapToGrid w:val="0"/>
              <w:spacing w:before="62" w:beforeLines="20" w:line="240" w:lineRule="auto"/>
              <w:jc w:val="center"/>
              <w:textAlignment w:val="auto"/>
              <w:rPr>
                <w:kern w:val="2"/>
                <w:sz w:val="18"/>
                <w:szCs w:val="32"/>
              </w:rPr>
            </w:pPr>
            <w:r>
              <w:rPr>
                <w:kern w:val="2"/>
                <w:sz w:val="18"/>
                <w:szCs w:val="32"/>
              </w:rPr>
              <w:t>4-5</w:t>
            </w:r>
          </w:p>
        </w:tc>
      </w:tr>
      <w:tr w14:paraId="59A75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85" w:type="dxa"/>
          </w:tcPr>
          <w:p w14:paraId="515B049D">
            <w:pPr>
              <w:widowControl w:val="0"/>
              <w:adjustRightInd w:val="0"/>
              <w:snapToGrid w:val="0"/>
              <w:spacing w:before="62" w:beforeLines="20" w:line="240" w:lineRule="auto"/>
              <w:jc w:val="center"/>
              <w:textAlignment w:val="auto"/>
              <w:rPr>
                <w:kern w:val="2"/>
                <w:sz w:val="18"/>
                <w:szCs w:val="32"/>
              </w:rPr>
            </w:pPr>
          </w:p>
        </w:tc>
        <w:tc>
          <w:tcPr>
            <w:tcW w:w="963" w:type="dxa"/>
          </w:tcPr>
          <w:p w14:paraId="2BCCDE2B">
            <w:pPr>
              <w:widowControl w:val="0"/>
              <w:adjustRightInd w:val="0"/>
              <w:snapToGrid w:val="0"/>
              <w:spacing w:before="62" w:beforeLines="20" w:line="240" w:lineRule="auto"/>
              <w:jc w:val="center"/>
              <w:textAlignment w:val="auto"/>
              <w:rPr>
                <w:kern w:val="2"/>
                <w:sz w:val="18"/>
                <w:szCs w:val="32"/>
              </w:rPr>
            </w:pPr>
            <w:r>
              <w:rPr>
                <w:kern w:val="2"/>
                <w:sz w:val="18"/>
                <w:szCs w:val="32"/>
              </w:rPr>
              <w:t>X</w:t>
            </w:r>
          </w:p>
        </w:tc>
        <w:tc>
          <w:tcPr>
            <w:tcW w:w="1148" w:type="dxa"/>
          </w:tcPr>
          <w:p w14:paraId="6D73D702">
            <w:pPr>
              <w:widowControl w:val="0"/>
              <w:adjustRightInd w:val="0"/>
              <w:snapToGrid w:val="0"/>
              <w:spacing w:before="62" w:beforeLines="20" w:line="240" w:lineRule="auto"/>
              <w:jc w:val="center"/>
              <w:textAlignment w:val="auto"/>
              <w:rPr>
                <w:kern w:val="2"/>
                <w:sz w:val="18"/>
                <w:szCs w:val="32"/>
              </w:rPr>
            </w:pPr>
          </w:p>
        </w:tc>
        <w:tc>
          <w:tcPr>
            <w:tcW w:w="1002" w:type="dxa"/>
          </w:tcPr>
          <w:p w14:paraId="100C5B32">
            <w:pPr>
              <w:widowControl w:val="0"/>
              <w:adjustRightInd w:val="0"/>
              <w:snapToGrid w:val="0"/>
              <w:spacing w:before="62" w:beforeLines="20" w:line="240" w:lineRule="auto"/>
              <w:jc w:val="center"/>
              <w:textAlignment w:val="auto"/>
              <w:rPr>
                <w:kern w:val="2"/>
                <w:sz w:val="18"/>
                <w:szCs w:val="32"/>
              </w:rPr>
            </w:pPr>
          </w:p>
        </w:tc>
        <w:tc>
          <w:tcPr>
            <w:tcW w:w="1600" w:type="dxa"/>
          </w:tcPr>
          <w:p w14:paraId="45133D31">
            <w:pPr>
              <w:widowControl w:val="0"/>
              <w:adjustRightInd w:val="0"/>
              <w:snapToGrid w:val="0"/>
              <w:spacing w:before="62" w:beforeLines="20" w:line="240" w:lineRule="auto"/>
              <w:jc w:val="center"/>
              <w:textAlignment w:val="auto"/>
              <w:rPr>
                <w:kern w:val="2"/>
                <w:sz w:val="18"/>
                <w:szCs w:val="32"/>
              </w:rPr>
            </w:pPr>
            <w:r>
              <w:rPr>
                <w:kern w:val="2"/>
                <w:sz w:val="18"/>
                <w:szCs w:val="32"/>
              </w:rPr>
              <w:t>X</w:t>
            </w:r>
          </w:p>
        </w:tc>
        <w:tc>
          <w:tcPr>
            <w:tcW w:w="1529" w:type="dxa"/>
          </w:tcPr>
          <w:p w14:paraId="0E1F6B34">
            <w:pPr>
              <w:widowControl w:val="0"/>
              <w:adjustRightInd w:val="0"/>
              <w:snapToGrid w:val="0"/>
              <w:spacing w:before="62" w:beforeLines="20" w:line="240" w:lineRule="auto"/>
              <w:jc w:val="center"/>
              <w:textAlignment w:val="auto"/>
              <w:rPr>
                <w:kern w:val="2"/>
                <w:sz w:val="18"/>
                <w:szCs w:val="32"/>
              </w:rPr>
            </w:pPr>
          </w:p>
        </w:tc>
        <w:tc>
          <w:tcPr>
            <w:tcW w:w="1336" w:type="dxa"/>
          </w:tcPr>
          <w:p w14:paraId="66605AAB">
            <w:pPr>
              <w:widowControl w:val="0"/>
              <w:adjustRightInd w:val="0"/>
              <w:snapToGrid w:val="0"/>
              <w:spacing w:before="62" w:beforeLines="20" w:line="240" w:lineRule="auto"/>
              <w:jc w:val="center"/>
              <w:textAlignment w:val="auto"/>
              <w:rPr>
                <w:kern w:val="2"/>
                <w:sz w:val="18"/>
                <w:szCs w:val="32"/>
              </w:rPr>
            </w:pPr>
            <w:r>
              <w:rPr>
                <w:kern w:val="2"/>
                <w:sz w:val="18"/>
                <w:szCs w:val="32"/>
              </w:rPr>
              <w:t>X</w:t>
            </w:r>
          </w:p>
        </w:tc>
        <w:tc>
          <w:tcPr>
            <w:tcW w:w="882" w:type="dxa"/>
          </w:tcPr>
          <w:p w14:paraId="1983357B">
            <w:pPr>
              <w:widowControl w:val="0"/>
              <w:adjustRightInd w:val="0"/>
              <w:snapToGrid w:val="0"/>
              <w:spacing w:before="62" w:beforeLines="20" w:line="240" w:lineRule="auto"/>
              <w:jc w:val="center"/>
              <w:textAlignment w:val="auto"/>
              <w:rPr>
                <w:kern w:val="2"/>
                <w:sz w:val="18"/>
                <w:szCs w:val="32"/>
              </w:rPr>
            </w:pPr>
            <w:r>
              <w:rPr>
                <w:kern w:val="2"/>
                <w:sz w:val="18"/>
                <w:szCs w:val="32"/>
              </w:rPr>
              <w:t>4-5</w:t>
            </w:r>
          </w:p>
        </w:tc>
      </w:tr>
      <w:tr w14:paraId="3CB3F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85" w:type="dxa"/>
          </w:tcPr>
          <w:p w14:paraId="04BF3724">
            <w:pPr>
              <w:widowControl w:val="0"/>
              <w:adjustRightInd w:val="0"/>
              <w:snapToGrid w:val="0"/>
              <w:spacing w:before="62" w:beforeLines="20" w:line="240" w:lineRule="auto"/>
              <w:jc w:val="center"/>
              <w:textAlignment w:val="auto"/>
              <w:rPr>
                <w:kern w:val="2"/>
                <w:sz w:val="18"/>
                <w:szCs w:val="32"/>
              </w:rPr>
            </w:pPr>
            <w:r>
              <w:rPr>
                <w:kern w:val="2"/>
                <w:sz w:val="18"/>
                <w:szCs w:val="32"/>
              </w:rPr>
              <w:t>X</w:t>
            </w:r>
          </w:p>
        </w:tc>
        <w:tc>
          <w:tcPr>
            <w:tcW w:w="963" w:type="dxa"/>
          </w:tcPr>
          <w:p w14:paraId="36B31128">
            <w:pPr>
              <w:widowControl w:val="0"/>
              <w:adjustRightInd w:val="0"/>
              <w:snapToGrid w:val="0"/>
              <w:spacing w:before="62" w:beforeLines="20" w:line="240" w:lineRule="auto"/>
              <w:jc w:val="center"/>
              <w:textAlignment w:val="auto"/>
              <w:rPr>
                <w:kern w:val="2"/>
                <w:sz w:val="18"/>
                <w:szCs w:val="32"/>
              </w:rPr>
            </w:pPr>
          </w:p>
        </w:tc>
        <w:tc>
          <w:tcPr>
            <w:tcW w:w="1148" w:type="dxa"/>
          </w:tcPr>
          <w:p w14:paraId="0EA60466">
            <w:pPr>
              <w:widowControl w:val="0"/>
              <w:adjustRightInd w:val="0"/>
              <w:snapToGrid w:val="0"/>
              <w:spacing w:before="62" w:beforeLines="20" w:line="240" w:lineRule="auto"/>
              <w:jc w:val="center"/>
              <w:textAlignment w:val="auto"/>
              <w:rPr>
                <w:kern w:val="2"/>
                <w:sz w:val="18"/>
                <w:szCs w:val="32"/>
              </w:rPr>
            </w:pPr>
          </w:p>
        </w:tc>
        <w:tc>
          <w:tcPr>
            <w:tcW w:w="1002" w:type="dxa"/>
          </w:tcPr>
          <w:p w14:paraId="120380DE">
            <w:pPr>
              <w:widowControl w:val="0"/>
              <w:adjustRightInd w:val="0"/>
              <w:snapToGrid w:val="0"/>
              <w:spacing w:before="62" w:beforeLines="20" w:line="240" w:lineRule="auto"/>
              <w:jc w:val="center"/>
              <w:textAlignment w:val="auto"/>
              <w:rPr>
                <w:kern w:val="2"/>
                <w:sz w:val="18"/>
                <w:szCs w:val="32"/>
              </w:rPr>
            </w:pPr>
            <w:r>
              <w:rPr>
                <w:kern w:val="2"/>
                <w:sz w:val="18"/>
                <w:szCs w:val="32"/>
              </w:rPr>
              <w:t>X</w:t>
            </w:r>
          </w:p>
        </w:tc>
        <w:tc>
          <w:tcPr>
            <w:tcW w:w="1600" w:type="dxa"/>
          </w:tcPr>
          <w:p w14:paraId="2B7386E3">
            <w:pPr>
              <w:widowControl w:val="0"/>
              <w:adjustRightInd w:val="0"/>
              <w:snapToGrid w:val="0"/>
              <w:spacing w:before="62" w:beforeLines="20" w:line="240" w:lineRule="auto"/>
              <w:jc w:val="center"/>
              <w:textAlignment w:val="auto"/>
              <w:rPr>
                <w:kern w:val="2"/>
                <w:sz w:val="18"/>
                <w:szCs w:val="32"/>
              </w:rPr>
            </w:pPr>
          </w:p>
        </w:tc>
        <w:tc>
          <w:tcPr>
            <w:tcW w:w="1529" w:type="dxa"/>
          </w:tcPr>
          <w:p w14:paraId="0A0A7BD3">
            <w:pPr>
              <w:widowControl w:val="0"/>
              <w:adjustRightInd w:val="0"/>
              <w:snapToGrid w:val="0"/>
              <w:spacing w:before="62" w:beforeLines="20" w:line="240" w:lineRule="auto"/>
              <w:jc w:val="center"/>
              <w:textAlignment w:val="auto"/>
              <w:rPr>
                <w:kern w:val="2"/>
                <w:sz w:val="18"/>
                <w:szCs w:val="32"/>
              </w:rPr>
            </w:pPr>
            <w:r>
              <w:rPr>
                <w:kern w:val="2"/>
                <w:sz w:val="18"/>
                <w:szCs w:val="32"/>
              </w:rPr>
              <w:t>X</w:t>
            </w:r>
          </w:p>
        </w:tc>
        <w:tc>
          <w:tcPr>
            <w:tcW w:w="1336" w:type="dxa"/>
          </w:tcPr>
          <w:p w14:paraId="4F3CFA75">
            <w:pPr>
              <w:widowControl w:val="0"/>
              <w:adjustRightInd w:val="0"/>
              <w:snapToGrid w:val="0"/>
              <w:spacing w:before="62" w:beforeLines="20" w:line="240" w:lineRule="auto"/>
              <w:jc w:val="center"/>
              <w:textAlignment w:val="auto"/>
              <w:rPr>
                <w:kern w:val="2"/>
                <w:sz w:val="18"/>
                <w:szCs w:val="32"/>
              </w:rPr>
            </w:pPr>
          </w:p>
        </w:tc>
        <w:tc>
          <w:tcPr>
            <w:tcW w:w="882" w:type="dxa"/>
          </w:tcPr>
          <w:p w14:paraId="71614C2B">
            <w:pPr>
              <w:widowControl w:val="0"/>
              <w:adjustRightInd w:val="0"/>
              <w:snapToGrid w:val="0"/>
              <w:spacing w:before="62" w:beforeLines="20" w:line="240" w:lineRule="auto"/>
              <w:jc w:val="center"/>
              <w:textAlignment w:val="auto"/>
              <w:rPr>
                <w:kern w:val="2"/>
                <w:sz w:val="18"/>
                <w:szCs w:val="32"/>
              </w:rPr>
            </w:pPr>
            <w:r>
              <w:rPr>
                <w:kern w:val="2"/>
                <w:sz w:val="18"/>
                <w:szCs w:val="32"/>
              </w:rPr>
              <w:t>3-5</w:t>
            </w:r>
          </w:p>
        </w:tc>
      </w:tr>
      <w:tr w14:paraId="2CC6A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85" w:type="dxa"/>
          </w:tcPr>
          <w:p w14:paraId="5FEB2732">
            <w:pPr>
              <w:widowControl w:val="0"/>
              <w:adjustRightInd w:val="0"/>
              <w:snapToGrid w:val="0"/>
              <w:spacing w:before="62" w:beforeLines="20" w:line="240" w:lineRule="auto"/>
              <w:jc w:val="center"/>
              <w:textAlignment w:val="auto"/>
              <w:rPr>
                <w:kern w:val="2"/>
                <w:sz w:val="18"/>
                <w:szCs w:val="32"/>
              </w:rPr>
            </w:pPr>
            <w:r>
              <w:rPr>
                <w:kern w:val="2"/>
                <w:sz w:val="18"/>
                <w:szCs w:val="32"/>
              </w:rPr>
              <w:t>X</w:t>
            </w:r>
          </w:p>
        </w:tc>
        <w:tc>
          <w:tcPr>
            <w:tcW w:w="963" w:type="dxa"/>
          </w:tcPr>
          <w:p w14:paraId="5B4BA1CC">
            <w:pPr>
              <w:widowControl w:val="0"/>
              <w:adjustRightInd w:val="0"/>
              <w:snapToGrid w:val="0"/>
              <w:spacing w:before="62" w:beforeLines="20" w:line="240" w:lineRule="auto"/>
              <w:jc w:val="center"/>
              <w:textAlignment w:val="auto"/>
              <w:rPr>
                <w:kern w:val="2"/>
                <w:sz w:val="18"/>
                <w:szCs w:val="32"/>
              </w:rPr>
            </w:pPr>
          </w:p>
        </w:tc>
        <w:tc>
          <w:tcPr>
            <w:tcW w:w="1148" w:type="dxa"/>
          </w:tcPr>
          <w:p w14:paraId="7F8AF9E1">
            <w:pPr>
              <w:widowControl w:val="0"/>
              <w:adjustRightInd w:val="0"/>
              <w:snapToGrid w:val="0"/>
              <w:spacing w:before="62" w:beforeLines="20" w:line="240" w:lineRule="auto"/>
              <w:jc w:val="center"/>
              <w:textAlignment w:val="auto"/>
              <w:rPr>
                <w:kern w:val="2"/>
                <w:sz w:val="18"/>
                <w:szCs w:val="32"/>
              </w:rPr>
            </w:pPr>
          </w:p>
        </w:tc>
        <w:tc>
          <w:tcPr>
            <w:tcW w:w="1002" w:type="dxa"/>
          </w:tcPr>
          <w:p w14:paraId="11A126BA">
            <w:pPr>
              <w:widowControl w:val="0"/>
              <w:adjustRightInd w:val="0"/>
              <w:snapToGrid w:val="0"/>
              <w:spacing w:before="62" w:beforeLines="20" w:line="240" w:lineRule="auto"/>
              <w:jc w:val="center"/>
              <w:textAlignment w:val="auto"/>
              <w:rPr>
                <w:kern w:val="2"/>
                <w:sz w:val="18"/>
                <w:szCs w:val="32"/>
              </w:rPr>
            </w:pPr>
            <w:r>
              <w:rPr>
                <w:kern w:val="2"/>
                <w:sz w:val="18"/>
                <w:szCs w:val="32"/>
              </w:rPr>
              <w:t>X</w:t>
            </w:r>
          </w:p>
        </w:tc>
        <w:tc>
          <w:tcPr>
            <w:tcW w:w="1600" w:type="dxa"/>
          </w:tcPr>
          <w:p w14:paraId="6E5755F4">
            <w:pPr>
              <w:widowControl w:val="0"/>
              <w:adjustRightInd w:val="0"/>
              <w:snapToGrid w:val="0"/>
              <w:spacing w:before="62" w:beforeLines="20" w:line="240" w:lineRule="auto"/>
              <w:jc w:val="center"/>
              <w:textAlignment w:val="auto"/>
              <w:rPr>
                <w:kern w:val="2"/>
                <w:sz w:val="18"/>
                <w:szCs w:val="32"/>
              </w:rPr>
            </w:pPr>
          </w:p>
        </w:tc>
        <w:tc>
          <w:tcPr>
            <w:tcW w:w="1529" w:type="dxa"/>
          </w:tcPr>
          <w:p w14:paraId="27896E2C">
            <w:pPr>
              <w:widowControl w:val="0"/>
              <w:adjustRightInd w:val="0"/>
              <w:snapToGrid w:val="0"/>
              <w:spacing w:before="62" w:beforeLines="20" w:line="240" w:lineRule="auto"/>
              <w:jc w:val="center"/>
              <w:textAlignment w:val="auto"/>
              <w:rPr>
                <w:kern w:val="2"/>
                <w:sz w:val="18"/>
                <w:szCs w:val="32"/>
              </w:rPr>
            </w:pPr>
          </w:p>
        </w:tc>
        <w:tc>
          <w:tcPr>
            <w:tcW w:w="1336" w:type="dxa"/>
          </w:tcPr>
          <w:p w14:paraId="5E5463A0">
            <w:pPr>
              <w:widowControl w:val="0"/>
              <w:adjustRightInd w:val="0"/>
              <w:snapToGrid w:val="0"/>
              <w:spacing w:before="62" w:beforeLines="20" w:line="240" w:lineRule="auto"/>
              <w:jc w:val="center"/>
              <w:textAlignment w:val="auto"/>
              <w:rPr>
                <w:kern w:val="2"/>
                <w:sz w:val="18"/>
                <w:szCs w:val="32"/>
              </w:rPr>
            </w:pPr>
            <w:r>
              <w:rPr>
                <w:kern w:val="2"/>
                <w:sz w:val="18"/>
                <w:szCs w:val="32"/>
              </w:rPr>
              <w:t>X</w:t>
            </w:r>
          </w:p>
        </w:tc>
        <w:tc>
          <w:tcPr>
            <w:tcW w:w="882" w:type="dxa"/>
          </w:tcPr>
          <w:p w14:paraId="667EE290">
            <w:pPr>
              <w:widowControl w:val="0"/>
              <w:adjustRightInd w:val="0"/>
              <w:snapToGrid w:val="0"/>
              <w:spacing w:before="62" w:beforeLines="20" w:line="240" w:lineRule="auto"/>
              <w:jc w:val="center"/>
              <w:textAlignment w:val="auto"/>
              <w:rPr>
                <w:kern w:val="2"/>
                <w:sz w:val="18"/>
                <w:szCs w:val="32"/>
              </w:rPr>
            </w:pPr>
            <w:r>
              <w:rPr>
                <w:kern w:val="2"/>
                <w:sz w:val="18"/>
                <w:szCs w:val="32"/>
              </w:rPr>
              <w:t>2-3</w:t>
            </w:r>
          </w:p>
        </w:tc>
      </w:tr>
      <w:tr w14:paraId="17C45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85" w:type="dxa"/>
          </w:tcPr>
          <w:p w14:paraId="5D278F5D">
            <w:pPr>
              <w:widowControl w:val="0"/>
              <w:adjustRightInd w:val="0"/>
              <w:snapToGrid w:val="0"/>
              <w:spacing w:before="62" w:beforeLines="20" w:line="240" w:lineRule="auto"/>
              <w:jc w:val="center"/>
              <w:textAlignment w:val="auto"/>
              <w:rPr>
                <w:kern w:val="2"/>
                <w:sz w:val="18"/>
                <w:szCs w:val="32"/>
              </w:rPr>
            </w:pPr>
            <w:r>
              <w:rPr>
                <w:kern w:val="2"/>
                <w:sz w:val="18"/>
                <w:szCs w:val="32"/>
              </w:rPr>
              <w:t>X</w:t>
            </w:r>
          </w:p>
        </w:tc>
        <w:tc>
          <w:tcPr>
            <w:tcW w:w="963" w:type="dxa"/>
          </w:tcPr>
          <w:p w14:paraId="51B3DA4C">
            <w:pPr>
              <w:widowControl w:val="0"/>
              <w:adjustRightInd w:val="0"/>
              <w:snapToGrid w:val="0"/>
              <w:spacing w:before="62" w:beforeLines="20" w:line="240" w:lineRule="auto"/>
              <w:jc w:val="center"/>
              <w:textAlignment w:val="auto"/>
              <w:rPr>
                <w:kern w:val="2"/>
                <w:sz w:val="18"/>
                <w:szCs w:val="32"/>
              </w:rPr>
            </w:pPr>
          </w:p>
        </w:tc>
        <w:tc>
          <w:tcPr>
            <w:tcW w:w="1148" w:type="dxa"/>
          </w:tcPr>
          <w:p w14:paraId="7BCA6495">
            <w:pPr>
              <w:widowControl w:val="0"/>
              <w:adjustRightInd w:val="0"/>
              <w:snapToGrid w:val="0"/>
              <w:spacing w:before="62" w:beforeLines="20" w:line="240" w:lineRule="auto"/>
              <w:jc w:val="center"/>
              <w:textAlignment w:val="auto"/>
              <w:rPr>
                <w:kern w:val="2"/>
                <w:sz w:val="18"/>
                <w:szCs w:val="32"/>
              </w:rPr>
            </w:pPr>
          </w:p>
        </w:tc>
        <w:tc>
          <w:tcPr>
            <w:tcW w:w="1002" w:type="dxa"/>
          </w:tcPr>
          <w:p w14:paraId="1E819334">
            <w:pPr>
              <w:widowControl w:val="0"/>
              <w:adjustRightInd w:val="0"/>
              <w:snapToGrid w:val="0"/>
              <w:spacing w:before="62" w:beforeLines="20" w:line="240" w:lineRule="auto"/>
              <w:jc w:val="center"/>
              <w:textAlignment w:val="auto"/>
              <w:rPr>
                <w:kern w:val="2"/>
                <w:sz w:val="18"/>
                <w:szCs w:val="32"/>
              </w:rPr>
            </w:pPr>
          </w:p>
        </w:tc>
        <w:tc>
          <w:tcPr>
            <w:tcW w:w="1600" w:type="dxa"/>
          </w:tcPr>
          <w:p w14:paraId="6BF8FB18">
            <w:pPr>
              <w:widowControl w:val="0"/>
              <w:adjustRightInd w:val="0"/>
              <w:snapToGrid w:val="0"/>
              <w:spacing w:before="62" w:beforeLines="20" w:line="240" w:lineRule="auto"/>
              <w:jc w:val="center"/>
              <w:textAlignment w:val="auto"/>
              <w:rPr>
                <w:kern w:val="2"/>
                <w:sz w:val="18"/>
                <w:szCs w:val="32"/>
              </w:rPr>
            </w:pPr>
            <w:r>
              <w:rPr>
                <w:kern w:val="2"/>
                <w:sz w:val="18"/>
                <w:szCs w:val="32"/>
              </w:rPr>
              <w:t>X</w:t>
            </w:r>
          </w:p>
        </w:tc>
        <w:tc>
          <w:tcPr>
            <w:tcW w:w="1529" w:type="dxa"/>
          </w:tcPr>
          <w:p w14:paraId="49C5B351">
            <w:pPr>
              <w:widowControl w:val="0"/>
              <w:adjustRightInd w:val="0"/>
              <w:snapToGrid w:val="0"/>
              <w:spacing w:before="62" w:beforeLines="20" w:line="240" w:lineRule="auto"/>
              <w:jc w:val="center"/>
              <w:textAlignment w:val="auto"/>
              <w:rPr>
                <w:kern w:val="2"/>
                <w:sz w:val="18"/>
                <w:szCs w:val="32"/>
              </w:rPr>
            </w:pPr>
            <w:r>
              <w:rPr>
                <w:kern w:val="2"/>
                <w:sz w:val="18"/>
                <w:szCs w:val="32"/>
              </w:rPr>
              <w:t>X</w:t>
            </w:r>
          </w:p>
        </w:tc>
        <w:tc>
          <w:tcPr>
            <w:tcW w:w="1336" w:type="dxa"/>
          </w:tcPr>
          <w:p w14:paraId="407CFDF9">
            <w:pPr>
              <w:widowControl w:val="0"/>
              <w:adjustRightInd w:val="0"/>
              <w:snapToGrid w:val="0"/>
              <w:spacing w:before="62" w:beforeLines="20" w:line="240" w:lineRule="auto"/>
              <w:jc w:val="center"/>
              <w:textAlignment w:val="auto"/>
              <w:rPr>
                <w:kern w:val="2"/>
                <w:sz w:val="18"/>
                <w:szCs w:val="32"/>
              </w:rPr>
            </w:pPr>
          </w:p>
        </w:tc>
        <w:tc>
          <w:tcPr>
            <w:tcW w:w="882" w:type="dxa"/>
          </w:tcPr>
          <w:p w14:paraId="1628013E">
            <w:pPr>
              <w:widowControl w:val="0"/>
              <w:adjustRightInd w:val="0"/>
              <w:snapToGrid w:val="0"/>
              <w:spacing w:before="62" w:beforeLines="20" w:line="240" w:lineRule="auto"/>
              <w:jc w:val="center"/>
              <w:textAlignment w:val="auto"/>
              <w:rPr>
                <w:kern w:val="2"/>
                <w:sz w:val="18"/>
                <w:szCs w:val="32"/>
              </w:rPr>
            </w:pPr>
            <w:r>
              <w:rPr>
                <w:kern w:val="2"/>
                <w:sz w:val="18"/>
                <w:szCs w:val="32"/>
              </w:rPr>
              <w:t>1-2</w:t>
            </w:r>
          </w:p>
        </w:tc>
      </w:tr>
      <w:tr w14:paraId="6FFA1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85" w:type="dxa"/>
          </w:tcPr>
          <w:p w14:paraId="62F51FE5">
            <w:pPr>
              <w:widowControl w:val="0"/>
              <w:adjustRightInd w:val="0"/>
              <w:snapToGrid w:val="0"/>
              <w:spacing w:before="62" w:beforeLines="20" w:line="240" w:lineRule="auto"/>
              <w:jc w:val="center"/>
              <w:textAlignment w:val="auto"/>
              <w:rPr>
                <w:kern w:val="2"/>
                <w:sz w:val="18"/>
                <w:szCs w:val="32"/>
              </w:rPr>
            </w:pPr>
            <w:r>
              <w:rPr>
                <w:kern w:val="2"/>
                <w:sz w:val="18"/>
                <w:szCs w:val="32"/>
              </w:rPr>
              <w:t>X</w:t>
            </w:r>
          </w:p>
        </w:tc>
        <w:tc>
          <w:tcPr>
            <w:tcW w:w="963" w:type="dxa"/>
          </w:tcPr>
          <w:p w14:paraId="70D57B37">
            <w:pPr>
              <w:widowControl w:val="0"/>
              <w:adjustRightInd w:val="0"/>
              <w:snapToGrid w:val="0"/>
              <w:spacing w:before="62" w:beforeLines="20" w:line="240" w:lineRule="auto"/>
              <w:jc w:val="center"/>
              <w:textAlignment w:val="auto"/>
              <w:rPr>
                <w:kern w:val="2"/>
                <w:sz w:val="18"/>
                <w:szCs w:val="32"/>
              </w:rPr>
            </w:pPr>
          </w:p>
        </w:tc>
        <w:tc>
          <w:tcPr>
            <w:tcW w:w="1148" w:type="dxa"/>
          </w:tcPr>
          <w:p w14:paraId="48E4E3D1">
            <w:pPr>
              <w:widowControl w:val="0"/>
              <w:adjustRightInd w:val="0"/>
              <w:snapToGrid w:val="0"/>
              <w:spacing w:before="62" w:beforeLines="20" w:line="240" w:lineRule="auto"/>
              <w:jc w:val="center"/>
              <w:textAlignment w:val="auto"/>
              <w:rPr>
                <w:kern w:val="2"/>
                <w:sz w:val="18"/>
                <w:szCs w:val="32"/>
              </w:rPr>
            </w:pPr>
          </w:p>
        </w:tc>
        <w:tc>
          <w:tcPr>
            <w:tcW w:w="1002" w:type="dxa"/>
          </w:tcPr>
          <w:p w14:paraId="1004A611">
            <w:pPr>
              <w:widowControl w:val="0"/>
              <w:adjustRightInd w:val="0"/>
              <w:snapToGrid w:val="0"/>
              <w:spacing w:before="62" w:beforeLines="20" w:line="240" w:lineRule="auto"/>
              <w:jc w:val="center"/>
              <w:textAlignment w:val="auto"/>
              <w:rPr>
                <w:kern w:val="2"/>
                <w:sz w:val="18"/>
                <w:szCs w:val="32"/>
              </w:rPr>
            </w:pPr>
          </w:p>
        </w:tc>
        <w:tc>
          <w:tcPr>
            <w:tcW w:w="1600" w:type="dxa"/>
          </w:tcPr>
          <w:p w14:paraId="1D638530">
            <w:pPr>
              <w:widowControl w:val="0"/>
              <w:adjustRightInd w:val="0"/>
              <w:snapToGrid w:val="0"/>
              <w:spacing w:before="62" w:beforeLines="20" w:line="240" w:lineRule="auto"/>
              <w:jc w:val="center"/>
              <w:textAlignment w:val="auto"/>
              <w:rPr>
                <w:kern w:val="2"/>
                <w:sz w:val="18"/>
                <w:szCs w:val="32"/>
              </w:rPr>
            </w:pPr>
            <w:r>
              <w:rPr>
                <w:kern w:val="2"/>
                <w:sz w:val="18"/>
                <w:szCs w:val="32"/>
              </w:rPr>
              <w:t>X</w:t>
            </w:r>
          </w:p>
        </w:tc>
        <w:tc>
          <w:tcPr>
            <w:tcW w:w="1529" w:type="dxa"/>
          </w:tcPr>
          <w:p w14:paraId="0DF93FF5">
            <w:pPr>
              <w:widowControl w:val="0"/>
              <w:adjustRightInd w:val="0"/>
              <w:snapToGrid w:val="0"/>
              <w:spacing w:before="62" w:beforeLines="20" w:line="240" w:lineRule="auto"/>
              <w:jc w:val="center"/>
              <w:textAlignment w:val="auto"/>
              <w:rPr>
                <w:kern w:val="2"/>
                <w:sz w:val="18"/>
                <w:szCs w:val="32"/>
              </w:rPr>
            </w:pPr>
          </w:p>
        </w:tc>
        <w:tc>
          <w:tcPr>
            <w:tcW w:w="1336" w:type="dxa"/>
          </w:tcPr>
          <w:p w14:paraId="2E17525A">
            <w:pPr>
              <w:widowControl w:val="0"/>
              <w:adjustRightInd w:val="0"/>
              <w:snapToGrid w:val="0"/>
              <w:spacing w:before="62" w:beforeLines="20" w:line="240" w:lineRule="auto"/>
              <w:jc w:val="center"/>
              <w:textAlignment w:val="auto"/>
              <w:rPr>
                <w:kern w:val="2"/>
                <w:sz w:val="18"/>
                <w:szCs w:val="32"/>
              </w:rPr>
            </w:pPr>
            <w:r>
              <w:rPr>
                <w:kern w:val="2"/>
                <w:sz w:val="18"/>
                <w:szCs w:val="32"/>
              </w:rPr>
              <w:t>X</w:t>
            </w:r>
          </w:p>
        </w:tc>
        <w:tc>
          <w:tcPr>
            <w:tcW w:w="882" w:type="dxa"/>
          </w:tcPr>
          <w:p w14:paraId="4FBF10F3">
            <w:pPr>
              <w:widowControl w:val="0"/>
              <w:adjustRightInd w:val="0"/>
              <w:snapToGrid w:val="0"/>
              <w:spacing w:before="62" w:beforeLines="20" w:line="240" w:lineRule="auto"/>
              <w:jc w:val="center"/>
              <w:textAlignment w:val="auto"/>
              <w:rPr>
                <w:kern w:val="2"/>
                <w:sz w:val="18"/>
                <w:szCs w:val="32"/>
              </w:rPr>
            </w:pPr>
            <w:r>
              <w:rPr>
                <w:kern w:val="2"/>
                <w:sz w:val="18"/>
                <w:szCs w:val="32"/>
              </w:rPr>
              <w:t>1</w:t>
            </w:r>
          </w:p>
        </w:tc>
      </w:tr>
      <w:tr w14:paraId="453DB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345" w:type="dxa"/>
            <w:gridSpan w:val="8"/>
          </w:tcPr>
          <w:p w14:paraId="67EB342E">
            <w:pPr>
              <w:widowControl w:val="0"/>
              <w:adjustRightInd w:val="0"/>
              <w:snapToGrid w:val="0"/>
              <w:spacing w:before="62" w:beforeLines="20" w:line="240" w:lineRule="auto"/>
              <w:ind w:firstLine="360" w:firstLineChars="200"/>
              <w:jc w:val="left"/>
              <w:textAlignment w:val="auto"/>
              <w:rPr>
                <w:kern w:val="2"/>
                <w:sz w:val="18"/>
                <w:szCs w:val="32"/>
              </w:rPr>
            </w:pPr>
            <w:r>
              <w:rPr>
                <w:rFonts w:hint="eastAsia"/>
                <w:kern w:val="2"/>
                <w:sz w:val="18"/>
                <w:szCs w:val="32"/>
              </w:rPr>
              <w:t>注：</w:t>
            </w:r>
            <w:r>
              <w:rPr>
                <w:kern w:val="2"/>
                <w:sz w:val="18"/>
                <w:szCs w:val="32"/>
              </w:rPr>
              <w:t>X</w:t>
            </w:r>
            <w:r>
              <w:rPr>
                <w:rFonts w:hint="eastAsia"/>
                <w:kern w:val="2"/>
                <w:sz w:val="18"/>
                <w:szCs w:val="32"/>
              </w:rPr>
              <w:t>表示选中的场景。</w:t>
            </w:r>
          </w:p>
        </w:tc>
      </w:tr>
    </w:tbl>
    <w:p w14:paraId="6C68E0AA">
      <w:pPr>
        <w:pStyle w:val="162"/>
        <w:spacing w:before="156" w:beforeLines="50" w:after="156" w:afterLines="50" w:line="240" w:lineRule="auto"/>
        <w:ind w:firstLine="0"/>
        <w:outlineLvl w:val="2"/>
        <w:rPr>
          <w:rFonts w:ascii="黑体" w:eastAsia="黑体"/>
        </w:rPr>
      </w:pPr>
      <w:bookmarkStart w:id="214" w:name="_Toc310769301"/>
      <w:bookmarkStart w:id="215" w:name="_Toc286131400"/>
      <w:bookmarkStart w:id="216" w:name="_Toc310952703"/>
      <w:bookmarkStart w:id="217" w:name="_Toc286132383"/>
      <w:bookmarkStart w:id="218" w:name="_Toc296956111"/>
      <w:r>
        <w:rPr>
          <w:rFonts w:hint="eastAsia" w:ascii="黑体" w:eastAsia="黑体"/>
        </w:rPr>
        <w:t>B.5.2  扩散</w:t>
      </w:r>
      <w:bookmarkEnd w:id="214"/>
      <w:bookmarkEnd w:id="215"/>
      <w:bookmarkEnd w:id="216"/>
      <w:bookmarkEnd w:id="217"/>
      <w:bookmarkEnd w:id="218"/>
    </w:p>
    <w:p w14:paraId="0E7FBD31">
      <w:pPr>
        <w:widowControl w:val="0"/>
        <w:spacing w:line="240" w:lineRule="auto"/>
        <w:textAlignment w:val="auto"/>
        <w:rPr>
          <w:rFonts w:hint="eastAsia" w:hAnsi="宋体"/>
          <w:kern w:val="2"/>
          <w:szCs w:val="32"/>
        </w:rPr>
      </w:pPr>
      <w:r>
        <w:rPr>
          <w:rFonts w:hint="eastAsia" w:ascii="黑体" w:hAnsi="黑体" w:eastAsia="黑体"/>
          <w:kern w:val="2"/>
          <w:szCs w:val="21"/>
        </w:rPr>
        <w:t>B</w:t>
      </w:r>
      <w:r>
        <w:rPr>
          <w:rFonts w:ascii="黑体" w:hAnsi="黑体" w:eastAsia="黑体"/>
          <w:kern w:val="2"/>
          <w:szCs w:val="21"/>
        </w:rPr>
        <w:t>.</w:t>
      </w:r>
      <w:r>
        <w:rPr>
          <w:rFonts w:hint="eastAsia" w:ascii="黑体" w:hAnsi="黑体" w:eastAsia="黑体"/>
          <w:kern w:val="2"/>
          <w:szCs w:val="21"/>
        </w:rPr>
        <w:t>5</w:t>
      </w:r>
      <w:r>
        <w:rPr>
          <w:rFonts w:ascii="黑体" w:hAnsi="黑体" w:eastAsia="黑体"/>
          <w:kern w:val="2"/>
          <w:szCs w:val="21"/>
        </w:rPr>
        <w:t>.</w:t>
      </w:r>
      <w:r>
        <w:rPr>
          <w:rFonts w:hint="eastAsia" w:ascii="黑体" w:hAnsi="黑体" w:eastAsia="黑体"/>
          <w:kern w:val="2"/>
          <w:szCs w:val="21"/>
        </w:rPr>
        <w:t>2</w:t>
      </w:r>
      <w:r>
        <w:rPr>
          <w:rFonts w:ascii="黑体" w:hAnsi="黑体" w:eastAsia="黑体"/>
          <w:kern w:val="2"/>
          <w:szCs w:val="21"/>
        </w:rPr>
        <w:t xml:space="preserve">.1 </w:t>
      </w:r>
      <w:r>
        <w:rPr>
          <w:rFonts w:hAnsi="宋体"/>
          <w:kern w:val="2"/>
          <w:szCs w:val="32"/>
        </w:rPr>
        <w:t xml:space="preserve"> </w:t>
      </w:r>
      <w:r>
        <w:rPr>
          <w:rFonts w:hint="eastAsia" w:hAnsi="宋体"/>
          <w:kern w:val="2"/>
          <w:szCs w:val="32"/>
        </w:rPr>
        <w:t>计算扩散时，应至少考虑以下两种情况：</w:t>
      </w:r>
    </w:p>
    <w:p w14:paraId="5589B5C6">
      <w:pPr>
        <w:widowControl w:val="0"/>
        <w:tabs>
          <w:tab w:val="left" w:pos="5430"/>
        </w:tabs>
        <w:spacing w:line="240" w:lineRule="auto"/>
        <w:ind w:firstLine="420" w:firstLineChars="200"/>
        <w:textAlignment w:val="auto"/>
        <w:rPr>
          <w:kern w:val="2"/>
          <w:szCs w:val="21"/>
        </w:rPr>
      </w:pPr>
      <w:r>
        <w:rPr>
          <w:kern w:val="2"/>
          <w:szCs w:val="21"/>
        </w:rPr>
        <w:t>a</w:t>
      </w:r>
      <w:r>
        <w:rPr>
          <w:rFonts w:hint="eastAsia" w:ascii="宋体" w:hAnsi="宋体"/>
          <w:kern w:val="2"/>
          <w:szCs w:val="21"/>
        </w:rPr>
        <w:t>）</w:t>
      </w:r>
      <w:r>
        <w:rPr>
          <w:rFonts w:ascii="宋体" w:hAnsi="宋体"/>
          <w:kern w:val="2"/>
          <w:szCs w:val="21"/>
        </w:rPr>
        <w:t xml:space="preserve"> </w:t>
      </w:r>
      <w:r>
        <w:rPr>
          <w:rFonts w:hint="eastAsia"/>
          <w:kern w:val="2"/>
          <w:szCs w:val="21"/>
        </w:rPr>
        <w:t>射流。对于射流需确定喷射高度或距离；</w:t>
      </w:r>
    </w:p>
    <w:p w14:paraId="1F0F56E1">
      <w:pPr>
        <w:widowControl w:val="0"/>
        <w:tabs>
          <w:tab w:val="left" w:pos="5430"/>
        </w:tabs>
        <w:spacing w:line="240" w:lineRule="auto"/>
        <w:ind w:firstLine="435"/>
        <w:textAlignment w:val="auto"/>
        <w:rPr>
          <w:rFonts w:ascii="宋体"/>
          <w:kern w:val="2"/>
          <w:szCs w:val="21"/>
        </w:rPr>
      </w:pPr>
      <w:r>
        <w:rPr>
          <w:kern w:val="2"/>
          <w:szCs w:val="21"/>
        </w:rPr>
        <w:t>b</w:t>
      </w:r>
      <w:r>
        <w:rPr>
          <w:rFonts w:hint="eastAsia" w:ascii="宋体" w:hAnsi="宋体"/>
          <w:kern w:val="2"/>
          <w:szCs w:val="21"/>
        </w:rPr>
        <w:t>）</w:t>
      </w:r>
      <w:r>
        <w:rPr>
          <w:rFonts w:ascii="宋体" w:hAnsi="宋体"/>
          <w:kern w:val="2"/>
          <w:szCs w:val="21"/>
        </w:rPr>
        <w:t xml:space="preserve"> </w:t>
      </w:r>
      <w:r>
        <w:rPr>
          <w:rFonts w:hint="eastAsia" w:ascii="宋体" w:hAnsi="宋体"/>
          <w:kern w:val="2"/>
          <w:szCs w:val="21"/>
        </w:rPr>
        <w:t>大气扩散。大气扩</w:t>
      </w:r>
      <w:r>
        <w:rPr>
          <w:rFonts w:hint="eastAsia"/>
          <w:kern w:val="2"/>
          <w:szCs w:val="21"/>
        </w:rPr>
        <w:t>散计算应考虑实际气体特性，根据扩散气体的初始密度、</w:t>
      </w:r>
      <w:r>
        <w:rPr>
          <w:kern w:val="2"/>
          <w:szCs w:val="21"/>
        </w:rPr>
        <w:t>Richardson</w:t>
      </w:r>
      <w:r>
        <w:rPr>
          <w:rFonts w:hint="eastAsia"/>
          <w:kern w:val="2"/>
          <w:szCs w:val="21"/>
        </w:rPr>
        <w:t>数等条件选择重气扩散或非重气扩散。</w:t>
      </w:r>
    </w:p>
    <w:p w14:paraId="2A84C96F">
      <w:pPr>
        <w:widowControl w:val="0"/>
        <w:spacing w:line="240" w:lineRule="auto"/>
        <w:textAlignment w:val="auto"/>
        <w:rPr>
          <w:kern w:val="2"/>
          <w:szCs w:val="21"/>
        </w:rPr>
      </w:pPr>
      <w:r>
        <w:rPr>
          <w:rFonts w:hint="eastAsia" w:ascii="黑体" w:hAnsi="黑体" w:eastAsia="黑体"/>
          <w:kern w:val="2"/>
          <w:szCs w:val="21"/>
        </w:rPr>
        <w:t>B</w:t>
      </w:r>
      <w:r>
        <w:rPr>
          <w:rFonts w:ascii="黑体" w:hAnsi="黑体" w:eastAsia="黑体"/>
          <w:kern w:val="2"/>
          <w:szCs w:val="21"/>
        </w:rPr>
        <w:t>.</w:t>
      </w:r>
      <w:r>
        <w:rPr>
          <w:rFonts w:hint="eastAsia" w:ascii="黑体" w:hAnsi="黑体" w:eastAsia="黑体"/>
          <w:kern w:val="2"/>
          <w:szCs w:val="21"/>
        </w:rPr>
        <w:t>5</w:t>
      </w:r>
      <w:r>
        <w:rPr>
          <w:rFonts w:ascii="黑体" w:hAnsi="黑体" w:eastAsia="黑体"/>
          <w:kern w:val="2"/>
          <w:szCs w:val="21"/>
        </w:rPr>
        <w:t>.</w:t>
      </w:r>
      <w:r>
        <w:rPr>
          <w:rFonts w:hint="eastAsia" w:ascii="黑体" w:hAnsi="黑体" w:eastAsia="黑体"/>
          <w:kern w:val="2"/>
          <w:szCs w:val="21"/>
        </w:rPr>
        <w:t>2</w:t>
      </w:r>
      <w:r>
        <w:rPr>
          <w:rFonts w:ascii="黑体" w:hAnsi="黑体" w:eastAsia="黑体"/>
          <w:kern w:val="2"/>
          <w:szCs w:val="21"/>
        </w:rPr>
        <w:t>.</w:t>
      </w:r>
      <w:r>
        <w:rPr>
          <w:rFonts w:hint="eastAsia" w:ascii="黑体" w:hAnsi="黑体" w:eastAsia="黑体"/>
          <w:kern w:val="2"/>
          <w:szCs w:val="21"/>
        </w:rPr>
        <w:t>2</w:t>
      </w:r>
      <w:r>
        <w:rPr>
          <w:rFonts w:ascii="黑体" w:hAnsi="黑体" w:eastAsia="黑体"/>
          <w:kern w:val="2"/>
          <w:szCs w:val="21"/>
        </w:rPr>
        <w:t xml:space="preserve"> </w:t>
      </w:r>
      <w:r>
        <w:rPr>
          <w:rFonts w:hAnsi="宋体"/>
          <w:kern w:val="2"/>
          <w:szCs w:val="32"/>
        </w:rPr>
        <w:t xml:space="preserve"> </w:t>
      </w:r>
      <w:r>
        <w:rPr>
          <w:rFonts w:hint="eastAsia" w:hAnsi="宋体"/>
          <w:kern w:val="2"/>
          <w:szCs w:val="32"/>
        </w:rPr>
        <w:t>在计算扩散时，</w:t>
      </w:r>
      <w:r>
        <w:rPr>
          <w:rFonts w:hint="eastAsia"/>
          <w:kern w:val="2"/>
          <w:szCs w:val="21"/>
        </w:rPr>
        <w:t>天气条件</w:t>
      </w:r>
      <w:r>
        <w:rPr>
          <w:rFonts w:hint="eastAsia" w:hAnsi="宋体"/>
          <w:kern w:val="2"/>
          <w:szCs w:val="32"/>
        </w:rPr>
        <w:t>宜考虑不同的大气稳定度和风速</w:t>
      </w:r>
      <w:r>
        <w:rPr>
          <w:rFonts w:hint="eastAsia"/>
          <w:kern w:val="2"/>
          <w:szCs w:val="21"/>
        </w:rPr>
        <w:t>。当使用</w:t>
      </w:r>
      <w:r>
        <w:rPr>
          <w:kern w:val="2"/>
          <w:szCs w:val="21"/>
        </w:rPr>
        <w:t>Pasquill</w:t>
      </w:r>
      <w:r>
        <w:rPr>
          <w:rFonts w:hint="eastAsia"/>
          <w:kern w:val="2"/>
          <w:szCs w:val="21"/>
        </w:rPr>
        <w:t>大气稳定度（参见</w:t>
      </w:r>
      <w:r>
        <w:rPr>
          <w:rFonts w:hint="eastAsia" w:hAnsi="宋体"/>
          <w:kern w:val="2"/>
          <w:szCs w:val="32"/>
        </w:rPr>
        <w:t>B.5.1.5</w:t>
      </w:r>
      <w:r>
        <w:rPr>
          <w:rFonts w:hint="eastAsia"/>
          <w:kern w:val="2"/>
          <w:szCs w:val="21"/>
        </w:rPr>
        <w:t>）时，可选择以下六种天气条件。</w:t>
      </w:r>
    </w:p>
    <w:p w14:paraId="43307D0B">
      <w:pPr>
        <w:widowControl w:val="0"/>
        <w:spacing w:before="156" w:beforeLines="50" w:after="156" w:afterLines="50"/>
        <w:jc w:val="center"/>
        <w:rPr>
          <w:rFonts w:hint="eastAsia" w:ascii="黑体" w:hAnsi="黑体" w:eastAsia="黑体"/>
          <w:kern w:val="2"/>
          <w:szCs w:val="24"/>
        </w:rPr>
      </w:pPr>
      <w:bookmarkStart w:id="219" w:name="_Toc508891844"/>
      <w:r>
        <w:rPr>
          <w:rFonts w:hint="eastAsia" w:ascii="黑体" w:hAnsi="黑体" w:eastAsia="黑体"/>
          <w:kern w:val="2"/>
          <w:szCs w:val="24"/>
        </w:rPr>
        <w:t>表 B</w:t>
      </w:r>
      <w:r>
        <w:rPr>
          <w:rFonts w:ascii="黑体" w:hAnsi="黑体" w:eastAsia="黑体"/>
          <w:kern w:val="2"/>
          <w:szCs w:val="24"/>
        </w:rPr>
        <w:t>.</w:t>
      </w:r>
      <w:r>
        <w:rPr>
          <w:rFonts w:hint="eastAsia" w:ascii="黑体" w:hAnsi="黑体" w:eastAsia="黑体"/>
          <w:kern w:val="2"/>
          <w:szCs w:val="24"/>
        </w:rPr>
        <w:t>10</w:t>
      </w:r>
      <w:r>
        <w:rPr>
          <w:rFonts w:ascii="黑体" w:hAnsi="黑体" w:eastAsia="黑体"/>
          <w:kern w:val="2"/>
          <w:szCs w:val="24"/>
        </w:rPr>
        <w:t xml:space="preserve"> </w:t>
      </w:r>
      <w:r>
        <w:rPr>
          <w:rFonts w:hint="eastAsia" w:ascii="黑体" w:hAnsi="黑体" w:eastAsia="黑体"/>
          <w:kern w:val="2"/>
          <w:szCs w:val="24"/>
        </w:rPr>
        <w:t>选择的天气条件</w:t>
      </w:r>
      <w:bookmarkEnd w:id="219"/>
    </w:p>
    <w:tbl>
      <w:tblPr>
        <w:tblStyle w:val="36"/>
        <w:tblW w:w="932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839"/>
        <w:gridCol w:w="7485"/>
      </w:tblGrid>
      <w:tr w14:paraId="434156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1839" w:type="dxa"/>
            <w:tcBorders>
              <w:top w:val="single" w:color="auto" w:sz="12" w:space="0"/>
              <w:bottom w:val="single" w:color="auto" w:sz="12" w:space="0"/>
            </w:tcBorders>
            <w:vAlign w:val="center"/>
          </w:tcPr>
          <w:p w14:paraId="3639E10B">
            <w:pPr>
              <w:widowControl w:val="0"/>
              <w:spacing w:line="240" w:lineRule="auto"/>
              <w:jc w:val="center"/>
              <w:textAlignment w:val="auto"/>
              <w:rPr>
                <w:kern w:val="2"/>
                <w:sz w:val="18"/>
                <w:szCs w:val="18"/>
              </w:rPr>
            </w:pPr>
            <w:r>
              <w:rPr>
                <w:rFonts w:hint="eastAsia"/>
                <w:kern w:val="2"/>
                <w:sz w:val="18"/>
                <w:szCs w:val="18"/>
              </w:rPr>
              <w:t>大气稳定度</w:t>
            </w:r>
          </w:p>
        </w:tc>
        <w:tc>
          <w:tcPr>
            <w:tcW w:w="7485" w:type="dxa"/>
            <w:tcBorders>
              <w:top w:val="single" w:color="auto" w:sz="12" w:space="0"/>
              <w:bottom w:val="single" w:color="auto" w:sz="12" w:space="0"/>
            </w:tcBorders>
            <w:vAlign w:val="center"/>
          </w:tcPr>
          <w:p w14:paraId="657B38DD">
            <w:pPr>
              <w:widowControl w:val="0"/>
              <w:spacing w:line="240" w:lineRule="auto"/>
              <w:jc w:val="center"/>
              <w:textAlignment w:val="auto"/>
              <w:rPr>
                <w:kern w:val="2"/>
                <w:sz w:val="18"/>
                <w:szCs w:val="18"/>
              </w:rPr>
            </w:pPr>
            <w:r>
              <w:rPr>
                <w:rFonts w:hint="eastAsia"/>
                <w:kern w:val="2"/>
                <w:sz w:val="18"/>
                <w:szCs w:val="18"/>
              </w:rPr>
              <w:t>风速</w:t>
            </w:r>
          </w:p>
        </w:tc>
      </w:tr>
      <w:tr w14:paraId="45DE7C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1839" w:type="dxa"/>
            <w:tcBorders>
              <w:top w:val="single" w:color="auto" w:sz="12" w:space="0"/>
            </w:tcBorders>
            <w:vAlign w:val="center"/>
          </w:tcPr>
          <w:p w14:paraId="3C9762B1">
            <w:pPr>
              <w:widowControl w:val="0"/>
              <w:spacing w:line="240" w:lineRule="auto"/>
              <w:jc w:val="center"/>
              <w:textAlignment w:val="auto"/>
              <w:rPr>
                <w:kern w:val="2"/>
                <w:sz w:val="18"/>
                <w:szCs w:val="18"/>
              </w:rPr>
            </w:pPr>
            <w:r>
              <w:rPr>
                <w:kern w:val="2"/>
                <w:sz w:val="18"/>
                <w:szCs w:val="18"/>
              </w:rPr>
              <w:t>B</w:t>
            </w:r>
          </w:p>
        </w:tc>
        <w:tc>
          <w:tcPr>
            <w:tcW w:w="7485" w:type="dxa"/>
            <w:tcBorders>
              <w:top w:val="single" w:color="auto" w:sz="12" w:space="0"/>
            </w:tcBorders>
            <w:vAlign w:val="center"/>
          </w:tcPr>
          <w:p w14:paraId="16B20109">
            <w:pPr>
              <w:widowControl w:val="0"/>
              <w:spacing w:line="240" w:lineRule="auto"/>
              <w:jc w:val="center"/>
              <w:textAlignment w:val="auto"/>
              <w:rPr>
                <w:kern w:val="2"/>
                <w:sz w:val="18"/>
                <w:szCs w:val="18"/>
              </w:rPr>
            </w:pPr>
            <w:r>
              <w:rPr>
                <w:rFonts w:hint="eastAsia"/>
                <w:kern w:val="2"/>
                <w:sz w:val="18"/>
                <w:szCs w:val="18"/>
              </w:rPr>
              <w:t>中风速：</w:t>
            </w:r>
            <w:r>
              <w:rPr>
                <w:kern w:val="2"/>
                <w:sz w:val="18"/>
                <w:szCs w:val="18"/>
              </w:rPr>
              <w:t>3 m/s</w:t>
            </w:r>
            <w:r>
              <w:rPr>
                <w:kern w:val="2"/>
                <w:szCs w:val="21"/>
              </w:rPr>
              <w:t xml:space="preserve"> ~</w:t>
            </w:r>
            <w:r>
              <w:rPr>
                <w:kern w:val="2"/>
                <w:sz w:val="18"/>
                <w:szCs w:val="18"/>
              </w:rPr>
              <w:t>5 m/s</w:t>
            </w:r>
          </w:p>
        </w:tc>
      </w:tr>
      <w:tr w14:paraId="5B9368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1839" w:type="dxa"/>
            <w:vAlign w:val="center"/>
          </w:tcPr>
          <w:p w14:paraId="03689516">
            <w:pPr>
              <w:widowControl w:val="0"/>
              <w:spacing w:line="240" w:lineRule="auto"/>
              <w:jc w:val="center"/>
              <w:textAlignment w:val="auto"/>
              <w:rPr>
                <w:kern w:val="2"/>
                <w:sz w:val="18"/>
                <w:szCs w:val="18"/>
              </w:rPr>
            </w:pPr>
            <w:r>
              <w:rPr>
                <w:kern w:val="2"/>
                <w:sz w:val="18"/>
                <w:szCs w:val="18"/>
              </w:rPr>
              <w:t>D</w:t>
            </w:r>
          </w:p>
        </w:tc>
        <w:tc>
          <w:tcPr>
            <w:tcW w:w="7485" w:type="dxa"/>
            <w:vAlign w:val="center"/>
          </w:tcPr>
          <w:p w14:paraId="5E2C10F5">
            <w:pPr>
              <w:widowControl w:val="0"/>
              <w:spacing w:line="240" w:lineRule="auto"/>
              <w:jc w:val="center"/>
              <w:textAlignment w:val="auto"/>
              <w:rPr>
                <w:kern w:val="2"/>
                <w:sz w:val="18"/>
                <w:szCs w:val="18"/>
              </w:rPr>
            </w:pPr>
            <w:r>
              <w:rPr>
                <w:rFonts w:hint="eastAsia"/>
                <w:kern w:val="2"/>
                <w:sz w:val="18"/>
                <w:szCs w:val="18"/>
              </w:rPr>
              <w:t>低风速：</w:t>
            </w:r>
            <w:r>
              <w:rPr>
                <w:kern w:val="2"/>
                <w:sz w:val="18"/>
                <w:szCs w:val="18"/>
              </w:rPr>
              <w:t>1 m/s</w:t>
            </w:r>
            <w:r>
              <w:rPr>
                <w:kern w:val="2"/>
                <w:szCs w:val="21"/>
              </w:rPr>
              <w:t xml:space="preserve"> ~</w:t>
            </w:r>
            <w:r>
              <w:rPr>
                <w:kern w:val="2"/>
                <w:sz w:val="18"/>
                <w:szCs w:val="18"/>
              </w:rPr>
              <w:t>2 m/s</w:t>
            </w:r>
          </w:p>
        </w:tc>
      </w:tr>
      <w:tr w14:paraId="725CF3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1839" w:type="dxa"/>
            <w:vAlign w:val="center"/>
          </w:tcPr>
          <w:p w14:paraId="410B03BA">
            <w:pPr>
              <w:widowControl w:val="0"/>
              <w:spacing w:line="240" w:lineRule="auto"/>
              <w:jc w:val="center"/>
              <w:textAlignment w:val="auto"/>
              <w:rPr>
                <w:kern w:val="2"/>
                <w:sz w:val="18"/>
                <w:szCs w:val="18"/>
              </w:rPr>
            </w:pPr>
            <w:r>
              <w:rPr>
                <w:kern w:val="2"/>
                <w:sz w:val="18"/>
                <w:szCs w:val="18"/>
              </w:rPr>
              <w:t>D</w:t>
            </w:r>
          </w:p>
        </w:tc>
        <w:tc>
          <w:tcPr>
            <w:tcW w:w="7485" w:type="dxa"/>
            <w:vAlign w:val="center"/>
          </w:tcPr>
          <w:p w14:paraId="5E9AC3F8">
            <w:pPr>
              <w:widowControl w:val="0"/>
              <w:spacing w:line="240" w:lineRule="auto"/>
              <w:jc w:val="center"/>
              <w:textAlignment w:val="auto"/>
              <w:rPr>
                <w:kern w:val="2"/>
                <w:sz w:val="18"/>
                <w:szCs w:val="18"/>
              </w:rPr>
            </w:pPr>
            <w:r>
              <w:rPr>
                <w:rFonts w:hint="eastAsia"/>
                <w:kern w:val="2"/>
                <w:sz w:val="18"/>
                <w:szCs w:val="18"/>
              </w:rPr>
              <w:t>中风速：</w:t>
            </w:r>
            <w:r>
              <w:rPr>
                <w:kern w:val="2"/>
                <w:sz w:val="18"/>
                <w:szCs w:val="18"/>
              </w:rPr>
              <w:t>3 m/s</w:t>
            </w:r>
            <w:r>
              <w:rPr>
                <w:kern w:val="2"/>
                <w:szCs w:val="21"/>
              </w:rPr>
              <w:t xml:space="preserve"> ~</w:t>
            </w:r>
            <w:r>
              <w:rPr>
                <w:kern w:val="2"/>
                <w:sz w:val="18"/>
                <w:szCs w:val="18"/>
              </w:rPr>
              <w:t>5 m/s</w:t>
            </w:r>
          </w:p>
        </w:tc>
      </w:tr>
      <w:tr w14:paraId="73E9EC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1839" w:type="dxa"/>
            <w:vAlign w:val="center"/>
          </w:tcPr>
          <w:p w14:paraId="72EE0A76">
            <w:pPr>
              <w:widowControl w:val="0"/>
              <w:spacing w:line="240" w:lineRule="auto"/>
              <w:jc w:val="center"/>
              <w:textAlignment w:val="auto"/>
              <w:rPr>
                <w:kern w:val="2"/>
                <w:sz w:val="18"/>
                <w:szCs w:val="18"/>
              </w:rPr>
            </w:pPr>
            <w:r>
              <w:rPr>
                <w:kern w:val="2"/>
                <w:sz w:val="18"/>
                <w:szCs w:val="18"/>
              </w:rPr>
              <w:t>D</w:t>
            </w:r>
          </w:p>
        </w:tc>
        <w:tc>
          <w:tcPr>
            <w:tcW w:w="7485" w:type="dxa"/>
            <w:vAlign w:val="center"/>
          </w:tcPr>
          <w:p w14:paraId="31145411">
            <w:pPr>
              <w:widowControl w:val="0"/>
              <w:spacing w:line="240" w:lineRule="auto"/>
              <w:jc w:val="center"/>
              <w:textAlignment w:val="auto"/>
              <w:rPr>
                <w:kern w:val="2"/>
                <w:sz w:val="18"/>
                <w:szCs w:val="18"/>
              </w:rPr>
            </w:pPr>
            <w:r>
              <w:rPr>
                <w:rFonts w:hint="eastAsia"/>
                <w:kern w:val="2"/>
                <w:sz w:val="18"/>
                <w:szCs w:val="18"/>
              </w:rPr>
              <w:t>高风速：</w:t>
            </w:r>
            <w:r>
              <w:rPr>
                <w:kern w:val="2"/>
                <w:sz w:val="18"/>
                <w:szCs w:val="18"/>
              </w:rPr>
              <w:t>8 m/s</w:t>
            </w:r>
            <w:r>
              <w:rPr>
                <w:kern w:val="2"/>
                <w:szCs w:val="21"/>
              </w:rPr>
              <w:t xml:space="preserve"> ~</w:t>
            </w:r>
            <w:r>
              <w:rPr>
                <w:kern w:val="2"/>
                <w:sz w:val="18"/>
                <w:szCs w:val="18"/>
              </w:rPr>
              <w:t>9 m/s</w:t>
            </w:r>
          </w:p>
        </w:tc>
      </w:tr>
      <w:tr w14:paraId="463C73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1839" w:type="dxa"/>
            <w:vAlign w:val="center"/>
          </w:tcPr>
          <w:p w14:paraId="7013E980">
            <w:pPr>
              <w:widowControl w:val="0"/>
              <w:spacing w:line="240" w:lineRule="auto"/>
              <w:jc w:val="center"/>
              <w:textAlignment w:val="auto"/>
              <w:rPr>
                <w:kern w:val="2"/>
                <w:sz w:val="18"/>
                <w:szCs w:val="18"/>
              </w:rPr>
            </w:pPr>
            <w:r>
              <w:rPr>
                <w:kern w:val="2"/>
                <w:sz w:val="18"/>
                <w:szCs w:val="18"/>
              </w:rPr>
              <w:t>E</w:t>
            </w:r>
          </w:p>
        </w:tc>
        <w:tc>
          <w:tcPr>
            <w:tcW w:w="7485" w:type="dxa"/>
            <w:vAlign w:val="center"/>
          </w:tcPr>
          <w:p w14:paraId="46F1D31A">
            <w:pPr>
              <w:widowControl w:val="0"/>
              <w:spacing w:line="240" w:lineRule="auto"/>
              <w:jc w:val="center"/>
              <w:textAlignment w:val="auto"/>
              <w:rPr>
                <w:kern w:val="2"/>
                <w:sz w:val="18"/>
                <w:szCs w:val="18"/>
              </w:rPr>
            </w:pPr>
            <w:r>
              <w:rPr>
                <w:rFonts w:hint="eastAsia"/>
                <w:kern w:val="2"/>
                <w:sz w:val="18"/>
                <w:szCs w:val="18"/>
              </w:rPr>
              <w:t>中风速：</w:t>
            </w:r>
            <w:r>
              <w:rPr>
                <w:kern w:val="2"/>
                <w:sz w:val="18"/>
                <w:szCs w:val="18"/>
              </w:rPr>
              <w:t>3 m/s</w:t>
            </w:r>
            <w:r>
              <w:rPr>
                <w:kern w:val="2"/>
                <w:szCs w:val="21"/>
              </w:rPr>
              <w:t xml:space="preserve"> ~</w:t>
            </w:r>
            <w:r>
              <w:rPr>
                <w:kern w:val="2"/>
                <w:sz w:val="18"/>
                <w:szCs w:val="18"/>
              </w:rPr>
              <w:t>5 m/s</w:t>
            </w:r>
          </w:p>
        </w:tc>
      </w:tr>
      <w:tr w14:paraId="56B525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1839" w:type="dxa"/>
            <w:tcBorders>
              <w:bottom w:val="single" w:color="auto" w:sz="12" w:space="0"/>
            </w:tcBorders>
            <w:vAlign w:val="center"/>
          </w:tcPr>
          <w:p w14:paraId="181B39F3">
            <w:pPr>
              <w:widowControl w:val="0"/>
              <w:spacing w:line="240" w:lineRule="auto"/>
              <w:jc w:val="center"/>
              <w:textAlignment w:val="auto"/>
              <w:rPr>
                <w:kern w:val="2"/>
                <w:sz w:val="18"/>
                <w:szCs w:val="18"/>
              </w:rPr>
            </w:pPr>
            <w:r>
              <w:rPr>
                <w:kern w:val="2"/>
                <w:sz w:val="18"/>
                <w:szCs w:val="18"/>
              </w:rPr>
              <w:t>F</w:t>
            </w:r>
          </w:p>
        </w:tc>
        <w:tc>
          <w:tcPr>
            <w:tcW w:w="7485" w:type="dxa"/>
            <w:tcBorders>
              <w:bottom w:val="single" w:color="auto" w:sz="12" w:space="0"/>
            </w:tcBorders>
            <w:vAlign w:val="center"/>
          </w:tcPr>
          <w:p w14:paraId="678AE662">
            <w:pPr>
              <w:widowControl w:val="0"/>
              <w:spacing w:line="240" w:lineRule="auto"/>
              <w:jc w:val="center"/>
              <w:textAlignment w:val="auto"/>
              <w:rPr>
                <w:kern w:val="2"/>
                <w:sz w:val="18"/>
                <w:szCs w:val="18"/>
              </w:rPr>
            </w:pPr>
            <w:r>
              <w:rPr>
                <w:rFonts w:hint="eastAsia"/>
                <w:kern w:val="2"/>
                <w:sz w:val="18"/>
                <w:szCs w:val="18"/>
              </w:rPr>
              <w:t>低风速：</w:t>
            </w:r>
            <w:r>
              <w:rPr>
                <w:kern w:val="2"/>
                <w:sz w:val="18"/>
                <w:szCs w:val="18"/>
              </w:rPr>
              <w:t>1 m/s</w:t>
            </w:r>
            <w:r>
              <w:rPr>
                <w:kern w:val="2"/>
                <w:szCs w:val="21"/>
              </w:rPr>
              <w:t xml:space="preserve"> ~</w:t>
            </w:r>
            <w:r>
              <w:rPr>
                <w:kern w:val="2"/>
                <w:sz w:val="18"/>
                <w:szCs w:val="18"/>
              </w:rPr>
              <w:t>2 m/s</w:t>
            </w:r>
          </w:p>
        </w:tc>
      </w:tr>
    </w:tbl>
    <w:p w14:paraId="7E7BE2C2">
      <w:pPr>
        <w:widowControl w:val="0"/>
        <w:spacing w:line="240" w:lineRule="auto"/>
        <w:textAlignment w:val="auto"/>
        <w:rPr>
          <w:kern w:val="2"/>
          <w:szCs w:val="21"/>
        </w:rPr>
      </w:pPr>
      <w:r>
        <w:rPr>
          <w:rFonts w:hint="eastAsia" w:ascii="黑体" w:hAnsi="黑体" w:eastAsia="黑体"/>
          <w:kern w:val="2"/>
          <w:szCs w:val="21"/>
        </w:rPr>
        <w:t>B</w:t>
      </w:r>
      <w:r>
        <w:rPr>
          <w:rFonts w:ascii="黑体" w:hAnsi="黑体" w:eastAsia="黑体"/>
          <w:kern w:val="2"/>
          <w:szCs w:val="21"/>
        </w:rPr>
        <w:t>.</w:t>
      </w:r>
      <w:r>
        <w:rPr>
          <w:rFonts w:hint="eastAsia" w:ascii="黑体" w:hAnsi="黑体" w:eastAsia="黑体"/>
          <w:kern w:val="2"/>
          <w:szCs w:val="21"/>
        </w:rPr>
        <w:t>5</w:t>
      </w:r>
      <w:r>
        <w:rPr>
          <w:rFonts w:ascii="黑体" w:hAnsi="黑体" w:eastAsia="黑体"/>
          <w:kern w:val="2"/>
          <w:szCs w:val="21"/>
        </w:rPr>
        <w:t>.</w:t>
      </w:r>
      <w:r>
        <w:rPr>
          <w:rFonts w:hint="eastAsia" w:ascii="黑体" w:hAnsi="黑体" w:eastAsia="黑体"/>
          <w:kern w:val="2"/>
          <w:szCs w:val="21"/>
        </w:rPr>
        <w:t>2</w:t>
      </w:r>
      <w:r>
        <w:rPr>
          <w:rFonts w:ascii="黑体" w:hAnsi="黑体" w:eastAsia="黑体"/>
          <w:kern w:val="2"/>
          <w:szCs w:val="21"/>
        </w:rPr>
        <w:t>.</w:t>
      </w:r>
      <w:r>
        <w:rPr>
          <w:rFonts w:hint="eastAsia" w:ascii="黑体" w:hAnsi="黑体" w:eastAsia="黑体"/>
          <w:kern w:val="2"/>
          <w:szCs w:val="21"/>
        </w:rPr>
        <w:t>3</w:t>
      </w:r>
      <w:r>
        <w:rPr>
          <w:rFonts w:ascii="黑体" w:hAnsi="黑体" w:eastAsia="黑体"/>
          <w:kern w:val="2"/>
          <w:szCs w:val="21"/>
        </w:rPr>
        <w:t xml:space="preserve"> </w:t>
      </w:r>
      <w:r>
        <w:rPr>
          <w:rFonts w:hAnsi="宋体"/>
          <w:kern w:val="2"/>
          <w:szCs w:val="32"/>
        </w:rPr>
        <w:t xml:space="preserve"> </w:t>
      </w:r>
      <w:r>
        <w:rPr>
          <w:rFonts w:hint="eastAsia" w:hAnsi="宋体"/>
          <w:kern w:val="2"/>
          <w:szCs w:val="32"/>
        </w:rPr>
        <w:t>扩散计算时，应考虑当地的风速、风向及稳定度联合频率，宜选择十六种风向。</w:t>
      </w:r>
      <w:r>
        <w:rPr>
          <w:rFonts w:hint="eastAsia"/>
          <w:kern w:val="2"/>
          <w:szCs w:val="21"/>
        </w:rPr>
        <w:t>气象统计资料宜采用附近气象站的气象统计数据。</w:t>
      </w:r>
    </w:p>
    <w:p w14:paraId="71B7367E">
      <w:pPr>
        <w:pStyle w:val="162"/>
        <w:spacing w:before="156" w:beforeLines="50" w:after="156" w:afterLines="50" w:line="240" w:lineRule="auto"/>
        <w:ind w:firstLine="0"/>
        <w:outlineLvl w:val="2"/>
        <w:rPr>
          <w:rFonts w:ascii="黑体" w:eastAsia="黑体"/>
        </w:rPr>
      </w:pPr>
      <w:bookmarkStart w:id="220" w:name="_Toc310952705"/>
      <w:bookmarkStart w:id="221" w:name="_Toc296956113"/>
      <w:bookmarkStart w:id="222" w:name="_Toc310769303"/>
      <w:bookmarkStart w:id="223" w:name="_Toc286131402"/>
      <w:bookmarkStart w:id="224" w:name="_Toc286132385"/>
      <w:r>
        <w:rPr>
          <w:rFonts w:hint="eastAsia" w:ascii="黑体" w:eastAsia="黑体"/>
        </w:rPr>
        <w:t>B.5.3  火灾和爆炸</w:t>
      </w:r>
      <w:bookmarkEnd w:id="220"/>
      <w:bookmarkEnd w:id="221"/>
      <w:bookmarkEnd w:id="222"/>
      <w:bookmarkEnd w:id="223"/>
      <w:bookmarkEnd w:id="224"/>
    </w:p>
    <w:p w14:paraId="1CB27018">
      <w:pPr>
        <w:widowControl w:val="0"/>
        <w:spacing w:line="240" w:lineRule="auto"/>
        <w:textAlignment w:val="auto"/>
        <w:rPr>
          <w:rFonts w:hint="eastAsia" w:hAnsi="宋体"/>
          <w:kern w:val="2"/>
          <w:szCs w:val="21"/>
        </w:rPr>
      </w:pPr>
      <w:r>
        <w:rPr>
          <w:rFonts w:hint="eastAsia" w:ascii="黑体" w:hAnsi="黑体" w:eastAsia="黑体"/>
          <w:kern w:val="2"/>
          <w:szCs w:val="21"/>
        </w:rPr>
        <w:t>B.5</w:t>
      </w:r>
      <w:r>
        <w:rPr>
          <w:rFonts w:ascii="黑体" w:hAnsi="黑体" w:eastAsia="黑体"/>
          <w:kern w:val="2"/>
          <w:szCs w:val="21"/>
        </w:rPr>
        <w:t>.</w:t>
      </w:r>
      <w:r>
        <w:rPr>
          <w:rFonts w:hint="eastAsia" w:ascii="黑体" w:hAnsi="黑体" w:eastAsia="黑体"/>
          <w:kern w:val="2"/>
          <w:szCs w:val="21"/>
        </w:rPr>
        <w:t>3</w:t>
      </w:r>
      <w:r>
        <w:rPr>
          <w:rFonts w:ascii="黑体" w:hAnsi="黑体" w:eastAsia="黑体"/>
          <w:kern w:val="2"/>
          <w:szCs w:val="21"/>
        </w:rPr>
        <w:t>.1</w:t>
      </w:r>
      <w:r>
        <w:rPr>
          <w:rFonts w:hAnsi="宋体"/>
          <w:kern w:val="2"/>
          <w:szCs w:val="32"/>
        </w:rPr>
        <w:t xml:space="preserve">  </w:t>
      </w:r>
      <w:r>
        <w:rPr>
          <w:rFonts w:hint="eastAsia" w:hAnsi="宋体"/>
          <w:kern w:val="2"/>
          <w:szCs w:val="32"/>
        </w:rPr>
        <w:t>应考虑发生</w:t>
      </w:r>
      <w:r>
        <w:rPr>
          <w:rFonts w:hint="eastAsia"/>
          <w:kern w:val="2"/>
          <w:szCs w:val="24"/>
        </w:rPr>
        <w:t>火球、喷射火、池火、蒸气云爆炸及闪火等火灾、爆炸场景。具体场景与物质特性、储存参数、泄漏类型、点火类型等有关，可采用事件树方法确定各种可燃物质释放后，各种事件发生的类型及概率。可燃物质释放后</w:t>
      </w:r>
      <w:r>
        <w:rPr>
          <w:rFonts w:hint="eastAsia" w:hAnsi="宋体"/>
          <w:kern w:val="2"/>
          <w:szCs w:val="21"/>
        </w:rPr>
        <w:t>的事件树参见</w:t>
      </w:r>
      <w:r>
        <w:rPr>
          <w:rFonts w:hint="eastAsia"/>
          <w:kern w:val="2"/>
          <w:szCs w:val="21"/>
        </w:rPr>
        <w:t>图B.3</w:t>
      </w:r>
      <w:r>
        <w:rPr>
          <w:kern w:val="2"/>
          <w:szCs w:val="21"/>
        </w:rPr>
        <w:t>-</w:t>
      </w:r>
      <w:r>
        <w:rPr>
          <w:rFonts w:hint="eastAsia"/>
          <w:kern w:val="2"/>
          <w:szCs w:val="21"/>
        </w:rPr>
        <w:t>图B</w:t>
      </w:r>
      <w:r>
        <w:rPr>
          <w:kern w:val="2"/>
          <w:szCs w:val="21"/>
        </w:rPr>
        <w:t>.</w:t>
      </w:r>
      <w:r>
        <w:rPr>
          <w:rFonts w:hint="eastAsia"/>
          <w:kern w:val="2"/>
          <w:szCs w:val="21"/>
        </w:rPr>
        <w:t>5</w:t>
      </w:r>
      <w:r>
        <w:rPr>
          <w:rFonts w:hint="eastAsia" w:hAnsi="宋体"/>
          <w:kern w:val="2"/>
          <w:szCs w:val="21"/>
        </w:rPr>
        <w:t>。</w:t>
      </w:r>
    </w:p>
    <w:p w14:paraId="048306FD">
      <w:pPr>
        <w:widowControl w:val="0"/>
        <w:spacing w:line="240" w:lineRule="auto"/>
        <w:textAlignment w:val="auto"/>
        <w:rPr>
          <w:rFonts w:hint="eastAsia" w:hAnsi="宋体"/>
          <w:kern w:val="2"/>
          <w:szCs w:val="21"/>
        </w:rPr>
      </w:pPr>
    </w:p>
    <w:p w14:paraId="31AFC937">
      <w:pPr>
        <w:jc w:val="center"/>
        <w:rPr>
          <w:rFonts w:eastAsia="黑体"/>
          <w:szCs w:val="32"/>
        </w:rPr>
      </w:pPr>
      <w:r>
        <w:object>
          <v:shape id="_x0000_i1098" o:spt="75" type="#_x0000_t75" style="height:208.5pt;width:412.5pt;" o:ole="t" filled="f" o:preferrelative="t" stroked="f" coordsize="21600,21600">
            <v:path/>
            <v:fill on="f" focussize="0,0"/>
            <v:stroke on="f" joinstyle="miter"/>
            <v:imagedata r:id="rId161" cropleft="2474f" cropright="6727f" o:title=""/>
            <o:lock v:ext="edit" aspectratio="t"/>
            <w10:wrap type="none"/>
            <w10:anchorlock/>
          </v:shape>
          <o:OLEObject Type="Embed" ProgID="Visio.Drawing.11" ShapeID="_x0000_i1098" DrawAspect="Content" ObjectID="_1468075800" r:id="rId160">
            <o:LockedField>false</o:LockedField>
          </o:OLEObject>
        </w:object>
      </w:r>
      <w:r>
        <w:rPr>
          <w:rFonts w:eastAsia="黑体"/>
          <w:szCs w:val="32"/>
        </w:rPr>
        <w:t xml:space="preserve"> </w:t>
      </w:r>
    </w:p>
    <w:p w14:paraId="3FC70A63">
      <w:pPr>
        <w:pStyle w:val="161"/>
        <w:spacing w:before="156" w:after="156"/>
        <w:rPr>
          <w:rFonts w:hint="eastAsia"/>
        </w:rPr>
      </w:pPr>
      <w:bookmarkStart w:id="225" w:name="_Toc310769369"/>
      <w:bookmarkStart w:id="226" w:name="_Toc296956190"/>
      <w:bookmarkStart w:id="227" w:name="_Toc310952771"/>
      <w:r>
        <w:rPr>
          <w:rFonts w:hint="eastAsia"/>
        </w:rPr>
        <w:t>图 B</w:t>
      </w:r>
      <w:r>
        <w:t>.</w:t>
      </w:r>
      <w:r>
        <w:rPr>
          <w:rFonts w:hint="eastAsia"/>
        </w:rPr>
        <w:t>3</w:t>
      </w:r>
      <w:r>
        <w:t xml:space="preserve">  </w:t>
      </w:r>
      <w:r>
        <w:rPr>
          <w:rFonts w:hint="eastAsia"/>
        </w:rPr>
        <w:t>易燃气体瞬时释放事件树</w:t>
      </w:r>
      <w:bookmarkEnd w:id="225"/>
      <w:bookmarkEnd w:id="226"/>
      <w:bookmarkEnd w:id="227"/>
    </w:p>
    <w:p w14:paraId="51E655C6">
      <w:pPr>
        <w:rPr>
          <w:rFonts w:eastAsia="黑体"/>
          <w:szCs w:val="21"/>
        </w:rPr>
      </w:pPr>
      <w:r>
        <w:object>
          <v:shape id="_x0000_i1099" o:spt="75" type="#_x0000_t75" style="height:141pt;width:418.5pt;" o:ole="t" filled="f" o:preferrelative="t" stroked="f" coordsize="21600,21600">
            <v:path/>
            <v:fill on="f" focussize="0,0"/>
            <v:stroke on="f" joinstyle="miter"/>
            <v:imagedata r:id="rId163" cropleft="1784f" cropright="6671f" o:title=""/>
            <o:lock v:ext="edit" aspectratio="f"/>
            <w10:wrap type="none"/>
            <w10:anchorlock/>
          </v:shape>
          <o:OLEObject Type="Embed" ProgID="Visio.Drawing.11" ShapeID="_x0000_i1099" DrawAspect="Content" ObjectID="_1468075801" r:id="rId162">
            <o:LockedField>false</o:LockedField>
          </o:OLEObject>
        </w:object>
      </w:r>
    </w:p>
    <w:p w14:paraId="0C7576A8">
      <w:pPr>
        <w:pStyle w:val="161"/>
        <w:spacing w:before="156" w:after="156"/>
        <w:rPr>
          <w:rFonts w:hint="eastAsia"/>
        </w:rPr>
      </w:pPr>
      <w:r>
        <w:rPr>
          <w:rFonts w:hint="eastAsia"/>
        </w:rPr>
        <w:t>图 B.4</w:t>
      </w:r>
      <w:r>
        <w:t xml:space="preserve">  </w:t>
      </w:r>
      <w:r>
        <w:rPr>
          <w:rFonts w:hint="eastAsia"/>
        </w:rPr>
        <w:t>易燃气体连续释放事件树</w:t>
      </w:r>
    </w:p>
    <w:p w14:paraId="1155C9D3">
      <w:pPr>
        <w:jc w:val="center"/>
        <w:rPr>
          <w:rFonts w:eastAsia="黑体"/>
          <w:szCs w:val="32"/>
        </w:rPr>
      </w:pPr>
    </w:p>
    <w:p w14:paraId="232C5F5F">
      <w:pPr>
        <w:jc w:val="left"/>
        <w:rPr>
          <w:sz w:val="18"/>
          <w:szCs w:val="18"/>
        </w:rPr>
      </w:pPr>
      <w:r>
        <w:object>
          <v:shape id="_x0000_i1100" o:spt="75" type="#_x0000_t75" style="height:142.5pt;width:506.25pt;" o:ole="t" filled="f" o:preferrelative="t" stroked="f" coordsize="21600,21600">
            <v:path/>
            <v:fill on="f" focussize="0,0"/>
            <v:stroke on="f" joinstyle="miter"/>
            <v:imagedata r:id="rId165" cropleft="4947f" o:title=""/>
            <o:lock v:ext="edit" aspectratio="f"/>
            <w10:wrap type="none"/>
            <w10:anchorlock/>
          </v:shape>
          <o:OLEObject Type="Embed" ProgID="Visio.Drawing.11" ShapeID="_x0000_i1100" DrawAspect="Content" ObjectID="_1468075802" r:id="rId164">
            <o:LockedField>false</o:LockedField>
          </o:OLEObject>
        </w:object>
      </w:r>
      <w:bookmarkStart w:id="228" w:name="_Toc310769372"/>
      <w:bookmarkStart w:id="229" w:name="_Toc296956192"/>
      <w:bookmarkStart w:id="230" w:name="_Toc310952774"/>
      <w:r>
        <w:rPr>
          <w:rFonts w:hint="eastAsia"/>
        </w:rPr>
        <w:t xml:space="preserve">   </w:t>
      </w:r>
      <w:r>
        <w:rPr>
          <w:rFonts w:hint="eastAsia"/>
          <w:sz w:val="18"/>
          <w:szCs w:val="18"/>
        </w:rPr>
        <w:t>注</w:t>
      </w:r>
      <w:r>
        <w:rPr>
          <w:sz w:val="18"/>
          <w:szCs w:val="18"/>
        </w:rPr>
        <w:t>1</w:t>
      </w:r>
      <w:r>
        <w:rPr>
          <w:rFonts w:hint="eastAsia"/>
          <w:sz w:val="18"/>
          <w:szCs w:val="18"/>
        </w:rPr>
        <w:t>：对于可燃液体释放，在到达地面前可能发生物质的蒸发。如果蒸发气立即点火将形成喷射火。喷射火的物质量取决于蒸发气中的物质量。</w:t>
      </w:r>
    </w:p>
    <w:p w14:paraId="7853906E">
      <w:pPr>
        <w:ind w:firstLine="360" w:firstLineChars="200"/>
        <w:rPr>
          <w:sz w:val="18"/>
          <w:szCs w:val="18"/>
        </w:rPr>
      </w:pPr>
      <w:r>
        <w:rPr>
          <w:rFonts w:hint="eastAsia"/>
          <w:sz w:val="18"/>
          <w:szCs w:val="18"/>
        </w:rPr>
        <w:t>注</w:t>
      </w:r>
      <w:r>
        <w:rPr>
          <w:sz w:val="18"/>
          <w:szCs w:val="18"/>
        </w:rPr>
        <w:t>2</w:t>
      </w:r>
      <w:r>
        <w:rPr>
          <w:rFonts w:hint="eastAsia"/>
          <w:sz w:val="18"/>
          <w:szCs w:val="18"/>
        </w:rPr>
        <w:t>：在延迟点火时，除了闪火或爆炸，也将发生池火。</w:t>
      </w:r>
    </w:p>
    <w:p w14:paraId="38D8D2C2">
      <w:pPr>
        <w:pStyle w:val="161"/>
        <w:spacing w:before="156" w:after="156"/>
        <w:rPr>
          <w:rFonts w:hint="eastAsia" w:hAnsi="宋体"/>
          <w:kern w:val="2"/>
          <w:szCs w:val="21"/>
        </w:rPr>
      </w:pPr>
      <w:r>
        <w:rPr>
          <w:rFonts w:hint="eastAsia"/>
        </w:rPr>
        <w:t>图 B.5</w:t>
      </w:r>
      <w:r>
        <w:t xml:space="preserve">  </w:t>
      </w:r>
      <w:r>
        <w:rPr>
          <w:rFonts w:hint="eastAsia"/>
        </w:rPr>
        <w:t>易燃液体释放事件树</w:t>
      </w:r>
      <w:bookmarkEnd w:id="228"/>
      <w:bookmarkEnd w:id="229"/>
      <w:bookmarkEnd w:id="230"/>
    </w:p>
    <w:p w14:paraId="711A2D9F">
      <w:pPr>
        <w:widowControl w:val="0"/>
        <w:spacing w:line="240" w:lineRule="auto"/>
        <w:textAlignment w:val="auto"/>
        <w:rPr>
          <w:kern w:val="2"/>
          <w:szCs w:val="21"/>
        </w:rPr>
      </w:pPr>
      <w:r>
        <w:rPr>
          <w:rFonts w:hint="eastAsia" w:ascii="黑体" w:hAnsi="黑体" w:eastAsia="黑体"/>
          <w:kern w:val="2"/>
          <w:szCs w:val="21"/>
        </w:rPr>
        <w:t>B.5</w:t>
      </w:r>
      <w:r>
        <w:rPr>
          <w:rFonts w:ascii="黑体" w:hAnsi="黑体" w:eastAsia="黑体"/>
          <w:kern w:val="2"/>
          <w:szCs w:val="21"/>
        </w:rPr>
        <w:t>.</w:t>
      </w:r>
      <w:r>
        <w:rPr>
          <w:rFonts w:hint="eastAsia" w:ascii="黑体" w:hAnsi="黑体" w:eastAsia="黑体"/>
          <w:kern w:val="2"/>
          <w:szCs w:val="21"/>
        </w:rPr>
        <w:t>3</w:t>
      </w:r>
      <w:r>
        <w:rPr>
          <w:rFonts w:ascii="黑体" w:hAnsi="黑体" w:eastAsia="黑体"/>
          <w:kern w:val="2"/>
          <w:szCs w:val="21"/>
        </w:rPr>
        <w:t xml:space="preserve">.2  </w:t>
      </w:r>
      <w:r>
        <w:rPr>
          <w:rFonts w:hint="eastAsia" w:hAnsi="宋体"/>
          <w:kern w:val="2"/>
          <w:szCs w:val="21"/>
        </w:rPr>
        <w:t>点火类型分为立即点火和延迟点火。</w:t>
      </w:r>
    </w:p>
    <w:p w14:paraId="1455221A">
      <w:pPr>
        <w:widowControl w:val="0"/>
        <w:spacing w:line="240" w:lineRule="auto"/>
        <w:textAlignment w:val="auto"/>
        <w:rPr>
          <w:kern w:val="2"/>
          <w:szCs w:val="21"/>
        </w:rPr>
      </w:pPr>
      <w:r>
        <w:rPr>
          <w:rFonts w:hint="eastAsia" w:ascii="黑体" w:hAnsi="黑体" w:eastAsia="黑体"/>
          <w:kern w:val="2"/>
          <w:szCs w:val="21"/>
        </w:rPr>
        <w:t>B.5</w:t>
      </w:r>
      <w:r>
        <w:rPr>
          <w:rFonts w:ascii="黑体" w:hAnsi="黑体" w:eastAsia="黑体"/>
          <w:kern w:val="2"/>
          <w:szCs w:val="21"/>
        </w:rPr>
        <w:t>.</w:t>
      </w:r>
      <w:r>
        <w:rPr>
          <w:rFonts w:hint="eastAsia" w:ascii="黑体" w:hAnsi="黑体" w:eastAsia="黑体"/>
          <w:kern w:val="2"/>
          <w:szCs w:val="21"/>
        </w:rPr>
        <w:t>3</w:t>
      </w:r>
      <w:r>
        <w:rPr>
          <w:rFonts w:ascii="黑体" w:hAnsi="黑体" w:eastAsia="黑体"/>
          <w:kern w:val="2"/>
          <w:szCs w:val="21"/>
        </w:rPr>
        <w:t xml:space="preserve">.3  </w:t>
      </w:r>
      <w:r>
        <w:rPr>
          <w:rFonts w:hint="eastAsia" w:hAnsi="宋体"/>
          <w:kern w:val="2"/>
          <w:szCs w:val="21"/>
        </w:rPr>
        <w:t>立即点火的点火概率应考虑物质种类和泄漏形式（瞬时释放或者连续释放）。可根据数据库统计或通过概率模型计算获得。</w:t>
      </w:r>
    </w:p>
    <w:p w14:paraId="210A044E">
      <w:pPr>
        <w:widowControl w:val="0"/>
        <w:spacing w:line="240" w:lineRule="auto"/>
        <w:textAlignment w:val="auto"/>
        <w:rPr>
          <w:kern w:val="2"/>
          <w:szCs w:val="21"/>
        </w:rPr>
      </w:pPr>
      <w:r>
        <w:rPr>
          <w:rFonts w:hint="eastAsia" w:ascii="黑体" w:hAnsi="黑体" w:eastAsia="黑体"/>
          <w:kern w:val="2"/>
          <w:szCs w:val="21"/>
        </w:rPr>
        <w:t>B.5</w:t>
      </w:r>
      <w:r>
        <w:rPr>
          <w:rFonts w:ascii="黑体" w:hAnsi="黑体" w:eastAsia="黑体"/>
          <w:kern w:val="2"/>
          <w:szCs w:val="21"/>
        </w:rPr>
        <w:t>.</w:t>
      </w:r>
      <w:r>
        <w:rPr>
          <w:rFonts w:hint="eastAsia" w:ascii="黑体" w:hAnsi="黑体" w:eastAsia="黑体"/>
          <w:kern w:val="2"/>
          <w:szCs w:val="21"/>
        </w:rPr>
        <w:t>3</w:t>
      </w:r>
      <w:r>
        <w:rPr>
          <w:rFonts w:ascii="黑体" w:hAnsi="黑体" w:eastAsia="黑体"/>
          <w:kern w:val="2"/>
          <w:szCs w:val="21"/>
        </w:rPr>
        <w:t xml:space="preserve">.4 </w:t>
      </w:r>
      <w:r>
        <w:rPr>
          <w:rFonts w:hAnsi="宋体"/>
          <w:kern w:val="2"/>
          <w:szCs w:val="32"/>
        </w:rPr>
        <w:t xml:space="preserve"> </w:t>
      </w:r>
      <w:r>
        <w:rPr>
          <w:rFonts w:hint="eastAsia" w:hAnsi="宋体"/>
          <w:kern w:val="2"/>
          <w:szCs w:val="21"/>
        </w:rPr>
        <w:t>延迟点火的点火概率应考虑点火源特性、泄漏物特性以及泄漏发生时点火源存在的概率，按式</w:t>
      </w:r>
      <w:r>
        <w:rPr>
          <w:rFonts w:hint="eastAsia" w:hAnsi="宋体"/>
          <w:kern w:val="2"/>
          <w:szCs w:val="21"/>
          <w:lang w:val="fr-FR"/>
        </w:rPr>
        <w:t>（</w:t>
      </w:r>
      <w:r>
        <w:rPr>
          <w:rFonts w:hint="eastAsia"/>
        </w:rPr>
        <w:t>B</w:t>
      </w:r>
      <w:r>
        <w:t>.</w:t>
      </w:r>
      <w:r>
        <w:rPr>
          <w:rFonts w:hint="eastAsia"/>
        </w:rPr>
        <w:t>37</w:t>
      </w:r>
      <w:r>
        <w:rPr>
          <w:rFonts w:hint="eastAsia" w:hAnsi="宋体"/>
          <w:kern w:val="2"/>
          <w:szCs w:val="21"/>
          <w:lang w:val="fr-FR"/>
        </w:rPr>
        <w:t>）</w:t>
      </w:r>
      <w:r>
        <w:rPr>
          <w:rFonts w:hint="eastAsia" w:hAnsi="宋体"/>
          <w:kern w:val="2"/>
          <w:szCs w:val="21"/>
        </w:rPr>
        <w:t>计算：</w:t>
      </w:r>
    </w:p>
    <w:p w14:paraId="1853FB68">
      <w:pPr>
        <w:pStyle w:val="163"/>
        <w:tabs>
          <w:tab w:val="right" w:leader="middleDot" w:pos="9450"/>
          <w:tab w:val="clear" w:pos="9660"/>
        </w:tabs>
      </w:pPr>
      <w:r>
        <w:tab/>
      </w:r>
      <w:r>
        <w:object>
          <v:shape id="_x0000_i1101" o:spt="75" type="#_x0000_t75" style="height:19.5pt;width:97.5pt;" o:ole="t" filled="f" o:preferrelative="t" stroked="f" coordsize="21600,21600">
            <v:path/>
            <v:fill on="f" focussize="0,0"/>
            <v:stroke on="f" joinstyle="miter"/>
            <v:imagedata r:id="rId167" o:title=""/>
            <o:lock v:ext="edit" aspectratio="f"/>
            <w10:wrap type="none"/>
            <w10:anchorlock/>
          </v:shape>
          <o:OLEObject Type="Embed" ProgID="Equation.3" ShapeID="_x0000_i1101" DrawAspect="Content" ObjectID="_1468075803" r:id="rId166">
            <o:LockedField>false</o:LockedField>
          </o:OLEObject>
        </w:object>
      </w:r>
      <w:r>
        <w:tab/>
      </w:r>
      <w:r>
        <w:rPr>
          <w:rFonts w:hint="eastAsia"/>
        </w:rPr>
        <w:t>（</w:t>
      </w:r>
      <w:r>
        <w:rPr>
          <w:rFonts w:hint="eastAsia"/>
          <w:lang w:val="en-US"/>
        </w:rPr>
        <w:t>B</w:t>
      </w:r>
      <w:r>
        <w:t>.</w:t>
      </w:r>
      <w:r>
        <w:rPr>
          <w:rFonts w:hint="eastAsia"/>
          <w:lang w:val="en-US"/>
        </w:rPr>
        <w:t>37</w:t>
      </w:r>
      <w:r>
        <w:rPr>
          <w:rFonts w:hint="eastAsia"/>
        </w:rPr>
        <w:t>）</w:t>
      </w:r>
    </w:p>
    <w:p w14:paraId="68E07ACD">
      <w:pPr>
        <w:widowControl w:val="0"/>
        <w:spacing w:line="240" w:lineRule="auto"/>
        <w:ind w:firstLine="420" w:firstLineChars="200"/>
        <w:textAlignment w:val="auto"/>
        <w:rPr>
          <w:kern w:val="2"/>
          <w:szCs w:val="21"/>
        </w:rPr>
      </w:pPr>
      <w:r>
        <w:rPr>
          <w:rFonts w:hint="eastAsia" w:hAnsi="宋体"/>
          <w:kern w:val="2"/>
          <w:szCs w:val="21"/>
        </w:rPr>
        <w:t>式中：</w:t>
      </w:r>
    </w:p>
    <w:p w14:paraId="06D40941">
      <w:pPr>
        <w:widowControl w:val="0"/>
        <w:spacing w:line="240" w:lineRule="auto"/>
        <w:ind w:firstLine="420" w:firstLineChars="200"/>
        <w:textAlignment w:val="auto"/>
        <w:rPr>
          <w:kern w:val="2"/>
          <w:szCs w:val="21"/>
        </w:rPr>
      </w:pPr>
      <w:r>
        <w:rPr>
          <w:i/>
          <w:kern w:val="2"/>
          <w:szCs w:val="21"/>
        </w:rPr>
        <w:t>P</w:t>
      </w:r>
      <w:r>
        <w:rPr>
          <w:kern w:val="2"/>
          <w:szCs w:val="21"/>
        </w:rPr>
        <w:t>(</w:t>
      </w:r>
      <w:r>
        <w:rPr>
          <w:i/>
          <w:kern w:val="2"/>
          <w:szCs w:val="21"/>
        </w:rPr>
        <w:t>t</w:t>
      </w:r>
      <w:r>
        <w:rPr>
          <w:kern w:val="2"/>
          <w:szCs w:val="21"/>
        </w:rPr>
        <w:t>)——0~</w:t>
      </w:r>
      <w:r>
        <w:rPr>
          <w:i/>
          <w:kern w:val="2"/>
          <w:szCs w:val="21"/>
        </w:rPr>
        <w:t>t</w:t>
      </w:r>
      <w:r>
        <w:rPr>
          <w:rFonts w:hint="eastAsia" w:hAnsi="宋体"/>
          <w:kern w:val="2"/>
          <w:szCs w:val="21"/>
        </w:rPr>
        <w:t>时间内发生点火的概率；</w:t>
      </w:r>
    </w:p>
    <w:p w14:paraId="0F73C2FB">
      <w:pPr>
        <w:widowControl w:val="0"/>
        <w:spacing w:line="240" w:lineRule="auto"/>
        <w:ind w:firstLine="420" w:firstLineChars="200"/>
        <w:textAlignment w:val="auto"/>
        <w:rPr>
          <w:kern w:val="2"/>
          <w:szCs w:val="21"/>
        </w:rPr>
      </w:pPr>
      <w:r>
        <w:rPr>
          <w:i/>
          <w:kern w:val="2"/>
          <w:szCs w:val="21"/>
        </w:rPr>
        <w:t>P</w:t>
      </w:r>
      <w:r>
        <w:rPr>
          <w:i/>
          <w:kern w:val="2"/>
          <w:szCs w:val="21"/>
          <w:vertAlign w:val="subscript"/>
        </w:rPr>
        <w:t>present</w:t>
      </w:r>
      <w:r>
        <w:rPr>
          <w:kern w:val="2"/>
          <w:szCs w:val="21"/>
          <w:vertAlign w:val="subscript"/>
        </w:rPr>
        <w:t xml:space="preserve"> </w:t>
      </w:r>
      <w:r>
        <w:rPr>
          <w:kern w:val="2"/>
          <w:szCs w:val="21"/>
        </w:rPr>
        <w:t>——</w:t>
      </w:r>
      <w:r>
        <w:rPr>
          <w:rFonts w:hint="eastAsia" w:hAnsi="宋体"/>
          <w:kern w:val="2"/>
          <w:szCs w:val="21"/>
        </w:rPr>
        <w:t>点火源存在的概率；</w:t>
      </w:r>
    </w:p>
    <w:p w14:paraId="670BCBC8">
      <w:pPr>
        <w:widowControl w:val="0"/>
        <w:spacing w:line="240" w:lineRule="auto"/>
        <w:ind w:firstLine="420" w:firstLineChars="200"/>
        <w:textAlignment w:val="auto"/>
        <w:rPr>
          <w:kern w:val="2"/>
          <w:szCs w:val="21"/>
        </w:rPr>
      </w:pPr>
      <w:r>
        <w:rPr>
          <w:i/>
          <w:kern w:val="2"/>
          <w:szCs w:val="21"/>
        </w:rPr>
        <w:t>ω</w:t>
      </w:r>
      <w:r>
        <w:rPr>
          <w:kern w:val="2"/>
          <w:szCs w:val="21"/>
        </w:rPr>
        <w:t>——</w:t>
      </w:r>
      <w:r>
        <w:rPr>
          <w:rFonts w:hint="eastAsia"/>
          <w:kern w:val="2"/>
          <w:szCs w:val="21"/>
        </w:rPr>
        <w:t>点火源的</w:t>
      </w:r>
      <w:r>
        <w:rPr>
          <w:rFonts w:hint="eastAsia" w:hAnsi="宋体"/>
          <w:kern w:val="2"/>
          <w:szCs w:val="21"/>
        </w:rPr>
        <w:t>点火概率，单位为每秒（</w:t>
      </w:r>
      <w:r>
        <w:rPr>
          <w:kern w:val="2"/>
          <w:szCs w:val="21"/>
        </w:rPr>
        <w:t>s</w:t>
      </w:r>
      <w:r>
        <w:rPr>
          <w:kern w:val="2"/>
          <w:szCs w:val="21"/>
          <w:vertAlign w:val="superscript"/>
        </w:rPr>
        <w:t>-1</w:t>
      </w:r>
      <w:r>
        <w:rPr>
          <w:rFonts w:hint="eastAsia" w:hAnsi="宋体"/>
          <w:kern w:val="2"/>
          <w:szCs w:val="21"/>
        </w:rPr>
        <w:t>），与点火源特性有关；</w:t>
      </w:r>
    </w:p>
    <w:p w14:paraId="4A95A520">
      <w:pPr>
        <w:widowControl w:val="0"/>
        <w:spacing w:line="240" w:lineRule="auto"/>
        <w:ind w:firstLine="420" w:firstLineChars="200"/>
        <w:textAlignment w:val="auto"/>
        <w:rPr>
          <w:kern w:val="2"/>
          <w:szCs w:val="21"/>
        </w:rPr>
      </w:pPr>
      <w:r>
        <w:rPr>
          <w:i/>
          <w:kern w:val="2"/>
          <w:szCs w:val="21"/>
        </w:rPr>
        <w:t>t</w:t>
      </w:r>
      <w:r>
        <w:rPr>
          <w:kern w:val="2"/>
          <w:szCs w:val="21"/>
        </w:rPr>
        <w:t>——</w:t>
      </w:r>
      <w:r>
        <w:rPr>
          <w:rFonts w:hint="eastAsia" w:hAnsi="宋体"/>
          <w:kern w:val="2"/>
          <w:szCs w:val="21"/>
        </w:rPr>
        <w:t>时间</w:t>
      </w:r>
      <w:r>
        <w:rPr>
          <w:rFonts w:hint="eastAsia"/>
          <w:kern w:val="2"/>
          <w:szCs w:val="21"/>
        </w:rPr>
        <w:t>，</w:t>
      </w:r>
      <w:r>
        <w:rPr>
          <w:rFonts w:hint="eastAsia" w:hAnsi="宋体"/>
          <w:kern w:val="2"/>
          <w:szCs w:val="21"/>
        </w:rPr>
        <w:t>单位为秒（</w:t>
      </w:r>
      <w:r>
        <w:rPr>
          <w:kern w:val="2"/>
          <w:szCs w:val="21"/>
        </w:rPr>
        <w:t>s</w:t>
      </w:r>
      <w:r>
        <w:rPr>
          <w:rFonts w:hint="eastAsia" w:hAnsi="宋体"/>
          <w:kern w:val="2"/>
          <w:szCs w:val="21"/>
        </w:rPr>
        <w:t>）。</w:t>
      </w:r>
    </w:p>
    <w:p w14:paraId="69ECA4EC">
      <w:pPr>
        <w:widowControl w:val="0"/>
        <w:spacing w:line="240" w:lineRule="auto"/>
        <w:ind w:firstLine="420" w:firstLineChars="200"/>
        <w:textAlignment w:val="auto"/>
        <w:rPr>
          <w:rFonts w:hint="eastAsia" w:hAnsi="宋体"/>
          <w:kern w:val="2"/>
          <w:szCs w:val="21"/>
        </w:rPr>
      </w:pPr>
      <w:r>
        <w:rPr>
          <w:rFonts w:hint="eastAsia" w:hAnsi="宋体"/>
          <w:kern w:val="2"/>
          <w:szCs w:val="21"/>
        </w:rPr>
        <w:t>点火源的点火概率可根据点火源在某一时间内的点火概率计算得出，常见点火源在</w:t>
      </w:r>
      <w:r>
        <w:rPr>
          <w:kern w:val="2"/>
          <w:szCs w:val="21"/>
        </w:rPr>
        <w:t>1 min</w:t>
      </w:r>
      <w:r>
        <w:rPr>
          <w:rFonts w:hint="eastAsia" w:hAnsi="宋体"/>
          <w:kern w:val="2"/>
          <w:szCs w:val="21"/>
        </w:rPr>
        <w:t>内的点火概率参见B.11。</w:t>
      </w:r>
    </w:p>
    <w:p w14:paraId="367FEBF1">
      <w:pPr>
        <w:widowControl w:val="0"/>
        <w:spacing w:line="240" w:lineRule="auto"/>
        <w:ind w:firstLine="420" w:firstLineChars="200"/>
        <w:textAlignment w:val="auto"/>
        <w:rPr>
          <w:rFonts w:hint="eastAsia" w:hAnsi="宋体"/>
          <w:kern w:val="2"/>
          <w:szCs w:val="21"/>
        </w:rPr>
      </w:pPr>
    </w:p>
    <w:p w14:paraId="648B6034">
      <w:pPr>
        <w:pStyle w:val="161"/>
        <w:spacing w:before="156" w:after="156"/>
        <w:rPr>
          <w:rFonts w:hint="eastAsia"/>
        </w:rPr>
      </w:pPr>
      <w:bookmarkStart w:id="231" w:name="_Toc310769379"/>
      <w:bookmarkStart w:id="232" w:name="_Toc310952781"/>
      <w:bookmarkStart w:id="233" w:name="_Toc296956199"/>
      <w:r>
        <w:rPr>
          <w:rFonts w:hint="eastAsia"/>
        </w:rPr>
        <w:t>表 B</w:t>
      </w:r>
      <w:r>
        <w:t>.</w:t>
      </w:r>
      <w:r>
        <w:rPr>
          <w:rFonts w:hint="eastAsia"/>
        </w:rPr>
        <w:t>11</w:t>
      </w:r>
      <w:r>
        <w:t xml:space="preserve">  </w:t>
      </w:r>
      <w:r>
        <w:rPr>
          <w:rFonts w:hint="eastAsia"/>
        </w:rPr>
        <w:t>点火源在</w:t>
      </w:r>
      <w:r>
        <w:t>1 min</w:t>
      </w:r>
      <w:r>
        <w:rPr>
          <w:rFonts w:hint="eastAsia"/>
        </w:rPr>
        <w:t>内的点火概率</w:t>
      </w:r>
      <w:bookmarkEnd w:id="231"/>
      <w:bookmarkEnd w:id="232"/>
      <w:bookmarkEnd w:id="233"/>
    </w:p>
    <w:tbl>
      <w:tblPr>
        <w:tblStyle w:val="36"/>
        <w:tblW w:w="83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1"/>
        <w:gridCol w:w="4151"/>
      </w:tblGrid>
      <w:tr w14:paraId="3CDD1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151" w:type="dxa"/>
          </w:tcPr>
          <w:p w14:paraId="51F69B0F">
            <w:pPr>
              <w:jc w:val="center"/>
              <w:rPr>
                <w:sz w:val="18"/>
                <w:szCs w:val="32"/>
              </w:rPr>
            </w:pPr>
            <w:r>
              <w:rPr>
                <w:rFonts w:hint="eastAsia"/>
                <w:sz w:val="18"/>
                <w:szCs w:val="32"/>
              </w:rPr>
              <w:t>点火源</w:t>
            </w:r>
          </w:p>
        </w:tc>
        <w:tc>
          <w:tcPr>
            <w:tcW w:w="4151" w:type="dxa"/>
          </w:tcPr>
          <w:p w14:paraId="7CA76510">
            <w:pPr>
              <w:jc w:val="center"/>
              <w:rPr>
                <w:sz w:val="18"/>
                <w:szCs w:val="32"/>
              </w:rPr>
            </w:pPr>
            <w:r>
              <w:rPr>
                <w:sz w:val="18"/>
                <w:szCs w:val="32"/>
              </w:rPr>
              <w:t>1 min</w:t>
            </w:r>
            <w:r>
              <w:rPr>
                <w:rFonts w:hint="eastAsia"/>
                <w:sz w:val="18"/>
                <w:szCs w:val="32"/>
              </w:rPr>
              <w:t>内的点火概率</w:t>
            </w:r>
          </w:p>
        </w:tc>
      </w:tr>
      <w:tr w14:paraId="6E1B7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302" w:type="dxa"/>
            <w:gridSpan w:val="2"/>
          </w:tcPr>
          <w:p w14:paraId="08A647C1">
            <w:pPr>
              <w:jc w:val="center"/>
              <w:rPr>
                <w:sz w:val="18"/>
                <w:szCs w:val="32"/>
              </w:rPr>
            </w:pPr>
            <w:r>
              <w:rPr>
                <w:rFonts w:hint="eastAsia"/>
                <w:sz w:val="18"/>
                <w:szCs w:val="32"/>
              </w:rPr>
              <w:t>点源</w:t>
            </w:r>
          </w:p>
        </w:tc>
      </w:tr>
      <w:tr w14:paraId="5D81C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151" w:type="dxa"/>
          </w:tcPr>
          <w:p w14:paraId="2F787623">
            <w:pPr>
              <w:jc w:val="center"/>
              <w:rPr>
                <w:sz w:val="18"/>
                <w:szCs w:val="32"/>
              </w:rPr>
            </w:pPr>
            <w:r>
              <w:rPr>
                <w:rFonts w:hint="eastAsia"/>
                <w:sz w:val="18"/>
                <w:szCs w:val="32"/>
              </w:rPr>
              <w:t>机动车辆</w:t>
            </w:r>
          </w:p>
        </w:tc>
        <w:tc>
          <w:tcPr>
            <w:tcW w:w="4151" w:type="dxa"/>
          </w:tcPr>
          <w:p w14:paraId="3B58ECD0">
            <w:pPr>
              <w:jc w:val="center"/>
              <w:rPr>
                <w:sz w:val="18"/>
                <w:szCs w:val="32"/>
              </w:rPr>
            </w:pPr>
            <w:r>
              <w:rPr>
                <w:sz w:val="18"/>
                <w:szCs w:val="32"/>
              </w:rPr>
              <w:t>0.4</w:t>
            </w:r>
          </w:p>
        </w:tc>
      </w:tr>
      <w:tr w14:paraId="6A3B5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151" w:type="dxa"/>
          </w:tcPr>
          <w:p w14:paraId="56E53294">
            <w:pPr>
              <w:jc w:val="center"/>
              <w:rPr>
                <w:sz w:val="18"/>
                <w:szCs w:val="32"/>
              </w:rPr>
            </w:pPr>
            <w:r>
              <w:rPr>
                <w:rFonts w:hint="eastAsia"/>
                <w:sz w:val="18"/>
                <w:szCs w:val="32"/>
              </w:rPr>
              <w:t>火焰</w:t>
            </w:r>
          </w:p>
        </w:tc>
        <w:tc>
          <w:tcPr>
            <w:tcW w:w="4151" w:type="dxa"/>
          </w:tcPr>
          <w:p w14:paraId="31D24204">
            <w:pPr>
              <w:jc w:val="center"/>
              <w:rPr>
                <w:sz w:val="18"/>
                <w:szCs w:val="32"/>
              </w:rPr>
            </w:pPr>
            <w:r>
              <w:rPr>
                <w:sz w:val="18"/>
                <w:szCs w:val="32"/>
              </w:rPr>
              <w:t>1.0</w:t>
            </w:r>
          </w:p>
        </w:tc>
      </w:tr>
      <w:tr w14:paraId="135C6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151" w:type="dxa"/>
          </w:tcPr>
          <w:p w14:paraId="025E84A2">
            <w:pPr>
              <w:jc w:val="center"/>
              <w:rPr>
                <w:sz w:val="18"/>
                <w:szCs w:val="32"/>
              </w:rPr>
            </w:pPr>
            <w:r>
              <w:rPr>
                <w:rFonts w:hint="eastAsia"/>
                <w:sz w:val="18"/>
                <w:szCs w:val="32"/>
              </w:rPr>
              <w:t>室外燃烧炉</w:t>
            </w:r>
          </w:p>
        </w:tc>
        <w:tc>
          <w:tcPr>
            <w:tcW w:w="4151" w:type="dxa"/>
          </w:tcPr>
          <w:p w14:paraId="7F12E808">
            <w:pPr>
              <w:jc w:val="center"/>
              <w:rPr>
                <w:sz w:val="18"/>
                <w:szCs w:val="32"/>
              </w:rPr>
            </w:pPr>
            <w:r>
              <w:rPr>
                <w:sz w:val="18"/>
                <w:szCs w:val="32"/>
              </w:rPr>
              <w:t>0.9</w:t>
            </w:r>
          </w:p>
        </w:tc>
      </w:tr>
      <w:tr w14:paraId="511D6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151" w:type="dxa"/>
          </w:tcPr>
          <w:p w14:paraId="5B370916">
            <w:pPr>
              <w:jc w:val="center"/>
              <w:rPr>
                <w:sz w:val="18"/>
                <w:szCs w:val="32"/>
              </w:rPr>
            </w:pPr>
            <w:r>
              <w:rPr>
                <w:rFonts w:hint="eastAsia"/>
                <w:sz w:val="18"/>
                <w:szCs w:val="32"/>
              </w:rPr>
              <w:t>室内燃烧炉</w:t>
            </w:r>
          </w:p>
        </w:tc>
        <w:tc>
          <w:tcPr>
            <w:tcW w:w="4151" w:type="dxa"/>
          </w:tcPr>
          <w:p w14:paraId="69648A60">
            <w:pPr>
              <w:jc w:val="center"/>
              <w:rPr>
                <w:sz w:val="18"/>
                <w:szCs w:val="32"/>
              </w:rPr>
            </w:pPr>
            <w:r>
              <w:rPr>
                <w:sz w:val="18"/>
                <w:szCs w:val="32"/>
              </w:rPr>
              <w:t>0.45</w:t>
            </w:r>
          </w:p>
        </w:tc>
      </w:tr>
      <w:tr w14:paraId="35ED6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151" w:type="dxa"/>
          </w:tcPr>
          <w:p w14:paraId="7042D314">
            <w:pPr>
              <w:jc w:val="center"/>
              <w:rPr>
                <w:sz w:val="18"/>
                <w:szCs w:val="32"/>
              </w:rPr>
            </w:pPr>
            <w:r>
              <w:rPr>
                <w:rFonts w:hint="eastAsia"/>
                <w:sz w:val="18"/>
                <w:szCs w:val="32"/>
              </w:rPr>
              <w:t>室外锅炉</w:t>
            </w:r>
          </w:p>
        </w:tc>
        <w:tc>
          <w:tcPr>
            <w:tcW w:w="4151" w:type="dxa"/>
          </w:tcPr>
          <w:p w14:paraId="4EA89F20">
            <w:pPr>
              <w:jc w:val="center"/>
              <w:rPr>
                <w:sz w:val="18"/>
                <w:szCs w:val="32"/>
              </w:rPr>
            </w:pPr>
            <w:r>
              <w:rPr>
                <w:sz w:val="18"/>
                <w:szCs w:val="32"/>
              </w:rPr>
              <w:t>0.45</w:t>
            </w:r>
          </w:p>
        </w:tc>
      </w:tr>
      <w:tr w14:paraId="77B85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151" w:type="dxa"/>
          </w:tcPr>
          <w:p w14:paraId="6FBC2FAD">
            <w:pPr>
              <w:jc w:val="center"/>
              <w:rPr>
                <w:sz w:val="18"/>
                <w:szCs w:val="32"/>
              </w:rPr>
            </w:pPr>
            <w:r>
              <w:rPr>
                <w:rFonts w:hint="eastAsia"/>
                <w:sz w:val="18"/>
                <w:szCs w:val="32"/>
              </w:rPr>
              <w:t>室内锅炉</w:t>
            </w:r>
          </w:p>
        </w:tc>
        <w:tc>
          <w:tcPr>
            <w:tcW w:w="4151" w:type="dxa"/>
          </w:tcPr>
          <w:p w14:paraId="217DF1F7">
            <w:pPr>
              <w:jc w:val="center"/>
              <w:rPr>
                <w:sz w:val="18"/>
                <w:szCs w:val="32"/>
              </w:rPr>
            </w:pPr>
            <w:r>
              <w:rPr>
                <w:sz w:val="18"/>
                <w:szCs w:val="32"/>
              </w:rPr>
              <w:t>0.23</w:t>
            </w:r>
          </w:p>
        </w:tc>
      </w:tr>
      <w:tr w14:paraId="0F8B7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151" w:type="dxa"/>
          </w:tcPr>
          <w:p w14:paraId="76CC4C81">
            <w:pPr>
              <w:jc w:val="center"/>
              <w:rPr>
                <w:sz w:val="18"/>
                <w:szCs w:val="32"/>
              </w:rPr>
            </w:pPr>
            <w:r>
              <w:rPr>
                <w:rFonts w:hint="eastAsia"/>
                <w:sz w:val="18"/>
                <w:szCs w:val="32"/>
              </w:rPr>
              <w:t>船</w:t>
            </w:r>
          </w:p>
        </w:tc>
        <w:tc>
          <w:tcPr>
            <w:tcW w:w="4151" w:type="dxa"/>
          </w:tcPr>
          <w:p w14:paraId="169FE7C7">
            <w:pPr>
              <w:jc w:val="center"/>
              <w:rPr>
                <w:sz w:val="18"/>
                <w:szCs w:val="32"/>
              </w:rPr>
            </w:pPr>
            <w:r>
              <w:rPr>
                <w:sz w:val="18"/>
                <w:szCs w:val="32"/>
              </w:rPr>
              <w:t>0.5</w:t>
            </w:r>
          </w:p>
        </w:tc>
      </w:tr>
      <w:tr w14:paraId="02E9F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151" w:type="dxa"/>
          </w:tcPr>
          <w:p w14:paraId="74F8F5A6">
            <w:pPr>
              <w:jc w:val="center"/>
              <w:rPr>
                <w:sz w:val="18"/>
                <w:szCs w:val="32"/>
              </w:rPr>
            </w:pPr>
            <w:r>
              <w:rPr>
                <w:rFonts w:hint="eastAsia"/>
                <w:sz w:val="18"/>
                <w:szCs w:val="32"/>
              </w:rPr>
              <w:t>危化品船</w:t>
            </w:r>
          </w:p>
        </w:tc>
        <w:tc>
          <w:tcPr>
            <w:tcW w:w="4151" w:type="dxa"/>
          </w:tcPr>
          <w:p w14:paraId="0DF4C9AF">
            <w:pPr>
              <w:jc w:val="center"/>
              <w:rPr>
                <w:sz w:val="18"/>
                <w:szCs w:val="32"/>
              </w:rPr>
            </w:pPr>
            <w:r>
              <w:rPr>
                <w:sz w:val="18"/>
                <w:szCs w:val="32"/>
              </w:rPr>
              <w:t>0.3</w:t>
            </w:r>
          </w:p>
        </w:tc>
      </w:tr>
      <w:tr w14:paraId="74BC9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151" w:type="dxa"/>
          </w:tcPr>
          <w:p w14:paraId="641FEC95">
            <w:pPr>
              <w:jc w:val="center"/>
              <w:rPr>
                <w:sz w:val="18"/>
                <w:szCs w:val="32"/>
              </w:rPr>
            </w:pPr>
            <w:r>
              <w:rPr>
                <w:rFonts w:hint="eastAsia"/>
                <w:sz w:val="18"/>
                <w:szCs w:val="32"/>
              </w:rPr>
              <w:t>捕鱼船</w:t>
            </w:r>
          </w:p>
        </w:tc>
        <w:tc>
          <w:tcPr>
            <w:tcW w:w="4151" w:type="dxa"/>
          </w:tcPr>
          <w:p w14:paraId="37C3FC8E">
            <w:pPr>
              <w:jc w:val="center"/>
              <w:rPr>
                <w:sz w:val="18"/>
                <w:szCs w:val="32"/>
              </w:rPr>
            </w:pPr>
            <w:r>
              <w:rPr>
                <w:sz w:val="18"/>
                <w:szCs w:val="32"/>
              </w:rPr>
              <w:t>0.2</w:t>
            </w:r>
          </w:p>
        </w:tc>
      </w:tr>
      <w:tr w14:paraId="55BDE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151" w:type="dxa"/>
          </w:tcPr>
          <w:p w14:paraId="021465C7">
            <w:pPr>
              <w:jc w:val="center"/>
              <w:rPr>
                <w:sz w:val="18"/>
                <w:szCs w:val="32"/>
              </w:rPr>
            </w:pPr>
            <w:r>
              <w:rPr>
                <w:rFonts w:hint="eastAsia"/>
                <w:sz w:val="18"/>
                <w:szCs w:val="32"/>
              </w:rPr>
              <w:t>游艇</w:t>
            </w:r>
          </w:p>
        </w:tc>
        <w:tc>
          <w:tcPr>
            <w:tcW w:w="4151" w:type="dxa"/>
          </w:tcPr>
          <w:p w14:paraId="63913C29">
            <w:pPr>
              <w:jc w:val="center"/>
              <w:rPr>
                <w:sz w:val="18"/>
                <w:szCs w:val="32"/>
              </w:rPr>
            </w:pPr>
            <w:r>
              <w:rPr>
                <w:sz w:val="18"/>
                <w:szCs w:val="32"/>
              </w:rPr>
              <w:t>0.1</w:t>
            </w:r>
          </w:p>
        </w:tc>
      </w:tr>
      <w:tr w14:paraId="25B8D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151" w:type="dxa"/>
          </w:tcPr>
          <w:p w14:paraId="7210DDAD">
            <w:pPr>
              <w:jc w:val="center"/>
              <w:rPr>
                <w:sz w:val="18"/>
                <w:szCs w:val="32"/>
              </w:rPr>
            </w:pPr>
            <w:r>
              <w:rPr>
                <w:rFonts w:hint="eastAsia"/>
                <w:sz w:val="18"/>
                <w:szCs w:val="32"/>
              </w:rPr>
              <w:t>内燃机车</w:t>
            </w:r>
          </w:p>
        </w:tc>
        <w:tc>
          <w:tcPr>
            <w:tcW w:w="4151" w:type="dxa"/>
          </w:tcPr>
          <w:p w14:paraId="0C153C59">
            <w:pPr>
              <w:jc w:val="center"/>
              <w:rPr>
                <w:sz w:val="18"/>
                <w:szCs w:val="32"/>
              </w:rPr>
            </w:pPr>
            <w:r>
              <w:rPr>
                <w:sz w:val="18"/>
                <w:szCs w:val="32"/>
              </w:rPr>
              <w:t>0.4</w:t>
            </w:r>
          </w:p>
        </w:tc>
      </w:tr>
      <w:tr w14:paraId="3697A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151" w:type="dxa"/>
          </w:tcPr>
          <w:p w14:paraId="3F3434C5">
            <w:pPr>
              <w:jc w:val="center"/>
              <w:rPr>
                <w:sz w:val="18"/>
                <w:szCs w:val="32"/>
              </w:rPr>
            </w:pPr>
            <w:r>
              <w:rPr>
                <w:rFonts w:hint="eastAsia"/>
                <w:sz w:val="18"/>
                <w:szCs w:val="32"/>
              </w:rPr>
              <w:t>电力机车</w:t>
            </w:r>
          </w:p>
        </w:tc>
        <w:tc>
          <w:tcPr>
            <w:tcW w:w="4151" w:type="dxa"/>
          </w:tcPr>
          <w:p w14:paraId="50D92CC7">
            <w:pPr>
              <w:jc w:val="center"/>
              <w:rPr>
                <w:sz w:val="18"/>
                <w:szCs w:val="32"/>
              </w:rPr>
            </w:pPr>
            <w:r>
              <w:rPr>
                <w:sz w:val="18"/>
                <w:szCs w:val="32"/>
              </w:rPr>
              <w:t>0.8</w:t>
            </w:r>
          </w:p>
        </w:tc>
      </w:tr>
      <w:tr w14:paraId="31C62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302" w:type="dxa"/>
            <w:gridSpan w:val="2"/>
          </w:tcPr>
          <w:p w14:paraId="72B5568C">
            <w:pPr>
              <w:jc w:val="center"/>
              <w:rPr>
                <w:sz w:val="18"/>
                <w:szCs w:val="32"/>
              </w:rPr>
            </w:pPr>
            <w:r>
              <w:rPr>
                <w:rFonts w:hint="eastAsia"/>
                <w:sz w:val="18"/>
                <w:szCs w:val="32"/>
              </w:rPr>
              <w:t>线源</w:t>
            </w:r>
          </w:p>
        </w:tc>
      </w:tr>
      <w:tr w14:paraId="26E94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151" w:type="dxa"/>
          </w:tcPr>
          <w:p w14:paraId="1B151D52">
            <w:pPr>
              <w:jc w:val="center"/>
              <w:rPr>
                <w:sz w:val="18"/>
                <w:szCs w:val="32"/>
              </w:rPr>
            </w:pPr>
            <w:r>
              <w:rPr>
                <w:rFonts w:hint="eastAsia"/>
                <w:sz w:val="18"/>
                <w:szCs w:val="32"/>
              </w:rPr>
              <w:t>输电线路</w:t>
            </w:r>
          </w:p>
        </w:tc>
        <w:tc>
          <w:tcPr>
            <w:tcW w:w="4151" w:type="dxa"/>
          </w:tcPr>
          <w:p w14:paraId="14128E49">
            <w:pPr>
              <w:jc w:val="center"/>
              <w:rPr>
                <w:sz w:val="18"/>
                <w:szCs w:val="32"/>
              </w:rPr>
            </w:pPr>
            <w:r>
              <w:rPr>
                <w:sz w:val="18"/>
                <w:szCs w:val="32"/>
              </w:rPr>
              <w:t>0.2/100 m</w:t>
            </w:r>
          </w:p>
        </w:tc>
      </w:tr>
      <w:tr w14:paraId="07334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151" w:type="dxa"/>
          </w:tcPr>
          <w:p w14:paraId="5DAA6E90">
            <w:pPr>
              <w:jc w:val="center"/>
              <w:rPr>
                <w:sz w:val="18"/>
                <w:szCs w:val="32"/>
              </w:rPr>
            </w:pPr>
            <w:r>
              <w:rPr>
                <w:rFonts w:hint="eastAsia"/>
                <w:sz w:val="18"/>
                <w:szCs w:val="32"/>
              </w:rPr>
              <w:t>公路</w:t>
            </w:r>
          </w:p>
        </w:tc>
        <w:tc>
          <w:tcPr>
            <w:tcW w:w="4151" w:type="dxa"/>
          </w:tcPr>
          <w:p w14:paraId="6E60809F">
            <w:pPr>
              <w:jc w:val="center"/>
              <w:rPr>
                <w:sz w:val="18"/>
                <w:szCs w:val="32"/>
              </w:rPr>
            </w:pPr>
            <w:r>
              <w:rPr>
                <w:rFonts w:hint="eastAsia"/>
                <w:sz w:val="18"/>
                <w:szCs w:val="32"/>
              </w:rPr>
              <w:t>注</w:t>
            </w:r>
            <w:r>
              <w:rPr>
                <w:sz w:val="18"/>
                <w:szCs w:val="32"/>
              </w:rPr>
              <w:t>1</w:t>
            </w:r>
          </w:p>
        </w:tc>
      </w:tr>
      <w:tr w14:paraId="78FE4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151" w:type="dxa"/>
          </w:tcPr>
          <w:p w14:paraId="56122919">
            <w:pPr>
              <w:jc w:val="center"/>
              <w:rPr>
                <w:sz w:val="18"/>
                <w:szCs w:val="32"/>
              </w:rPr>
            </w:pPr>
            <w:r>
              <w:rPr>
                <w:rFonts w:hint="eastAsia"/>
                <w:sz w:val="18"/>
                <w:szCs w:val="32"/>
              </w:rPr>
              <w:t>铁路</w:t>
            </w:r>
          </w:p>
        </w:tc>
        <w:tc>
          <w:tcPr>
            <w:tcW w:w="4151" w:type="dxa"/>
          </w:tcPr>
          <w:p w14:paraId="11BF7528">
            <w:pPr>
              <w:jc w:val="center"/>
              <w:rPr>
                <w:sz w:val="18"/>
                <w:szCs w:val="32"/>
              </w:rPr>
            </w:pPr>
            <w:r>
              <w:rPr>
                <w:rFonts w:hint="eastAsia"/>
                <w:sz w:val="18"/>
                <w:szCs w:val="32"/>
              </w:rPr>
              <w:t>注</w:t>
            </w:r>
            <w:r>
              <w:rPr>
                <w:sz w:val="18"/>
                <w:szCs w:val="32"/>
              </w:rPr>
              <w:t>1</w:t>
            </w:r>
          </w:p>
        </w:tc>
      </w:tr>
      <w:tr w14:paraId="20EE6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302" w:type="dxa"/>
            <w:gridSpan w:val="2"/>
          </w:tcPr>
          <w:p w14:paraId="4E0B41F6">
            <w:pPr>
              <w:jc w:val="center"/>
              <w:rPr>
                <w:sz w:val="18"/>
                <w:szCs w:val="32"/>
              </w:rPr>
            </w:pPr>
            <w:r>
              <w:rPr>
                <w:rFonts w:hint="eastAsia"/>
                <w:sz w:val="18"/>
                <w:szCs w:val="32"/>
              </w:rPr>
              <w:t>面源</w:t>
            </w:r>
          </w:p>
        </w:tc>
      </w:tr>
      <w:tr w14:paraId="38F64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151" w:type="dxa"/>
          </w:tcPr>
          <w:p w14:paraId="7551A232">
            <w:pPr>
              <w:jc w:val="center"/>
              <w:rPr>
                <w:sz w:val="18"/>
                <w:szCs w:val="32"/>
              </w:rPr>
            </w:pPr>
            <w:r>
              <w:rPr>
                <w:rFonts w:hint="eastAsia"/>
                <w:sz w:val="18"/>
                <w:szCs w:val="32"/>
              </w:rPr>
              <w:t>化工厂</w:t>
            </w:r>
          </w:p>
        </w:tc>
        <w:tc>
          <w:tcPr>
            <w:tcW w:w="4151" w:type="dxa"/>
          </w:tcPr>
          <w:p w14:paraId="57C8446F">
            <w:pPr>
              <w:jc w:val="center"/>
              <w:rPr>
                <w:sz w:val="18"/>
                <w:szCs w:val="32"/>
              </w:rPr>
            </w:pPr>
            <w:r>
              <w:rPr>
                <w:sz w:val="18"/>
                <w:szCs w:val="32"/>
              </w:rPr>
              <w:t>0.9 /</w:t>
            </w:r>
            <w:r>
              <w:rPr>
                <w:rFonts w:hint="eastAsia"/>
                <w:sz w:val="18"/>
                <w:szCs w:val="32"/>
              </w:rPr>
              <w:t>座</w:t>
            </w:r>
          </w:p>
        </w:tc>
      </w:tr>
      <w:tr w14:paraId="115EC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151" w:type="dxa"/>
          </w:tcPr>
          <w:p w14:paraId="5A5A2DA2">
            <w:pPr>
              <w:jc w:val="center"/>
              <w:rPr>
                <w:sz w:val="18"/>
                <w:szCs w:val="32"/>
              </w:rPr>
            </w:pPr>
            <w:r>
              <w:rPr>
                <w:rFonts w:hint="eastAsia"/>
                <w:sz w:val="18"/>
                <w:szCs w:val="32"/>
              </w:rPr>
              <w:t>轻工业区</w:t>
            </w:r>
          </w:p>
        </w:tc>
        <w:tc>
          <w:tcPr>
            <w:tcW w:w="4151" w:type="dxa"/>
          </w:tcPr>
          <w:p w14:paraId="50957964">
            <w:pPr>
              <w:jc w:val="center"/>
              <w:rPr>
                <w:sz w:val="18"/>
                <w:szCs w:val="32"/>
              </w:rPr>
            </w:pPr>
            <w:r>
              <w:rPr>
                <w:rFonts w:hint="eastAsia"/>
                <w:sz w:val="18"/>
                <w:szCs w:val="32"/>
              </w:rPr>
              <w:t>按人口计算</w:t>
            </w:r>
          </w:p>
        </w:tc>
      </w:tr>
      <w:tr w14:paraId="3BDCA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302" w:type="dxa"/>
            <w:gridSpan w:val="2"/>
          </w:tcPr>
          <w:p w14:paraId="7CFE1E48">
            <w:pPr>
              <w:jc w:val="center"/>
              <w:rPr>
                <w:sz w:val="18"/>
                <w:szCs w:val="32"/>
              </w:rPr>
            </w:pPr>
            <w:r>
              <w:rPr>
                <w:rFonts w:hint="eastAsia"/>
                <w:sz w:val="18"/>
                <w:szCs w:val="32"/>
              </w:rPr>
              <w:t>人口</w:t>
            </w:r>
          </w:p>
        </w:tc>
      </w:tr>
      <w:tr w14:paraId="55EDB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151" w:type="dxa"/>
          </w:tcPr>
          <w:p w14:paraId="1A6F81BA">
            <w:pPr>
              <w:jc w:val="center"/>
              <w:rPr>
                <w:sz w:val="18"/>
                <w:szCs w:val="32"/>
              </w:rPr>
            </w:pPr>
            <w:r>
              <w:rPr>
                <w:rFonts w:hint="eastAsia"/>
                <w:sz w:val="18"/>
                <w:szCs w:val="32"/>
              </w:rPr>
              <w:t>居民</w:t>
            </w:r>
          </w:p>
        </w:tc>
        <w:tc>
          <w:tcPr>
            <w:tcW w:w="4151" w:type="dxa"/>
          </w:tcPr>
          <w:p w14:paraId="42D08E3E">
            <w:pPr>
              <w:jc w:val="center"/>
              <w:rPr>
                <w:sz w:val="18"/>
                <w:szCs w:val="32"/>
              </w:rPr>
            </w:pPr>
            <w:r>
              <w:rPr>
                <w:sz w:val="18"/>
                <w:szCs w:val="32"/>
              </w:rPr>
              <w:t>0.01 /</w:t>
            </w:r>
            <w:r>
              <w:rPr>
                <w:rFonts w:hint="eastAsia"/>
                <w:sz w:val="18"/>
                <w:szCs w:val="32"/>
              </w:rPr>
              <w:t>人</w:t>
            </w:r>
          </w:p>
        </w:tc>
      </w:tr>
      <w:tr w14:paraId="2047A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151" w:type="dxa"/>
          </w:tcPr>
          <w:p w14:paraId="1C02143C">
            <w:pPr>
              <w:jc w:val="center"/>
              <w:rPr>
                <w:sz w:val="18"/>
                <w:szCs w:val="32"/>
              </w:rPr>
            </w:pPr>
            <w:r>
              <w:rPr>
                <w:rFonts w:hint="eastAsia"/>
                <w:sz w:val="18"/>
                <w:szCs w:val="32"/>
              </w:rPr>
              <w:t>工人</w:t>
            </w:r>
          </w:p>
        </w:tc>
        <w:tc>
          <w:tcPr>
            <w:tcW w:w="4151" w:type="dxa"/>
          </w:tcPr>
          <w:p w14:paraId="16CF0D8D">
            <w:pPr>
              <w:jc w:val="center"/>
              <w:rPr>
                <w:sz w:val="18"/>
                <w:szCs w:val="32"/>
              </w:rPr>
            </w:pPr>
            <w:r>
              <w:rPr>
                <w:sz w:val="18"/>
                <w:szCs w:val="32"/>
              </w:rPr>
              <w:t>0.01 /</w:t>
            </w:r>
            <w:r>
              <w:rPr>
                <w:rFonts w:hint="eastAsia"/>
                <w:sz w:val="18"/>
                <w:szCs w:val="32"/>
              </w:rPr>
              <w:t>人</w:t>
            </w:r>
          </w:p>
        </w:tc>
      </w:tr>
      <w:tr w14:paraId="53E23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302" w:type="dxa"/>
            <w:gridSpan w:val="2"/>
          </w:tcPr>
          <w:p w14:paraId="77BFD368">
            <w:pPr>
              <w:rPr>
                <w:sz w:val="18"/>
                <w:szCs w:val="32"/>
              </w:rPr>
            </w:pPr>
            <w:r>
              <w:rPr>
                <w:rFonts w:hint="eastAsia"/>
                <w:sz w:val="18"/>
                <w:szCs w:val="32"/>
              </w:rPr>
              <w:t>注</w:t>
            </w:r>
            <w:r>
              <w:rPr>
                <w:sz w:val="18"/>
                <w:szCs w:val="32"/>
              </w:rPr>
              <w:t>1</w:t>
            </w:r>
            <w:r>
              <w:rPr>
                <w:rFonts w:hint="eastAsia"/>
                <w:sz w:val="18"/>
                <w:szCs w:val="32"/>
              </w:rPr>
              <w:t>：发生泄漏事故地点周边的公路或铁路的点火概率与平均交通密度</w:t>
            </w:r>
            <w:r>
              <w:rPr>
                <w:sz w:val="18"/>
                <w:szCs w:val="32"/>
              </w:rPr>
              <w:t>d</w:t>
            </w:r>
            <w:r>
              <w:rPr>
                <w:rFonts w:hint="eastAsia"/>
                <w:sz w:val="18"/>
                <w:szCs w:val="32"/>
              </w:rPr>
              <w:t>有关。平均交通密度</w:t>
            </w:r>
            <w:r>
              <w:rPr>
                <w:sz w:val="18"/>
                <w:szCs w:val="32"/>
              </w:rPr>
              <w:t>d</w:t>
            </w:r>
            <w:r>
              <w:rPr>
                <w:rFonts w:hint="eastAsia"/>
                <w:sz w:val="18"/>
                <w:szCs w:val="32"/>
              </w:rPr>
              <w:t>的计算公式为：</w:t>
            </w:r>
          </w:p>
          <w:p w14:paraId="151E37AB">
            <w:pPr>
              <w:jc w:val="center"/>
              <w:rPr>
                <w:sz w:val="18"/>
                <w:szCs w:val="32"/>
                <w:lang w:val="pt-PT"/>
              </w:rPr>
            </w:pPr>
            <w:r>
              <w:rPr>
                <w:i/>
                <w:sz w:val="18"/>
                <w:szCs w:val="32"/>
                <w:lang w:val="pt-PT"/>
              </w:rPr>
              <w:t>d=N×E/V</w:t>
            </w:r>
          </w:p>
          <w:p w14:paraId="434A4A67">
            <w:pPr>
              <w:ind w:firstLine="360" w:firstLineChars="200"/>
              <w:rPr>
                <w:sz w:val="18"/>
                <w:szCs w:val="32"/>
                <w:lang w:val="pt-PT"/>
              </w:rPr>
            </w:pPr>
            <w:r>
              <w:rPr>
                <w:rFonts w:hint="eastAsia"/>
                <w:sz w:val="18"/>
                <w:szCs w:val="32"/>
              </w:rPr>
              <w:t>式中</w:t>
            </w:r>
            <w:r>
              <w:rPr>
                <w:rFonts w:hint="eastAsia"/>
                <w:sz w:val="18"/>
                <w:szCs w:val="32"/>
                <w:lang w:val="pt-PT"/>
              </w:rPr>
              <w:t>：</w:t>
            </w:r>
          </w:p>
          <w:p w14:paraId="14151C80">
            <w:pPr>
              <w:ind w:firstLine="720" w:firstLineChars="400"/>
              <w:rPr>
                <w:sz w:val="18"/>
                <w:szCs w:val="32"/>
              </w:rPr>
            </w:pPr>
            <w:r>
              <w:rPr>
                <w:i/>
                <w:sz w:val="18"/>
                <w:szCs w:val="32"/>
              </w:rPr>
              <w:t>N</w:t>
            </w:r>
            <w:r>
              <w:rPr>
                <w:sz w:val="18"/>
                <w:szCs w:val="32"/>
              </w:rPr>
              <w:t>——</w:t>
            </w:r>
            <w:r>
              <w:rPr>
                <w:rFonts w:hint="eastAsia"/>
                <w:sz w:val="18"/>
                <w:szCs w:val="32"/>
              </w:rPr>
              <w:t>每小时通过的汽车数量，单位为每</w:t>
            </w:r>
            <w:r>
              <w:rPr>
                <w:sz w:val="18"/>
                <w:szCs w:val="32"/>
              </w:rPr>
              <w:t>小时（h</w:t>
            </w:r>
            <w:r>
              <w:rPr>
                <w:sz w:val="18"/>
                <w:szCs w:val="32"/>
                <w:vertAlign w:val="superscript"/>
              </w:rPr>
              <w:t>-1</w:t>
            </w:r>
            <w:r>
              <w:rPr>
                <w:sz w:val="18"/>
                <w:szCs w:val="32"/>
              </w:rPr>
              <w:t>）</w:t>
            </w:r>
            <w:r>
              <w:rPr>
                <w:rFonts w:hint="eastAsia"/>
                <w:sz w:val="18"/>
                <w:szCs w:val="32"/>
              </w:rPr>
              <w:t>；</w:t>
            </w:r>
          </w:p>
          <w:p w14:paraId="08F30E21">
            <w:pPr>
              <w:ind w:firstLine="720" w:firstLineChars="400"/>
              <w:rPr>
                <w:sz w:val="18"/>
                <w:szCs w:val="32"/>
              </w:rPr>
            </w:pPr>
            <w:r>
              <w:rPr>
                <w:i/>
                <w:sz w:val="18"/>
                <w:szCs w:val="32"/>
              </w:rPr>
              <w:t>E</w:t>
            </w:r>
            <w:r>
              <w:rPr>
                <w:sz w:val="18"/>
                <w:szCs w:val="32"/>
              </w:rPr>
              <w:t>——</w:t>
            </w:r>
            <w:r>
              <w:rPr>
                <w:rFonts w:hint="eastAsia"/>
                <w:sz w:val="18"/>
                <w:szCs w:val="32"/>
              </w:rPr>
              <w:t>道路或铁路的长度，单位为千米</w:t>
            </w:r>
            <w:r>
              <w:rPr>
                <w:sz w:val="18"/>
                <w:szCs w:val="32"/>
              </w:rPr>
              <w:t>（km）</w:t>
            </w:r>
            <w:r>
              <w:rPr>
                <w:rFonts w:hint="eastAsia"/>
                <w:sz w:val="18"/>
                <w:szCs w:val="32"/>
              </w:rPr>
              <w:t>；</w:t>
            </w:r>
          </w:p>
          <w:p w14:paraId="6F71C13B">
            <w:pPr>
              <w:ind w:firstLine="720" w:firstLineChars="400"/>
              <w:rPr>
                <w:sz w:val="18"/>
                <w:szCs w:val="32"/>
              </w:rPr>
            </w:pPr>
            <w:r>
              <w:rPr>
                <w:i/>
                <w:sz w:val="18"/>
                <w:szCs w:val="32"/>
              </w:rPr>
              <w:t>V</w:t>
            </w:r>
            <w:r>
              <w:rPr>
                <w:sz w:val="18"/>
                <w:szCs w:val="32"/>
              </w:rPr>
              <w:t>——</w:t>
            </w:r>
            <w:r>
              <w:rPr>
                <w:rFonts w:hint="eastAsia"/>
                <w:sz w:val="18"/>
                <w:szCs w:val="32"/>
              </w:rPr>
              <w:t>汽车平均速度，单位为千米</w:t>
            </w:r>
            <w:r>
              <w:rPr>
                <w:sz w:val="18"/>
                <w:szCs w:val="32"/>
              </w:rPr>
              <w:t>每小时（km</w:t>
            </w:r>
            <w:r>
              <w:rPr>
                <w:rFonts w:hint="eastAsia"/>
                <w:sz w:val="18"/>
                <w:szCs w:val="32"/>
              </w:rPr>
              <w:t>·</w:t>
            </w:r>
            <w:r>
              <w:rPr>
                <w:sz w:val="18"/>
                <w:szCs w:val="32"/>
              </w:rPr>
              <w:t>h</w:t>
            </w:r>
            <w:r>
              <w:rPr>
                <w:sz w:val="18"/>
                <w:szCs w:val="32"/>
                <w:vertAlign w:val="superscript"/>
              </w:rPr>
              <w:t>-1</w:t>
            </w:r>
            <w:r>
              <w:rPr>
                <w:sz w:val="18"/>
                <w:szCs w:val="32"/>
              </w:rPr>
              <w:t>）</w:t>
            </w:r>
            <w:r>
              <w:rPr>
                <w:rFonts w:hint="eastAsia"/>
                <w:sz w:val="18"/>
                <w:szCs w:val="32"/>
              </w:rPr>
              <w:t>。</w:t>
            </w:r>
          </w:p>
          <w:p w14:paraId="7A0EEBF1">
            <w:pPr>
              <w:ind w:firstLine="360" w:firstLineChars="200"/>
              <w:rPr>
                <w:sz w:val="18"/>
                <w:szCs w:val="32"/>
              </w:rPr>
            </w:pPr>
            <w:r>
              <w:rPr>
                <w:rFonts w:hint="eastAsia"/>
                <w:sz w:val="18"/>
                <w:szCs w:val="32"/>
              </w:rPr>
              <w:t>如果</w:t>
            </w:r>
            <w:r>
              <w:rPr>
                <w:sz w:val="18"/>
                <w:szCs w:val="32"/>
              </w:rPr>
              <w:t>d</w:t>
            </w:r>
            <w:r>
              <w:rPr>
                <w:rFonts w:hint="eastAsia"/>
                <w:sz w:val="18"/>
                <w:szCs w:val="32"/>
              </w:rPr>
              <w:t>≤</w:t>
            </w:r>
            <w:r>
              <w:rPr>
                <w:sz w:val="18"/>
                <w:szCs w:val="32"/>
              </w:rPr>
              <w:t>1</w:t>
            </w:r>
            <w:r>
              <w:rPr>
                <w:rFonts w:hint="eastAsia"/>
                <w:sz w:val="18"/>
                <w:szCs w:val="32"/>
              </w:rPr>
              <w:t>，则</w:t>
            </w:r>
            <w:r>
              <w:rPr>
                <w:sz w:val="18"/>
                <w:szCs w:val="32"/>
              </w:rPr>
              <w:t>d</w:t>
            </w:r>
            <w:r>
              <w:rPr>
                <w:rFonts w:hint="eastAsia"/>
                <w:sz w:val="18"/>
                <w:szCs w:val="32"/>
              </w:rPr>
              <w:t>的数值就是蒸气云通过时点火源存在的概率，此时</w:t>
            </w:r>
          </w:p>
          <w:p w14:paraId="297E71F7">
            <w:pPr>
              <w:jc w:val="center"/>
              <w:rPr>
                <w:sz w:val="18"/>
                <w:szCs w:val="32"/>
                <w:lang w:val="de-DE"/>
              </w:rPr>
            </w:pPr>
            <w:r>
              <w:rPr>
                <w:i/>
                <w:sz w:val="18"/>
                <w:szCs w:val="32"/>
                <w:lang w:val="de-DE"/>
              </w:rPr>
              <w:t>P(t)=d(</w:t>
            </w:r>
            <w:r>
              <w:rPr>
                <w:sz w:val="18"/>
                <w:szCs w:val="32"/>
                <w:lang w:val="de-DE"/>
              </w:rPr>
              <w:t>1</w:t>
            </w:r>
            <w:r>
              <w:rPr>
                <w:i/>
                <w:sz w:val="18"/>
                <w:szCs w:val="32"/>
                <w:lang w:val="de-DE"/>
              </w:rPr>
              <w:t>-e</w:t>
            </w:r>
            <w:r>
              <w:rPr>
                <w:i/>
                <w:sz w:val="18"/>
                <w:szCs w:val="32"/>
                <w:vertAlign w:val="superscript"/>
                <w:lang w:val="de-DE"/>
              </w:rPr>
              <w:t>-</w:t>
            </w:r>
            <w:r>
              <w:rPr>
                <w:i/>
                <w:sz w:val="18"/>
                <w:szCs w:val="32"/>
                <w:vertAlign w:val="superscript"/>
              </w:rPr>
              <w:t>ω</w:t>
            </w:r>
            <w:r>
              <w:rPr>
                <w:i/>
                <w:sz w:val="18"/>
                <w:szCs w:val="32"/>
                <w:vertAlign w:val="superscript"/>
                <w:lang w:val="de-DE"/>
              </w:rPr>
              <w:t>t</w:t>
            </w:r>
            <w:r>
              <w:rPr>
                <w:i/>
                <w:sz w:val="18"/>
                <w:szCs w:val="32"/>
                <w:lang w:val="de-DE"/>
              </w:rPr>
              <w:t>)</w:t>
            </w:r>
            <w:r>
              <w:rPr>
                <w:sz w:val="18"/>
                <w:szCs w:val="32"/>
                <w:lang w:val="de-DE"/>
              </w:rPr>
              <w:t xml:space="preserve"> </w:t>
            </w:r>
          </w:p>
          <w:p w14:paraId="72E6DC7B">
            <w:pPr>
              <w:jc w:val="center"/>
              <w:rPr>
                <w:sz w:val="18"/>
                <w:szCs w:val="32"/>
              </w:rPr>
            </w:pPr>
            <w:r>
              <w:rPr>
                <w:rFonts w:hint="eastAsia"/>
                <w:sz w:val="18"/>
                <w:szCs w:val="32"/>
              </w:rPr>
              <w:t>式中</w:t>
            </w:r>
            <w:r>
              <w:rPr>
                <w:sz w:val="18"/>
                <w:szCs w:val="32"/>
              </w:rPr>
              <w:t>ω</w:t>
            </w:r>
            <w:r>
              <w:rPr>
                <w:rFonts w:hint="eastAsia"/>
                <w:sz w:val="18"/>
                <w:szCs w:val="32"/>
              </w:rPr>
              <w:t>为单辆汽车的点火效率，单位为每秒</w:t>
            </w:r>
            <w:r>
              <w:rPr>
                <w:sz w:val="18"/>
                <w:szCs w:val="32"/>
              </w:rPr>
              <w:t>（s</w:t>
            </w:r>
            <w:r>
              <w:rPr>
                <w:sz w:val="18"/>
                <w:szCs w:val="32"/>
                <w:vertAlign w:val="superscript"/>
              </w:rPr>
              <w:t>-1</w:t>
            </w:r>
            <w:r>
              <w:rPr>
                <w:sz w:val="18"/>
                <w:szCs w:val="32"/>
              </w:rPr>
              <w:t>）</w:t>
            </w:r>
            <w:r>
              <w:rPr>
                <w:rFonts w:hint="eastAsia"/>
                <w:sz w:val="18"/>
                <w:szCs w:val="32"/>
              </w:rPr>
              <w:t>。</w:t>
            </w:r>
          </w:p>
          <w:p w14:paraId="1DA54D07">
            <w:pPr>
              <w:ind w:firstLine="360" w:firstLineChars="200"/>
              <w:rPr>
                <w:sz w:val="18"/>
                <w:szCs w:val="32"/>
              </w:rPr>
            </w:pPr>
            <w:r>
              <w:rPr>
                <w:rFonts w:hint="eastAsia"/>
                <w:sz w:val="18"/>
                <w:szCs w:val="32"/>
              </w:rPr>
              <w:t>如果</w:t>
            </w:r>
            <w:r>
              <w:rPr>
                <w:sz w:val="18"/>
                <w:szCs w:val="32"/>
              </w:rPr>
              <w:t>d</w:t>
            </w:r>
            <w:r>
              <w:rPr>
                <w:rFonts w:hint="eastAsia"/>
                <w:sz w:val="18"/>
                <w:szCs w:val="32"/>
              </w:rPr>
              <w:t>≥</w:t>
            </w:r>
            <w:r>
              <w:rPr>
                <w:sz w:val="18"/>
                <w:szCs w:val="32"/>
              </w:rPr>
              <w:t>1</w:t>
            </w:r>
            <w:r>
              <w:rPr>
                <w:rFonts w:hint="eastAsia"/>
                <w:sz w:val="18"/>
                <w:szCs w:val="32"/>
              </w:rPr>
              <w:t>，则</w:t>
            </w:r>
            <w:r>
              <w:rPr>
                <w:sz w:val="18"/>
                <w:szCs w:val="32"/>
              </w:rPr>
              <w:t>d</w:t>
            </w:r>
            <w:r>
              <w:rPr>
                <w:rFonts w:hint="eastAsia"/>
                <w:sz w:val="18"/>
                <w:szCs w:val="32"/>
              </w:rPr>
              <w:t>表示当蒸气云经过时的平均点火源数目；则在</w:t>
            </w:r>
            <w:r>
              <w:rPr>
                <w:sz w:val="18"/>
                <w:szCs w:val="32"/>
              </w:rPr>
              <w:t>0</w:t>
            </w:r>
            <w:r>
              <w:rPr>
                <w:szCs w:val="21"/>
              </w:rPr>
              <w:t>~</w:t>
            </w:r>
            <w:r>
              <w:rPr>
                <w:sz w:val="18"/>
                <w:szCs w:val="32"/>
              </w:rPr>
              <w:t>t</w:t>
            </w:r>
            <w:r>
              <w:rPr>
                <w:rFonts w:hint="eastAsia"/>
                <w:sz w:val="18"/>
                <w:szCs w:val="32"/>
              </w:rPr>
              <w:t>时间内发生点火的概率为：</w:t>
            </w:r>
          </w:p>
          <w:p w14:paraId="6988C036">
            <w:pPr>
              <w:jc w:val="center"/>
              <w:rPr>
                <w:sz w:val="18"/>
                <w:szCs w:val="32"/>
                <w:lang w:val="de-DE"/>
              </w:rPr>
            </w:pPr>
            <w:r>
              <w:rPr>
                <w:i/>
                <w:sz w:val="18"/>
                <w:szCs w:val="32"/>
                <w:lang w:val="de-DE"/>
              </w:rPr>
              <w:t xml:space="preserve">P(t)= </w:t>
            </w:r>
            <w:r>
              <w:rPr>
                <w:sz w:val="18"/>
                <w:szCs w:val="32"/>
                <w:lang w:val="de-DE"/>
              </w:rPr>
              <w:t>1</w:t>
            </w:r>
            <w:r>
              <w:rPr>
                <w:i/>
                <w:sz w:val="18"/>
                <w:szCs w:val="32"/>
                <w:lang w:val="de-DE"/>
              </w:rPr>
              <w:t>-e</w:t>
            </w:r>
            <w:r>
              <w:rPr>
                <w:i/>
                <w:sz w:val="18"/>
                <w:szCs w:val="32"/>
                <w:vertAlign w:val="superscript"/>
                <w:lang w:val="de-DE"/>
              </w:rPr>
              <w:t>-d</w:t>
            </w:r>
            <w:r>
              <w:rPr>
                <w:i/>
                <w:sz w:val="18"/>
                <w:szCs w:val="32"/>
                <w:vertAlign w:val="superscript"/>
              </w:rPr>
              <w:t>ω</w:t>
            </w:r>
            <w:r>
              <w:rPr>
                <w:i/>
                <w:sz w:val="18"/>
                <w:szCs w:val="32"/>
                <w:vertAlign w:val="superscript"/>
                <w:lang w:val="de-DE"/>
              </w:rPr>
              <w:t>t</w:t>
            </w:r>
          </w:p>
          <w:p w14:paraId="3E42BA13">
            <w:pPr>
              <w:ind w:firstLine="360" w:firstLineChars="200"/>
              <w:rPr>
                <w:sz w:val="18"/>
                <w:szCs w:val="32"/>
              </w:rPr>
            </w:pPr>
            <w:r>
              <w:rPr>
                <w:rFonts w:hint="eastAsia"/>
                <w:sz w:val="18"/>
                <w:szCs w:val="32"/>
              </w:rPr>
              <w:t>式中</w:t>
            </w:r>
            <w:r>
              <w:rPr>
                <w:sz w:val="18"/>
                <w:szCs w:val="32"/>
              </w:rPr>
              <w:t>ω</w:t>
            </w:r>
            <w:r>
              <w:rPr>
                <w:rFonts w:hint="eastAsia"/>
                <w:sz w:val="18"/>
                <w:szCs w:val="32"/>
              </w:rPr>
              <w:t>为单辆汽车的点火效率，单位为每秒</w:t>
            </w:r>
            <w:r>
              <w:rPr>
                <w:sz w:val="18"/>
                <w:szCs w:val="32"/>
              </w:rPr>
              <w:t>（s</w:t>
            </w:r>
            <w:r>
              <w:rPr>
                <w:sz w:val="18"/>
                <w:szCs w:val="32"/>
                <w:vertAlign w:val="superscript"/>
              </w:rPr>
              <w:t>-1</w:t>
            </w:r>
            <w:r>
              <w:rPr>
                <w:sz w:val="18"/>
                <w:szCs w:val="32"/>
              </w:rPr>
              <w:t>）</w:t>
            </w:r>
            <w:r>
              <w:rPr>
                <w:rFonts w:hint="eastAsia"/>
                <w:sz w:val="18"/>
                <w:szCs w:val="32"/>
              </w:rPr>
              <w:t>。</w:t>
            </w:r>
          </w:p>
          <w:p w14:paraId="20E9384E">
            <w:pPr>
              <w:rPr>
                <w:sz w:val="18"/>
                <w:szCs w:val="32"/>
              </w:rPr>
            </w:pPr>
            <w:r>
              <w:rPr>
                <w:rFonts w:hint="eastAsia"/>
                <w:sz w:val="18"/>
                <w:szCs w:val="32"/>
              </w:rPr>
              <w:t>注</w:t>
            </w:r>
            <w:r>
              <w:rPr>
                <w:sz w:val="18"/>
                <w:szCs w:val="32"/>
              </w:rPr>
              <w:t>2</w:t>
            </w:r>
            <w:r>
              <w:rPr>
                <w:rFonts w:hint="eastAsia"/>
                <w:sz w:val="18"/>
                <w:szCs w:val="32"/>
              </w:rPr>
              <w:t>：对某个居民区而言，</w:t>
            </w:r>
            <w:r>
              <w:rPr>
                <w:sz w:val="18"/>
                <w:szCs w:val="32"/>
              </w:rPr>
              <w:t>0</w:t>
            </w:r>
            <w:r>
              <w:rPr>
                <w:szCs w:val="21"/>
              </w:rPr>
              <w:t>~</w:t>
            </w:r>
            <w:r>
              <w:rPr>
                <w:sz w:val="18"/>
                <w:szCs w:val="32"/>
              </w:rPr>
              <w:t>t</w:t>
            </w:r>
            <w:r>
              <w:rPr>
                <w:rFonts w:hint="eastAsia"/>
                <w:sz w:val="18"/>
                <w:szCs w:val="32"/>
              </w:rPr>
              <w:t>时间内的点火概率的计算公式为：</w:t>
            </w:r>
          </w:p>
          <w:p w14:paraId="2E21D42A">
            <w:pPr>
              <w:ind w:firstLine="90" w:firstLineChars="50"/>
              <w:jc w:val="center"/>
              <w:rPr>
                <w:sz w:val="18"/>
                <w:szCs w:val="32"/>
                <w:lang w:val="de-DE"/>
              </w:rPr>
            </w:pPr>
            <w:r>
              <w:rPr>
                <w:i/>
                <w:sz w:val="18"/>
                <w:szCs w:val="32"/>
                <w:lang w:val="de-DE"/>
              </w:rPr>
              <w:t>P(t)=</w:t>
            </w:r>
            <w:r>
              <w:rPr>
                <w:sz w:val="18"/>
                <w:szCs w:val="32"/>
                <w:lang w:val="de-DE"/>
              </w:rPr>
              <w:t xml:space="preserve"> 1</w:t>
            </w:r>
            <w:r>
              <w:rPr>
                <w:i/>
                <w:sz w:val="18"/>
                <w:szCs w:val="32"/>
                <w:lang w:val="de-DE"/>
              </w:rPr>
              <w:t>-e</w:t>
            </w:r>
            <w:r>
              <w:rPr>
                <w:i/>
                <w:sz w:val="18"/>
                <w:szCs w:val="32"/>
                <w:vertAlign w:val="superscript"/>
                <w:lang w:val="de-DE"/>
              </w:rPr>
              <w:t>-n</w:t>
            </w:r>
            <w:r>
              <w:rPr>
                <w:i/>
                <w:sz w:val="18"/>
                <w:szCs w:val="32"/>
                <w:vertAlign w:val="superscript"/>
              </w:rPr>
              <w:t>ω</w:t>
            </w:r>
            <w:r>
              <w:rPr>
                <w:i/>
                <w:sz w:val="18"/>
                <w:szCs w:val="32"/>
                <w:vertAlign w:val="superscript"/>
                <w:lang w:val="de-DE"/>
              </w:rPr>
              <w:t>t</w:t>
            </w:r>
            <w:r>
              <w:rPr>
                <w:rFonts w:hint="eastAsia"/>
                <w:sz w:val="18"/>
                <w:szCs w:val="18"/>
                <w:lang w:val="de-DE"/>
              </w:rPr>
              <w:t>）</w:t>
            </w:r>
          </w:p>
          <w:p w14:paraId="62D52234">
            <w:pPr>
              <w:ind w:firstLine="360" w:firstLineChars="200"/>
              <w:rPr>
                <w:sz w:val="18"/>
                <w:szCs w:val="32"/>
              </w:rPr>
            </w:pPr>
            <w:r>
              <w:rPr>
                <w:rFonts w:hint="eastAsia"/>
                <w:sz w:val="18"/>
                <w:szCs w:val="32"/>
              </w:rPr>
              <w:t>式中</w:t>
            </w:r>
            <w:r>
              <w:rPr>
                <w:sz w:val="18"/>
                <w:szCs w:val="32"/>
              </w:rPr>
              <w:t>ω</w:t>
            </w:r>
            <w:r>
              <w:rPr>
                <w:rFonts w:hint="eastAsia"/>
                <w:sz w:val="18"/>
                <w:szCs w:val="32"/>
              </w:rPr>
              <w:t>为每个人的点火效率，单位为每秒</w:t>
            </w:r>
            <w:r>
              <w:rPr>
                <w:sz w:val="18"/>
                <w:szCs w:val="32"/>
              </w:rPr>
              <w:t>（s</w:t>
            </w:r>
            <w:r>
              <w:rPr>
                <w:sz w:val="18"/>
                <w:szCs w:val="32"/>
                <w:vertAlign w:val="superscript"/>
              </w:rPr>
              <w:t>-1</w:t>
            </w:r>
            <w:r>
              <w:rPr>
                <w:sz w:val="18"/>
                <w:szCs w:val="32"/>
              </w:rPr>
              <w:t>）</w:t>
            </w:r>
            <w:r>
              <w:rPr>
                <w:rFonts w:hint="eastAsia"/>
                <w:sz w:val="18"/>
                <w:szCs w:val="32"/>
              </w:rPr>
              <w:t>，</w:t>
            </w:r>
            <w:r>
              <w:rPr>
                <w:sz w:val="18"/>
                <w:szCs w:val="32"/>
              </w:rPr>
              <w:t>n</w:t>
            </w:r>
            <w:r>
              <w:rPr>
                <w:rFonts w:hint="eastAsia"/>
                <w:sz w:val="18"/>
                <w:szCs w:val="32"/>
              </w:rPr>
              <w:t>为居民区中存在的平均人数。</w:t>
            </w:r>
          </w:p>
          <w:p w14:paraId="258E01A7">
            <w:pPr>
              <w:rPr>
                <w:sz w:val="18"/>
                <w:szCs w:val="32"/>
              </w:rPr>
            </w:pPr>
            <w:r>
              <w:rPr>
                <w:rFonts w:hint="eastAsia"/>
                <w:sz w:val="18"/>
                <w:szCs w:val="32"/>
              </w:rPr>
              <w:t>注</w:t>
            </w:r>
            <w:r>
              <w:rPr>
                <w:sz w:val="18"/>
                <w:szCs w:val="32"/>
              </w:rPr>
              <w:t>3</w:t>
            </w:r>
            <w:r>
              <w:rPr>
                <w:rFonts w:hint="eastAsia"/>
                <w:sz w:val="18"/>
                <w:szCs w:val="32"/>
              </w:rPr>
              <w:t>：如果其它模型中采用不随时间变化的点火概率，则该点火概率等于</w:t>
            </w:r>
            <w:r>
              <w:rPr>
                <w:sz w:val="18"/>
                <w:szCs w:val="32"/>
              </w:rPr>
              <w:t>1 min</w:t>
            </w:r>
            <w:r>
              <w:rPr>
                <w:rFonts w:hint="eastAsia"/>
                <w:sz w:val="18"/>
                <w:szCs w:val="32"/>
              </w:rPr>
              <w:t>内的点火概率。</w:t>
            </w:r>
          </w:p>
        </w:tc>
      </w:tr>
    </w:tbl>
    <w:p w14:paraId="28A0BE70">
      <w:pPr>
        <w:widowControl w:val="0"/>
        <w:spacing w:line="240" w:lineRule="auto"/>
        <w:ind w:firstLine="420" w:firstLineChars="200"/>
        <w:textAlignment w:val="auto"/>
        <w:rPr>
          <w:rFonts w:hint="eastAsia" w:hAnsi="宋体"/>
          <w:kern w:val="2"/>
          <w:szCs w:val="21"/>
        </w:rPr>
      </w:pPr>
    </w:p>
    <w:p w14:paraId="39B68529">
      <w:pPr>
        <w:widowControl w:val="0"/>
        <w:spacing w:line="240" w:lineRule="auto"/>
        <w:textAlignment w:val="auto"/>
        <w:rPr>
          <w:kern w:val="2"/>
          <w:szCs w:val="21"/>
        </w:rPr>
      </w:pPr>
      <w:r>
        <w:rPr>
          <w:rFonts w:hint="eastAsia" w:ascii="黑体" w:hAnsi="黑体" w:eastAsia="黑体"/>
          <w:kern w:val="2"/>
          <w:szCs w:val="21"/>
        </w:rPr>
        <w:t>B.5</w:t>
      </w:r>
      <w:r>
        <w:rPr>
          <w:rFonts w:ascii="黑体" w:hAnsi="黑体" w:eastAsia="黑体"/>
          <w:kern w:val="2"/>
          <w:szCs w:val="21"/>
        </w:rPr>
        <w:t>.</w:t>
      </w:r>
      <w:r>
        <w:rPr>
          <w:rFonts w:hint="eastAsia" w:ascii="黑体" w:hAnsi="黑体" w:eastAsia="黑体"/>
          <w:kern w:val="2"/>
          <w:szCs w:val="21"/>
        </w:rPr>
        <w:t>3</w:t>
      </w:r>
      <w:r>
        <w:rPr>
          <w:rFonts w:ascii="黑体" w:hAnsi="黑体" w:eastAsia="黑体"/>
          <w:kern w:val="2"/>
          <w:szCs w:val="21"/>
        </w:rPr>
        <w:t>.</w:t>
      </w:r>
      <w:r>
        <w:rPr>
          <w:rFonts w:hint="eastAsia" w:ascii="黑体" w:hAnsi="黑体" w:eastAsia="黑体"/>
          <w:kern w:val="2"/>
          <w:szCs w:val="21"/>
        </w:rPr>
        <w:t>5</w:t>
      </w:r>
      <w:r>
        <w:rPr>
          <w:rFonts w:ascii="黑体" w:hAnsi="黑体" w:eastAsia="黑体"/>
          <w:kern w:val="2"/>
          <w:szCs w:val="21"/>
        </w:rPr>
        <w:t xml:space="preserve"> </w:t>
      </w:r>
      <w:r>
        <w:rPr>
          <w:rFonts w:hAnsi="宋体"/>
          <w:kern w:val="2"/>
          <w:szCs w:val="32"/>
        </w:rPr>
        <w:t xml:space="preserve"> </w:t>
      </w:r>
      <w:r>
        <w:rPr>
          <w:rFonts w:hint="eastAsia" w:hAnsi="宋体"/>
          <w:kern w:val="2"/>
          <w:szCs w:val="32"/>
        </w:rPr>
        <w:t>对于喷射火，其方向为物质的实际泄漏方向；如果没有准确的信息，宜考虑垂直</w:t>
      </w:r>
      <w:r>
        <w:rPr>
          <w:rFonts w:hint="eastAsia"/>
          <w:kern w:val="2"/>
          <w:szCs w:val="21"/>
        </w:rPr>
        <w:t>方向喷射火和水平方向喷射火。</w:t>
      </w:r>
    </w:p>
    <w:p w14:paraId="2A1F51C2">
      <w:pPr>
        <w:widowControl w:val="0"/>
        <w:spacing w:line="240" w:lineRule="auto"/>
        <w:textAlignment w:val="auto"/>
        <w:rPr>
          <w:rFonts w:hint="eastAsia" w:hAnsi="宋体"/>
          <w:kern w:val="2"/>
          <w:szCs w:val="32"/>
        </w:rPr>
      </w:pPr>
      <w:r>
        <w:rPr>
          <w:rFonts w:hint="eastAsia" w:ascii="黑体" w:hAnsi="黑体" w:eastAsia="黑体"/>
          <w:kern w:val="2"/>
          <w:szCs w:val="21"/>
        </w:rPr>
        <w:t>B.5</w:t>
      </w:r>
      <w:r>
        <w:rPr>
          <w:rFonts w:ascii="黑体" w:hAnsi="黑体" w:eastAsia="黑体"/>
          <w:kern w:val="2"/>
          <w:szCs w:val="21"/>
        </w:rPr>
        <w:t>.</w:t>
      </w:r>
      <w:r>
        <w:rPr>
          <w:rFonts w:hint="eastAsia" w:ascii="黑体" w:hAnsi="黑体" w:eastAsia="黑体"/>
          <w:kern w:val="2"/>
          <w:szCs w:val="21"/>
        </w:rPr>
        <w:t>3</w:t>
      </w:r>
      <w:r>
        <w:rPr>
          <w:rFonts w:ascii="黑体" w:hAnsi="黑体" w:eastAsia="黑体"/>
          <w:kern w:val="2"/>
          <w:szCs w:val="21"/>
        </w:rPr>
        <w:t>.</w:t>
      </w:r>
      <w:r>
        <w:rPr>
          <w:rFonts w:hint="eastAsia" w:ascii="黑体" w:hAnsi="黑体" w:eastAsia="黑体"/>
          <w:kern w:val="2"/>
          <w:szCs w:val="21"/>
        </w:rPr>
        <w:t>6</w:t>
      </w:r>
      <w:r>
        <w:rPr>
          <w:rFonts w:ascii="黑体" w:hAnsi="黑体" w:eastAsia="黑体"/>
          <w:kern w:val="2"/>
          <w:szCs w:val="21"/>
        </w:rPr>
        <w:t xml:space="preserve"> </w:t>
      </w:r>
      <w:r>
        <w:rPr>
          <w:rFonts w:hAnsi="宋体"/>
          <w:kern w:val="2"/>
          <w:szCs w:val="32"/>
        </w:rPr>
        <w:t xml:space="preserve"> </w:t>
      </w:r>
      <w:r>
        <w:rPr>
          <w:rFonts w:hint="eastAsia" w:hAnsi="宋体"/>
          <w:kern w:val="2"/>
          <w:szCs w:val="32"/>
        </w:rPr>
        <w:t>气云延迟点火发生闪火和爆炸时，可将闪火和爆炸考虑为两个独立的过程。</w:t>
      </w:r>
    </w:p>
    <w:p w14:paraId="0E904D7B">
      <w:pPr>
        <w:widowControl w:val="0"/>
        <w:spacing w:line="240" w:lineRule="auto"/>
        <w:textAlignment w:val="auto"/>
        <w:rPr>
          <w:kern w:val="2"/>
          <w:szCs w:val="21"/>
        </w:rPr>
      </w:pPr>
      <w:r>
        <w:rPr>
          <w:rFonts w:hint="eastAsia" w:ascii="黑体" w:hAnsi="黑体" w:eastAsia="黑体"/>
          <w:kern w:val="2"/>
          <w:szCs w:val="21"/>
        </w:rPr>
        <w:t>B.5</w:t>
      </w:r>
      <w:r>
        <w:rPr>
          <w:rFonts w:ascii="黑体" w:hAnsi="黑体" w:eastAsia="黑体"/>
          <w:kern w:val="2"/>
          <w:szCs w:val="21"/>
        </w:rPr>
        <w:t>.</w:t>
      </w:r>
      <w:r>
        <w:rPr>
          <w:rFonts w:hint="eastAsia" w:ascii="黑体" w:hAnsi="黑体" w:eastAsia="黑体"/>
          <w:kern w:val="2"/>
          <w:szCs w:val="21"/>
        </w:rPr>
        <w:t>3</w:t>
      </w:r>
      <w:r>
        <w:rPr>
          <w:rFonts w:ascii="黑体" w:hAnsi="黑体" w:eastAsia="黑体"/>
          <w:kern w:val="2"/>
          <w:szCs w:val="21"/>
        </w:rPr>
        <w:t>.</w:t>
      </w:r>
      <w:r>
        <w:rPr>
          <w:rFonts w:hint="eastAsia" w:ascii="黑体" w:hAnsi="黑体" w:eastAsia="黑体"/>
          <w:kern w:val="2"/>
          <w:szCs w:val="21"/>
        </w:rPr>
        <w:t>7</w:t>
      </w:r>
      <w:r>
        <w:rPr>
          <w:rFonts w:ascii="黑体" w:hAnsi="黑体" w:eastAsia="黑体"/>
          <w:kern w:val="2"/>
          <w:szCs w:val="21"/>
        </w:rPr>
        <w:t xml:space="preserve"> </w:t>
      </w:r>
      <w:r>
        <w:rPr>
          <w:rFonts w:hAnsi="宋体"/>
          <w:kern w:val="2"/>
          <w:szCs w:val="32"/>
        </w:rPr>
        <w:t xml:space="preserve"> </w:t>
      </w:r>
      <w:r>
        <w:rPr>
          <w:rFonts w:hint="eastAsia" w:hAnsi="宋体"/>
          <w:kern w:val="2"/>
          <w:szCs w:val="32"/>
        </w:rPr>
        <w:t>气云爆炸产生的冲击波超压计算宜考虑气云受约束或阻碍的状况。</w:t>
      </w:r>
    </w:p>
    <w:p w14:paraId="50F91E88">
      <w:pPr>
        <w:pStyle w:val="162"/>
        <w:spacing w:before="156" w:beforeLines="50" w:after="156" w:afterLines="50" w:line="240" w:lineRule="auto"/>
        <w:ind w:firstLine="0"/>
        <w:outlineLvl w:val="2"/>
        <w:rPr>
          <w:rFonts w:ascii="黑体" w:eastAsia="黑体"/>
        </w:rPr>
      </w:pPr>
      <w:bookmarkStart w:id="234" w:name="_Toc296956114"/>
      <w:bookmarkStart w:id="235" w:name="_Toc310769304"/>
      <w:bookmarkStart w:id="236" w:name="_Toc310952706"/>
      <w:bookmarkStart w:id="237" w:name="_Toc286132386"/>
      <w:bookmarkStart w:id="238" w:name="_Toc286131403"/>
      <w:r>
        <w:rPr>
          <w:rFonts w:hint="eastAsia" w:ascii="黑体" w:eastAsia="黑体"/>
        </w:rPr>
        <w:t>B.5.4  减缓控制系统</w:t>
      </w:r>
      <w:bookmarkEnd w:id="234"/>
      <w:bookmarkEnd w:id="235"/>
      <w:bookmarkEnd w:id="236"/>
      <w:bookmarkEnd w:id="237"/>
      <w:bookmarkEnd w:id="238"/>
    </w:p>
    <w:p w14:paraId="00151FC0">
      <w:pPr>
        <w:widowControl w:val="0"/>
        <w:spacing w:line="240" w:lineRule="auto"/>
        <w:ind w:firstLine="480"/>
        <w:textAlignment w:val="auto"/>
        <w:rPr>
          <w:kern w:val="2"/>
          <w:szCs w:val="21"/>
        </w:rPr>
      </w:pPr>
      <w:r>
        <w:rPr>
          <w:rFonts w:hint="eastAsia"/>
          <w:kern w:val="2"/>
          <w:szCs w:val="21"/>
        </w:rPr>
        <w:t>减缓控制系统应考虑不同种类的减缓控制系统对危险物质释放及其后果的影响。如果能够确定减缓控制系统的效果，宜采用下列步骤反应减缓控制系统的作用：</w:t>
      </w:r>
    </w:p>
    <w:p w14:paraId="456FC225">
      <w:pPr>
        <w:widowControl w:val="0"/>
        <w:spacing w:line="240" w:lineRule="auto"/>
        <w:ind w:firstLine="480"/>
        <w:textAlignment w:val="auto"/>
        <w:rPr>
          <w:kern w:val="2"/>
          <w:szCs w:val="21"/>
        </w:rPr>
      </w:pPr>
      <w:r>
        <w:rPr>
          <w:kern w:val="2"/>
          <w:szCs w:val="21"/>
        </w:rPr>
        <w:t>a</w:t>
      </w:r>
      <w:r>
        <w:rPr>
          <w:rFonts w:hint="eastAsia" w:ascii="宋体" w:hAnsi="宋体"/>
          <w:kern w:val="2"/>
          <w:szCs w:val="21"/>
        </w:rPr>
        <w:t>）</w:t>
      </w:r>
      <w:r>
        <w:rPr>
          <w:kern w:val="2"/>
          <w:szCs w:val="21"/>
        </w:rPr>
        <w:t xml:space="preserve"> </w:t>
      </w:r>
      <w:r>
        <w:rPr>
          <w:rFonts w:hint="eastAsia"/>
          <w:kern w:val="2"/>
          <w:szCs w:val="21"/>
        </w:rPr>
        <w:t>确定系统起作用需要的时间；</w:t>
      </w:r>
    </w:p>
    <w:p w14:paraId="6B77E486">
      <w:pPr>
        <w:widowControl w:val="0"/>
        <w:spacing w:line="240" w:lineRule="auto"/>
        <w:ind w:firstLine="480"/>
        <w:textAlignment w:val="auto"/>
        <w:rPr>
          <w:kern w:val="2"/>
          <w:szCs w:val="21"/>
        </w:rPr>
      </w:pPr>
      <w:r>
        <w:rPr>
          <w:kern w:val="2"/>
          <w:szCs w:val="21"/>
        </w:rPr>
        <w:t>b</w:t>
      </w:r>
      <w:r>
        <w:rPr>
          <w:rFonts w:hint="eastAsia" w:ascii="宋体" w:hAnsi="宋体"/>
          <w:kern w:val="2"/>
          <w:szCs w:val="21"/>
        </w:rPr>
        <w:t>）</w:t>
      </w:r>
      <w:r>
        <w:rPr>
          <w:kern w:val="2"/>
          <w:szCs w:val="21"/>
        </w:rPr>
        <w:t xml:space="preserve"> </w:t>
      </w:r>
      <w:r>
        <w:rPr>
          <w:rFonts w:hint="eastAsia"/>
          <w:kern w:val="2"/>
          <w:szCs w:val="21"/>
        </w:rPr>
        <w:t>确定系统的效果；</w:t>
      </w:r>
    </w:p>
    <w:p w14:paraId="7186E369">
      <w:pPr>
        <w:widowControl w:val="0"/>
        <w:spacing w:line="240" w:lineRule="auto"/>
        <w:ind w:firstLine="480"/>
        <w:textAlignment w:val="auto"/>
        <w:rPr>
          <w:kern w:val="2"/>
          <w:szCs w:val="21"/>
        </w:rPr>
      </w:pPr>
      <w:r>
        <w:rPr>
          <w:kern w:val="2"/>
          <w:szCs w:val="21"/>
        </w:rPr>
        <w:t>c</w:t>
      </w:r>
      <w:r>
        <w:rPr>
          <w:rFonts w:hint="eastAsia" w:ascii="宋体" w:hAnsi="宋体"/>
          <w:kern w:val="2"/>
          <w:szCs w:val="21"/>
        </w:rPr>
        <w:t>）</w:t>
      </w:r>
      <w:r>
        <w:rPr>
          <w:kern w:val="2"/>
          <w:szCs w:val="21"/>
        </w:rPr>
        <w:t xml:space="preserve"> </w:t>
      </w:r>
      <w:r>
        <w:rPr>
          <w:rFonts w:hint="eastAsia"/>
          <w:kern w:val="2"/>
          <w:szCs w:val="21"/>
        </w:rPr>
        <w:t>系统起作用前不考虑减缓控制作用；</w:t>
      </w:r>
    </w:p>
    <w:p w14:paraId="5ECF215D">
      <w:pPr>
        <w:widowControl w:val="0"/>
        <w:spacing w:line="240" w:lineRule="auto"/>
        <w:ind w:firstLine="480"/>
        <w:textAlignment w:val="auto"/>
        <w:rPr>
          <w:kern w:val="2"/>
          <w:szCs w:val="21"/>
        </w:rPr>
      </w:pPr>
      <w:r>
        <w:rPr>
          <w:kern w:val="2"/>
          <w:szCs w:val="21"/>
        </w:rPr>
        <w:t>d</w:t>
      </w:r>
      <w:r>
        <w:rPr>
          <w:rFonts w:hint="eastAsia" w:ascii="宋体" w:hAnsi="宋体"/>
          <w:kern w:val="2"/>
          <w:szCs w:val="21"/>
        </w:rPr>
        <w:t>）</w:t>
      </w:r>
      <w:r>
        <w:rPr>
          <w:kern w:val="2"/>
          <w:szCs w:val="21"/>
        </w:rPr>
        <w:t xml:space="preserve"> </w:t>
      </w:r>
      <w:r>
        <w:rPr>
          <w:rFonts w:hint="eastAsia"/>
          <w:kern w:val="2"/>
          <w:szCs w:val="21"/>
        </w:rPr>
        <w:t>系统起作用后的源项值应考虑减缓控制系统的效果并进行修正；</w:t>
      </w:r>
    </w:p>
    <w:p w14:paraId="4B3FCE1E">
      <w:pPr>
        <w:widowControl w:val="0"/>
        <w:spacing w:line="240" w:lineRule="auto"/>
        <w:ind w:firstLine="480"/>
        <w:textAlignment w:val="auto"/>
        <w:rPr>
          <w:rFonts w:ascii="宋体"/>
          <w:bCs/>
          <w:kern w:val="2"/>
          <w:szCs w:val="21"/>
        </w:rPr>
      </w:pPr>
      <w:r>
        <w:rPr>
          <w:kern w:val="2"/>
          <w:szCs w:val="21"/>
        </w:rPr>
        <w:t>e</w:t>
      </w:r>
      <w:r>
        <w:rPr>
          <w:rFonts w:hint="eastAsia" w:ascii="宋体" w:hAnsi="宋体"/>
          <w:kern w:val="2"/>
          <w:szCs w:val="21"/>
        </w:rPr>
        <w:t>）</w:t>
      </w:r>
      <w:r>
        <w:rPr>
          <w:rFonts w:ascii="宋体" w:hAnsi="宋体"/>
          <w:kern w:val="2"/>
          <w:szCs w:val="21"/>
        </w:rPr>
        <w:t xml:space="preserve"> </w:t>
      </w:r>
      <w:r>
        <w:rPr>
          <w:rFonts w:hint="eastAsia" w:ascii="宋体" w:hAnsi="宋体"/>
          <w:bCs/>
          <w:kern w:val="2"/>
          <w:szCs w:val="21"/>
        </w:rPr>
        <w:t>应考虑</w:t>
      </w:r>
      <w:r>
        <w:rPr>
          <w:rFonts w:hint="eastAsia"/>
          <w:kern w:val="2"/>
          <w:szCs w:val="21"/>
        </w:rPr>
        <w:t>减缓控制系统</w:t>
      </w:r>
      <w:r>
        <w:rPr>
          <w:rFonts w:hint="eastAsia" w:ascii="宋体" w:hAnsi="宋体"/>
          <w:bCs/>
          <w:kern w:val="2"/>
          <w:szCs w:val="21"/>
        </w:rPr>
        <w:t>的失效频率。</w:t>
      </w:r>
    </w:p>
    <w:p w14:paraId="69D32CDD">
      <w:pPr>
        <w:pStyle w:val="162"/>
        <w:spacing w:before="156" w:beforeLines="50" w:after="156" w:afterLines="50" w:line="240" w:lineRule="auto"/>
        <w:ind w:firstLine="0"/>
        <w:outlineLvl w:val="2"/>
        <w:rPr>
          <w:rFonts w:ascii="黑体" w:eastAsia="黑体"/>
        </w:rPr>
      </w:pPr>
      <w:r>
        <w:rPr>
          <w:rFonts w:hint="eastAsia" w:ascii="黑体" w:eastAsia="黑体"/>
        </w:rPr>
        <w:t>B.5.</w:t>
      </w:r>
      <w:bookmarkStart w:id="239" w:name="_Toc242934223"/>
      <w:bookmarkStart w:id="240" w:name="_Toc257050906"/>
      <w:bookmarkStart w:id="241" w:name="_Toc242877882"/>
      <w:bookmarkStart w:id="242" w:name="_Toc310952707"/>
      <w:r>
        <w:rPr>
          <w:rFonts w:hint="eastAsia" w:ascii="黑体" w:eastAsia="黑体"/>
        </w:rPr>
        <w:t>5  暴露影响</w:t>
      </w:r>
      <w:bookmarkEnd w:id="239"/>
      <w:bookmarkEnd w:id="240"/>
      <w:bookmarkEnd w:id="241"/>
      <w:bookmarkEnd w:id="242"/>
    </w:p>
    <w:p w14:paraId="656CFD90">
      <w:pPr>
        <w:widowControl w:val="0"/>
        <w:spacing w:before="156" w:beforeLines="50" w:after="156" w:afterLines="50" w:line="240" w:lineRule="auto"/>
        <w:rPr>
          <w:rFonts w:ascii="黑体" w:eastAsia="黑体"/>
          <w:kern w:val="2"/>
          <w:szCs w:val="21"/>
        </w:rPr>
      </w:pPr>
      <w:bookmarkStart w:id="243" w:name="_Toc310952708"/>
      <w:bookmarkStart w:id="244" w:name="_Toc310769306"/>
      <w:bookmarkStart w:id="245" w:name="_Toc286132388"/>
      <w:bookmarkStart w:id="246" w:name="_Toc296956116"/>
      <w:bookmarkStart w:id="247" w:name="_Toc247531498"/>
      <w:bookmarkStart w:id="248" w:name="_Toc286131405"/>
      <w:r>
        <w:rPr>
          <w:rFonts w:hint="eastAsia" w:ascii="黑体" w:eastAsia="黑体"/>
          <w:kern w:val="2"/>
          <w:szCs w:val="21"/>
        </w:rPr>
        <w:t>B</w:t>
      </w:r>
      <w:r>
        <w:rPr>
          <w:rFonts w:ascii="黑体" w:eastAsia="黑体"/>
          <w:kern w:val="2"/>
          <w:szCs w:val="21"/>
        </w:rPr>
        <w:t>.</w:t>
      </w:r>
      <w:r>
        <w:rPr>
          <w:rFonts w:hint="eastAsia" w:ascii="黑体" w:eastAsia="黑体"/>
          <w:kern w:val="2"/>
          <w:szCs w:val="21"/>
        </w:rPr>
        <w:t>5</w:t>
      </w:r>
      <w:r>
        <w:rPr>
          <w:rFonts w:ascii="黑体" w:eastAsia="黑体"/>
          <w:kern w:val="2"/>
          <w:szCs w:val="21"/>
        </w:rPr>
        <w:t>.</w:t>
      </w:r>
      <w:r>
        <w:rPr>
          <w:rFonts w:hint="eastAsia" w:ascii="黑体" w:eastAsia="黑体"/>
          <w:kern w:val="2"/>
          <w:szCs w:val="21"/>
        </w:rPr>
        <w:t>5</w:t>
      </w:r>
      <w:r>
        <w:rPr>
          <w:rFonts w:ascii="黑体" w:eastAsia="黑体"/>
          <w:kern w:val="2"/>
          <w:szCs w:val="21"/>
        </w:rPr>
        <w:t xml:space="preserve">.1  </w:t>
      </w:r>
      <w:r>
        <w:rPr>
          <w:rFonts w:hint="eastAsia" w:ascii="黑体" w:eastAsia="黑体"/>
          <w:kern w:val="2"/>
          <w:szCs w:val="21"/>
        </w:rPr>
        <w:t>死亡概率计算</w:t>
      </w:r>
      <w:bookmarkEnd w:id="243"/>
      <w:bookmarkEnd w:id="244"/>
      <w:bookmarkEnd w:id="245"/>
      <w:bookmarkEnd w:id="246"/>
      <w:bookmarkEnd w:id="247"/>
      <w:bookmarkEnd w:id="248"/>
    </w:p>
    <w:p w14:paraId="21487101">
      <w:pPr>
        <w:widowControl w:val="0"/>
        <w:spacing w:line="240" w:lineRule="auto"/>
        <w:textAlignment w:val="auto"/>
        <w:rPr>
          <w:rFonts w:ascii="黑体" w:eastAsia="黑体"/>
          <w:szCs w:val="32"/>
        </w:rPr>
      </w:pPr>
      <w:r>
        <w:rPr>
          <w:rFonts w:hint="eastAsia" w:ascii="黑体" w:hAnsi="黑体" w:eastAsia="黑体"/>
          <w:kern w:val="2"/>
          <w:szCs w:val="21"/>
        </w:rPr>
        <w:t>B.5.5</w:t>
      </w:r>
      <w:r>
        <w:rPr>
          <w:rFonts w:ascii="黑体" w:hAnsi="黑体" w:eastAsia="黑体"/>
          <w:kern w:val="2"/>
          <w:szCs w:val="21"/>
        </w:rPr>
        <w:t>.1.1</w:t>
      </w:r>
      <w:r>
        <w:rPr>
          <w:rFonts w:hAnsi="宋体"/>
          <w:kern w:val="2"/>
          <w:szCs w:val="32"/>
        </w:rPr>
        <w:t xml:space="preserve">  </w:t>
      </w:r>
      <w:r>
        <w:rPr>
          <w:rFonts w:hint="eastAsia"/>
          <w:szCs w:val="21"/>
        </w:rPr>
        <w:t>不同热辐射强度造成的伤害和损坏见表B.12。</w:t>
      </w:r>
    </w:p>
    <w:p w14:paraId="7323F838">
      <w:pPr>
        <w:pStyle w:val="161"/>
        <w:spacing w:before="156" w:after="156"/>
        <w:rPr>
          <w:rFonts w:hint="eastAsia"/>
        </w:rPr>
      </w:pPr>
      <w:bookmarkStart w:id="249" w:name="_Toc310769385"/>
      <w:bookmarkStart w:id="250" w:name="_Toc310952788"/>
      <w:r>
        <w:rPr>
          <w:rFonts w:hint="eastAsia"/>
        </w:rPr>
        <w:t>表 B</w:t>
      </w:r>
      <w:r>
        <w:t>.</w:t>
      </w:r>
      <w:r>
        <w:rPr>
          <w:rFonts w:hint="eastAsia"/>
        </w:rPr>
        <w:t>12</w:t>
      </w:r>
      <w:r>
        <w:t xml:space="preserve"> </w:t>
      </w:r>
      <w:r>
        <w:rPr>
          <w:rFonts w:hint="eastAsia"/>
        </w:rPr>
        <w:t>不同热辐射强度造成的伤害和</w:t>
      </w:r>
      <w:bookmarkEnd w:id="249"/>
      <w:bookmarkEnd w:id="250"/>
      <w:r>
        <w:rPr>
          <w:rFonts w:hint="eastAsia"/>
        </w:rPr>
        <w:t>损坏</w:t>
      </w:r>
    </w:p>
    <w:tbl>
      <w:tblPr>
        <w:tblStyle w:val="36"/>
        <w:tblW w:w="83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3"/>
        <w:gridCol w:w="3022"/>
        <w:gridCol w:w="3567"/>
      </w:tblGrid>
      <w:tr w14:paraId="7385D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713" w:type="dxa"/>
            <w:vAlign w:val="center"/>
          </w:tcPr>
          <w:p w14:paraId="45F679C6">
            <w:pPr>
              <w:spacing w:before="62" w:beforeLines="20"/>
              <w:jc w:val="center"/>
              <w:rPr>
                <w:sz w:val="18"/>
                <w:szCs w:val="18"/>
              </w:rPr>
            </w:pPr>
            <w:r>
              <w:rPr>
                <w:rFonts w:hint="eastAsia"/>
                <w:sz w:val="18"/>
                <w:szCs w:val="18"/>
              </w:rPr>
              <w:t>热辐射强度</w:t>
            </w:r>
          </w:p>
          <w:p w14:paraId="1BAA7D78">
            <w:pPr>
              <w:spacing w:before="62" w:beforeLines="20"/>
              <w:ind w:firstLine="180" w:firstLineChars="100"/>
              <w:jc w:val="center"/>
              <w:rPr>
                <w:sz w:val="18"/>
                <w:szCs w:val="18"/>
              </w:rPr>
            </w:pPr>
            <w:r>
              <w:rPr>
                <w:rFonts w:hint="eastAsia"/>
                <w:sz w:val="18"/>
                <w:szCs w:val="18"/>
              </w:rPr>
              <w:t>千瓦特</w:t>
            </w:r>
            <w:r>
              <w:rPr>
                <w:sz w:val="18"/>
                <w:szCs w:val="18"/>
              </w:rPr>
              <w:t>每平方米</w:t>
            </w:r>
          </w:p>
        </w:tc>
        <w:tc>
          <w:tcPr>
            <w:tcW w:w="3022" w:type="dxa"/>
            <w:vAlign w:val="center"/>
          </w:tcPr>
          <w:p w14:paraId="769C2494">
            <w:pPr>
              <w:spacing w:before="62" w:beforeLines="20"/>
              <w:jc w:val="center"/>
              <w:rPr>
                <w:sz w:val="18"/>
                <w:szCs w:val="18"/>
              </w:rPr>
            </w:pPr>
            <w:r>
              <w:rPr>
                <w:rFonts w:hint="eastAsia"/>
                <w:sz w:val="18"/>
                <w:szCs w:val="18"/>
              </w:rPr>
              <w:t>对设备的损坏</w:t>
            </w:r>
          </w:p>
        </w:tc>
        <w:tc>
          <w:tcPr>
            <w:tcW w:w="3567" w:type="dxa"/>
            <w:vAlign w:val="center"/>
          </w:tcPr>
          <w:p w14:paraId="5F34469D">
            <w:pPr>
              <w:spacing w:before="62" w:beforeLines="20"/>
              <w:jc w:val="center"/>
              <w:rPr>
                <w:sz w:val="18"/>
                <w:szCs w:val="18"/>
              </w:rPr>
            </w:pPr>
            <w:r>
              <w:rPr>
                <w:rFonts w:hint="eastAsia"/>
                <w:sz w:val="18"/>
                <w:szCs w:val="18"/>
              </w:rPr>
              <w:t>对人的伤害</w:t>
            </w:r>
          </w:p>
        </w:tc>
      </w:tr>
      <w:tr w14:paraId="59122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713" w:type="dxa"/>
            <w:vAlign w:val="center"/>
          </w:tcPr>
          <w:p w14:paraId="6FA8F5AF">
            <w:pPr>
              <w:spacing w:before="62" w:beforeLines="20"/>
              <w:jc w:val="center"/>
              <w:rPr>
                <w:sz w:val="18"/>
                <w:szCs w:val="18"/>
              </w:rPr>
            </w:pPr>
            <w:r>
              <w:rPr>
                <w:sz w:val="18"/>
                <w:szCs w:val="18"/>
              </w:rPr>
              <w:t>37.5</w:t>
            </w:r>
          </w:p>
        </w:tc>
        <w:tc>
          <w:tcPr>
            <w:tcW w:w="3022" w:type="dxa"/>
            <w:vAlign w:val="center"/>
          </w:tcPr>
          <w:p w14:paraId="3FE61BE8">
            <w:pPr>
              <w:spacing w:before="62" w:beforeLines="20"/>
              <w:rPr>
                <w:sz w:val="18"/>
                <w:szCs w:val="18"/>
              </w:rPr>
            </w:pPr>
            <w:r>
              <w:rPr>
                <w:rFonts w:hint="eastAsia"/>
                <w:sz w:val="18"/>
                <w:szCs w:val="18"/>
              </w:rPr>
              <w:t>操作设备损坏</w:t>
            </w:r>
          </w:p>
        </w:tc>
        <w:tc>
          <w:tcPr>
            <w:tcW w:w="3567" w:type="dxa"/>
          </w:tcPr>
          <w:p w14:paraId="79C96B52">
            <w:pPr>
              <w:spacing w:before="62" w:beforeLines="20"/>
              <w:rPr>
                <w:sz w:val="18"/>
                <w:szCs w:val="18"/>
              </w:rPr>
            </w:pPr>
            <w:r>
              <w:rPr>
                <w:sz w:val="18"/>
                <w:szCs w:val="18"/>
              </w:rPr>
              <w:t>1%</w:t>
            </w:r>
            <w:r>
              <w:rPr>
                <w:rFonts w:hint="eastAsia"/>
                <w:sz w:val="18"/>
                <w:szCs w:val="18"/>
              </w:rPr>
              <w:t>死亡（</w:t>
            </w:r>
            <w:r>
              <w:rPr>
                <w:sz w:val="18"/>
                <w:szCs w:val="18"/>
              </w:rPr>
              <w:t>10s</w:t>
            </w:r>
            <w:r>
              <w:rPr>
                <w:rFonts w:hint="eastAsia"/>
                <w:sz w:val="18"/>
                <w:szCs w:val="18"/>
              </w:rPr>
              <w:t>）</w:t>
            </w:r>
          </w:p>
          <w:p w14:paraId="3F27130A">
            <w:pPr>
              <w:spacing w:before="62" w:beforeLines="20"/>
              <w:rPr>
                <w:sz w:val="18"/>
                <w:szCs w:val="18"/>
              </w:rPr>
            </w:pPr>
            <w:r>
              <w:rPr>
                <w:sz w:val="18"/>
                <w:szCs w:val="18"/>
              </w:rPr>
              <w:t>100%</w:t>
            </w:r>
            <w:r>
              <w:rPr>
                <w:rFonts w:hint="eastAsia"/>
                <w:sz w:val="18"/>
                <w:szCs w:val="18"/>
              </w:rPr>
              <w:t>死亡（</w:t>
            </w:r>
            <w:r>
              <w:rPr>
                <w:sz w:val="18"/>
                <w:szCs w:val="18"/>
              </w:rPr>
              <w:t>1 min</w:t>
            </w:r>
            <w:r>
              <w:rPr>
                <w:rFonts w:hint="eastAsia"/>
                <w:sz w:val="18"/>
                <w:szCs w:val="18"/>
              </w:rPr>
              <w:t>）</w:t>
            </w:r>
          </w:p>
        </w:tc>
      </w:tr>
      <w:tr w14:paraId="0DF70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713" w:type="dxa"/>
            <w:vAlign w:val="center"/>
          </w:tcPr>
          <w:p w14:paraId="29C7D015">
            <w:pPr>
              <w:spacing w:before="62" w:beforeLines="20"/>
              <w:jc w:val="center"/>
              <w:rPr>
                <w:sz w:val="18"/>
                <w:szCs w:val="18"/>
              </w:rPr>
            </w:pPr>
            <w:r>
              <w:rPr>
                <w:sz w:val="18"/>
                <w:szCs w:val="18"/>
              </w:rPr>
              <w:t>25.0</w:t>
            </w:r>
          </w:p>
        </w:tc>
        <w:tc>
          <w:tcPr>
            <w:tcW w:w="3022" w:type="dxa"/>
          </w:tcPr>
          <w:p w14:paraId="718680EE">
            <w:pPr>
              <w:spacing w:before="62" w:beforeLines="20"/>
              <w:rPr>
                <w:sz w:val="18"/>
                <w:szCs w:val="18"/>
              </w:rPr>
            </w:pPr>
            <w:r>
              <w:rPr>
                <w:rFonts w:hint="eastAsia"/>
                <w:sz w:val="18"/>
                <w:szCs w:val="18"/>
              </w:rPr>
              <w:t>在无火焰，长时间辐射下木材燃烧的最小能量</w:t>
            </w:r>
          </w:p>
        </w:tc>
        <w:tc>
          <w:tcPr>
            <w:tcW w:w="3567" w:type="dxa"/>
          </w:tcPr>
          <w:p w14:paraId="500D195B">
            <w:pPr>
              <w:spacing w:before="62" w:beforeLines="20"/>
              <w:rPr>
                <w:sz w:val="18"/>
                <w:szCs w:val="18"/>
              </w:rPr>
            </w:pPr>
            <w:r>
              <w:rPr>
                <w:rFonts w:hint="eastAsia"/>
                <w:sz w:val="18"/>
                <w:szCs w:val="18"/>
              </w:rPr>
              <w:t>重大烧伤（</w:t>
            </w:r>
            <w:r>
              <w:rPr>
                <w:sz w:val="18"/>
                <w:szCs w:val="18"/>
              </w:rPr>
              <w:t>10s</w:t>
            </w:r>
            <w:r>
              <w:rPr>
                <w:rFonts w:hint="eastAsia"/>
                <w:sz w:val="18"/>
                <w:szCs w:val="18"/>
              </w:rPr>
              <w:t>）</w:t>
            </w:r>
          </w:p>
          <w:p w14:paraId="21928B4E">
            <w:pPr>
              <w:spacing w:before="62" w:beforeLines="20"/>
              <w:rPr>
                <w:sz w:val="18"/>
                <w:szCs w:val="18"/>
              </w:rPr>
            </w:pPr>
            <w:r>
              <w:rPr>
                <w:sz w:val="18"/>
                <w:szCs w:val="18"/>
              </w:rPr>
              <w:t>100%</w:t>
            </w:r>
            <w:r>
              <w:rPr>
                <w:rFonts w:hint="eastAsia"/>
                <w:sz w:val="18"/>
                <w:szCs w:val="18"/>
              </w:rPr>
              <w:t>死亡（</w:t>
            </w:r>
            <w:r>
              <w:rPr>
                <w:sz w:val="18"/>
                <w:szCs w:val="18"/>
              </w:rPr>
              <w:t>1 min</w:t>
            </w:r>
            <w:r>
              <w:rPr>
                <w:rFonts w:hint="eastAsia"/>
                <w:sz w:val="18"/>
                <w:szCs w:val="18"/>
              </w:rPr>
              <w:t>）</w:t>
            </w:r>
          </w:p>
        </w:tc>
      </w:tr>
      <w:tr w14:paraId="4F0A1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713" w:type="dxa"/>
            <w:vAlign w:val="center"/>
          </w:tcPr>
          <w:p w14:paraId="58058215">
            <w:pPr>
              <w:spacing w:before="62" w:beforeLines="20"/>
              <w:jc w:val="center"/>
              <w:rPr>
                <w:sz w:val="18"/>
                <w:szCs w:val="18"/>
              </w:rPr>
            </w:pPr>
            <w:r>
              <w:rPr>
                <w:sz w:val="18"/>
                <w:szCs w:val="18"/>
              </w:rPr>
              <w:t>12.5</w:t>
            </w:r>
          </w:p>
        </w:tc>
        <w:tc>
          <w:tcPr>
            <w:tcW w:w="3022" w:type="dxa"/>
          </w:tcPr>
          <w:p w14:paraId="665C333F">
            <w:pPr>
              <w:spacing w:before="62" w:beforeLines="20"/>
              <w:rPr>
                <w:sz w:val="18"/>
                <w:szCs w:val="18"/>
              </w:rPr>
            </w:pPr>
            <w:r>
              <w:rPr>
                <w:rFonts w:hint="eastAsia"/>
                <w:sz w:val="18"/>
                <w:szCs w:val="18"/>
              </w:rPr>
              <w:t>有火焰时，木材燃烧及塑料熔化的最低能量</w:t>
            </w:r>
          </w:p>
        </w:tc>
        <w:tc>
          <w:tcPr>
            <w:tcW w:w="3567" w:type="dxa"/>
          </w:tcPr>
          <w:p w14:paraId="7A26ECFF">
            <w:pPr>
              <w:spacing w:before="62" w:beforeLines="20"/>
              <w:rPr>
                <w:sz w:val="18"/>
                <w:szCs w:val="18"/>
              </w:rPr>
            </w:pPr>
            <w:r>
              <w:rPr>
                <w:sz w:val="18"/>
                <w:szCs w:val="18"/>
              </w:rPr>
              <w:t>1</w:t>
            </w:r>
            <w:r>
              <w:rPr>
                <w:rFonts w:hint="eastAsia"/>
                <w:sz w:val="18"/>
                <w:szCs w:val="18"/>
              </w:rPr>
              <w:t>度烧伤（</w:t>
            </w:r>
            <w:r>
              <w:rPr>
                <w:sz w:val="18"/>
                <w:szCs w:val="18"/>
              </w:rPr>
              <w:t>10 s</w:t>
            </w:r>
            <w:r>
              <w:rPr>
                <w:rFonts w:hint="eastAsia"/>
                <w:sz w:val="18"/>
                <w:szCs w:val="18"/>
              </w:rPr>
              <w:t>）</w:t>
            </w:r>
          </w:p>
          <w:p w14:paraId="425EEF2B">
            <w:pPr>
              <w:spacing w:before="62" w:beforeLines="20"/>
              <w:rPr>
                <w:sz w:val="18"/>
                <w:szCs w:val="18"/>
              </w:rPr>
            </w:pPr>
            <w:r>
              <w:rPr>
                <w:sz w:val="18"/>
                <w:szCs w:val="18"/>
              </w:rPr>
              <w:t>1%</w:t>
            </w:r>
            <w:r>
              <w:rPr>
                <w:rFonts w:hint="eastAsia"/>
                <w:sz w:val="18"/>
                <w:szCs w:val="18"/>
              </w:rPr>
              <w:t>死亡（</w:t>
            </w:r>
            <w:r>
              <w:rPr>
                <w:sz w:val="18"/>
                <w:szCs w:val="18"/>
              </w:rPr>
              <w:t>1 min</w:t>
            </w:r>
            <w:r>
              <w:rPr>
                <w:rFonts w:hint="eastAsia"/>
                <w:sz w:val="18"/>
                <w:szCs w:val="18"/>
              </w:rPr>
              <w:t>）</w:t>
            </w:r>
          </w:p>
        </w:tc>
      </w:tr>
      <w:tr w14:paraId="60698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713" w:type="dxa"/>
            <w:vAlign w:val="center"/>
          </w:tcPr>
          <w:p w14:paraId="519E6DC8">
            <w:pPr>
              <w:spacing w:before="62" w:beforeLines="20"/>
              <w:jc w:val="center"/>
              <w:rPr>
                <w:sz w:val="18"/>
                <w:szCs w:val="18"/>
              </w:rPr>
            </w:pPr>
            <w:r>
              <w:rPr>
                <w:sz w:val="18"/>
                <w:szCs w:val="18"/>
              </w:rPr>
              <w:t>6.3</w:t>
            </w:r>
          </w:p>
        </w:tc>
        <w:tc>
          <w:tcPr>
            <w:tcW w:w="3022" w:type="dxa"/>
            <w:vAlign w:val="center"/>
          </w:tcPr>
          <w:p w14:paraId="45E66BA5">
            <w:pPr>
              <w:spacing w:before="62" w:beforeLines="20"/>
              <w:jc w:val="center"/>
              <w:rPr>
                <w:sz w:val="18"/>
                <w:szCs w:val="18"/>
              </w:rPr>
            </w:pPr>
            <w:r>
              <w:rPr>
                <w:sz w:val="18"/>
                <w:szCs w:val="18"/>
              </w:rPr>
              <w:t>—</w:t>
            </w:r>
          </w:p>
        </w:tc>
        <w:tc>
          <w:tcPr>
            <w:tcW w:w="3567" w:type="dxa"/>
          </w:tcPr>
          <w:p w14:paraId="33BC788D">
            <w:pPr>
              <w:spacing w:before="62" w:beforeLines="20"/>
              <w:rPr>
                <w:sz w:val="18"/>
                <w:szCs w:val="18"/>
              </w:rPr>
            </w:pPr>
            <w:r>
              <w:rPr>
                <w:rFonts w:hint="eastAsia"/>
                <w:sz w:val="18"/>
                <w:szCs w:val="18"/>
              </w:rPr>
              <w:t>在</w:t>
            </w:r>
            <w:r>
              <w:rPr>
                <w:sz w:val="18"/>
                <w:szCs w:val="18"/>
              </w:rPr>
              <w:t>8s</w:t>
            </w:r>
            <w:r>
              <w:rPr>
                <w:rFonts w:hint="eastAsia"/>
                <w:sz w:val="18"/>
                <w:szCs w:val="18"/>
              </w:rPr>
              <w:t>内裸露皮肤有痛感；无热辐射屏蔽设施时，操作人员穿上防护服可停留</w:t>
            </w:r>
            <w:r>
              <w:rPr>
                <w:sz w:val="18"/>
                <w:szCs w:val="18"/>
              </w:rPr>
              <w:t>1 min</w:t>
            </w:r>
          </w:p>
        </w:tc>
      </w:tr>
      <w:tr w14:paraId="39CF3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713" w:type="dxa"/>
            <w:vAlign w:val="center"/>
          </w:tcPr>
          <w:p w14:paraId="4BEE2D7C">
            <w:pPr>
              <w:spacing w:before="62" w:beforeLines="20"/>
              <w:jc w:val="center"/>
              <w:rPr>
                <w:sz w:val="18"/>
                <w:szCs w:val="18"/>
              </w:rPr>
            </w:pPr>
            <w:r>
              <w:rPr>
                <w:sz w:val="18"/>
                <w:szCs w:val="18"/>
              </w:rPr>
              <w:t>4.7</w:t>
            </w:r>
          </w:p>
        </w:tc>
        <w:tc>
          <w:tcPr>
            <w:tcW w:w="3022" w:type="dxa"/>
            <w:vAlign w:val="center"/>
          </w:tcPr>
          <w:p w14:paraId="0B53D91F">
            <w:pPr>
              <w:spacing w:before="62" w:beforeLines="20"/>
              <w:jc w:val="center"/>
              <w:rPr>
                <w:sz w:val="18"/>
                <w:szCs w:val="18"/>
              </w:rPr>
            </w:pPr>
            <w:r>
              <w:rPr>
                <w:sz w:val="18"/>
                <w:szCs w:val="18"/>
              </w:rPr>
              <w:t>—</w:t>
            </w:r>
          </w:p>
        </w:tc>
        <w:tc>
          <w:tcPr>
            <w:tcW w:w="3567" w:type="dxa"/>
          </w:tcPr>
          <w:p w14:paraId="2ABD4365">
            <w:pPr>
              <w:spacing w:before="62" w:beforeLines="20"/>
              <w:rPr>
                <w:sz w:val="18"/>
                <w:szCs w:val="18"/>
              </w:rPr>
            </w:pPr>
            <w:r>
              <w:rPr>
                <w:rFonts w:hint="eastAsia"/>
                <w:sz w:val="18"/>
                <w:szCs w:val="18"/>
              </w:rPr>
              <w:t>暴露</w:t>
            </w:r>
            <w:r>
              <w:rPr>
                <w:sz w:val="18"/>
                <w:szCs w:val="18"/>
              </w:rPr>
              <w:t>16s</w:t>
            </w:r>
            <w:r>
              <w:rPr>
                <w:rFonts w:hint="eastAsia"/>
                <w:sz w:val="18"/>
                <w:szCs w:val="18"/>
              </w:rPr>
              <w:t>，裸露皮肤有痛感；无热辐射屏蔽设施时，操作人员穿上防护服可停留几分钟</w:t>
            </w:r>
          </w:p>
        </w:tc>
      </w:tr>
      <w:tr w14:paraId="2AFDA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713" w:type="dxa"/>
            <w:vAlign w:val="center"/>
          </w:tcPr>
          <w:p w14:paraId="5DA289AB">
            <w:pPr>
              <w:spacing w:before="62" w:beforeLines="20"/>
              <w:jc w:val="center"/>
              <w:rPr>
                <w:sz w:val="18"/>
                <w:szCs w:val="18"/>
              </w:rPr>
            </w:pPr>
            <w:r>
              <w:rPr>
                <w:sz w:val="18"/>
                <w:szCs w:val="18"/>
              </w:rPr>
              <w:t>1.58</w:t>
            </w:r>
          </w:p>
        </w:tc>
        <w:tc>
          <w:tcPr>
            <w:tcW w:w="3022" w:type="dxa"/>
            <w:vAlign w:val="center"/>
          </w:tcPr>
          <w:p w14:paraId="3F8852E4">
            <w:pPr>
              <w:spacing w:before="62" w:beforeLines="20"/>
              <w:jc w:val="center"/>
              <w:rPr>
                <w:sz w:val="18"/>
                <w:szCs w:val="18"/>
              </w:rPr>
            </w:pPr>
            <w:r>
              <w:rPr>
                <w:sz w:val="18"/>
                <w:szCs w:val="18"/>
              </w:rPr>
              <w:t>—</w:t>
            </w:r>
          </w:p>
        </w:tc>
        <w:tc>
          <w:tcPr>
            <w:tcW w:w="3567" w:type="dxa"/>
          </w:tcPr>
          <w:p w14:paraId="6BE0D2A3">
            <w:pPr>
              <w:spacing w:before="62" w:beforeLines="20"/>
              <w:rPr>
                <w:sz w:val="18"/>
                <w:szCs w:val="18"/>
              </w:rPr>
            </w:pPr>
            <w:r>
              <w:rPr>
                <w:rFonts w:hint="eastAsia"/>
                <w:sz w:val="18"/>
                <w:szCs w:val="18"/>
              </w:rPr>
              <w:t>长时间暴露无不适感</w:t>
            </w:r>
          </w:p>
        </w:tc>
      </w:tr>
    </w:tbl>
    <w:p w14:paraId="5F13FC6A">
      <w:pPr>
        <w:rPr>
          <w:rFonts w:hint="eastAsia" w:ascii="黑体" w:hAnsi="黑体" w:eastAsia="黑体"/>
          <w:kern w:val="2"/>
          <w:szCs w:val="21"/>
        </w:rPr>
      </w:pPr>
    </w:p>
    <w:p w14:paraId="1CC7578F">
      <w:pPr>
        <w:rPr>
          <w:rFonts w:ascii="黑体" w:eastAsia="黑体"/>
          <w:szCs w:val="32"/>
        </w:rPr>
      </w:pPr>
      <w:r>
        <w:rPr>
          <w:rFonts w:hint="eastAsia" w:ascii="黑体" w:hAnsi="黑体" w:eastAsia="黑体"/>
          <w:kern w:val="2"/>
          <w:szCs w:val="21"/>
        </w:rPr>
        <w:t>B.5.5</w:t>
      </w:r>
      <w:r>
        <w:rPr>
          <w:rFonts w:ascii="黑体" w:hAnsi="黑体" w:eastAsia="黑体"/>
          <w:kern w:val="2"/>
          <w:szCs w:val="21"/>
        </w:rPr>
        <w:t>.1.</w:t>
      </w:r>
      <w:r>
        <w:rPr>
          <w:rFonts w:hint="eastAsia" w:ascii="黑体" w:hAnsi="黑体" w:eastAsia="黑体"/>
          <w:kern w:val="2"/>
          <w:szCs w:val="21"/>
        </w:rPr>
        <w:t>2</w:t>
      </w:r>
      <w:r>
        <w:rPr>
          <w:rFonts w:hAnsi="宋体"/>
          <w:kern w:val="2"/>
          <w:szCs w:val="32"/>
        </w:rPr>
        <w:t xml:space="preserve">  </w:t>
      </w:r>
      <w:r>
        <w:rPr>
          <w:rFonts w:hint="eastAsia"/>
          <w:szCs w:val="21"/>
        </w:rPr>
        <w:t>不同超压对建筑物造成的影响和损坏见表B.13。</w:t>
      </w:r>
    </w:p>
    <w:p w14:paraId="2676D5C1">
      <w:pPr>
        <w:pStyle w:val="161"/>
        <w:spacing w:before="156" w:after="156"/>
        <w:rPr>
          <w:rFonts w:hint="eastAsia"/>
        </w:rPr>
      </w:pPr>
      <w:r>
        <w:rPr>
          <w:rFonts w:hint="eastAsia"/>
        </w:rPr>
        <w:t>表 B.13</w:t>
      </w:r>
      <w:r>
        <w:t xml:space="preserve"> </w:t>
      </w:r>
      <w:r>
        <w:rPr>
          <w:rFonts w:hint="eastAsia"/>
        </w:rPr>
        <w:t>超压对建筑物的影响（近似值）</w:t>
      </w:r>
    </w:p>
    <w:tbl>
      <w:tblPr>
        <w:tblStyle w:val="36"/>
        <w:tblW w:w="83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1"/>
        <w:gridCol w:w="6921"/>
      </w:tblGrid>
      <w:tr w14:paraId="09905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81" w:type="dxa"/>
            <w:vAlign w:val="center"/>
          </w:tcPr>
          <w:p w14:paraId="37F3078F">
            <w:pPr>
              <w:pStyle w:val="110"/>
              <w:numPr>
                <w:ilvl w:val="0"/>
                <w:numId w:val="0"/>
              </w:numPr>
              <w:rPr>
                <w:rFonts w:ascii="Times New Roman" w:eastAsia="宋体"/>
                <w:sz w:val="18"/>
                <w:szCs w:val="18"/>
              </w:rPr>
            </w:pPr>
            <w:r>
              <w:rPr>
                <w:rFonts w:hint="eastAsia" w:ascii="Times New Roman" w:eastAsia="宋体"/>
                <w:sz w:val="18"/>
                <w:szCs w:val="18"/>
              </w:rPr>
              <w:t>压力</w:t>
            </w:r>
          </w:p>
          <w:p w14:paraId="0175C681">
            <w:pPr>
              <w:pStyle w:val="110"/>
              <w:numPr>
                <w:ilvl w:val="0"/>
                <w:numId w:val="0"/>
              </w:numPr>
              <w:rPr>
                <w:rFonts w:ascii="Times New Roman" w:eastAsia="宋体"/>
                <w:sz w:val="18"/>
                <w:szCs w:val="18"/>
              </w:rPr>
            </w:pPr>
            <w:r>
              <w:rPr>
                <w:rFonts w:hint="eastAsia" w:ascii="Times New Roman" w:eastAsia="宋体"/>
                <w:sz w:val="18"/>
                <w:szCs w:val="18"/>
              </w:rPr>
              <w:t>千</w:t>
            </w:r>
            <w:r>
              <w:rPr>
                <w:rFonts w:ascii="Times New Roman" w:eastAsia="宋体"/>
                <w:sz w:val="18"/>
                <w:szCs w:val="18"/>
              </w:rPr>
              <w:t>帕斯卡</w:t>
            </w:r>
          </w:p>
        </w:tc>
        <w:tc>
          <w:tcPr>
            <w:tcW w:w="6921" w:type="dxa"/>
            <w:vAlign w:val="center"/>
          </w:tcPr>
          <w:p w14:paraId="1E4CF644">
            <w:pPr>
              <w:pStyle w:val="110"/>
              <w:numPr>
                <w:ilvl w:val="0"/>
                <w:numId w:val="0"/>
              </w:numPr>
              <w:rPr>
                <w:rFonts w:ascii="Times New Roman" w:eastAsia="宋体"/>
                <w:sz w:val="18"/>
                <w:szCs w:val="18"/>
              </w:rPr>
            </w:pPr>
            <w:r>
              <w:rPr>
                <w:rFonts w:hint="eastAsia" w:ascii="Times New Roman" w:eastAsia="宋体"/>
                <w:sz w:val="18"/>
                <w:szCs w:val="18"/>
              </w:rPr>
              <w:t>影响</w:t>
            </w:r>
          </w:p>
        </w:tc>
      </w:tr>
      <w:tr w14:paraId="0B3E1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81" w:type="dxa"/>
            <w:vAlign w:val="center"/>
          </w:tcPr>
          <w:p w14:paraId="01C2D3CC">
            <w:pPr>
              <w:pStyle w:val="110"/>
              <w:numPr>
                <w:ilvl w:val="0"/>
                <w:numId w:val="0"/>
              </w:numPr>
              <w:rPr>
                <w:rFonts w:ascii="Times New Roman" w:eastAsia="宋体"/>
                <w:sz w:val="18"/>
                <w:szCs w:val="18"/>
              </w:rPr>
            </w:pPr>
            <w:r>
              <w:rPr>
                <w:rFonts w:ascii="Times New Roman" w:eastAsia="宋体"/>
                <w:sz w:val="18"/>
                <w:szCs w:val="18"/>
              </w:rPr>
              <w:t>0.14</w:t>
            </w:r>
          </w:p>
        </w:tc>
        <w:tc>
          <w:tcPr>
            <w:tcW w:w="6921" w:type="dxa"/>
            <w:vAlign w:val="center"/>
          </w:tcPr>
          <w:p w14:paraId="2A43EF3F">
            <w:pPr>
              <w:pStyle w:val="110"/>
              <w:numPr>
                <w:ilvl w:val="0"/>
                <w:numId w:val="0"/>
              </w:numPr>
              <w:jc w:val="both"/>
              <w:rPr>
                <w:rFonts w:ascii="Times New Roman" w:eastAsia="宋体"/>
                <w:sz w:val="18"/>
                <w:szCs w:val="18"/>
              </w:rPr>
            </w:pPr>
            <w:r>
              <w:rPr>
                <w:rFonts w:hint="eastAsia" w:ascii="Times New Roman" w:eastAsia="宋体"/>
                <w:sz w:val="18"/>
                <w:szCs w:val="18"/>
              </w:rPr>
              <w:t>令人厌恶的噪声（</w:t>
            </w:r>
            <w:r>
              <w:rPr>
                <w:rFonts w:ascii="Times New Roman" w:eastAsia="宋体"/>
                <w:sz w:val="18"/>
                <w:szCs w:val="18"/>
              </w:rPr>
              <w:t>137 dB</w:t>
            </w:r>
            <w:r>
              <w:rPr>
                <w:rFonts w:hint="eastAsia" w:ascii="Times New Roman" w:eastAsia="宋体"/>
                <w:sz w:val="18"/>
                <w:szCs w:val="18"/>
              </w:rPr>
              <w:t>，或低频</w:t>
            </w:r>
            <w:r>
              <w:rPr>
                <w:rFonts w:ascii="Times New Roman" w:eastAsia="宋体"/>
                <w:sz w:val="18"/>
                <w:szCs w:val="18"/>
              </w:rPr>
              <w:t>10</w:t>
            </w:r>
            <w:r>
              <w:rPr>
                <w:rFonts w:ascii="Times New Roman"/>
                <w:kern w:val="2"/>
                <w:szCs w:val="21"/>
              </w:rPr>
              <w:t>~</w:t>
            </w:r>
            <w:r>
              <w:rPr>
                <w:rFonts w:ascii="Times New Roman" w:eastAsia="宋体"/>
                <w:sz w:val="18"/>
                <w:szCs w:val="18"/>
              </w:rPr>
              <w:t>15 Hz</w:t>
            </w:r>
            <w:r>
              <w:rPr>
                <w:rFonts w:hint="eastAsia" w:ascii="Times New Roman" w:eastAsia="宋体"/>
                <w:sz w:val="18"/>
                <w:szCs w:val="18"/>
              </w:rPr>
              <w:t>）</w:t>
            </w:r>
          </w:p>
        </w:tc>
      </w:tr>
      <w:tr w14:paraId="0D77A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81" w:type="dxa"/>
            <w:vAlign w:val="center"/>
          </w:tcPr>
          <w:p w14:paraId="6781D2C4">
            <w:pPr>
              <w:pStyle w:val="110"/>
              <w:numPr>
                <w:ilvl w:val="0"/>
                <w:numId w:val="0"/>
              </w:numPr>
              <w:rPr>
                <w:rFonts w:ascii="Times New Roman" w:eastAsia="宋体"/>
                <w:sz w:val="18"/>
                <w:szCs w:val="18"/>
              </w:rPr>
            </w:pPr>
            <w:r>
              <w:rPr>
                <w:rFonts w:ascii="Times New Roman" w:eastAsia="宋体"/>
                <w:sz w:val="18"/>
                <w:szCs w:val="18"/>
              </w:rPr>
              <w:t>0.21</w:t>
            </w:r>
          </w:p>
        </w:tc>
        <w:tc>
          <w:tcPr>
            <w:tcW w:w="6921" w:type="dxa"/>
            <w:vAlign w:val="center"/>
          </w:tcPr>
          <w:p w14:paraId="7A7FA206">
            <w:pPr>
              <w:pStyle w:val="110"/>
              <w:numPr>
                <w:ilvl w:val="0"/>
                <w:numId w:val="0"/>
              </w:numPr>
              <w:jc w:val="both"/>
              <w:rPr>
                <w:rFonts w:ascii="Times New Roman" w:eastAsia="宋体"/>
                <w:sz w:val="18"/>
                <w:szCs w:val="18"/>
              </w:rPr>
            </w:pPr>
            <w:r>
              <w:rPr>
                <w:rFonts w:hint="eastAsia" w:ascii="Times New Roman" w:eastAsia="宋体"/>
                <w:sz w:val="18"/>
                <w:szCs w:val="18"/>
              </w:rPr>
              <w:t>已经处于疲劳状态下的大玻璃偶尔破碎</w:t>
            </w:r>
          </w:p>
        </w:tc>
      </w:tr>
      <w:tr w14:paraId="32069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81" w:type="dxa"/>
            <w:vAlign w:val="center"/>
          </w:tcPr>
          <w:p w14:paraId="42A40963">
            <w:pPr>
              <w:pStyle w:val="110"/>
              <w:numPr>
                <w:ilvl w:val="0"/>
                <w:numId w:val="0"/>
              </w:numPr>
              <w:rPr>
                <w:rFonts w:ascii="Times New Roman" w:eastAsia="宋体"/>
                <w:sz w:val="18"/>
                <w:szCs w:val="18"/>
              </w:rPr>
            </w:pPr>
            <w:r>
              <w:rPr>
                <w:rFonts w:ascii="Times New Roman" w:eastAsia="宋体"/>
                <w:sz w:val="18"/>
                <w:szCs w:val="18"/>
              </w:rPr>
              <w:t>0.28</w:t>
            </w:r>
          </w:p>
        </w:tc>
        <w:tc>
          <w:tcPr>
            <w:tcW w:w="6921" w:type="dxa"/>
            <w:vAlign w:val="center"/>
          </w:tcPr>
          <w:p w14:paraId="2A08E359">
            <w:pPr>
              <w:pStyle w:val="110"/>
              <w:numPr>
                <w:ilvl w:val="0"/>
                <w:numId w:val="0"/>
              </w:numPr>
              <w:jc w:val="both"/>
              <w:rPr>
                <w:rFonts w:ascii="Times New Roman" w:eastAsia="宋体"/>
                <w:sz w:val="18"/>
                <w:szCs w:val="18"/>
              </w:rPr>
            </w:pPr>
            <w:r>
              <w:rPr>
                <w:rFonts w:hint="eastAsia" w:ascii="Times New Roman" w:eastAsia="宋体"/>
                <w:sz w:val="18"/>
                <w:szCs w:val="18"/>
              </w:rPr>
              <w:t>产生大的噪声（</w:t>
            </w:r>
            <w:r>
              <w:rPr>
                <w:rFonts w:ascii="Times New Roman" w:eastAsia="宋体"/>
                <w:sz w:val="18"/>
                <w:szCs w:val="18"/>
              </w:rPr>
              <w:t>143 dB</w:t>
            </w:r>
            <w:r>
              <w:rPr>
                <w:rFonts w:hint="eastAsia" w:ascii="Times New Roman" w:eastAsia="宋体"/>
                <w:sz w:val="18"/>
                <w:szCs w:val="18"/>
              </w:rPr>
              <w:t>）、玻璃破裂</w:t>
            </w:r>
          </w:p>
        </w:tc>
      </w:tr>
      <w:tr w14:paraId="547F0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81" w:type="dxa"/>
            <w:vAlign w:val="center"/>
          </w:tcPr>
          <w:p w14:paraId="41347817">
            <w:pPr>
              <w:pStyle w:val="110"/>
              <w:numPr>
                <w:ilvl w:val="0"/>
                <w:numId w:val="0"/>
              </w:numPr>
              <w:rPr>
                <w:rFonts w:ascii="Times New Roman" w:eastAsia="宋体"/>
                <w:sz w:val="18"/>
                <w:szCs w:val="18"/>
              </w:rPr>
            </w:pPr>
            <w:r>
              <w:rPr>
                <w:rFonts w:ascii="Times New Roman" w:eastAsia="宋体"/>
                <w:sz w:val="18"/>
                <w:szCs w:val="18"/>
              </w:rPr>
              <w:t>0.69</w:t>
            </w:r>
          </w:p>
        </w:tc>
        <w:tc>
          <w:tcPr>
            <w:tcW w:w="6921" w:type="dxa"/>
            <w:vAlign w:val="center"/>
          </w:tcPr>
          <w:p w14:paraId="14EFF462">
            <w:pPr>
              <w:pStyle w:val="110"/>
              <w:numPr>
                <w:ilvl w:val="0"/>
                <w:numId w:val="0"/>
              </w:numPr>
              <w:jc w:val="both"/>
              <w:rPr>
                <w:rFonts w:ascii="Times New Roman" w:eastAsia="宋体"/>
                <w:sz w:val="18"/>
                <w:szCs w:val="18"/>
              </w:rPr>
            </w:pPr>
            <w:r>
              <w:rPr>
                <w:rFonts w:hint="eastAsia" w:ascii="Times New Roman" w:eastAsia="宋体"/>
                <w:sz w:val="18"/>
                <w:szCs w:val="18"/>
              </w:rPr>
              <w:t>处于压力应变状态的小玻璃破裂</w:t>
            </w:r>
          </w:p>
        </w:tc>
      </w:tr>
      <w:tr w14:paraId="23F37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81" w:type="dxa"/>
            <w:vAlign w:val="center"/>
          </w:tcPr>
          <w:p w14:paraId="285EFA84">
            <w:pPr>
              <w:pStyle w:val="110"/>
              <w:numPr>
                <w:ilvl w:val="0"/>
                <w:numId w:val="0"/>
              </w:numPr>
              <w:rPr>
                <w:rFonts w:ascii="Times New Roman" w:eastAsia="宋体"/>
                <w:sz w:val="18"/>
                <w:szCs w:val="18"/>
              </w:rPr>
            </w:pPr>
            <w:r>
              <w:rPr>
                <w:rFonts w:ascii="Times New Roman" w:eastAsia="宋体"/>
                <w:sz w:val="18"/>
                <w:szCs w:val="18"/>
              </w:rPr>
              <w:t>1.03</w:t>
            </w:r>
          </w:p>
        </w:tc>
        <w:tc>
          <w:tcPr>
            <w:tcW w:w="6921" w:type="dxa"/>
            <w:vAlign w:val="center"/>
          </w:tcPr>
          <w:p w14:paraId="5EBD6C5F">
            <w:pPr>
              <w:pStyle w:val="110"/>
              <w:numPr>
                <w:ilvl w:val="0"/>
                <w:numId w:val="0"/>
              </w:numPr>
              <w:jc w:val="both"/>
              <w:rPr>
                <w:rFonts w:ascii="Times New Roman" w:eastAsia="宋体"/>
                <w:sz w:val="18"/>
                <w:szCs w:val="18"/>
              </w:rPr>
            </w:pPr>
            <w:r>
              <w:rPr>
                <w:rFonts w:hint="eastAsia" w:ascii="Times New Roman" w:eastAsia="宋体"/>
                <w:sz w:val="18"/>
                <w:szCs w:val="18"/>
              </w:rPr>
              <w:t>玻璃破裂的典型压力</w:t>
            </w:r>
          </w:p>
        </w:tc>
      </w:tr>
      <w:tr w14:paraId="09433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81" w:type="dxa"/>
            <w:vAlign w:val="center"/>
          </w:tcPr>
          <w:p w14:paraId="4D4B6316">
            <w:pPr>
              <w:pStyle w:val="110"/>
              <w:numPr>
                <w:ilvl w:val="0"/>
                <w:numId w:val="0"/>
              </w:numPr>
              <w:rPr>
                <w:rFonts w:ascii="Times New Roman" w:eastAsia="宋体"/>
                <w:sz w:val="18"/>
                <w:szCs w:val="18"/>
              </w:rPr>
            </w:pPr>
            <w:r>
              <w:rPr>
                <w:rFonts w:ascii="Times New Roman" w:eastAsia="宋体"/>
                <w:sz w:val="18"/>
                <w:szCs w:val="18"/>
              </w:rPr>
              <w:t>2.07</w:t>
            </w:r>
          </w:p>
        </w:tc>
        <w:tc>
          <w:tcPr>
            <w:tcW w:w="6921" w:type="dxa"/>
            <w:vAlign w:val="center"/>
          </w:tcPr>
          <w:p w14:paraId="6025127D">
            <w:pPr>
              <w:pStyle w:val="110"/>
              <w:numPr>
                <w:ilvl w:val="0"/>
                <w:numId w:val="0"/>
              </w:numPr>
              <w:jc w:val="both"/>
              <w:rPr>
                <w:rFonts w:ascii="Times New Roman" w:eastAsia="宋体"/>
                <w:sz w:val="18"/>
                <w:szCs w:val="18"/>
              </w:rPr>
            </w:pPr>
            <w:r>
              <w:rPr>
                <w:rFonts w:hint="eastAsia" w:ascii="Times New Roman" w:eastAsia="宋体"/>
                <w:sz w:val="18"/>
                <w:szCs w:val="18"/>
              </w:rPr>
              <w:t>“安全距离”（低于该值，不造成严重损坏的概率为</w:t>
            </w:r>
            <w:r>
              <w:rPr>
                <w:rFonts w:ascii="Times New Roman" w:eastAsia="宋体"/>
                <w:sz w:val="18"/>
                <w:szCs w:val="18"/>
              </w:rPr>
              <w:t>0.95</w:t>
            </w:r>
            <w:r>
              <w:rPr>
                <w:rFonts w:hint="eastAsia" w:ascii="Times New Roman" w:eastAsia="宋体"/>
                <w:sz w:val="18"/>
                <w:szCs w:val="18"/>
              </w:rPr>
              <w:t>）；抛射限值；屋顶出现某些破坏；</w:t>
            </w:r>
            <w:r>
              <w:rPr>
                <w:rFonts w:ascii="Times New Roman" w:eastAsia="宋体"/>
                <w:sz w:val="18"/>
                <w:szCs w:val="18"/>
              </w:rPr>
              <w:t>10%</w:t>
            </w:r>
            <w:r>
              <w:rPr>
                <w:rFonts w:hint="eastAsia" w:ascii="Times New Roman" w:eastAsia="宋体"/>
                <w:sz w:val="18"/>
                <w:szCs w:val="18"/>
              </w:rPr>
              <w:t>的窗户玻璃被打碎</w:t>
            </w:r>
          </w:p>
        </w:tc>
      </w:tr>
      <w:tr w14:paraId="77A67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81" w:type="dxa"/>
            <w:vAlign w:val="center"/>
          </w:tcPr>
          <w:p w14:paraId="73375C33">
            <w:pPr>
              <w:pStyle w:val="110"/>
              <w:numPr>
                <w:ilvl w:val="0"/>
                <w:numId w:val="0"/>
              </w:numPr>
              <w:rPr>
                <w:rFonts w:ascii="Times New Roman" w:eastAsia="宋体"/>
                <w:sz w:val="18"/>
                <w:szCs w:val="18"/>
              </w:rPr>
            </w:pPr>
            <w:r>
              <w:rPr>
                <w:rFonts w:ascii="Times New Roman" w:eastAsia="宋体"/>
                <w:sz w:val="18"/>
                <w:szCs w:val="18"/>
              </w:rPr>
              <w:t>2.76</w:t>
            </w:r>
          </w:p>
        </w:tc>
        <w:tc>
          <w:tcPr>
            <w:tcW w:w="6921" w:type="dxa"/>
            <w:vAlign w:val="center"/>
          </w:tcPr>
          <w:p w14:paraId="2DD8F7C8">
            <w:pPr>
              <w:pStyle w:val="110"/>
              <w:numPr>
                <w:ilvl w:val="0"/>
                <w:numId w:val="0"/>
              </w:numPr>
              <w:jc w:val="both"/>
              <w:rPr>
                <w:rFonts w:ascii="Times New Roman" w:eastAsia="宋体"/>
                <w:sz w:val="18"/>
                <w:szCs w:val="18"/>
              </w:rPr>
            </w:pPr>
            <w:r>
              <w:rPr>
                <w:rFonts w:hint="eastAsia" w:ascii="Times New Roman" w:eastAsia="宋体"/>
                <w:sz w:val="18"/>
                <w:szCs w:val="18"/>
              </w:rPr>
              <w:t>有限的较小结构破坏</w:t>
            </w:r>
          </w:p>
        </w:tc>
      </w:tr>
      <w:tr w14:paraId="488C6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81" w:type="dxa"/>
            <w:vAlign w:val="center"/>
          </w:tcPr>
          <w:p w14:paraId="478FC0D9">
            <w:pPr>
              <w:pStyle w:val="110"/>
              <w:numPr>
                <w:ilvl w:val="0"/>
                <w:numId w:val="0"/>
              </w:numPr>
              <w:rPr>
                <w:rFonts w:ascii="Times New Roman" w:eastAsia="宋体"/>
                <w:sz w:val="18"/>
                <w:szCs w:val="18"/>
              </w:rPr>
            </w:pPr>
            <w:r>
              <w:rPr>
                <w:rFonts w:ascii="Times New Roman" w:eastAsia="宋体"/>
                <w:sz w:val="18"/>
                <w:szCs w:val="18"/>
              </w:rPr>
              <w:t>3.4</w:t>
            </w:r>
            <w:r>
              <w:rPr>
                <w:rFonts w:ascii="Times New Roman"/>
                <w:kern w:val="2"/>
                <w:szCs w:val="21"/>
              </w:rPr>
              <w:t>~</w:t>
            </w:r>
            <w:r>
              <w:rPr>
                <w:rFonts w:ascii="Times New Roman" w:eastAsia="宋体"/>
                <w:sz w:val="18"/>
                <w:szCs w:val="18"/>
              </w:rPr>
              <w:t>6.9</w:t>
            </w:r>
          </w:p>
        </w:tc>
        <w:tc>
          <w:tcPr>
            <w:tcW w:w="6921" w:type="dxa"/>
            <w:vAlign w:val="center"/>
          </w:tcPr>
          <w:p w14:paraId="70E627A9">
            <w:pPr>
              <w:pStyle w:val="110"/>
              <w:numPr>
                <w:ilvl w:val="0"/>
                <w:numId w:val="0"/>
              </w:numPr>
              <w:jc w:val="both"/>
              <w:rPr>
                <w:rFonts w:ascii="Times New Roman" w:eastAsia="宋体"/>
                <w:sz w:val="18"/>
                <w:szCs w:val="18"/>
              </w:rPr>
            </w:pPr>
            <w:r>
              <w:rPr>
                <w:rFonts w:hint="eastAsia" w:ascii="Times New Roman" w:eastAsia="宋体"/>
                <w:sz w:val="18"/>
                <w:szCs w:val="18"/>
              </w:rPr>
              <w:t>大窗户和小窗户通常破碎；窗户框架偶尔遭到破坏</w:t>
            </w:r>
          </w:p>
        </w:tc>
      </w:tr>
      <w:tr w14:paraId="25FC5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81" w:type="dxa"/>
            <w:vAlign w:val="center"/>
          </w:tcPr>
          <w:p w14:paraId="4E7D40F3">
            <w:pPr>
              <w:pStyle w:val="110"/>
              <w:numPr>
                <w:ilvl w:val="0"/>
                <w:numId w:val="0"/>
              </w:numPr>
              <w:rPr>
                <w:rFonts w:ascii="Times New Roman" w:eastAsia="宋体"/>
                <w:sz w:val="18"/>
                <w:szCs w:val="18"/>
              </w:rPr>
            </w:pPr>
            <w:r>
              <w:rPr>
                <w:rFonts w:ascii="Times New Roman" w:eastAsia="宋体"/>
                <w:sz w:val="18"/>
                <w:szCs w:val="18"/>
              </w:rPr>
              <w:t>4.8</w:t>
            </w:r>
          </w:p>
        </w:tc>
        <w:tc>
          <w:tcPr>
            <w:tcW w:w="6921" w:type="dxa"/>
            <w:vAlign w:val="center"/>
          </w:tcPr>
          <w:p w14:paraId="36318D09">
            <w:pPr>
              <w:pStyle w:val="110"/>
              <w:numPr>
                <w:ilvl w:val="0"/>
                <w:numId w:val="0"/>
              </w:numPr>
              <w:jc w:val="both"/>
              <w:rPr>
                <w:rFonts w:ascii="Times New Roman" w:eastAsia="宋体"/>
                <w:sz w:val="18"/>
                <w:szCs w:val="18"/>
              </w:rPr>
            </w:pPr>
            <w:r>
              <w:rPr>
                <w:rFonts w:hint="eastAsia" w:ascii="Times New Roman" w:eastAsia="宋体"/>
                <w:sz w:val="18"/>
                <w:szCs w:val="18"/>
              </w:rPr>
              <w:t>房屋建筑物受到较小的破坏</w:t>
            </w:r>
          </w:p>
        </w:tc>
      </w:tr>
      <w:tr w14:paraId="426D5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81" w:type="dxa"/>
            <w:vAlign w:val="center"/>
          </w:tcPr>
          <w:p w14:paraId="5C5CA76B">
            <w:pPr>
              <w:pStyle w:val="110"/>
              <w:numPr>
                <w:ilvl w:val="0"/>
                <w:numId w:val="0"/>
              </w:numPr>
              <w:rPr>
                <w:rFonts w:ascii="Times New Roman" w:eastAsia="宋体"/>
                <w:sz w:val="18"/>
                <w:szCs w:val="18"/>
              </w:rPr>
            </w:pPr>
            <w:r>
              <w:rPr>
                <w:rFonts w:ascii="Times New Roman" w:eastAsia="宋体"/>
                <w:sz w:val="18"/>
                <w:szCs w:val="18"/>
              </w:rPr>
              <w:t>6.9</w:t>
            </w:r>
          </w:p>
        </w:tc>
        <w:tc>
          <w:tcPr>
            <w:tcW w:w="6921" w:type="dxa"/>
            <w:vAlign w:val="center"/>
          </w:tcPr>
          <w:p w14:paraId="698F8850">
            <w:pPr>
              <w:pStyle w:val="110"/>
              <w:numPr>
                <w:ilvl w:val="0"/>
                <w:numId w:val="0"/>
              </w:numPr>
              <w:jc w:val="both"/>
              <w:rPr>
                <w:rFonts w:ascii="Times New Roman" w:eastAsia="宋体"/>
                <w:sz w:val="18"/>
                <w:szCs w:val="18"/>
              </w:rPr>
            </w:pPr>
            <w:r>
              <w:rPr>
                <w:rFonts w:hint="eastAsia" w:ascii="Times New Roman" w:eastAsia="宋体"/>
                <w:sz w:val="18"/>
                <w:szCs w:val="18"/>
              </w:rPr>
              <w:t>房屋部分破坏，不能居住</w:t>
            </w:r>
          </w:p>
        </w:tc>
      </w:tr>
      <w:tr w14:paraId="550EA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81" w:type="dxa"/>
            <w:vAlign w:val="center"/>
          </w:tcPr>
          <w:p w14:paraId="782666A4">
            <w:pPr>
              <w:pStyle w:val="110"/>
              <w:numPr>
                <w:ilvl w:val="0"/>
                <w:numId w:val="0"/>
              </w:numPr>
              <w:rPr>
                <w:rFonts w:ascii="Times New Roman" w:eastAsia="宋体"/>
                <w:sz w:val="18"/>
                <w:szCs w:val="18"/>
              </w:rPr>
            </w:pPr>
            <w:r>
              <w:rPr>
                <w:rFonts w:ascii="Times New Roman" w:eastAsia="宋体"/>
                <w:sz w:val="18"/>
                <w:szCs w:val="18"/>
              </w:rPr>
              <w:t>6.9</w:t>
            </w:r>
            <w:r>
              <w:rPr>
                <w:rFonts w:ascii="Times New Roman"/>
                <w:kern w:val="2"/>
                <w:szCs w:val="21"/>
              </w:rPr>
              <w:t>~</w:t>
            </w:r>
            <w:r>
              <w:rPr>
                <w:rFonts w:ascii="Times New Roman" w:eastAsia="宋体"/>
                <w:sz w:val="18"/>
                <w:szCs w:val="18"/>
              </w:rPr>
              <w:t>13.8</w:t>
            </w:r>
          </w:p>
        </w:tc>
        <w:tc>
          <w:tcPr>
            <w:tcW w:w="6921" w:type="dxa"/>
            <w:vAlign w:val="center"/>
          </w:tcPr>
          <w:p w14:paraId="743CA18E">
            <w:pPr>
              <w:pStyle w:val="110"/>
              <w:numPr>
                <w:ilvl w:val="0"/>
                <w:numId w:val="0"/>
              </w:numPr>
              <w:jc w:val="both"/>
              <w:rPr>
                <w:rFonts w:ascii="Times New Roman" w:eastAsia="宋体"/>
                <w:sz w:val="18"/>
                <w:szCs w:val="18"/>
              </w:rPr>
            </w:pPr>
            <w:r>
              <w:rPr>
                <w:rFonts w:hint="eastAsia" w:ascii="Times New Roman" w:eastAsia="宋体"/>
                <w:sz w:val="18"/>
                <w:szCs w:val="18"/>
              </w:rPr>
              <w:t>石棉板粉碎；钢板或铝板起皱，紧固失效；木板固定失效、吹落</w:t>
            </w:r>
          </w:p>
        </w:tc>
      </w:tr>
      <w:tr w14:paraId="224FB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81" w:type="dxa"/>
            <w:vAlign w:val="center"/>
          </w:tcPr>
          <w:p w14:paraId="2E44FD4F">
            <w:pPr>
              <w:pStyle w:val="110"/>
              <w:numPr>
                <w:ilvl w:val="0"/>
                <w:numId w:val="0"/>
              </w:numPr>
              <w:rPr>
                <w:rFonts w:ascii="Times New Roman" w:eastAsia="宋体"/>
                <w:sz w:val="18"/>
                <w:szCs w:val="18"/>
              </w:rPr>
            </w:pPr>
            <w:r>
              <w:rPr>
                <w:rFonts w:ascii="Times New Roman" w:eastAsia="宋体"/>
                <w:sz w:val="18"/>
                <w:szCs w:val="18"/>
              </w:rPr>
              <w:t>9.0</w:t>
            </w:r>
          </w:p>
        </w:tc>
        <w:tc>
          <w:tcPr>
            <w:tcW w:w="6921" w:type="dxa"/>
            <w:vAlign w:val="center"/>
          </w:tcPr>
          <w:p w14:paraId="27B693C5">
            <w:pPr>
              <w:pStyle w:val="110"/>
              <w:numPr>
                <w:ilvl w:val="0"/>
                <w:numId w:val="0"/>
              </w:numPr>
              <w:jc w:val="both"/>
              <w:rPr>
                <w:rFonts w:ascii="Times New Roman" w:eastAsia="宋体"/>
                <w:sz w:val="18"/>
                <w:szCs w:val="18"/>
              </w:rPr>
            </w:pPr>
            <w:r>
              <w:rPr>
                <w:rFonts w:hint="eastAsia" w:ascii="Times New Roman" w:eastAsia="宋体"/>
                <w:sz w:val="18"/>
                <w:szCs w:val="18"/>
              </w:rPr>
              <w:t>钢结构的建筑物轻微变形</w:t>
            </w:r>
          </w:p>
        </w:tc>
      </w:tr>
      <w:tr w14:paraId="6C0D6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81" w:type="dxa"/>
            <w:vAlign w:val="center"/>
          </w:tcPr>
          <w:p w14:paraId="685622A4">
            <w:pPr>
              <w:pStyle w:val="110"/>
              <w:numPr>
                <w:ilvl w:val="0"/>
                <w:numId w:val="0"/>
              </w:numPr>
              <w:rPr>
                <w:rFonts w:ascii="Times New Roman" w:eastAsia="宋体"/>
                <w:sz w:val="18"/>
                <w:szCs w:val="18"/>
              </w:rPr>
            </w:pPr>
            <w:r>
              <w:rPr>
                <w:rFonts w:ascii="Times New Roman" w:eastAsia="宋体"/>
                <w:sz w:val="18"/>
                <w:szCs w:val="18"/>
              </w:rPr>
              <w:t>13.8</w:t>
            </w:r>
          </w:p>
        </w:tc>
        <w:tc>
          <w:tcPr>
            <w:tcW w:w="6921" w:type="dxa"/>
            <w:vAlign w:val="center"/>
          </w:tcPr>
          <w:p w14:paraId="4B7BEBAF">
            <w:pPr>
              <w:pStyle w:val="110"/>
              <w:numPr>
                <w:ilvl w:val="0"/>
                <w:numId w:val="0"/>
              </w:numPr>
              <w:jc w:val="both"/>
              <w:rPr>
                <w:rFonts w:ascii="Times New Roman" w:eastAsia="宋体"/>
                <w:sz w:val="18"/>
                <w:szCs w:val="18"/>
              </w:rPr>
            </w:pPr>
            <w:r>
              <w:rPr>
                <w:rFonts w:hint="eastAsia" w:ascii="Times New Roman" w:eastAsia="宋体"/>
                <w:sz w:val="18"/>
                <w:szCs w:val="18"/>
              </w:rPr>
              <w:t>房屋的墙和屋顶局部坍塌</w:t>
            </w:r>
          </w:p>
        </w:tc>
      </w:tr>
      <w:tr w14:paraId="40983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81" w:type="dxa"/>
            <w:vAlign w:val="center"/>
          </w:tcPr>
          <w:p w14:paraId="593351F7">
            <w:pPr>
              <w:pStyle w:val="110"/>
              <w:numPr>
                <w:ilvl w:val="0"/>
                <w:numId w:val="0"/>
              </w:numPr>
              <w:rPr>
                <w:rFonts w:ascii="Times New Roman" w:eastAsia="宋体"/>
                <w:sz w:val="18"/>
                <w:szCs w:val="18"/>
              </w:rPr>
            </w:pPr>
            <w:r>
              <w:rPr>
                <w:rFonts w:ascii="Times New Roman" w:eastAsia="宋体"/>
                <w:sz w:val="18"/>
                <w:szCs w:val="18"/>
              </w:rPr>
              <w:t>13.8</w:t>
            </w:r>
            <w:r>
              <w:rPr>
                <w:rFonts w:ascii="Times New Roman"/>
                <w:kern w:val="2"/>
                <w:szCs w:val="21"/>
              </w:rPr>
              <w:t>~</w:t>
            </w:r>
            <w:r>
              <w:rPr>
                <w:rFonts w:ascii="Times New Roman" w:eastAsia="宋体"/>
                <w:sz w:val="18"/>
                <w:szCs w:val="18"/>
              </w:rPr>
              <w:t>20.7</w:t>
            </w:r>
          </w:p>
        </w:tc>
        <w:tc>
          <w:tcPr>
            <w:tcW w:w="6921" w:type="dxa"/>
            <w:vAlign w:val="center"/>
          </w:tcPr>
          <w:p w14:paraId="20DC5AE8">
            <w:pPr>
              <w:pStyle w:val="110"/>
              <w:numPr>
                <w:ilvl w:val="0"/>
                <w:numId w:val="0"/>
              </w:numPr>
              <w:jc w:val="both"/>
              <w:rPr>
                <w:rFonts w:ascii="Times New Roman" w:eastAsia="宋体"/>
                <w:sz w:val="18"/>
                <w:szCs w:val="18"/>
              </w:rPr>
            </w:pPr>
            <w:r>
              <w:rPr>
                <w:rFonts w:hint="eastAsia" w:ascii="Times New Roman" w:eastAsia="宋体"/>
                <w:sz w:val="18"/>
                <w:szCs w:val="18"/>
              </w:rPr>
              <w:t>没有加固的混凝土墙毁坏</w:t>
            </w:r>
          </w:p>
        </w:tc>
      </w:tr>
      <w:tr w14:paraId="06655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81" w:type="dxa"/>
            <w:vAlign w:val="center"/>
          </w:tcPr>
          <w:p w14:paraId="2ABD0FAC">
            <w:pPr>
              <w:pStyle w:val="110"/>
              <w:numPr>
                <w:ilvl w:val="0"/>
                <w:numId w:val="0"/>
              </w:numPr>
              <w:rPr>
                <w:rFonts w:ascii="Times New Roman" w:eastAsia="宋体"/>
                <w:sz w:val="18"/>
                <w:szCs w:val="18"/>
              </w:rPr>
            </w:pPr>
            <w:r>
              <w:rPr>
                <w:rFonts w:ascii="Times New Roman" w:eastAsia="宋体"/>
                <w:sz w:val="18"/>
                <w:szCs w:val="18"/>
              </w:rPr>
              <w:t>15.8</w:t>
            </w:r>
          </w:p>
        </w:tc>
        <w:tc>
          <w:tcPr>
            <w:tcW w:w="6921" w:type="dxa"/>
            <w:vAlign w:val="center"/>
          </w:tcPr>
          <w:p w14:paraId="320F0CA8">
            <w:pPr>
              <w:pStyle w:val="110"/>
              <w:numPr>
                <w:ilvl w:val="0"/>
                <w:numId w:val="0"/>
              </w:numPr>
              <w:jc w:val="both"/>
              <w:rPr>
                <w:rFonts w:ascii="Times New Roman" w:eastAsia="宋体"/>
                <w:sz w:val="18"/>
                <w:szCs w:val="18"/>
              </w:rPr>
            </w:pPr>
            <w:r>
              <w:rPr>
                <w:rFonts w:hint="eastAsia" w:ascii="Times New Roman" w:eastAsia="宋体"/>
                <w:sz w:val="18"/>
                <w:szCs w:val="18"/>
              </w:rPr>
              <w:t>严重结构破坏的低限值</w:t>
            </w:r>
          </w:p>
        </w:tc>
      </w:tr>
      <w:tr w14:paraId="1D5E9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81" w:type="dxa"/>
            <w:vAlign w:val="center"/>
          </w:tcPr>
          <w:p w14:paraId="78612FC5">
            <w:pPr>
              <w:pStyle w:val="110"/>
              <w:numPr>
                <w:ilvl w:val="0"/>
                <w:numId w:val="0"/>
              </w:numPr>
              <w:rPr>
                <w:rFonts w:ascii="Times New Roman" w:eastAsia="宋体"/>
                <w:sz w:val="18"/>
                <w:szCs w:val="18"/>
              </w:rPr>
            </w:pPr>
            <w:r>
              <w:rPr>
                <w:rFonts w:ascii="Times New Roman" w:eastAsia="宋体"/>
                <w:sz w:val="18"/>
                <w:szCs w:val="18"/>
              </w:rPr>
              <w:t>17.2</w:t>
            </w:r>
          </w:p>
        </w:tc>
        <w:tc>
          <w:tcPr>
            <w:tcW w:w="6921" w:type="dxa"/>
            <w:vAlign w:val="center"/>
          </w:tcPr>
          <w:p w14:paraId="4372922D">
            <w:pPr>
              <w:pStyle w:val="110"/>
              <w:numPr>
                <w:ilvl w:val="0"/>
                <w:numId w:val="0"/>
              </w:numPr>
              <w:jc w:val="both"/>
              <w:rPr>
                <w:rFonts w:ascii="Times New Roman" w:eastAsia="宋体"/>
                <w:sz w:val="18"/>
                <w:szCs w:val="18"/>
              </w:rPr>
            </w:pPr>
            <w:r>
              <w:rPr>
                <w:rFonts w:hint="eastAsia" w:ascii="Times New Roman" w:eastAsia="宋体"/>
                <w:sz w:val="18"/>
                <w:szCs w:val="18"/>
              </w:rPr>
              <w:t>房屋砌砖</w:t>
            </w:r>
            <w:r>
              <w:rPr>
                <w:rFonts w:ascii="Times New Roman" w:eastAsia="宋体"/>
                <w:sz w:val="18"/>
                <w:szCs w:val="18"/>
              </w:rPr>
              <w:t>50%</w:t>
            </w:r>
            <w:r>
              <w:rPr>
                <w:rFonts w:hint="eastAsia" w:ascii="Times New Roman" w:eastAsia="宋体"/>
                <w:sz w:val="18"/>
                <w:szCs w:val="18"/>
              </w:rPr>
              <w:t>破坏</w:t>
            </w:r>
          </w:p>
        </w:tc>
      </w:tr>
      <w:tr w14:paraId="7B7C9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81" w:type="dxa"/>
            <w:vAlign w:val="center"/>
          </w:tcPr>
          <w:p w14:paraId="51616A0B">
            <w:pPr>
              <w:pStyle w:val="110"/>
              <w:numPr>
                <w:ilvl w:val="0"/>
                <w:numId w:val="0"/>
              </w:numPr>
              <w:rPr>
                <w:rFonts w:ascii="Times New Roman" w:eastAsia="宋体"/>
                <w:sz w:val="18"/>
                <w:szCs w:val="18"/>
              </w:rPr>
            </w:pPr>
            <w:r>
              <w:rPr>
                <w:rFonts w:ascii="Times New Roman" w:eastAsia="宋体"/>
                <w:sz w:val="18"/>
                <w:szCs w:val="18"/>
              </w:rPr>
              <w:t>20.7</w:t>
            </w:r>
          </w:p>
        </w:tc>
        <w:tc>
          <w:tcPr>
            <w:tcW w:w="6921" w:type="dxa"/>
            <w:vAlign w:val="center"/>
          </w:tcPr>
          <w:p w14:paraId="212DF77F">
            <w:pPr>
              <w:pStyle w:val="110"/>
              <w:numPr>
                <w:ilvl w:val="0"/>
                <w:numId w:val="0"/>
              </w:numPr>
              <w:jc w:val="both"/>
              <w:rPr>
                <w:rFonts w:ascii="Times New Roman" w:eastAsia="宋体"/>
                <w:sz w:val="18"/>
                <w:szCs w:val="18"/>
              </w:rPr>
            </w:pPr>
            <w:r>
              <w:rPr>
                <w:rFonts w:hint="eastAsia" w:ascii="Times New Roman" w:eastAsia="宋体"/>
                <w:sz w:val="18"/>
                <w:szCs w:val="18"/>
              </w:rPr>
              <w:t>工厂建筑物内的重型机械（</w:t>
            </w:r>
            <w:r>
              <w:rPr>
                <w:rFonts w:ascii="Times New Roman" w:eastAsia="宋体"/>
                <w:sz w:val="18"/>
                <w:szCs w:val="18"/>
              </w:rPr>
              <w:t>1362kg</w:t>
            </w:r>
            <w:r>
              <w:rPr>
                <w:rFonts w:hint="eastAsia" w:ascii="Times New Roman" w:eastAsia="宋体"/>
                <w:sz w:val="18"/>
                <w:szCs w:val="18"/>
              </w:rPr>
              <w:t>）轻微损坏；钢结构建筑变形，并离开基础</w:t>
            </w:r>
          </w:p>
        </w:tc>
      </w:tr>
      <w:tr w14:paraId="5CAFA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81" w:type="dxa"/>
            <w:vAlign w:val="center"/>
          </w:tcPr>
          <w:p w14:paraId="7503E6FC">
            <w:pPr>
              <w:pStyle w:val="110"/>
              <w:numPr>
                <w:ilvl w:val="0"/>
                <w:numId w:val="0"/>
              </w:numPr>
              <w:rPr>
                <w:rFonts w:ascii="Times New Roman" w:eastAsia="宋体"/>
                <w:sz w:val="18"/>
                <w:szCs w:val="18"/>
              </w:rPr>
            </w:pPr>
            <w:r>
              <w:rPr>
                <w:rFonts w:ascii="Times New Roman" w:eastAsia="宋体"/>
                <w:sz w:val="18"/>
                <w:szCs w:val="18"/>
              </w:rPr>
              <w:t>20.7</w:t>
            </w:r>
            <w:r>
              <w:rPr>
                <w:rFonts w:ascii="Times New Roman"/>
                <w:kern w:val="2"/>
                <w:szCs w:val="21"/>
              </w:rPr>
              <w:t>~</w:t>
            </w:r>
            <w:r>
              <w:rPr>
                <w:rFonts w:ascii="Times New Roman" w:eastAsia="宋体"/>
                <w:sz w:val="18"/>
                <w:szCs w:val="18"/>
              </w:rPr>
              <w:t>27.6</w:t>
            </w:r>
          </w:p>
        </w:tc>
        <w:tc>
          <w:tcPr>
            <w:tcW w:w="6921" w:type="dxa"/>
            <w:vAlign w:val="center"/>
          </w:tcPr>
          <w:p w14:paraId="31C138E0">
            <w:pPr>
              <w:pStyle w:val="110"/>
              <w:numPr>
                <w:ilvl w:val="0"/>
                <w:numId w:val="0"/>
              </w:numPr>
              <w:jc w:val="both"/>
              <w:rPr>
                <w:rFonts w:ascii="Times New Roman" w:eastAsia="宋体"/>
                <w:sz w:val="18"/>
                <w:szCs w:val="18"/>
              </w:rPr>
            </w:pPr>
            <w:r>
              <w:rPr>
                <w:rFonts w:hint="eastAsia" w:ascii="Times New Roman" w:eastAsia="宋体"/>
                <w:sz w:val="18"/>
                <w:szCs w:val="18"/>
              </w:rPr>
              <w:t>自成构架的钢面板建筑破坏；油储罐破裂</w:t>
            </w:r>
          </w:p>
        </w:tc>
      </w:tr>
      <w:tr w14:paraId="09C14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81" w:type="dxa"/>
            <w:vAlign w:val="center"/>
          </w:tcPr>
          <w:p w14:paraId="5AEA08CB">
            <w:pPr>
              <w:pStyle w:val="110"/>
              <w:numPr>
                <w:ilvl w:val="0"/>
                <w:numId w:val="0"/>
              </w:numPr>
              <w:rPr>
                <w:rFonts w:ascii="Times New Roman" w:eastAsia="宋体"/>
                <w:sz w:val="18"/>
                <w:szCs w:val="18"/>
              </w:rPr>
            </w:pPr>
            <w:r>
              <w:rPr>
                <w:rFonts w:ascii="Times New Roman" w:eastAsia="宋体"/>
                <w:sz w:val="18"/>
                <w:szCs w:val="18"/>
              </w:rPr>
              <w:t>27.6</w:t>
            </w:r>
          </w:p>
        </w:tc>
        <w:tc>
          <w:tcPr>
            <w:tcW w:w="6921" w:type="dxa"/>
            <w:vAlign w:val="center"/>
          </w:tcPr>
          <w:p w14:paraId="5F603AEC">
            <w:pPr>
              <w:pStyle w:val="110"/>
              <w:numPr>
                <w:ilvl w:val="0"/>
                <w:numId w:val="0"/>
              </w:numPr>
              <w:jc w:val="both"/>
              <w:rPr>
                <w:rFonts w:ascii="Times New Roman" w:eastAsia="宋体"/>
                <w:sz w:val="18"/>
                <w:szCs w:val="18"/>
              </w:rPr>
            </w:pPr>
            <w:r>
              <w:rPr>
                <w:rFonts w:hint="eastAsia" w:ascii="Times New Roman" w:eastAsia="宋体"/>
                <w:sz w:val="18"/>
                <w:szCs w:val="18"/>
              </w:rPr>
              <w:t>轻工业建筑物的覆层破裂</w:t>
            </w:r>
          </w:p>
        </w:tc>
      </w:tr>
      <w:tr w14:paraId="59C69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81" w:type="dxa"/>
            <w:vAlign w:val="center"/>
          </w:tcPr>
          <w:p w14:paraId="57DFB62F">
            <w:pPr>
              <w:pStyle w:val="110"/>
              <w:numPr>
                <w:ilvl w:val="0"/>
                <w:numId w:val="0"/>
              </w:numPr>
              <w:rPr>
                <w:rFonts w:ascii="Times New Roman" w:eastAsia="宋体"/>
                <w:sz w:val="18"/>
                <w:szCs w:val="18"/>
              </w:rPr>
            </w:pPr>
            <w:r>
              <w:rPr>
                <w:rFonts w:ascii="Times New Roman" w:eastAsia="宋体"/>
                <w:sz w:val="18"/>
                <w:szCs w:val="18"/>
              </w:rPr>
              <w:t>34.5</w:t>
            </w:r>
          </w:p>
        </w:tc>
        <w:tc>
          <w:tcPr>
            <w:tcW w:w="6921" w:type="dxa"/>
            <w:vAlign w:val="center"/>
          </w:tcPr>
          <w:p w14:paraId="3C5D139F">
            <w:pPr>
              <w:pStyle w:val="110"/>
              <w:numPr>
                <w:ilvl w:val="0"/>
                <w:numId w:val="0"/>
              </w:numPr>
              <w:jc w:val="both"/>
              <w:rPr>
                <w:rFonts w:ascii="Times New Roman" w:eastAsia="宋体"/>
                <w:sz w:val="18"/>
                <w:szCs w:val="18"/>
              </w:rPr>
            </w:pPr>
            <w:r>
              <w:rPr>
                <w:rFonts w:hint="eastAsia" w:ascii="Times New Roman" w:eastAsia="宋体"/>
                <w:sz w:val="18"/>
                <w:szCs w:val="18"/>
              </w:rPr>
              <w:t>木制的支撑柱折断；建筑物内高大液压机（</w:t>
            </w:r>
            <w:r>
              <w:rPr>
                <w:rFonts w:ascii="Times New Roman" w:eastAsia="宋体"/>
                <w:sz w:val="18"/>
                <w:szCs w:val="18"/>
              </w:rPr>
              <w:t>18160kg</w:t>
            </w:r>
            <w:r>
              <w:rPr>
                <w:rFonts w:hint="eastAsia" w:ascii="Times New Roman" w:eastAsia="宋体"/>
                <w:sz w:val="18"/>
                <w:szCs w:val="18"/>
              </w:rPr>
              <w:t>）轻微破坏</w:t>
            </w:r>
          </w:p>
        </w:tc>
      </w:tr>
      <w:tr w14:paraId="5CCB7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81" w:type="dxa"/>
            <w:vAlign w:val="center"/>
          </w:tcPr>
          <w:p w14:paraId="33EED638">
            <w:pPr>
              <w:pStyle w:val="110"/>
              <w:numPr>
                <w:ilvl w:val="0"/>
                <w:numId w:val="0"/>
              </w:numPr>
              <w:rPr>
                <w:rFonts w:ascii="Times New Roman" w:eastAsia="宋体"/>
                <w:sz w:val="18"/>
                <w:szCs w:val="18"/>
              </w:rPr>
            </w:pPr>
            <w:r>
              <w:rPr>
                <w:rFonts w:ascii="Times New Roman" w:eastAsia="宋体"/>
                <w:sz w:val="18"/>
                <w:szCs w:val="18"/>
              </w:rPr>
              <w:t>34.5</w:t>
            </w:r>
            <w:r>
              <w:rPr>
                <w:rFonts w:ascii="Times New Roman"/>
                <w:kern w:val="2"/>
                <w:szCs w:val="21"/>
              </w:rPr>
              <w:t>~</w:t>
            </w:r>
            <w:r>
              <w:rPr>
                <w:rFonts w:ascii="Times New Roman" w:eastAsia="宋体"/>
                <w:sz w:val="18"/>
                <w:szCs w:val="18"/>
              </w:rPr>
              <w:t>48.2</w:t>
            </w:r>
          </w:p>
        </w:tc>
        <w:tc>
          <w:tcPr>
            <w:tcW w:w="6921" w:type="dxa"/>
            <w:vAlign w:val="center"/>
          </w:tcPr>
          <w:p w14:paraId="6C9CF763">
            <w:pPr>
              <w:pStyle w:val="110"/>
              <w:numPr>
                <w:ilvl w:val="0"/>
                <w:numId w:val="0"/>
              </w:numPr>
              <w:jc w:val="both"/>
              <w:rPr>
                <w:rFonts w:ascii="Times New Roman" w:eastAsia="宋体"/>
                <w:sz w:val="18"/>
                <w:szCs w:val="18"/>
              </w:rPr>
            </w:pPr>
            <w:r>
              <w:rPr>
                <w:rFonts w:hint="eastAsia" w:ascii="Times New Roman" w:eastAsia="宋体"/>
                <w:sz w:val="18"/>
                <w:szCs w:val="18"/>
              </w:rPr>
              <w:t>房屋几乎完全破坏</w:t>
            </w:r>
          </w:p>
        </w:tc>
      </w:tr>
      <w:tr w14:paraId="2FAC1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81" w:type="dxa"/>
            <w:vAlign w:val="center"/>
          </w:tcPr>
          <w:p w14:paraId="03BBC7ED">
            <w:pPr>
              <w:pStyle w:val="110"/>
              <w:numPr>
                <w:ilvl w:val="0"/>
                <w:numId w:val="0"/>
              </w:numPr>
              <w:rPr>
                <w:rFonts w:ascii="Times New Roman" w:eastAsia="宋体"/>
                <w:sz w:val="18"/>
                <w:szCs w:val="18"/>
              </w:rPr>
            </w:pPr>
            <w:r>
              <w:rPr>
                <w:rFonts w:ascii="Times New Roman" w:eastAsia="宋体"/>
                <w:sz w:val="18"/>
                <w:szCs w:val="18"/>
              </w:rPr>
              <w:t>48.2</w:t>
            </w:r>
          </w:p>
        </w:tc>
        <w:tc>
          <w:tcPr>
            <w:tcW w:w="6921" w:type="dxa"/>
            <w:vAlign w:val="center"/>
          </w:tcPr>
          <w:p w14:paraId="55F19348">
            <w:pPr>
              <w:pStyle w:val="110"/>
              <w:numPr>
                <w:ilvl w:val="0"/>
                <w:numId w:val="0"/>
              </w:numPr>
              <w:jc w:val="both"/>
              <w:rPr>
                <w:rFonts w:ascii="Times New Roman" w:eastAsia="宋体"/>
                <w:sz w:val="18"/>
                <w:szCs w:val="18"/>
              </w:rPr>
            </w:pPr>
            <w:r>
              <w:rPr>
                <w:rFonts w:hint="eastAsia" w:ascii="Times New Roman" w:eastAsia="宋体"/>
                <w:sz w:val="18"/>
                <w:szCs w:val="18"/>
              </w:rPr>
              <w:t>装载货物的火车车厢倾翻</w:t>
            </w:r>
          </w:p>
        </w:tc>
      </w:tr>
      <w:tr w14:paraId="2004A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81" w:type="dxa"/>
            <w:vAlign w:val="center"/>
          </w:tcPr>
          <w:p w14:paraId="77DDD6E8">
            <w:pPr>
              <w:pStyle w:val="110"/>
              <w:numPr>
                <w:ilvl w:val="0"/>
                <w:numId w:val="0"/>
              </w:numPr>
              <w:rPr>
                <w:rFonts w:ascii="Times New Roman" w:eastAsia="宋体"/>
                <w:sz w:val="18"/>
                <w:szCs w:val="18"/>
              </w:rPr>
            </w:pPr>
            <w:r>
              <w:rPr>
                <w:rFonts w:ascii="Times New Roman" w:eastAsia="宋体"/>
                <w:sz w:val="18"/>
                <w:szCs w:val="18"/>
              </w:rPr>
              <w:t>48.2</w:t>
            </w:r>
            <w:r>
              <w:rPr>
                <w:rFonts w:ascii="Times New Roman"/>
                <w:kern w:val="2"/>
                <w:szCs w:val="21"/>
              </w:rPr>
              <w:t>~</w:t>
            </w:r>
            <w:r>
              <w:rPr>
                <w:rFonts w:ascii="Times New Roman" w:eastAsia="宋体"/>
                <w:sz w:val="18"/>
                <w:szCs w:val="18"/>
              </w:rPr>
              <w:t>55.1</w:t>
            </w:r>
          </w:p>
        </w:tc>
        <w:tc>
          <w:tcPr>
            <w:tcW w:w="6921" w:type="dxa"/>
            <w:vAlign w:val="center"/>
          </w:tcPr>
          <w:p w14:paraId="148A7DB1">
            <w:pPr>
              <w:pStyle w:val="110"/>
              <w:numPr>
                <w:ilvl w:val="0"/>
                <w:numId w:val="0"/>
              </w:numPr>
              <w:jc w:val="both"/>
              <w:rPr>
                <w:rFonts w:ascii="Times New Roman" w:eastAsia="宋体"/>
                <w:sz w:val="18"/>
                <w:szCs w:val="18"/>
              </w:rPr>
            </w:pPr>
            <w:r>
              <w:rPr>
                <w:rFonts w:hint="eastAsia" w:ascii="Times New Roman" w:eastAsia="宋体"/>
                <w:sz w:val="18"/>
                <w:szCs w:val="18"/>
              </w:rPr>
              <w:t>未加固的</w:t>
            </w:r>
            <w:r>
              <w:rPr>
                <w:rFonts w:ascii="Times New Roman" w:eastAsia="宋体"/>
                <w:sz w:val="18"/>
                <w:szCs w:val="18"/>
              </w:rPr>
              <w:t>203.2</w:t>
            </w:r>
            <w:r>
              <w:rPr>
                <w:rFonts w:ascii="Times New Roman"/>
                <w:kern w:val="2"/>
                <w:szCs w:val="21"/>
              </w:rPr>
              <w:t>~</w:t>
            </w:r>
            <w:r>
              <w:rPr>
                <w:rFonts w:ascii="Times New Roman" w:eastAsia="宋体"/>
                <w:sz w:val="18"/>
                <w:szCs w:val="18"/>
              </w:rPr>
              <w:t>304.8 mm</w:t>
            </w:r>
            <w:r>
              <w:rPr>
                <w:rFonts w:hint="eastAsia" w:ascii="Times New Roman" w:eastAsia="宋体"/>
                <w:sz w:val="18"/>
                <w:szCs w:val="18"/>
              </w:rPr>
              <w:t>厚的砖板因剪切或弯曲导致失效</w:t>
            </w:r>
          </w:p>
        </w:tc>
      </w:tr>
      <w:tr w14:paraId="287F3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81" w:type="dxa"/>
            <w:vAlign w:val="center"/>
          </w:tcPr>
          <w:p w14:paraId="6DD6F319">
            <w:pPr>
              <w:pStyle w:val="110"/>
              <w:numPr>
                <w:ilvl w:val="0"/>
                <w:numId w:val="0"/>
              </w:numPr>
              <w:rPr>
                <w:rFonts w:ascii="Times New Roman" w:eastAsia="宋体"/>
                <w:sz w:val="18"/>
                <w:szCs w:val="18"/>
              </w:rPr>
            </w:pPr>
            <w:r>
              <w:rPr>
                <w:rFonts w:ascii="Times New Roman" w:eastAsia="宋体"/>
                <w:sz w:val="18"/>
                <w:szCs w:val="18"/>
              </w:rPr>
              <w:t>62.0</w:t>
            </w:r>
          </w:p>
        </w:tc>
        <w:tc>
          <w:tcPr>
            <w:tcW w:w="6921" w:type="dxa"/>
            <w:vAlign w:val="center"/>
          </w:tcPr>
          <w:p w14:paraId="6A3904EF">
            <w:pPr>
              <w:pStyle w:val="110"/>
              <w:numPr>
                <w:ilvl w:val="0"/>
                <w:numId w:val="0"/>
              </w:numPr>
              <w:jc w:val="both"/>
              <w:rPr>
                <w:rFonts w:ascii="Times New Roman" w:eastAsia="宋体"/>
                <w:sz w:val="18"/>
                <w:szCs w:val="18"/>
              </w:rPr>
            </w:pPr>
            <w:r>
              <w:rPr>
                <w:rFonts w:hint="eastAsia" w:ascii="Times New Roman" w:eastAsia="宋体"/>
                <w:sz w:val="18"/>
                <w:szCs w:val="18"/>
              </w:rPr>
              <w:t>装载货物的火车货车车厢完全破坏</w:t>
            </w:r>
          </w:p>
        </w:tc>
      </w:tr>
      <w:tr w14:paraId="1C06F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81" w:type="dxa"/>
            <w:vAlign w:val="center"/>
          </w:tcPr>
          <w:p w14:paraId="32C4CF08">
            <w:pPr>
              <w:pStyle w:val="110"/>
              <w:numPr>
                <w:ilvl w:val="0"/>
                <w:numId w:val="0"/>
              </w:numPr>
              <w:rPr>
                <w:rFonts w:ascii="Times New Roman" w:eastAsia="宋体"/>
                <w:sz w:val="18"/>
                <w:szCs w:val="18"/>
              </w:rPr>
            </w:pPr>
            <w:r>
              <w:rPr>
                <w:rFonts w:ascii="Times New Roman" w:eastAsia="宋体"/>
                <w:sz w:val="18"/>
                <w:szCs w:val="18"/>
              </w:rPr>
              <w:t>68.9</w:t>
            </w:r>
          </w:p>
        </w:tc>
        <w:tc>
          <w:tcPr>
            <w:tcW w:w="6921" w:type="dxa"/>
            <w:vAlign w:val="center"/>
          </w:tcPr>
          <w:p w14:paraId="43472944">
            <w:pPr>
              <w:pStyle w:val="110"/>
              <w:numPr>
                <w:ilvl w:val="0"/>
                <w:numId w:val="0"/>
              </w:numPr>
              <w:jc w:val="both"/>
              <w:rPr>
                <w:rFonts w:ascii="Times New Roman" w:eastAsia="宋体"/>
                <w:sz w:val="18"/>
                <w:szCs w:val="18"/>
              </w:rPr>
            </w:pPr>
            <w:r>
              <w:rPr>
                <w:rFonts w:hint="eastAsia" w:ascii="Times New Roman" w:eastAsia="宋体"/>
                <w:sz w:val="18"/>
                <w:szCs w:val="18"/>
              </w:rPr>
              <w:t>建筑物可能全部遭到破坏；重型机械工具（</w:t>
            </w:r>
            <w:r>
              <w:rPr>
                <w:rFonts w:ascii="Times New Roman" w:eastAsia="宋体"/>
                <w:sz w:val="18"/>
                <w:szCs w:val="18"/>
              </w:rPr>
              <w:t>3178 kg</w:t>
            </w:r>
            <w:r>
              <w:rPr>
                <w:rFonts w:hint="eastAsia" w:ascii="Times New Roman" w:eastAsia="宋体"/>
                <w:sz w:val="18"/>
                <w:szCs w:val="18"/>
              </w:rPr>
              <w:t>）移位并严重损坏，非常重的机械工具（</w:t>
            </w:r>
            <w:r>
              <w:rPr>
                <w:rFonts w:ascii="Times New Roman" w:eastAsia="宋体"/>
                <w:sz w:val="18"/>
                <w:szCs w:val="18"/>
              </w:rPr>
              <w:t>5448 kg</w:t>
            </w:r>
            <w:r>
              <w:rPr>
                <w:rFonts w:hint="eastAsia" w:ascii="Times New Roman" w:eastAsia="宋体"/>
                <w:sz w:val="18"/>
                <w:szCs w:val="18"/>
              </w:rPr>
              <w:t>）幸免</w:t>
            </w:r>
          </w:p>
        </w:tc>
      </w:tr>
    </w:tbl>
    <w:p w14:paraId="52D285A4">
      <w:pPr>
        <w:widowControl w:val="0"/>
        <w:spacing w:line="240" w:lineRule="auto"/>
        <w:textAlignment w:val="auto"/>
        <w:rPr>
          <w:rFonts w:hint="eastAsia" w:hAnsi="宋体"/>
          <w:kern w:val="2"/>
          <w:szCs w:val="32"/>
        </w:rPr>
      </w:pPr>
    </w:p>
    <w:p w14:paraId="715DB57F">
      <w:pPr>
        <w:widowControl w:val="0"/>
        <w:spacing w:line="240" w:lineRule="auto"/>
        <w:textAlignment w:val="auto"/>
        <w:rPr>
          <w:bCs/>
          <w:kern w:val="2"/>
          <w:szCs w:val="21"/>
        </w:rPr>
      </w:pPr>
      <w:r>
        <w:rPr>
          <w:rFonts w:hint="eastAsia" w:ascii="黑体" w:hAnsi="黑体" w:eastAsia="黑体"/>
          <w:kern w:val="2"/>
          <w:szCs w:val="21"/>
        </w:rPr>
        <w:t>B.5.5.1.3</w:t>
      </w:r>
      <w:r>
        <w:rPr>
          <w:rFonts w:hAnsi="宋体"/>
          <w:kern w:val="2"/>
          <w:szCs w:val="32"/>
        </w:rPr>
        <w:t xml:space="preserve">  </w:t>
      </w:r>
      <w:r>
        <w:rPr>
          <w:rFonts w:hint="eastAsia" w:hAnsi="宋体"/>
          <w:kern w:val="2"/>
          <w:szCs w:val="32"/>
        </w:rPr>
        <w:t>给定暴露场景下，人员的死亡概率可采用概率函数法计算，死亡概率</w:t>
      </w:r>
      <w:r>
        <w:rPr>
          <w:rFonts w:hAnsi="宋体"/>
          <w:i/>
          <w:kern w:val="2"/>
          <w:szCs w:val="32"/>
        </w:rPr>
        <w:t>P</w:t>
      </w:r>
      <w:r>
        <w:rPr>
          <w:rFonts w:hAnsi="宋体"/>
          <w:i/>
          <w:kern w:val="2"/>
          <w:szCs w:val="32"/>
          <w:vertAlign w:val="subscript"/>
        </w:rPr>
        <w:t>d</w:t>
      </w:r>
      <w:r>
        <w:rPr>
          <w:rFonts w:hint="eastAsia" w:hAnsi="宋体"/>
          <w:kern w:val="2"/>
          <w:szCs w:val="32"/>
        </w:rPr>
        <w:t>与相应的概率值</w:t>
      </w:r>
      <w:r>
        <w:rPr>
          <w:rFonts w:hAnsi="宋体"/>
          <w:i/>
          <w:kern w:val="2"/>
          <w:szCs w:val="32"/>
        </w:rPr>
        <w:t>P</w:t>
      </w:r>
      <w:r>
        <w:rPr>
          <w:rFonts w:hAnsi="宋体"/>
          <w:i/>
          <w:kern w:val="2"/>
          <w:szCs w:val="32"/>
          <w:vertAlign w:val="subscript"/>
        </w:rPr>
        <w:t>r</w:t>
      </w:r>
      <w:r>
        <w:rPr>
          <w:rFonts w:hint="eastAsia"/>
          <w:bCs/>
          <w:kern w:val="2"/>
          <w:szCs w:val="21"/>
        </w:rPr>
        <w:t>函数关系见式（</w:t>
      </w:r>
      <w:r>
        <w:rPr>
          <w:rFonts w:hint="eastAsia"/>
        </w:rPr>
        <w:t>B</w:t>
      </w:r>
      <w:r>
        <w:t>.</w:t>
      </w:r>
      <w:r>
        <w:rPr>
          <w:rFonts w:hint="eastAsia"/>
        </w:rPr>
        <w:t>38</w:t>
      </w:r>
      <w:r>
        <w:rPr>
          <w:rFonts w:hint="eastAsia"/>
          <w:bCs/>
          <w:kern w:val="2"/>
          <w:szCs w:val="21"/>
        </w:rPr>
        <w:t>）式（</w:t>
      </w:r>
      <w:r>
        <w:rPr>
          <w:rFonts w:hint="eastAsia"/>
        </w:rPr>
        <w:t>B</w:t>
      </w:r>
      <w:r>
        <w:t>.</w:t>
      </w:r>
      <w:r>
        <w:rPr>
          <w:rFonts w:hint="eastAsia"/>
        </w:rPr>
        <w:t>39</w:t>
      </w:r>
      <w:r>
        <w:rPr>
          <w:rFonts w:hint="eastAsia"/>
          <w:bCs/>
          <w:kern w:val="2"/>
          <w:szCs w:val="21"/>
        </w:rPr>
        <w:t>），</w:t>
      </w:r>
      <w:r>
        <w:rPr>
          <w:bCs/>
          <w:i/>
          <w:kern w:val="2"/>
          <w:szCs w:val="21"/>
        </w:rPr>
        <w:t>P</w:t>
      </w:r>
      <w:r>
        <w:rPr>
          <w:bCs/>
          <w:i/>
          <w:kern w:val="2"/>
          <w:szCs w:val="21"/>
          <w:vertAlign w:val="subscript"/>
        </w:rPr>
        <w:t>d</w:t>
      </w:r>
      <w:r>
        <w:rPr>
          <w:rFonts w:hint="eastAsia"/>
          <w:bCs/>
          <w:kern w:val="2"/>
          <w:szCs w:val="21"/>
        </w:rPr>
        <w:t>和</w:t>
      </w:r>
      <w:r>
        <w:rPr>
          <w:bCs/>
          <w:i/>
          <w:kern w:val="2"/>
          <w:szCs w:val="21"/>
        </w:rPr>
        <w:t>P</w:t>
      </w:r>
      <w:r>
        <w:rPr>
          <w:bCs/>
          <w:i/>
          <w:kern w:val="2"/>
          <w:szCs w:val="21"/>
          <w:vertAlign w:val="subscript"/>
        </w:rPr>
        <w:t>r</w:t>
      </w:r>
      <w:r>
        <w:rPr>
          <w:rFonts w:hint="eastAsia"/>
          <w:bCs/>
          <w:kern w:val="2"/>
          <w:szCs w:val="21"/>
        </w:rPr>
        <w:t>的对</w:t>
      </w:r>
      <w:r>
        <w:rPr>
          <w:rFonts w:hint="eastAsia" w:hAnsi="宋体"/>
          <w:kern w:val="2"/>
          <w:szCs w:val="32"/>
        </w:rPr>
        <w:t>应关系参见表B.14。</w:t>
      </w:r>
    </w:p>
    <w:p w14:paraId="3308CFEF">
      <w:pPr>
        <w:pStyle w:val="163"/>
        <w:tabs>
          <w:tab w:val="right" w:leader="middleDot" w:pos="9450"/>
          <w:tab w:val="clear" w:pos="9660"/>
        </w:tabs>
      </w:pPr>
      <w:r>
        <w:tab/>
      </w:r>
      <w:r>
        <w:object>
          <v:shape id="_x0000_i1102" o:spt="75" type="#_x0000_t75" style="height:33.75pt;width:115.5pt;" o:ole="t" filled="f" o:preferrelative="t" stroked="f" coordsize="21600,21600">
            <v:path/>
            <v:fill on="f" focussize="0,0"/>
            <v:stroke on="f" joinstyle="miter"/>
            <v:imagedata r:id="rId169" o:title=""/>
            <o:lock v:ext="edit" aspectratio="f"/>
            <w10:wrap type="none"/>
            <w10:anchorlock/>
          </v:shape>
          <o:OLEObject Type="Embed" ProgID="Equation.3" ShapeID="_x0000_i1102" DrawAspect="Content" ObjectID="_1468075804" r:id="rId168">
            <o:LockedField>false</o:LockedField>
          </o:OLEObject>
        </w:object>
      </w:r>
      <w:r>
        <w:tab/>
      </w:r>
      <w:r>
        <w:rPr>
          <w:rFonts w:hint="eastAsia"/>
        </w:rPr>
        <w:t>（</w:t>
      </w:r>
      <w:r>
        <w:rPr>
          <w:rFonts w:hint="eastAsia"/>
          <w:lang w:val="en-US"/>
        </w:rPr>
        <w:t>B</w:t>
      </w:r>
      <w:r>
        <w:t>.</w:t>
      </w:r>
      <w:r>
        <w:rPr>
          <w:rFonts w:hint="eastAsia"/>
          <w:lang w:val="en-US"/>
        </w:rPr>
        <w:t>38</w:t>
      </w:r>
      <w:r>
        <w:rPr>
          <w:rFonts w:hint="eastAsia"/>
        </w:rPr>
        <w:t>）</w:t>
      </w:r>
    </w:p>
    <w:p w14:paraId="741DD4F8">
      <w:pPr>
        <w:pStyle w:val="163"/>
        <w:tabs>
          <w:tab w:val="right" w:leader="middleDot" w:pos="9450"/>
          <w:tab w:val="clear" w:pos="9660"/>
        </w:tabs>
      </w:pPr>
      <w:r>
        <w:tab/>
      </w:r>
      <w:r>
        <w:object>
          <v:shape id="_x0000_i1103" o:spt="75" type="#_x0000_t75" style="height:32.25pt;width:93pt;" o:ole="t" filled="f" o:preferrelative="t" stroked="f" coordsize="21600,21600">
            <v:path/>
            <v:fill on="f" focussize="0,0"/>
            <v:stroke on="f" joinstyle="miter"/>
            <v:imagedata r:id="rId171" o:title=""/>
            <o:lock v:ext="edit" aspectratio="f"/>
            <w10:wrap type="none"/>
            <w10:anchorlock/>
          </v:shape>
          <o:OLEObject Type="Embed" ProgID="Equation.3" ShapeID="_x0000_i1103" DrawAspect="Content" ObjectID="_1468075805" r:id="rId170">
            <o:LockedField>false</o:LockedField>
          </o:OLEObject>
        </w:object>
      </w:r>
      <w:r>
        <w:tab/>
      </w:r>
      <w:r>
        <w:rPr>
          <w:rFonts w:hint="eastAsia"/>
        </w:rPr>
        <w:t>（</w:t>
      </w:r>
      <w:r>
        <w:rPr>
          <w:rFonts w:hint="eastAsia"/>
          <w:lang w:val="en-US"/>
        </w:rPr>
        <w:t>B</w:t>
      </w:r>
      <w:r>
        <w:t>.</w:t>
      </w:r>
      <w:r>
        <w:rPr>
          <w:rFonts w:hint="eastAsia"/>
          <w:lang w:val="en-US"/>
        </w:rPr>
        <w:t>39</w:t>
      </w:r>
      <w:r>
        <w:rPr>
          <w:rFonts w:hint="eastAsia"/>
        </w:rPr>
        <w:t>）</w:t>
      </w:r>
    </w:p>
    <w:p w14:paraId="3780236F">
      <w:pPr>
        <w:widowControl w:val="0"/>
        <w:spacing w:line="240" w:lineRule="auto"/>
        <w:ind w:firstLine="420" w:firstLineChars="200"/>
        <w:textAlignment w:val="auto"/>
        <w:rPr>
          <w:kern w:val="2"/>
          <w:szCs w:val="21"/>
        </w:rPr>
      </w:pPr>
      <w:r>
        <w:rPr>
          <w:rFonts w:hint="eastAsia"/>
          <w:kern w:val="2"/>
          <w:szCs w:val="21"/>
        </w:rPr>
        <w:t>式中：</w:t>
      </w:r>
    </w:p>
    <w:p w14:paraId="49DC1E2F">
      <w:pPr>
        <w:widowControl w:val="0"/>
        <w:spacing w:line="240" w:lineRule="auto"/>
        <w:ind w:firstLine="420" w:firstLineChars="200"/>
        <w:textAlignment w:val="auto"/>
        <w:rPr>
          <w:kern w:val="2"/>
          <w:szCs w:val="21"/>
        </w:rPr>
      </w:pPr>
      <w:r>
        <w:rPr>
          <w:i/>
          <w:kern w:val="2"/>
          <w:szCs w:val="21"/>
        </w:rPr>
        <w:t>t</w:t>
      </w:r>
      <w:r>
        <w:rPr>
          <w:kern w:val="2"/>
          <w:szCs w:val="21"/>
        </w:rPr>
        <w:t>——</w:t>
      </w:r>
      <w:r>
        <w:rPr>
          <w:rFonts w:hint="eastAsia"/>
          <w:kern w:val="2"/>
          <w:szCs w:val="21"/>
        </w:rPr>
        <w:t>暴露时间，单位为秒（</w:t>
      </w:r>
      <w:r>
        <w:rPr>
          <w:kern w:val="2"/>
          <w:szCs w:val="21"/>
        </w:rPr>
        <w:t>s</w:t>
      </w:r>
      <w:r>
        <w:rPr>
          <w:rFonts w:hint="eastAsia"/>
          <w:kern w:val="2"/>
          <w:szCs w:val="21"/>
        </w:rPr>
        <w:t>）。</w:t>
      </w:r>
    </w:p>
    <w:p w14:paraId="1C7EC825">
      <w:pPr>
        <w:spacing w:before="156" w:beforeLines="50" w:after="156" w:afterLines="50" w:line="240" w:lineRule="auto"/>
        <w:jc w:val="left"/>
        <w:textAlignment w:val="auto"/>
        <w:rPr>
          <w:bCs/>
          <w:iCs/>
          <w:kern w:val="2"/>
          <w:szCs w:val="21"/>
        </w:rPr>
      </w:pPr>
      <w:bookmarkStart w:id="251" w:name="_Toc296956117"/>
      <w:bookmarkStart w:id="252" w:name="_Toc286132389"/>
      <w:bookmarkStart w:id="253" w:name="_Toc310952709"/>
      <w:bookmarkStart w:id="254" w:name="_Toc310769307"/>
      <w:bookmarkStart w:id="255" w:name="_Toc247531499"/>
      <w:bookmarkStart w:id="256" w:name="_Toc286131406"/>
      <w:r>
        <w:rPr>
          <w:rFonts w:hint="eastAsia" w:ascii="黑体" w:hAnsi="黑体" w:eastAsia="黑体"/>
          <w:kern w:val="2"/>
          <w:szCs w:val="21"/>
        </w:rPr>
        <w:t>B.5.5.1.4</w:t>
      </w:r>
      <w:r>
        <w:rPr>
          <w:rFonts w:hAnsi="宋体"/>
          <w:kern w:val="2"/>
          <w:szCs w:val="32"/>
        </w:rPr>
        <w:t xml:space="preserve">  </w:t>
      </w:r>
      <w:r>
        <w:rPr>
          <w:bCs/>
          <w:iCs/>
          <w:kern w:val="2"/>
          <w:szCs w:val="21"/>
        </w:rPr>
        <w:t>死亡概率与概率值</w:t>
      </w:r>
      <w:r>
        <w:rPr>
          <w:rFonts w:hint="eastAsia"/>
          <w:bCs/>
          <w:iCs/>
          <w:kern w:val="2"/>
          <w:szCs w:val="21"/>
        </w:rPr>
        <w:t>的对应关系见表B.14。</w:t>
      </w:r>
    </w:p>
    <w:p w14:paraId="46D0E977">
      <w:pPr>
        <w:widowControl w:val="0"/>
        <w:spacing w:before="156" w:beforeLines="50" w:after="156" w:afterLines="50"/>
        <w:jc w:val="center"/>
        <w:rPr>
          <w:rFonts w:hint="eastAsia" w:ascii="黑体" w:hAnsi="黑体" w:eastAsia="黑体"/>
          <w:kern w:val="2"/>
          <w:szCs w:val="24"/>
        </w:rPr>
      </w:pPr>
      <w:bookmarkStart w:id="257" w:name="_Toc310769390"/>
      <w:bookmarkStart w:id="258" w:name="_Toc310952794"/>
      <w:r>
        <w:rPr>
          <w:rFonts w:hint="eastAsia" w:ascii="黑体" w:hAnsi="黑体" w:eastAsia="黑体"/>
          <w:kern w:val="2"/>
          <w:szCs w:val="24"/>
        </w:rPr>
        <w:t>表 B</w:t>
      </w:r>
      <w:r>
        <w:rPr>
          <w:rFonts w:ascii="黑体" w:hAnsi="黑体" w:eastAsia="黑体"/>
          <w:kern w:val="2"/>
          <w:szCs w:val="24"/>
        </w:rPr>
        <w:t>.</w:t>
      </w:r>
      <w:r>
        <w:rPr>
          <w:rFonts w:hint="eastAsia" w:ascii="黑体" w:hAnsi="黑体" w:eastAsia="黑体"/>
          <w:kern w:val="2"/>
          <w:szCs w:val="24"/>
        </w:rPr>
        <w:t>14</w:t>
      </w:r>
      <w:r>
        <w:rPr>
          <w:rFonts w:ascii="黑体" w:hAnsi="黑体" w:eastAsia="黑体"/>
          <w:kern w:val="2"/>
          <w:szCs w:val="24"/>
        </w:rPr>
        <w:t xml:space="preserve"> </w:t>
      </w:r>
      <w:r>
        <w:rPr>
          <w:rFonts w:ascii="黑体" w:hAnsi="黑体" w:eastAsia="黑体"/>
          <w:i/>
          <w:kern w:val="2"/>
          <w:szCs w:val="24"/>
        </w:rPr>
        <w:t>P</w:t>
      </w:r>
      <w:r>
        <w:rPr>
          <w:rFonts w:ascii="黑体" w:hAnsi="黑体" w:eastAsia="黑体"/>
          <w:i/>
          <w:kern w:val="2"/>
          <w:szCs w:val="24"/>
          <w:vertAlign w:val="subscript"/>
        </w:rPr>
        <w:t>d</w:t>
      </w:r>
      <w:r>
        <w:rPr>
          <w:rFonts w:hint="eastAsia" w:ascii="黑体" w:hAnsi="黑体" w:eastAsia="黑体"/>
          <w:kern w:val="2"/>
          <w:szCs w:val="24"/>
        </w:rPr>
        <w:t>和</w:t>
      </w:r>
      <w:r>
        <w:rPr>
          <w:rFonts w:ascii="黑体" w:hAnsi="黑体" w:eastAsia="黑体"/>
          <w:i/>
          <w:kern w:val="2"/>
          <w:szCs w:val="24"/>
        </w:rPr>
        <w:t>P</w:t>
      </w:r>
      <w:r>
        <w:rPr>
          <w:rFonts w:ascii="黑体" w:hAnsi="黑体" w:eastAsia="黑体"/>
          <w:i/>
          <w:kern w:val="2"/>
          <w:szCs w:val="24"/>
          <w:vertAlign w:val="subscript"/>
        </w:rPr>
        <w:t>r</w:t>
      </w:r>
      <w:r>
        <w:rPr>
          <w:rFonts w:hint="eastAsia" w:ascii="黑体" w:hAnsi="黑体" w:eastAsia="黑体"/>
          <w:kern w:val="2"/>
          <w:szCs w:val="24"/>
        </w:rPr>
        <w:t>的对应关系</w:t>
      </w:r>
      <w:bookmarkEnd w:id="257"/>
      <w:bookmarkEnd w:id="258"/>
    </w:p>
    <w:tbl>
      <w:tblPr>
        <w:tblStyle w:val="36"/>
        <w:tblW w:w="83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
        <w:gridCol w:w="752"/>
        <w:gridCol w:w="752"/>
        <w:gridCol w:w="752"/>
        <w:gridCol w:w="752"/>
        <w:gridCol w:w="752"/>
        <w:gridCol w:w="752"/>
        <w:gridCol w:w="752"/>
        <w:gridCol w:w="752"/>
        <w:gridCol w:w="752"/>
        <w:gridCol w:w="749"/>
      </w:tblGrid>
      <w:tr w14:paraId="3569D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85" w:type="dxa"/>
            <w:vAlign w:val="center"/>
          </w:tcPr>
          <w:p w14:paraId="579952A5">
            <w:pPr>
              <w:widowControl w:val="0"/>
              <w:spacing w:before="62" w:beforeLines="20" w:line="240" w:lineRule="auto"/>
              <w:jc w:val="center"/>
              <w:textAlignment w:val="auto"/>
              <w:rPr>
                <w:kern w:val="2"/>
                <w:sz w:val="18"/>
                <w:szCs w:val="18"/>
              </w:rPr>
            </w:pPr>
            <w:r>
              <w:rPr>
                <w:i/>
                <w:kern w:val="2"/>
                <w:sz w:val="18"/>
                <w:szCs w:val="18"/>
              </w:rPr>
              <w:t>P</w:t>
            </w:r>
            <w:r>
              <w:rPr>
                <w:i/>
                <w:kern w:val="2"/>
                <w:sz w:val="18"/>
                <w:szCs w:val="18"/>
                <w:vertAlign w:val="subscript"/>
              </w:rPr>
              <w:t>d</w:t>
            </w:r>
          </w:p>
          <w:p w14:paraId="30046AAB">
            <w:pPr>
              <w:widowControl w:val="0"/>
              <w:spacing w:before="62" w:beforeLines="20" w:line="240" w:lineRule="auto"/>
              <w:jc w:val="center"/>
              <w:textAlignment w:val="auto"/>
              <w:rPr>
                <w:kern w:val="2"/>
                <w:sz w:val="18"/>
                <w:szCs w:val="18"/>
              </w:rPr>
            </w:pPr>
            <w:r>
              <w:rPr>
                <w:kern w:val="2"/>
                <w:sz w:val="18"/>
                <w:szCs w:val="18"/>
              </w:rPr>
              <w:t>%</w:t>
            </w:r>
          </w:p>
        </w:tc>
        <w:tc>
          <w:tcPr>
            <w:tcW w:w="752" w:type="dxa"/>
            <w:vAlign w:val="center"/>
          </w:tcPr>
          <w:p w14:paraId="347CFD16">
            <w:pPr>
              <w:widowControl w:val="0"/>
              <w:spacing w:before="62" w:beforeLines="20" w:line="240" w:lineRule="auto"/>
              <w:jc w:val="center"/>
              <w:textAlignment w:val="auto"/>
              <w:rPr>
                <w:kern w:val="2"/>
                <w:sz w:val="18"/>
                <w:szCs w:val="18"/>
              </w:rPr>
            </w:pPr>
            <w:r>
              <w:rPr>
                <w:kern w:val="2"/>
                <w:sz w:val="18"/>
                <w:szCs w:val="18"/>
              </w:rPr>
              <w:t>0</w:t>
            </w:r>
          </w:p>
        </w:tc>
        <w:tc>
          <w:tcPr>
            <w:tcW w:w="752" w:type="dxa"/>
            <w:vAlign w:val="center"/>
          </w:tcPr>
          <w:p w14:paraId="3A05FC1A">
            <w:pPr>
              <w:widowControl w:val="0"/>
              <w:spacing w:before="62" w:beforeLines="20" w:line="240" w:lineRule="auto"/>
              <w:jc w:val="center"/>
              <w:textAlignment w:val="auto"/>
              <w:rPr>
                <w:kern w:val="2"/>
                <w:sz w:val="18"/>
                <w:szCs w:val="18"/>
              </w:rPr>
            </w:pPr>
            <w:r>
              <w:rPr>
                <w:kern w:val="2"/>
                <w:sz w:val="18"/>
                <w:szCs w:val="18"/>
              </w:rPr>
              <w:t>1</w:t>
            </w:r>
          </w:p>
        </w:tc>
        <w:tc>
          <w:tcPr>
            <w:tcW w:w="752" w:type="dxa"/>
            <w:vAlign w:val="center"/>
          </w:tcPr>
          <w:p w14:paraId="12A53363">
            <w:pPr>
              <w:widowControl w:val="0"/>
              <w:spacing w:before="62" w:beforeLines="20" w:line="240" w:lineRule="auto"/>
              <w:jc w:val="center"/>
              <w:textAlignment w:val="auto"/>
              <w:rPr>
                <w:kern w:val="2"/>
                <w:sz w:val="18"/>
                <w:szCs w:val="18"/>
              </w:rPr>
            </w:pPr>
            <w:r>
              <w:rPr>
                <w:kern w:val="2"/>
                <w:sz w:val="18"/>
                <w:szCs w:val="18"/>
              </w:rPr>
              <w:t>2</w:t>
            </w:r>
          </w:p>
        </w:tc>
        <w:tc>
          <w:tcPr>
            <w:tcW w:w="752" w:type="dxa"/>
            <w:vAlign w:val="center"/>
          </w:tcPr>
          <w:p w14:paraId="66B10A72">
            <w:pPr>
              <w:widowControl w:val="0"/>
              <w:spacing w:before="62" w:beforeLines="20" w:line="240" w:lineRule="auto"/>
              <w:jc w:val="center"/>
              <w:textAlignment w:val="auto"/>
              <w:rPr>
                <w:kern w:val="2"/>
                <w:sz w:val="18"/>
                <w:szCs w:val="18"/>
              </w:rPr>
            </w:pPr>
            <w:r>
              <w:rPr>
                <w:kern w:val="2"/>
                <w:sz w:val="18"/>
                <w:szCs w:val="18"/>
              </w:rPr>
              <w:t>3</w:t>
            </w:r>
          </w:p>
        </w:tc>
        <w:tc>
          <w:tcPr>
            <w:tcW w:w="752" w:type="dxa"/>
            <w:vAlign w:val="center"/>
          </w:tcPr>
          <w:p w14:paraId="30EA9B12">
            <w:pPr>
              <w:widowControl w:val="0"/>
              <w:spacing w:before="62" w:beforeLines="20" w:line="240" w:lineRule="auto"/>
              <w:jc w:val="center"/>
              <w:textAlignment w:val="auto"/>
              <w:rPr>
                <w:kern w:val="2"/>
                <w:sz w:val="18"/>
                <w:szCs w:val="18"/>
              </w:rPr>
            </w:pPr>
            <w:r>
              <w:rPr>
                <w:kern w:val="2"/>
                <w:sz w:val="18"/>
                <w:szCs w:val="18"/>
              </w:rPr>
              <w:t>4</w:t>
            </w:r>
          </w:p>
        </w:tc>
        <w:tc>
          <w:tcPr>
            <w:tcW w:w="752" w:type="dxa"/>
            <w:vAlign w:val="center"/>
          </w:tcPr>
          <w:p w14:paraId="334BCB58">
            <w:pPr>
              <w:widowControl w:val="0"/>
              <w:spacing w:before="62" w:beforeLines="20" w:line="240" w:lineRule="auto"/>
              <w:jc w:val="center"/>
              <w:textAlignment w:val="auto"/>
              <w:rPr>
                <w:kern w:val="2"/>
                <w:sz w:val="18"/>
                <w:szCs w:val="18"/>
              </w:rPr>
            </w:pPr>
            <w:r>
              <w:rPr>
                <w:kern w:val="2"/>
                <w:sz w:val="18"/>
                <w:szCs w:val="18"/>
              </w:rPr>
              <w:t>5</w:t>
            </w:r>
          </w:p>
        </w:tc>
        <w:tc>
          <w:tcPr>
            <w:tcW w:w="752" w:type="dxa"/>
            <w:vAlign w:val="center"/>
          </w:tcPr>
          <w:p w14:paraId="7DC4C595">
            <w:pPr>
              <w:widowControl w:val="0"/>
              <w:spacing w:before="62" w:beforeLines="20" w:line="240" w:lineRule="auto"/>
              <w:jc w:val="center"/>
              <w:textAlignment w:val="auto"/>
              <w:rPr>
                <w:kern w:val="2"/>
                <w:sz w:val="18"/>
                <w:szCs w:val="18"/>
              </w:rPr>
            </w:pPr>
            <w:r>
              <w:rPr>
                <w:kern w:val="2"/>
                <w:sz w:val="18"/>
                <w:szCs w:val="18"/>
              </w:rPr>
              <w:t>6</w:t>
            </w:r>
          </w:p>
        </w:tc>
        <w:tc>
          <w:tcPr>
            <w:tcW w:w="752" w:type="dxa"/>
            <w:vAlign w:val="center"/>
          </w:tcPr>
          <w:p w14:paraId="00DCE470">
            <w:pPr>
              <w:widowControl w:val="0"/>
              <w:spacing w:before="62" w:beforeLines="20" w:line="240" w:lineRule="auto"/>
              <w:jc w:val="center"/>
              <w:textAlignment w:val="auto"/>
              <w:rPr>
                <w:kern w:val="2"/>
                <w:sz w:val="18"/>
                <w:szCs w:val="18"/>
              </w:rPr>
            </w:pPr>
            <w:r>
              <w:rPr>
                <w:kern w:val="2"/>
                <w:sz w:val="18"/>
                <w:szCs w:val="18"/>
              </w:rPr>
              <w:t>7</w:t>
            </w:r>
          </w:p>
        </w:tc>
        <w:tc>
          <w:tcPr>
            <w:tcW w:w="752" w:type="dxa"/>
            <w:vAlign w:val="center"/>
          </w:tcPr>
          <w:p w14:paraId="3534412E">
            <w:pPr>
              <w:widowControl w:val="0"/>
              <w:spacing w:before="62" w:beforeLines="20" w:line="240" w:lineRule="auto"/>
              <w:jc w:val="center"/>
              <w:textAlignment w:val="auto"/>
              <w:rPr>
                <w:kern w:val="2"/>
                <w:sz w:val="18"/>
                <w:szCs w:val="18"/>
              </w:rPr>
            </w:pPr>
            <w:r>
              <w:rPr>
                <w:kern w:val="2"/>
                <w:sz w:val="18"/>
                <w:szCs w:val="18"/>
              </w:rPr>
              <w:t>8</w:t>
            </w:r>
          </w:p>
        </w:tc>
        <w:tc>
          <w:tcPr>
            <w:tcW w:w="749" w:type="dxa"/>
            <w:vAlign w:val="center"/>
          </w:tcPr>
          <w:p w14:paraId="30B546CC">
            <w:pPr>
              <w:widowControl w:val="0"/>
              <w:spacing w:before="62" w:beforeLines="20" w:line="240" w:lineRule="auto"/>
              <w:jc w:val="center"/>
              <w:textAlignment w:val="auto"/>
              <w:rPr>
                <w:kern w:val="2"/>
                <w:sz w:val="18"/>
                <w:szCs w:val="18"/>
              </w:rPr>
            </w:pPr>
            <w:r>
              <w:rPr>
                <w:kern w:val="2"/>
                <w:sz w:val="18"/>
                <w:szCs w:val="18"/>
              </w:rPr>
              <w:t>9</w:t>
            </w:r>
          </w:p>
        </w:tc>
      </w:tr>
      <w:tr w14:paraId="7E260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85" w:type="dxa"/>
            <w:vAlign w:val="center"/>
          </w:tcPr>
          <w:p w14:paraId="378C3004">
            <w:pPr>
              <w:widowControl w:val="0"/>
              <w:spacing w:before="62" w:beforeLines="20" w:line="240" w:lineRule="auto"/>
              <w:jc w:val="center"/>
              <w:textAlignment w:val="auto"/>
              <w:rPr>
                <w:kern w:val="2"/>
                <w:sz w:val="18"/>
                <w:szCs w:val="18"/>
              </w:rPr>
            </w:pPr>
            <w:r>
              <w:rPr>
                <w:kern w:val="2"/>
                <w:sz w:val="18"/>
                <w:szCs w:val="18"/>
              </w:rPr>
              <w:t>0</w:t>
            </w:r>
          </w:p>
        </w:tc>
        <w:tc>
          <w:tcPr>
            <w:tcW w:w="752" w:type="dxa"/>
            <w:vAlign w:val="center"/>
          </w:tcPr>
          <w:p w14:paraId="181AE35F">
            <w:pPr>
              <w:widowControl w:val="0"/>
              <w:spacing w:before="62" w:beforeLines="20" w:line="240" w:lineRule="auto"/>
              <w:ind w:firstLine="180" w:firstLineChars="100"/>
              <w:jc w:val="center"/>
              <w:textAlignment w:val="auto"/>
              <w:rPr>
                <w:kern w:val="2"/>
                <w:sz w:val="18"/>
                <w:szCs w:val="18"/>
              </w:rPr>
            </w:pPr>
          </w:p>
        </w:tc>
        <w:tc>
          <w:tcPr>
            <w:tcW w:w="752" w:type="dxa"/>
            <w:vAlign w:val="center"/>
          </w:tcPr>
          <w:p w14:paraId="5A9165CA">
            <w:pPr>
              <w:widowControl w:val="0"/>
              <w:spacing w:before="62" w:beforeLines="20" w:line="240" w:lineRule="auto"/>
              <w:jc w:val="center"/>
              <w:textAlignment w:val="auto"/>
              <w:rPr>
                <w:kern w:val="2"/>
                <w:sz w:val="18"/>
                <w:szCs w:val="18"/>
              </w:rPr>
            </w:pPr>
            <w:r>
              <w:rPr>
                <w:kern w:val="2"/>
                <w:sz w:val="18"/>
                <w:szCs w:val="18"/>
              </w:rPr>
              <w:t>2.67</w:t>
            </w:r>
          </w:p>
        </w:tc>
        <w:tc>
          <w:tcPr>
            <w:tcW w:w="752" w:type="dxa"/>
            <w:vAlign w:val="center"/>
          </w:tcPr>
          <w:p w14:paraId="16FACBA7">
            <w:pPr>
              <w:widowControl w:val="0"/>
              <w:spacing w:before="62" w:beforeLines="20" w:line="240" w:lineRule="auto"/>
              <w:jc w:val="center"/>
              <w:textAlignment w:val="auto"/>
              <w:rPr>
                <w:kern w:val="2"/>
                <w:sz w:val="18"/>
                <w:szCs w:val="18"/>
              </w:rPr>
            </w:pPr>
            <w:r>
              <w:rPr>
                <w:kern w:val="2"/>
                <w:sz w:val="18"/>
                <w:szCs w:val="18"/>
              </w:rPr>
              <w:t>2.95</w:t>
            </w:r>
          </w:p>
        </w:tc>
        <w:tc>
          <w:tcPr>
            <w:tcW w:w="752" w:type="dxa"/>
            <w:vAlign w:val="center"/>
          </w:tcPr>
          <w:p w14:paraId="2E639445">
            <w:pPr>
              <w:widowControl w:val="0"/>
              <w:spacing w:before="62" w:beforeLines="20" w:line="240" w:lineRule="auto"/>
              <w:jc w:val="center"/>
              <w:textAlignment w:val="auto"/>
              <w:rPr>
                <w:kern w:val="2"/>
                <w:sz w:val="18"/>
                <w:szCs w:val="18"/>
              </w:rPr>
            </w:pPr>
            <w:r>
              <w:rPr>
                <w:kern w:val="2"/>
                <w:sz w:val="18"/>
                <w:szCs w:val="18"/>
              </w:rPr>
              <w:t>3.12</w:t>
            </w:r>
          </w:p>
        </w:tc>
        <w:tc>
          <w:tcPr>
            <w:tcW w:w="752" w:type="dxa"/>
            <w:vAlign w:val="center"/>
          </w:tcPr>
          <w:p w14:paraId="3D3BE34C">
            <w:pPr>
              <w:widowControl w:val="0"/>
              <w:spacing w:before="62" w:beforeLines="20" w:line="240" w:lineRule="auto"/>
              <w:jc w:val="center"/>
              <w:textAlignment w:val="auto"/>
              <w:rPr>
                <w:kern w:val="2"/>
                <w:sz w:val="18"/>
                <w:szCs w:val="18"/>
              </w:rPr>
            </w:pPr>
            <w:r>
              <w:rPr>
                <w:kern w:val="2"/>
                <w:sz w:val="18"/>
                <w:szCs w:val="18"/>
              </w:rPr>
              <w:t>3.25</w:t>
            </w:r>
          </w:p>
        </w:tc>
        <w:tc>
          <w:tcPr>
            <w:tcW w:w="752" w:type="dxa"/>
            <w:vAlign w:val="center"/>
          </w:tcPr>
          <w:p w14:paraId="3D8BB858">
            <w:pPr>
              <w:widowControl w:val="0"/>
              <w:spacing w:before="62" w:beforeLines="20" w:line="240" w:lineRule="auto"/>
              <w:jc w:val="center"/>
              <w:textAlignment w:val="auto"/>
              <w:rPr>
                <w:kern w:val="2"/>
                <w:sz w:val="18"/>
                <w:szCs w:val="18"/>
              </w:rPr>
            </w:pPr>
            <w:r>
              <w:rPr>
                <w:kern w:val="2"/>
                <w:sz w:val="18"/>
                <w:szCs w:val="18"/>
              </w:rPr>
              <w:t>3.36</w:t>
            </w:r>
          </w:p>
        </w:tc>
        <w:tc>
          <w:tcPr>
            <w:tcW w:w="752" w:type="dxa"/>
            <w:vAlign w:val="center"/>
          </w:tcPr>
          <w:p w14:paraId="342BEABA">
            <w:pPr>
              <w:widowControl w:val="0"/>
              <w:spacing w:before="62" w:beforeLines="20" w:line="240" w:lineRule="auto"/>
              <w:jc w:val="center"/>
              <w:textAlignment w:val="auto"/>
              <w:rPr>
                <w:kern w:val="2"/>
                <w:sz w:val="18"/>
                <w:szCs w:val="18"/>
              </w:rPr>
            </w:pPr>
            <w:r>
              <w:rPr>
                <w:kern w:val="2"/>
                <w:sz w:val="18"/>
                <w:szCs w:val="18"/>
              </w:rPr>
              <w:t>3.45</w:t>
            </w:r>
          </w:p>
        </w:tc>
        <w:tc>
          <w:tcPr>
            <w:tcW w:w="752" w:type="dxa"/>
            <w:vAlign w:val="center"/>
          </w:tcPr>
          <w:p w14:paraId="13D8A47C">
            <w:pPr>
              <w:widowControl w:val="0"/>
              <w:spacing w:before="62" w:beforeLines="20" w:line="240" w:lineRule="auto"/>
              <w:jc w:val="center"/>
              <w:textAlignment w:val="auto"/>
              <w:rPr>
                <w:kern w:val="2"/>
                <w:sz w:val="18"/>
                <w:szCs w:val="18"/>
              </w:rPr>
            </w:pPr>
            <w:r>
              <w:rPr>
                <w:kern w:val="2"/>
                <w:sz w:val="18"/>
                <w:szCs w:val="18"/>
              </w:rPr>
              <w:t>3.52</w:t>
            </w:r>
          </w:p>
        </w:tc>
        <w:tc>
          <w:tcPr>
            <w:tcW w:w="752" w:type="dxa"/>
            <w:vAlign w:val="center"/>
          </w:tcPr>
          <w:p w14:paraId="792AE463">
            <w:pPr>
              <w:widowControl w:val="0"/>
              <w:spacing w:before="62" w:beforeLines="20" w:line="240" w:lineRule="auto"/>
              <w:jc w:val="center"/>
              <w:textAlignment w:val="auto"/>
              <w:rPr>
                <w:kern w:val="2"/>
                <w:sz w:val="18"/>
                <w:szCs w:val="18"/>
              </w:rPr>
            </w:pPr>
            <w:r>
              <w:rPr>
                <w:kern w:val="2"/>
                <w:sz w:val="18"/>
                <w:szCs w:val="18"/>
              </w:rPr>
              <w:t>3.59</w:t>
            </w:r>
          </w:p>
        </w:tc>
        <w:tc>
          <w:tcPr>
            <w:tcW w:w="749" w:type="dxa"/>
            <w:vAlign w:val="center"/>
          </w:tcPr>
          <w:p w14:paraId="7D88A4C5">
            <w:pPr>
              <w:widowControl w:val="0"/>
              <w:spacing w:before="62" w:beforeLines="20" w:line="240" w:lineRule="auto"/>
              <w:jc w:val="center"/>
              <w:textAlignment w:val="auto"/>
              <w:rPr>
                <w:kern w:val="2"/>
                <w:sz w:val="18"/>
                <w:szCs w:val="18"/>
              </w:rPr>
            </w:pPr>
            <w:r>
              <w:rPr>
                <w:kern w:val="2"/>
                <w:sz w:val="18"/>
                <w:szCs w:val="18"/>
              </w:rPr>
              <w:t>3.66</w:t>
            </w:r>
          </w:p>
        </w:tc>
      </w:tr>
      <w:tr w14:paraId="4C7E3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85" w:type="dxa"/>
            <w:vAlign w:val="center"/>
          </w:tcPr>
          <w:p w14:paraId="150DFF75">
            <w:pPr>
              <w:widowControl w:val="0"/>
              <w:spacing w:before="62" w:beforeLines="20" w:line="240" w:lineRule="auto"/>
              <w:jc w:val="center"/>
              <w:textAlignment w:val="auto"/>
              <w:rPr>
                <w:kern w:val="2"/>
                <w:sz w:val="18"/>
                <w:szCs w:val="18"/>
              </w:rPr>
            </w:pPr>
            <w:r>
              <w:rPr>
                <w:kern w:val="2"/>
                <w:sz w:val="18"/>
                <w:szCs w:val="18"/>
              </w:rPr>
              <w:t>10</w:t>
            </w:r>
          </w:p>
        </w:tc>
        <w:tc>
          <w:tcPr>
            <w:tcW w:w="752" w:type="dxa"/>
            <w:vAlign w:val="center"/>
          </w:tcPr>
          <w:p w14:paraId="550DE1AD">
            <w:pPr>
              <w:widowControl w:val="0"/>
              <w:spacing w:before="62" w:beforeLines="20" w:line="240" w:lineRule="auto"/>
              <w:jc w:val="center"/>
              <w:textAlignment w:val="auto"/>
              <w:rPr>
                <w:kern w:val="2"/>
                <w:sz w:val="18"/>
                <w:szCs w:val="18"/>
              </w:rPr>
            </w:pPr>
            <w:r>
              <w:rPr>
                <w:kern w:val="2"/>
                <w:sz w:val="18"/>
                <w:szCs w:val="18"/>
              </w:rPr>
              <w:t>3.72</w:t>
            </w:r>
          </w:p>
        </w:tc>
        <w:tc>
          <w:tcPr>
            <w:tcW w:w="752" w:type="dxa"/>
            <w:vAlign w:val="center"/>
          </w:tcPr>
          <w:p w14:paraId="10979034">
            <w:pPr>
              <w:widowControl w:val="0"/>
              <w:spacing w:before="62" w:beforeLines="20" w:line="240" w:lineRule="auto"/>
              <w:jc w:val="center"/>
              <w:textAlignment w:val="auto"/>
              <w:rPr>
                <w:kern w:val="2"/>
                <w:sz w:val="18"/>
                <w:szCs w:val="18"/>
              </w:rPr>
            </w:pPr>
            <w:r>
              <w:rPr>
                <w:kern w:val="2"/>
                <w:sz w:val="18"/>
                <w:szCs w:val="18"/>
              </w:rPr>
              <w:t>3.77</w:t>
            </w:r>
          </w:p>
        </w:tc>
        <w:tc>
          <w:tcPr>
            <w:tcW w:w="752" w:type="dxa"/>
            <w:vAlign w:val="center"/>
          </w:tcPr>
          <w:p w14:paraId="2183D304">
            <w:pPr>
              <w:widowControl w:val="0"/>
              <w:spacing w:before="62" w:beforeLines="20" w:line="240" w:lineRule="auto"/>
              <w:jc w:val="center"/>
              <w:textAlignment w:val="auto"/>
              <w:rPr>
                <w:kern w:val="2"/>
                <w:sz w:val="18"/>
                <w:szCs w:val="18"/>
              </w:rPr>
            </w:pPr>
            <w:r>
              <w:rPr>
                <w:kern w:val="2"/>
                <w:sz w:val="18"/>
                <w:szCs w:val="18"/>
              </w:rPr>
              <w:t>3.82</w:t>
            </w:r>
          </w:p>
        </w:tc>
        <w:tc>
          <w:tcPr>
            <w:tcW w:w="752" w:type="dxa"/>
            <w:vAlign w:val="center"/>
          </w:tcPr>
          <w:p w14:paraId="5942F5CD">
            <w:pPr>
              <w:widowControl w:val="0"/>
              <w:spacing w:before="62" w:beforeLines="20" w:line="240" w:lineRule="auto"/>
              <w:jc w:val="center"/>
              <w:textAlignment w:val="auto"/>
              <w:rPr>
                <w:kern w:val="2"/>
                <w:sz w:val="18"/>
                <w:szCs w:val="18"/>
              </w:rPr>
            </w:pPr>
            <w:r>
              <w:rPr>
                <w:kern w:val="2"/>
                <w:sz w:val="18"/>
                <w:szCs w:val="18"/>
              </w:rPr>
              <w:t>3.87</w:t>
            </w:r>
          </w:p>
        </w:tc>
        <w:tc>
          <w:tcPr>
            <w:tcW w:w="752" w:type="dxa"/>
            <w:vAlign w:val="center"/>
          </w:tcPr>
          <w:p w14:paraId="78DC9FE6">
            <w:pPr>
              <w:widowControl w:val="0"/>
              <w:spacing w:before="62" w:beforeLines="20" w:line="240" w:lineRule="auto"/>
              <w:jc w:val="center"/>
              <w:textAlignment w:val="auto"/>
              <w:rPr>
                <w:kern w:val="2"/>
                <w:sz w:val="18"/>
                <w:szCs w:val="18"/>
              </w:rPr>
            </w:pPr>
            <w:r>
              <w:rPr>
                <w:kern w:val="2"/>
                <w:sz w:val="18"/>
                <w:szCs w:val="18"/>
              </w:rPr>
              <w:t>3.92</w:t>
            </w:r>
          </w:p>
        </w:tc>
        <w:tc>
          <w:tcPr>
            <w:tcW w:w="752" w:type="dxa"/>
            <w:vAlign w:val="center"/>
          </w:tcPr>
          <w:p w14:paraId="42EF2002">
            <w:pPr>
              <w:widowControl w:val="0"/>
              <w:spacing w:before="62" w:beforeLines="20" w:line="240" w:lineRule="auto"/>
              <w:jc w:val="center"/>
              <w:textAlignment w:val="auto"/>
              <w:rPr>
                <w:kern w:val="2"/>
                <w:sz w:val="18"/>
                <w:szCs w:val="18"/>
              </w:rPr>
            </w:pPr>
            <w:r>
              <w:rPr>
                <w:kern w:val="2"/>
                <w:sz w:val="18"/>
                <w:szCs w:val="18"/>
              </w:rPr>
              <w:t>3.96</w:t>
            </w:r>
          </w:p>
        </w:tc>
        <w:tc>
          <w:tcPr>
            <w:tcW w:w="752" w:type="dxa"/>
            <w:vAlign w:val="center"/>
          </w:tcPr>
          <w:p w14:paraId="6AABC477">
            <w:pPr>
              <w:widowControl w:val="0"/>
              <w:spacing w:before="62" w:beforeLines="20" w:line="240" w:lineRule="auto"/>
              <w:jc w:val="center"/>
              <w:textAlignment w:val="auto"/>
              <w:rPr>
                <w:kern w:val="2"/>
                <w:sz w:val="18"/>
                <w:szCs w:val="18"/>
              </w:rPr>
            </w:pPr>
            <w:r>
              <w:rPr>
                <w:kern w:val="2"/>
                <w:sz w:val="18"/>
                <w:szCs w:val="18"/>
              </w:rPr>
              <w:t>4.01</w:t>
            </w:r>
          </w:p>
        </w:tc>
        <w:tc>
          <w:tcPr>
            <w:tcW w:w="752" w:type="dxa"/>
            <w:vAlign w:val="center"/>
          </w:tcPr>
          <w:p w14:paraId="5A9CFDF8">
            <w:pPr>
              <w:widowControl w:val="0"/>
              <w:spacing w:before="62" w:beforeLines="20" w:line="240" w:lineRule="auto"/>
              <w:jc w:val="center"/>
              <w:textAlignment w:val="auto"/>
              <w:rPr>
                <w:kern w:val="2"/>
                <w:sz w:val="18"/>
                <w:szCs w:val="18"/>
              </w:rPr>
            </w:pPr>
            <w:r>
              <w:rPr>
                <w:kern w:val="2"/>
                <w:sz w:val="18"/>
                <w:szCs w:val="18"/>
              </w:rPr>
              <w:t>4.05</w:t>
            </w:r>
          </w:p>
        </w:tc>
        <w:tc>
          <w:tcPr>
            <w:tcW w:w="752" w:type="dxa"/>
            <w:vAlign w:val="center"/>
          </w:tcPr>
          <w:p w14:paraId="53C7ECC8">
            <w:pPr>
              <w:widowControl w:val="0"/>
              <w:spacing w:before="62" w:beforeLines="20" w:line="240" w:lineRule="auto"/>
              <w:jc w:val="center"/>
              <w:textAlignment w:val="auto"/>
              <w:rPr>
                <w:kern w:val="2"/>
                <w:sz w:val="18"/>
                <w:szCs w:val="18"/>
              </w:rPr>
            </w:pPr>
            <w:r>
              <w:rPr>
                <w:kern w:val="2"/>
                <w:sz w:val="18"/>
                <w:szCs w:val="18"/>
              </w:rPr>
              <w:t>4.08</w:t>
            </w:r>
          </w:p>
        </w:tc>
        <w:tc>
          <w:tcPr>
            <w:tcW w:w="749" w:type="dxa"/>
            <w:vAlign w:val="center"/>
          </w:tcPr>
          <w:p w14:paraId="37D39EC1">
            <w:pPr>
              <w:widowControl w:val="0"/>
              <w:spacing w:before="62" w:beforeLines="20" w:line="240" w:lineRule="auto"/>
              <w:jc w:val="center"/>
              <w:textAlignment w:val="auto"/>
              <w:rPr>
                <w:kern w:val="2"/>
                <w:sz w:val="18"/>
                <w:szCs w:val="18"/>
              </w:rPr>
            </w:pPr>
            <w:r>
              <w:rPr>
                <w:kern w:val="2"/>
                <w:sz w:val="18"/>
                <w:szCs w:val="18"/>
              </w:rPr>
              <w:t>4.12</w:t>
            </w:r>
          </w:p>
        </w:tc>
      </w:tr>
      <w:tr w14:paraId="5A64E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85" w:type="dxa"/>
            <w:vAlign w:val="center"/>
          </w:tcPr>
          <w:p w14:paraId="2093F3DD">
            <w:pPr>
              <w:widowControl w:val="0"/>
              <w:spacing w:before="62" w:beforeLines="20" w:line="240" w:lineRule="auto"/>
              <w:jc w:val="center"/>
              <w:textAlignment w:val="auto"/>
              <w:rPr>
                <w:kern w:val="2"/>
                <w:sz w:val="18"/>
                <w:szCs w:val="18"/>
              </w:rPr>
            </w:pPr>
            <w:r>
              <w:rPr>
                <w:kern w:val="2"/>
                <w:sz w:val="18"/>
                <w:szCs w:val="18"/>
              </w:rPr>
              <w:t>20</w:t>
            </w:r>
          </w:p>
        </w:tc>
        <w:tc>
          <w:tcPr>
            <w:tcW w:w="752" w:type="dxa"/>
            <w:vAlign w:val="center"/>
          </w:tcPr>
          <w:p w14:paraId="66FF3814">
            <w:pPr>
              <w:widowControl w:val="0"/>
              <w:spacing w:before="62" w:beforeLines="20" w:line="240" w:lineRule="auto"/>
              <w:jc w:val="center"/>
              <w:textAlignment w:val="auto"/>
              <w:rPr>
                <w:kern w:val="2"/>
                <w:sz w:val="18"/>
                <w:szCs w:val="18"/>
              </w:rPr>
            </w:pPr>
            <w:r>
              <w:rPr>
                <w:kern w:val="2"/>
                <w:sz w:val="18"/>
                <w:szCs w:val="18"/>
              </w:rPr>
              <w:t>4.16</w:t>
            </w:r>
          </w:p>
        </w:tc>
        <w:tc>
          <w:tcPr>
            <w:tcW w:w="752" w:type="dxa"/>
            <w:vAlign w:val="center"/>
          </w:tcPr>
          <w:p w14:paraId="68174C74">
            <w:pPr>
              <w:widowControl w:val="0"/>
              <w:spacing w:before="62" w:beforeLines="20" w:line="240" w:lineRule="auto"/>
              <w:jc w:val="center"/>
              <w:textAlignment w:val="auto"/>
              <w:rPr>
                <w:kern w:val="2"/>
                <w:sz w:val="18"/>
                <w:szCs w:val="18"/>
              </w:rPr>
            </w:pPr>
            <w:r>
              <w:rPr>
                <w:kern w:val="2"/>
                <w:sz w:val="18"/>
                <w:szCs w:val="18"/>
              </w:rPr>
              <w:t>4.19</w:t>
            </w:r>
          </w:p>
        </w:tc>
        <w:tc>
          <w:tcPr>
            <w:tcW w:w="752" w:type="dxa"/>
            <w:vAlign w:val="center"/>
          </w:tcPr>
          <w:p w14:paraId="60DCDB46">
            <w:pPr>
              <w:widowControl w:val="0"/>
              <w:spacing w:before="62" w:beforeLines="20" w:line="240" w:lineRule="auto"/>
              <w:jc w:val="center"/>
              <w:textAlignment w:val="auto"/>
              <w:rPr>
                <w:kern w:val="2"/>
                <w:sz w:val="18"/>
                <w:szCs w:val="18"/>
              </w:rPr>
            </w:pPr>
            <w:r>
              <w:rPr>
                <w:kern w:val="2"/>
                <w:sz w:val="18"/>
                <w:szCs w:val="18"/>
              </w:rPr>
              <w:t>4.23</w:t>
            </w:r>
          </w:p>
        </w:tc>
        <w:tc>
          <w:tcPr>
            <w:tcW w:w="752" w:type="dxa"/>
            <w:vAlign w:val="center"/>
          </w:tcPr>
          <w:p w14:paraId="13D5042B">
            <w:pPr>
              <w:widowControl w:val="0"/>
              <w:spacing w:before="62" w:beforeLines="20" w:line="240" w:lineRule="auto"/>
              <w:jc w:val="center"/>
              <w:textAlignment w:val="auto"/>
              <w:rPr>
                <w:kern w:val="2"/>
                <w:sz w:val="18"/>
                <w:szCs w:val="18"/>
              </w:rPr>
            </w:pPr>
            <w:r>
              <w:rPr>
                <w:kern w:val="2"/>
                <w:sz w:val="18"/>
                <w:szCs w:val="18"/>
              </w:rPr>
              <w:t>4.26</w:t>
            </w:r>
          </w:p>
        </w:tc>
        <w:tc>
          <w:tcPr>
            <w:tcW w:w="752" w:type="dxa"/>
            <w:vAlign w:val="center"/>
          </w:tcPr>
          <w:p w14:paraId="6E0DA322">
            <w:pPr>
              <w:widowControl w:val="0"/>
              <w:spacing w:before="62" w:beforeLines="20" w:line="240" w:lineRule="auto"/>
              <w:jc w:val="center"/>
              <w:textAlignment w:val="auto"/>
              <w:rPr>
                <w:kern w:val="2"/>
                <w:sz w:val="18"/>
                <w:szCs w:val="18"/>
              </w:rPr>
            </w:pPr>
            <w:r>
              <w:rPr>
                <w:kern w:val="2"/>
                <w:sz w:val="18"/>
                <w:szCs w:val="18"/>
              </w:rPr>
              <w:t>4.29</w:t>
            </w:r>
          </w:p>
        </w:tc>
        <w:tc>
          <w:tcPr>
            <w:tcW w:w="752" w:type="dxa"/>
            <w:vAlign w:val="center"/>
          </w:tcPr>
          <w:p w14:paraId="1C38546D">
            <w:pPr>
              <w:widowControl w:val="0"/>
              <w:spacing w:before="62" w:beforeLines="20" w:line="240" w:lineRule="auto"/>
              <w:jc w:val="center"/>
              <w:textAlignment w:val="auto"/>
              <w:rPr>
                <w:kern w:val="2"/>
                <w:sz w:val="18"/>
                <w:szCs w:val="18"/>
              </w:rPr>
            </w:pPr>
            <w:r>
              <w:rPr>
                <w:kern w:val="2"/>
                <w:sz w:val="18"/>
                <w:szCs w:val="18"/>
              </w:rPr>
              <w:t>4.33</w:t>
            </w:r>
          </w:p>
        </w:tc>
        <w:tc>
          <w:tcPr>
            <w:tcW w:w="752" w:type="dxa"/>
            <w:vAlign w:val="center"/>
          </w:tcPr>
          <w:p w14:paraId="380BA3DA">
            <w:pPr>
              <w:widowControl w:val="0"/>
              <w:spacing w:before="62" w:beforeLines="20" w:line="240" w:lineRule="auto"/>
              <w:jc w:val="center"/>
              <w:textAlignment w:val="auto"/>
              <w:rPr>
                <w:kern w:val="2"/>
                <w:sz w:val="18"/>
                <w:szCs w:val="18"/>
              </w:rPr>
            </w:pPr>
            <w:r>
              <w:rPr>
                <w:kern w:val="2"/>
                <w:sz w:val="18"/>
                <w:szCs w:val="18"/>
              </w:rPr>
              <w:t>4.36</w:t>
            </w:r>
          </w:p>
        </w:tc>
        <w:tc>
          <w:tcPr>
            <w:tcW w:w="752" w:type="dxa"/>
            <w:vAlign w:val="center"/>
          </w:tcPr>
          <w:p w14:paraId="3199BC43">
            <w:pPr>
              <w:widowControl w:val="0"/>
              <w:spacing w:before="62" w:beforeLines="20" w:line="240" w:lineRule="auto"/>
              <w:jc w:val="center"/>
              <w:textAlignment w:val="auto"/>
              <w:rPr>
                <w:kern w:val="2"/>
                <w:sz w:val="18"/>
                <w:szCs w:val="18"/>
              </w:rPr>
            </w:pPr>
            <w:r>
              <w:rPr>
                <w:kern w:val="2"/>
                <w:sz w:val="18"/>
                <w:szCs w:val="18"/>
              </w:rPr>
              <w:t>4.39</w:t>
            </w:r>
          </w:p>
        </w:tc>
        <w:tc>
          <w:tcPr>
            <w:tcW w:w="752" w:type="dxa"/>
            <w:vAlign w:val="center"/>
          </w:tcPr>
          <w:p w14:paraId="71D8168D">
            <w:pPr>
              <w:widowControl w:val="0"/>
              <w:spacing w:before="62" w:beforeLines="20" w:line="240" w:lineRule="auto"/>
              <w:jc w:val="center"/>
              <w:textAlignment w:val="auto"/>
              <w:rPr>
                <w:kern w:val="2"/>
                <w:sz w:val="18"/>
                <w:szCs w:val="18"/>
              </w:rPr>
            </w:pPr>
            <w:r>
              <w:rPr>
                <w:kern w:val="2"/>
                <w:sz w:val="18"/>
                <w:szCs w:val="18"/>
              </w:rPr>
              <w:t>4.42</w:t>
            </w:r>
          </w:p>
        </w:tc>
        <w:tc>
          <w:tcPr>
            <w:tcW w:w="749" w:type="dxa"/>
            <w:vAlign w:val="center"/>
          </w:tcPr>
          <w:p w14:paraId="09E6129E">
            <w:pPr>
              <w:widowControl w:val="0"/>
              <w:spacing w:before="62" w:beforeLines="20" w:line="240" w:lineRule="auto"/>
              <w:jc w:val="center"/>
              <w:textAlignment w:val="auto"/>
              <w:rPr>
                <w:kern w:val="2"/>
                <w:sz w:val="18"/>
                <w:szCs w:val="18"/>
              </w:rPr>
            </w:pPr>
            <w:r>
              <w:rPr>
                <w:kern w:val="2"/>
                <w:sz w:val="18"/>
                <w:szCs w:val="18"/>
              </w:rPr>
              <w:t>4.45</w:t>
            </w:r>
          </w:p>
        </w:tc>
      </w:tr>
      <w:tr w14:paraId="56299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85" w:type="dxa"/>
            <w:vAlign w:val="center"/>
          </w:tcPr>
          <w:p w14:paraId="6B00F726">
            <w:pPr>
              <w:widowControl w:val="0"/>
              <w:spacing w:before="62" w:beforeLines="20" w:line="240" w:lineRule="auto"/>
              <w:jc w:val="center"/>
              <w:textAlignment w:val="auto"/>
              <w:rPr>
                <w:kern w:val="2"/>
                <w:sz w:val="18"/>
                <w:szCs w:val="18"/>
              </w:rPr>
            </w:pPr>
            <w:r>
              <w:rPr>
                <w:kern w:val="2"/>
                <w:sz w:val="18"/>
                <w:szCs w:val="18"/>
              </w:rPr>
              <w:t>30</w:t>
            </w:r>
          </w:p>
        </w:tc>
        <w:tc>
          <w:tcPr>
            <w:tcW w:w="752" w:type="dxa"/>
            <w:vAlign w:val="center"/>
          </w:tcPr>
          <w:p w14:paraId="1F166E0F">
            <w:pPr>
              <w:widowControl w:val="0"/>
              <w:spacing w:before="62" w:beforeLines="20" w:line="240" w:lineRule="auto"/>
              <w:jc w:val="center"/>
              <w:textAlignment w:val="auto"/>
              <w:rPr>
                <w:kern w:val="2"/>
                <w:sz w:val="18"/>
                <w:szCs w:val="18"/>
              </w:rPr>
            </w:pPr>
            <w:r>
              <w:rPr>
                <w:kern w:val="2"/>
                <w:sz w:val="18"/>
                <w:szCs w:val="18"/>
              </w:rPr>
              <w:t>4.48</w:t>
            </w:r>
          </w:p>
        </w:tc>
        <w:tc>
          <w:tcPr>
            <w:tcW w:w="752" w:type="dxa"/>
            <w:vAlign w:val="center"/>
          </w:tcPr>
          <w:p w14:paraId="3A88F5AA">
            <w:pPr>
              <w:widowControl w:val="0"/>
              <w:spacing w:before="62" w:beforeLines="20" w:line="240" w:lineRule="auto"/>
              <w:jc w:val="center"/>
              <w:textAlignment w:val="auto"/>
              <w:rPr>
                <w:kern w:val="2"/>
                <w:sz w:val="18"/>
                <w:szCs w:val="18"/>
              </w:rPr>
            </w:pPr>
            <w:r>
              <w:rPr>
                <w:kern w:val="2"/>
                <w:sz w:val="18"/>
                <w:szCs w:val="18"/>
              </w:rPr>
              <w:t>4.50</w:t>
            </w:r>
          </w:p>
        </w:tc>
        <w:tc>
          <w:tcPr>
            <w:tcW w:w="752" w:type="dxa"/>
            <w:vAlign w:val="center"/>
          </w:tcPr>
          <w:p w14:paraId="334547C9">
            <w:pPr>
              <w:widowControl w:val="0"/>
              <w:spacing w:before="62" w:beforeLines="20" w:line="240" w:lineRule="auto"/>
              <w:jc w:val="center"/>
              <w:textAlignment w:val="auto"/>
              <w:rPr>
                <w:kern w:val="2"/>
                <w:sz w:val="18"/>
                <w:szCs w:val="18"/>
              </w:rPr>
            </w:pPr>
            <w:r>
              <w:rPr>
                <w:kern w:val="2"/>
                <w:sz w:val="18"/>
                <w:szCs w:val="18"/>
              </w:rPr>
              <w:t>4.53</w:t>
            </w:r>
          </w:p>
        </w:tc>
        <w:tc>
          <w:tcPr>
            <w:tcW w:w="752" w:type="dxa"/>
            <w:vAlign w:val="center"/>
          </w:tcPr>
          <w:p w14:paraId="03DFB95F">
            <w:pPr>
              <w:widowControl w:val="0"/>
              <w:spacing w:before="62" w:beforeLines="20" w:line="240" w:lineRule="auto"/>
              <w:jc w:val="center"/>
              <w:textAlignment w:val="auto"/>
              <w:rPr>
                <w:kern w:val="2"/>
                <w:sz w:val="18"/>
                <w:szCs w:val="18"/>
              </w:rPr>
            </w:pPr>
            <w:r>
              <w:rPr>
                <w:kern w:val="2"/>
                <w:sz w:val="18"/>
                <w:szCs w:val="18"/>
              </w:rPr>
              <w:t>4.56</w:t>
            </w:r>
          </w:p>
        </w:tc>
        <w:tc>
          <w:tcPr>
            <w:tcW w:w="752" w:type="dxa"/>
            <w:vAlign w:val="center"/>
          </w:tcPr>
          <w:p w14:paraId="38D732B3">
            <w:pPr>
              <w:widowControl w:val="0"/>
              <w:spacing w:before="62" w:beforeLines="20" w:line="240" w:lineRule="auto"/>
              <w:jc w:val="center"/>
              <w:textAlignment w:val="auto"/>
              <w:rPr>
                <w:kern w:val="2"/>
                <w:sz w:val="18"/>
                <w:szCs w:val="18"/>
              </w:rPr>
            </w:pPr>
            <w:r>
              <w:rPr>
                <w:kern w:val="2"/>
                <w:sz w:val="18"/>
                <w:szCs w:val="18"/>
              </w:rPr>
              <w:t>4.59</w:t>
            </w:r>
          </w:p>
        </w:tc>
        <w:tc>
          <w:tcPr>
            <w:tcW w:w="752" w:type="dxa"/>
            <w:vAlign w:val="center"/>
          </w:tcPr>
          <w:p w14:paraId="32C0D7EB">
            <w:pPr>
              <w:widowControl w:val="0"/>
              <w:spacing w:before="62" w:beforeLines="20" w:line="240" w:lineRule="auto"/>
              <w:jc w:val="center"/>
              <w:textAlignment w:val="auto"/>
              <w:rPr>
                <w:kern w:val="2"/>
                <w:sz w:val="18"/>
                <w:szCs w:val="18"/>
              </w:rPr>
            </w:pPr>
            <w:r>
              <w:rPr>
                <w:kern w:val="2"/>
                <w:sz w:val="18"/>
                <w:szCs w:val="18"/>
              </w:rPr>
              <w:t>4.61</w:t>
            </w:r>
          </w:p>
        </w:tc>
        <w:tc>
          <w:tcPr>
            <w:tcW w:w="752" w:type="dxa"/>
            <w:vAlign w:val="center"/>
          </w:tcPr>
          <w:p w14:paraId="2B281283">
            <w:pPr>
              <w:widowControl w:val="0"/>
              <w:spacing w:before="62" w:beforeLines="20" w:line="240" w:lineRule="auto"/>
              <w:jc w:val="center"/>
              <w:textAlignment w:val="auto"/>
              <w:rPr>
                <w:kern w:val="2"/>
                <w:sz w:val="18"/>
                <w:szCs w:val="18"/>
              </w:rPr>
            </w:pPr>
            <w:r>
              <w:rPr>
                <w:kern w:val="2"/>
                <w:sz w:val="18"/>
                <w:szCs w:val="18"/>
              </w:rPr>
              <w:t>4.64</w:t>
            </w:r>
          </w:p>
        </w:tc>
        <w:tc>
          <w:tcPr>
            <w:tcW w:w="752" w:type="dxa"/>
            <w:vAlign w:val="center"/>
          </w:tcPr>
          <w:p w14:paraId="3B5AF1A6">
            <w:pPr>
              <w:widowControl w:val="0"/>
              <w:spacing w:before="62" w:beforeLines="20" w:line="240" w:lineRule="auto"/>
              <w:jc w:val="center"/>
              <w:textAlignment w:val="auto"/>
              <w:rPr>
                <w:kern w:val="2"/>
                <w:sz w:val="18"/>
                <w:szCs w:val="18"/>
              </w:rPr>
            </w:pPr>
            <w:r>
              <w:rPr>
                <w:kern w:val="2"/>
                <w:sz w:val="18"/>
                <w:szCs w:val="18"/>
              </w:rPr>
              <w:t>4.67</w:t>
            </w:r>
          </w:p>
        </w:tc>
        <w:tc>
          <w:tcPr>
            <w:tcW w:w="752" w:type="dxa"/>
            <w:vAlign w:val="center"/>
          </w:tcPr>
          <w:p w14:paraId="2AF540C7">
            <w:pPr>
              <w:widowControl w:val="0"/>
              <w:spacing w:before="62" w:beforeLines="20" w:line="240" w:lineRule="auto"/>
              <w:jc w:val="center"/>
              <w:textAlignment w:val="auto"/>
              <w:rPr>
                <w:kern w:val="2"/>
                <w:sz w:val="18"/>
                <w:szCs w:val="18"/>
              </w:rPr>
            </w:pPr>
            <w:r>
              <w:rPr>
                <w:kern w:val="2"/>
                <w:sz w:val="18"/>
                <w:szCs w:val="18"/>
              </w:rPr>
              <w:t>4.69</w:t>
            </w:r>
          </w:p>
        </w:tc>
        <w:tc>
          <w:tcPr>
            <w:tcW w:w="749" w:type="dxa"/>
            <w:vAlign w:val="center"/>
          </w:tcPr>
          <w:p w14:paraId="1DC2D31C">
            <w:pPr>
              <w:widowControl w:val="0"/>
              <w:spacing w:before="62" w:beforeLines="20" w:line="240" w:lineRule="auto"/>
              <w:jc w:val="center"/>
              <w:textAlignment w:val="auto"/>
              <w:rPr>
                <w:kern w:val="2"/>
                <w:sz w:val="18"/>
                <w:szCs w:val="18"/>
              </w:rPr>
            </w:pPr>
            <w:r>
              <w:rPr>
                <w:kern w:val="2"/>
                <w:sz w:val="18"/>
                <w:szCs w:val="18"/>
              </w:rPr>
              <w:t>4.72</w:t>
            </w:r>
          </w:p>
        </w:tc>
      </w:tr>
      <w:tr w14:paraId="7B7F0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85" w:type="dxa"/>
            <w:vAlign w:val="center"/>
          </w:tcPr>
          <w:p w14:paraId="13B4E617">
            <w:pPr>
              <w:widowControl w:val="0"/>
              <w:spacing w:before="62" w:beforeLines="20" w:line="240" w:lineRule="auto"/>
              <w:jc w:val="center"/>
              <w:textAlignment w:val="auto"/>
              <w:rPr>
                <w:kern w:val="2"/>
                <w:sz w:val="18"/>
                <w:szCs w:val="18"/>
              </w:rPr>
            </w:pPr>
            <w:r>
              <w:rPr>
                <w:kern w:val="2"/>
                <w:sz w:val="18"/>
                <w:szCs w:val="18"/>
              </w:rPr>
              <w:t>40</w:t>
            </w:r>
          </w:p>
        </w:tc>
        <w:tc>
          <w:tcPr>
            <w:tcW w:w="752" w:type="dxa"/>
            <w:vAlign w:val="center"/>
          </w:tcPr>
          <w:p w14:paraId="1DEBC48B">
            <w:pPr>
              <w:widowControl w:val="0"/>
              <w:spacing w:before="62" w:beforeLines="20" w:line="240" w:lineRule="auto"/>
              <w:jc w:val="center"/>
              <w:textAlignment w:val="auto"/>
              <w:rPr>
                <w:kern w:val="2"/>
                <w:sz w:val="18"/>
                <w:szCs w:val="18"/>
              </w:rPr>
            </w:pPr>
            <w:r>
              <w:rPr>
                <w:kern w:val="2"/>
                <w:sz w:val="18"/>
                <w:szCs w:val="18"/>
              </w:rPr>
              <w:t>4.75</w:t>
            </w:r>
          </w:p>
        </w:tc>
        <w:tc>
          <w:tcPr>
            <w:tcW w:w="752" w:type="dxa"/>
            <w:vAlign w:val="center"/>
          </w:tcPr>
          <w:p w14:paraId="78DFC735">
            <w:pPr>
              <w:widowControl w:val="0"/>
              <w:spacing w:before="62" w:beforeLines="20" w:line="240" w:lineRule="auto"/>
              <w:jc w:val="center"/>
              <w:textAlignment w:val="auto"/>
              <w:rPr>
                <w:kern w:val="2"/>
                <w:sz w:val="18"/>
                <w:szCs w:val="18"/>
              </w:rPr>
            </w:pPr>
            <w:r>
              <w:rPr>
                <w:kern w:val="2"/>
                <w:sz w:val="18"/>
                <w:szCs w:val="18"/>
              </w:rPr>
              <w:t>4.77</w:t>
            </w:r>
          </w:p>
        </w:tc>
        <w:tc>
          <w:tcPr>
            <w:tcW w:w="752" w:type="dxa"/>
            <w:vAlign w:val="center"/>
          </w:tcPr>
          <w:p w14:paraId="3BEA3DBB">
            <w:pPr>
              <w:widowControl w:val="0"/>
              <w:spacing w:before="62" w:beforeLines="20" w:line="240" w:lineRule="auto"/>
              <w:jc w:val="center"/>
              <w:textAlignment w:val="auto"/>
              <w:rPr>
                <w:kern w:val="2"/>
                <w:sz w:val="18"/>
                <w:szCs w:val="18"/>
              </w:rPr>
            </w:pPr>
            <w:r>
              <w:rPr>
                <w:kern w:val="2"/>
                <w:sz w:val="18"/>
                <w:szCs w:val="18"/>
              </w:rPr>
              <w:t>4.80</w:t>
            </w:r>
          </w:p>
        </w:tc>
        <w:tc>
          <w:tcPr>
            <w:tcW w:w="752" w:type="dxa"/>
            <w:vAlign w:val="center"/>
          </w:tcPr>
          <w:p w14:paraId="244F03FB">
            <w:pPr>
              <w:widowControl w:val="0"/>
              <w:spacing w:before="62" w:beforeLines="20" w:line="240" w:lineRule="auto"/>
              <w:jc w:val="center"/>
              <w:textAlignment w:val="auto"/>
              <w:rPr>
                <w:kern w:val="2"/>
                <w:sz w:val="18"/>
                <w:szCs w:val="18"/>
              </w:rPr>
            </w:pPr>
            <w:r>
              <w:rPr>
                <w:kern w:val="2"/>
                <w:sz w:val="18"/>
                <w:szCs w:val="18"/>
              </w:rPr>
              <w:t>4.82</w:t>
            </w:r>
          </w:p>
        </w:tc>
        <w:tc>
          <w:tcPr>
            <w:tcW w:w="752" w:type="dxa"/>
            <w:vAlign w:val="center"/>
          </w:tcPr>
          <w:p w14:paraId="06586DE2">
            <w:pPr>
              <w:widowControl w:val="0"/>
              <w:spacing w:before="62" w:beforeLines="20" w:line="240" w:lineRule="auto"/>
              <w:jc w:val="center"/>
              <w:textAlignment w:val="auto"/>
              <w:rPr>
                <w:kern w:val="2"/>
                <w:sz w:val="18"/>
                <w:szCs w:val="18"/>
              </w:rPr>
            </w:pPr>
            <w:r>
              <w:rPr>
                <w:kern w:val="2"/>
                <w:sz w:val="18"/>
                <w:szCs w:val="18"/>
              </w:rPr>
              <w:t>4.85</w:t>
            </w:r>
          </w:p>
        </w:tc>
        <w:tc>
          <w:tcPr>
            <w:tcW w:w="752" w:type="dxa"/>
            <w:vAlign w:val="center"/>
          </w:tcPr>
          <w:p w14:paraId="097C2556">
            <w:pPr>
              <w:widowControl w:val="0"/>
              <w:spacing w:before="62" w:beforeLines="20" w:line="240" w:lineRule="auto"/>
              <w:jc w:val="center"/>
              <w:textAlignment w:val="auto"/>
              <w:rPr>
                <w:kern w:val="2"/>
                <w:sz w:val="18"/>
                <w:szCs w:val="18"/>
              </w:rPr>
            </w:pPr>
            <w:r>
              <w:rPr>
                <w:kern w:val="2"/>
                <w:sz w:val="18"/>
                <w:szCs w:val="18"/>
              </w:rPr>
              <w:t>4.87</w:t>
            </w:r>
          </w:p>
        </w:tc>
        <w:tc>
          <w:tcPr>
            <w:tcW w:w="752" w:type="dxa"/>
            <w:vAlign w:val="center"/>
          </w:tcPr>
          <w:p w14:paraId="7AB10A7D">
            <w:pPr>
              <w:widowControl w:val="0"/>
              <w:spacing w:before="62" w:beforeLines="20" w:line="240" w:lineRule="auto"/>
              <w:jc w:val="center"/>
              <w:textAlignment w:val="auto"/>
              <w:rPr>
                <w:kern w:val="2"/>
                <w:sz w:val="18"/>
                <w:szCs w:val="18"/>
              </w:rPr>
            </w:pPr>
            <w:r>
              <w:rPr>
                <w:kern w:val="2"/>
                <w:sz w:val="18"/>
                <w:szCs w:val="18"/>
              </w:rPr>
              <w:t>4.90</w:t>
            </w:r>
          </w:p>
        </w:tc>
        <w:tc>
          <w:tcPr>
            <w:tcW w:w="752" w:type="dxa"/>
            <w:vAlign w:val="center"/>
          </w:tcPr>
          <w:p w14:paraId="74EC4ABA">
            <w:pPr>
              <w:widowControl w:val="0"/>
              <w:spacing w:before="62" w:beforeLines="20" w:line="240" w:lineRule="auto"/>
              <w:jc w:val="center"/>
              <w:textAlignment w:val="auto"/>
              <w:rPr>
                <w:kern w:val="2"/>
                <w:sz w:val="18"/>
                <w:szCs w:val="18"/>
              </w:rPr>
            </w:pPr>
            <w:r>
              <w:rPr>
                <w:kern w:val="2"/>
                <w:sz w:val="18"/>
                <w:szCs w:val="18"/>
              </w:rPr>
              <w:t>4.92</w:t>
            </w:r>
          </w:p>
        </w:tc>
        <w:tc>
          <w:tcPr>
            <w:tcW w:w="752" w:type="dxa"/>
            <w:vAlign w:val="center"/>
          </w:tcPr>
          <w:p w14:paraId="27FBC260">
            <w:pPr>
              <w:widowControl w:val="0"/>
              <w:spacing w:before="62" w:beforeLines="20" w:line="240" w:lineRule="auto"/>
              <w:jc w:val="center"/>
              <w:textAlignment w:val="auto"/>
              <w:rPr>
                <w:kern w:val="2"/>
                <w:sz w:val="18"/>
                <w:szCs w:val="18"/>
              </w:rPr>
            </w:pPr>
            <w:r>
              <w:rPr>
                <w:kern w:val="2"/>
                <w:sz w:val="18"/>
                <w:szCs w:val="18"/>
              </w:rPr>
              <w:t>4.95</w:t>
            </w:r>
          </w:p>
        </w:tc>
        <w:tc>
          <w:tcPr>
            <w:tcW w:w="749" w:type="dxa"/>
            <w:vAlign w:val="center"/>
          </w:tcPr>
          <w:p w14:paraId="005C99A5">
            <w:pPr>
              <w:widowControl w:val="0"/>
              <w:spacing w:before="62" w:beforeLines="20" w:line="240" w:lineRule="auto"/>
              <w:jc w:val="center"/>
              <w:textAlignment w:val="auto"/>
              <w:rPr>
                <w:kern w:val="2"/>
                <w:sz w:val="18"/>
                <w:szCs w:val="18"/>
              </w:rPr>
            </w:pPr>
            <w:r>
              <w:rPr>
                <w:kern w:val="2"/>
                <w:sz w:val="18"/>
                <w:szCs w:val="18"/>
              </w:rPr>
              <w:t>4.97</w:t>
            </w:r>
          </w:p>
        </w:tc>
      </w:tr>
      <w:tr w14:paraId="57F63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85" w:type="dxa"/>
            <w:vAlign w:val="center"/>
          </w:tcPr>
          <w:p w14:paraId="54559FFB">
            <w:pPr>
              <w:widowControl w:val="0"/>
              <w:spacing w:before="62" w:beforeLines="20" w:line="240" w:lineRule="auto"/>
              <w:jc w:val="center"/>
              <w:textAlignment w:val="auto"/>
              <w:rPr>
                <w:kern w:val="2"/>
                <w:sz w:val="18"/>
                <w:szCs w:val="18"/>
              </w:rPr>
            </w:pPr>
            <w:r>
              <w:rPr>
                <w:kern w:val="2"/>
                <w:sz w:val="18"/>
                <w:szCs w:val="18"/>
              </w:rPr>
              <w:t>50</w:t>
            </w:r>
          </w:p>
        </w:tc>
        <w:tc>
          <w:tcPr>
            <w:tcW w:w="752" w:type="dxa"/>
            <w:vAlign w:val="center"/>
          </w:tcPr>
          <w:p w14:paraId="73E744F6">
            <w:pPr>
              <w:widowControl w:val="0"/>
              <w:spacing w:before="62" w:beforeLines="20" w:line="240" w:lineRule="auto"/>
              <w:jc w:val="center"/>
              <w:textAlignment w:val="auto"/>
              <w:rPr>
                <w:kern w:val="2"/>
                <w:sz w:val="18"/>
                <w:szCs w:val="18"/>
              </w:rPr>
            </w:pPr>
            <w:r>
              <w:rPr>
                <w:kern w:val="2"/>
                <w:sz w:val="18"/>
                <w:szCs w:val="18"/>
              </w:rPr>
              <w:t>5.00</w:t>
            </w:r>
          </w:p>
        </w:tc>
        <w:tc>
          <w:tcPr>
            <w:tcW w:w="752" w:type="dxa"/>
            <w:vAlign w:val="center"/>
          </w:tcPr>
          <w:p w14:paraId="0A4D76F9">
            <w:pPr>
              <w:widowControl w:val="0"/>
              <w:spacing w:before="62" w:beforeLines="20" w:line="240" w:lineRule="auto"/>
              <w:jc w:val="center"/>
              <w:textAlignment w:val="auto"/>
              <w:rPr>
                <w:kern w:val="2"/>
                <w:sz w:val="18"/>
                <w:szCs w:val="18"/>
              </w:rPr>
            </w:pPr>
            <w:r>
              <w:rPr>
                <w:kern w:val="2"/>
                <w:sz w:val="18"/>
                <w:szCs w:val="18"/>
              </w:rPr>
              <w:t>5.03</w:t>
            </w:r>
          </w:p>
        </w:tc>
        <w:tc>
          <w:tcPr>
            <w:tcW w:w="752" w:type="dxa"/>
            <w:vAlign w:val="center"/>
          </w:tcPr>
          <w:p w14:paraId="58D9ED9F">
            <w:pPr>
              <w:widowControl w:val="0"/>
              <w:spacing w:before="62" w:beforeLines="20" w:line="240" w:lineRule="auto"/>
              <w:jc w:val="center"/>
              <w:textAlignment w:val="auto"/>
              <w:rPr>
                <w:kern w:val="2"/>
                <w:sz w:val="18"/>
                <w:szCs w:val="18"/>
              </w:rPr>
            </w:pPr>
            <w:r>
              <w:rPr>
                <w:kern w:val="2"/>
                <w:sz w:val="18"/>
                <w:szCs w:val="18"/>
              </w:rPr>
              <w:t>5.05</w:t>
            </w:r>
          </w:p>
        </w:tc>
        <w:tc>
          <w:tcPr>
            <w:tcW w:w="752" w:type="dxa"/>
            <w:vAlign w:val="center"/>
          </w:tcPr>
          <w:p w14:paraId="3B7DCB52">
            <w:pPr>
              <w:widowControl w:val="0"/>
              <w:spacing w:before="62" w:beforeLines="20" w:line="240" w:lineRule="auto"/>
              <w:jc w:val="center"/>
              <w:textAlignment w:val="auto"/>
              <w:rPr>
                <w:kern w:val="2"/>
                <w:sz w:val="18"/>
                <w:szCs w:val="18"/>
              </w:rPr>
            </w:pPr>
            <w:r>
              <w:rPr>
                <w:kern w:val="2"/>
                <w:sz w:val="18"/>
                <w:szCs w:val="18"/>
              </w:rPr>
              <w:t>5.08</w:t>
            </w:r>
          </w:p>
        </w:tc>
        <w:tc>
          <w:tcPr>
            <w:tcW w:w="752" w:type="dxa"/>
            <w:vAlign w:val="center"/>
          </w:tcPr>
          <w:p w14:paraId="63EDEB78">
            <w:pPr>
              <w:widowControl w:val="0"/>
              <w:spacing w:before="62" w:beforeLines="20" w:line="240" w:lineRule="auto"/>
              <w:jc w:val="center"/>
              <w:textAlignment w:val="auto"/>
              <w:rPr>
                <w:kern w:val="2"/>
                <w:sz w:val="18"/>
                <w:szCs w:val="18"/>
              </w:rPr>
            </w:pPr>
            <w:r>
              <w:rPr>
                <w:kern w:val="2"/>
                <w:sz w:val="18"/>
                <w:szCs w:val="18"/>
              </w:rPr>
              <w:t>5.10</w:t>
            </w:r>
          </w:p>
        </w:tc>
        <w:tc>
          <w:tcPr>
            <w:tcW w:w="752" w:type="dxa"/>
            <w:vAlign w:val="center"/>
          </w:tcPr>
          <w:p w14:paraId="396F3CE7">
            <w:pPr>
              <w:widowControl w:val="0"/>
              <w:spacing w:before="62" w:beforeLines="20" w:line="240" w:lineRule="auto"/>
              <w:jc w:val="center"/>
              <w:textAlignment w:val="auto"/>
              <w:rPr>
                <w:kern w:val="2"/>
                <w:sz w:val="18"/>
                <w:szCs w:val="18"/>
              </w:rPr>
            </w:pPr>
            <w:r>
              <w:rPr>
                <w:kern w:val="2"/>
                <w:sz w:val="18"/>
                <w:szCs w:val="18"/>
              </w:rPr>
              <w:t>5.13</w:t>
            </w:r>
          </w:p>
        </w:tc>
        <w:tc>
          <w:tcPr>
            <w:tcW w:w="752" w:type="dxa"/>
            <w:vAlign w:val="center"/>
          </w:tcPr>
          <w:p w14:paraId="7B802961">
            <w:pPr>
              <w:widowControl w:val="0"/>
              <w:spacing w:before="62" w:beforeLines="20" w:line="240" w:lineRule="auto"/>
              <w:jc w:val="center"/>
              <w:textAlignment w:val="auto"/>
              <w:rPr>
                <w:kern w:val="2"/>
                <w:sz w:val="18"/>
                <w:szCs w:val="18"/>
              </w:rPr>
            </w:pPr>
            <w:r>
              <w:rPr>
                <w:kern w:val="2"/>
                <w:sz w:val="18"/>
                <w:szCs w:val="18"/>
              </w:rPr>
              <w:t>5.15</w:t>
            </w:r>
          </w:p>
        </w:tc>
        <w:tc>
          <w:tcPr>
            <w:tcW w:w="752" w:type="dxa"/>
            <w:vAlign w:val="center"/>
          </w:tcPr>
          <w:p w14:paraId="7EC068AB">
            <w:pPr>
              <w:widowControl w:val="0"/>
              <w:spacing w:before="62" w:beforeLines="20" w:line="240" w:lineRule="auto"/>
              <w:jc w:val="center"/>
              <w:textAlignment w:val="auto"/>
              <w:rPr>
                <w:kern w:val="2"/>
                <w:sz w:val="18"/>
                <w:szCs w:val="18"/>
              </w:rPr>
            </w:pPr>
            <w:r>
              <w:rPr>
                <w:kern w:val="2"/>
                <w:sz w:val="18"/>
                <w:szCs w:val="18"/>
              </w:rPr>
              <w:t>5.18</w:t>
            </w:r>
          </w:p>
        </w:tc>
        <w:tc>
          <w:tcPr>
            <w:tcW w:w="752" w:type="dxa"/>
            <w:vAlign w:val="center"/>
          </w:tcPr>
          <w:p w14:paraId="367C60D5">
            <w:pPr>
              <w:widowControl w:val="0"/>
              <w:spacing w:before="62" w:beforeLines="20" w:line="240" w:lineRule="auto"/>
              <w:jc w:val="center"/>
              <w:textAlignment w:val="auto"/>
              <w:rPr>
                <w:kern w:val="2"/>
                <w:sz w:val="18"/>
                <w:szCs w:val="18"/>
              </w:rPr>
            </w:pPr>
            <w:r>
              <w:rPr>
                <w:kern w:val="2"/>
                <w:sz w:val="18"/>
                <w:szCs w:val="18"/>
              </w:rPr>
              <w:t>5.20</w:t>
            </w:r>
          </w:p>
        </w:tc>
        <w:tc>
          <w:tcPr>
            <w:tcW w:w="749" w:type="dxa"/>
            <w:vAlign w:val="center"/>
          </w:tcPr>
          <w:p w14:paraId="5C9B96D5">
            <w:pPr>
              <w:widowControl w:val="0"/>
              <w:spacing w:before="62" w:beforeLines="20" w:line="240" w:lineRule="auto"/>
              <w:jc w:val="center"/>
              <w:textAlignment w:val="auto"/>
              <w:rPr>
                <w:kern w:val="2"/>
                <w:sz w:val="18"/>
                <w:szCs w:val="18"/>
              </w:rPr>
            </w:pPr>
            <w:r>
              <w:rPr>
                <w:kern w:val="2"/>
                <w:sz w:val="18"/>
                <w:szCs w:val="18"/>
              </w:rPr>
              <w:t>5.23</w:t>
            </w:r>
          </w:p>
        </w:tc>
      </w:tr>
      <w:tr w14:paraId="09879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85" w:type="dxa"/>
            <w:vAlign w:val="center"/>
          </w:tcPr>
          <w:p w14:paraId="1CFC32D6">
            <w:pPr>
              <w:widowControl w:val="0"/>
              <w:spacing w:before="62" w:beforeLines="20" w:line="240" w:lineRule="auto"/>
              <w:jc w:val="center"/>
              <w:textAlignment w:val="auto"/>
              <w:rPr>
                <w:kern w:val="2"/>
                <w:sz w:val="18"/>
                <w:szCs w:val="18"/>
              </w:rPr>
            </w:pPr>
            <w:r>
              <w:rPr>
                <w:kern w:val="2"/>
                <w:sz w:val="18"/>
                <w:szCs w:val="18"/>
              </w:rPr>
              <w:t>60</w:t>
            </w:r>
          </w:p>
        </w:tc>
        <w:tc>
          <w:tcPr>
            <w:tcW w:w="752" w:type="dxa"/>
            <w:vAlign w:val="center"/>
          </w:tcPr>
          <w:p w14:paraId="12370EC4">
            <w:pPr>
              <w:widowControl w:val="0"/>
              <w:spacing w:before="62" w:beforeLines="20" w:line="240" w:lineRule="auto"/>
              <w:jc w:val="center"/>
              <w:textAlignment w:val="auto"/>
              <w:rPr>
                <w:kern w:val="2"/>
                <w:sz w:val="18"/>
                <w:szCs w:val="18"/>
              </w:rPr>
            </w:pPr>
            <w:r>
              <w:rPr>
                <w:kern w:val="2"/>
                <w:sz w:val="18"/>
                <w:szCs w:val="18"/>
              </w:rPr>
              <w:t>5.25</w:t>
            </w:r>
          </w:p>
        </w:tc>
        <w:tc>
          <w:tcPr>
            <w:tcW w:w="752" w:type="dxa"/>
            <w:vAlign w:val="center"/>
          </w:tcPr>
          <w:p w14:paraId="653E3291">
            <w:pPr>
              <w:widowControl w:val="0"/>
              <w:spacing w:before="62" w:beforeLines="20" w:line="240" w:lineRule="auto"/>
              <w:jc w:val="center"/>
              <w:textAlignment w:val="auto"/>
              <w:rPr>
                <w:kern w:val="2"/>
                <w:sz w:val="18"/>
                <w:szCs w:val="18"/>
              </w:rPr>
            </w:pPr>
            <w:r>
              <w:rPr>
                <w:kern w:val="2"/>
                <w:sz w:val="18"/>
                <w:szCs w:val="18"/>
              </w:rPr>
              <w:t>5.28</w:t>
            </w:r>
          </w:p>
        </w:tc>
        <w:tc>
          <w:tcPr>
            <w:tcW w:w="752" w:type="dxa"/>
            <w:vAlign w:val="center"/>
          </w:tcPr>
          <w:p w14:paraId="1E26DBD0">
            <w:pPr>
              <w:widowControl w:val="0"/>
              <w:spacing w:before="62" w:beforeLines="20" w:line="240" w:lineRule="auto"/>
              <w:jc w:val="center"/>
              <w:textAlignment w:val="auto"/>
              <w:rPr>
                <w:kern w:val="2"/>
                <w:sz w:val="18"/>
                <w:szCs w:val="18"/>
              </w:rPr>
            </w:pPr>
            <w:r>
              <w:rPr>
                <w:kern w:val="2"/>
                <w:sz w:val="18"/>
                <w:szCs w:val="18"/>
              </w:rPr>
              <w:t>5.31</w:t>
            </w:r>
          </w:p>
        </w:tc>
        <w:tc>
          <w:tcPr>
            <w:tcW w:w="752" w:type="dxa"/>
            <w:vAlign w:val="center"/>
          </w:tcPr>
          <w:p w14:paraId="53CB8D0F">
            <w:pPr>
              <w:widowControl w:val="0"/>
              <w:spacing w:before="62" w:beforeLines="20" w:line="240" w:lineRule="auto"/>
              <w:jc w:val="center"/>
              <w:textAlignment w:val="auto"/>
              <w:rPr>
                <w:kern w:val="2"/>
                <w:sz w:val="18"/>
                <w:szCs w:val="18"/>
              </w:rPr>
            </w:pPr>
            <w:r>
              <w:rPr>
                <w:kern w:val="2"/>
                <w:sz w:val="18"/>
                <w:szCs w:val="18"/>
              </w:rPr>
              <w:t>5.33</w:t>
            </w:r>
          </w:p>
        </w:tc>
        <w:tc>
          <w:tcPr>
            <w:tcW w:w="752" w:type="dxa"/>
            <w:vAlign w:val="center"/>
          </w:tcPr>
          <w:p w14:paraId="42EF51C4">
            <w:pPr>
              <w:widowControl w:val="0"/>
              <w:spacing w:before="62" w:beforeLines="20" w:line="240" w:lineRule="auto"/>
              <w:jc w:val="center"/>
              <w:textAlignment w:val="auto"/>
              <w:rPr>
                <w:kern w:val="2"/>
                <w:sz w:val="18"/>
                <w:szCs w:val="18"/>
              </w:rPr>
            </w:pPr>
            <w:r>
              <w:rPr>
                <w:kern w:val="2"/>
                <w:sz w:val="18"/>
                <w:szCs w:val="18"/>
              </w:rPr>
              <w:t>5.36</w:t>
            </w:r>
          </w:p>
        </w:tc>
        <w:tc>
          <w:tcPr>
            <w:tcW w:w="752" w:type="dxa"/>
            <w:vAlign w:val="center"/>
          </w:tcPr>
          <w:p w14:paraId="72209375">
            <w:pPr>
              <w:widowControl w:val="0"/>
              <w:spacing w:before="62" w:beforeLines="20" w:line="240" w:lineRule="auto"/>
              <w:jc w:val="center"/>
              <w:textAlignment w:val="auto"/>
              <w:rPr>
                <w:kern w:val="2"/>
                <w:sz w:val="18"/>
                <w:szCs w:val="18"/>
              </w:rPr>
            </w:pPr>
            <w:r>
              <w:rPr>
                <w:kern w:val="2"/>
                <w:sz w:val="18"/>
                <w:szCs w:val="18"/>
              </w:rPr>
              <w:t>5.39</w:t>
            </w:r>
          </w:p>
        </w:tc>
        <w:tc>
          <w:tcPr>
            <w:tcW w:w="752" w:type="dxa"/>
            <w:vAlign w:val="center"/>
          </w:tcPr>
          <w:p w14:paraId="66C5E5BD">
            <w:pPr>
              <w:widowControl w:val="0"/>
              <w:spacing w:before="62" w:beforeLines="20" w:line="240" w:lineRule="auto"/>
              <w:jc w:val="center"/>
              <w:textAlignment w:val="auto"/>
              <w:rPr>
                <w:kern w:val="2"/>
                <w:sz w:val="18"/>
                <w:szCs w:val="18"/>
              </w:rPr>
            </w:pPr>
            <w:r>
              <w:rPr>
                <w:kern w:val="2"/>
                <w:sz w:val="18"/>
                <w:szCs w:val="18"/>
              </w:rPr>
              <w:t>5.41</w:t>
            </w:r>
          </w:p>
        </w:tc>
        <w:tc>
          <w:tcPr>
            <w:tcW w:w="752" w:type="dxa"/>
            <w:vAlign w:val="center"/>
          </w:tcPr>
          <w:p w14:paraId="510B75C6">
            <w:pPr>
              <w:widowControl w:val="0"/>
              <w:spacing w:before="62" w:beforeLines="20" w:line="240" w:lineRule="auto"/>
              <w:jc w:val="center"/>
              <w:textAlignment w:val="auto"/>
              <w:rPr>
                <w:kern w:val="2"/>
                <w:sz w:val="18"/>
                <w:szCs w:val="18"/>
              </w:rPr>
            </w:pPr>
            <w:r>
              <w:rPr>
                <w:kern w:val="2"/>
                <w:sz w:val="18"/>
                <w:szCs w:val="18"/>
              </w:rPr>
              <w:t>5.44</w:t>
            </w:r>
          </w:p>
        </w:tc>
        <w:tc>
          <w:tcPr>
            <w:tcW w:w="752" w:type="dxa"/>
            <w:vAlign w:val="center"/>
          </w:tcPr>
          <w:p w14:paraId="3FB21F45">
            <w:pPr>
              <w:widowControl w:val="0"/>
              <w:spacing w:before="62" w:beforeLines="20" w:line="240" w:lineRule="auto"/>
              <w:jc w:val="center"/>
              <w:textAlignment w:val="auto"/>
              <w:rPr>
                <w:kern w:val="2"/>
                <w:sz w:val="18"/>
                <w:szCs w:val="18"/>
              </w:rPr>
            </w:pPr>
            <w:r>
              <w:rPr>
                <w:kern w:val="2"/>
                <w:sz w:val="18"/>
                <w:szCs w:val="18"/>
              </w:rPr>
              <w:t>5.47</w:t>
            </w:r>
          </w:p>
        </w:tc>
        <w:tc>
          <w:tcPr>
            <w:tcW w:w="749" w:type="dxa"/>
            <w:vAlign w:val="center"/>
          </w:tcPr>
          <w:p w14:paraId="2F667AF3">
            <w:pPr>
              <w:widowControl w:val="0"/>
              <w:spacing w:before="62" w:beforeLines="20" w:line="240" w:lineRule="auto"/>
              <w:jc w:val="center"/>
              <w:textAlignment w:val="auto"/>
              <w:rPr>
                <w:kern w:val="2"/>
                <w:sz w:val="18"/>
                <w:szCs w:val="18"/>
              </w:rPr>
            </w:pPr>
            <w:r>
              <w:rPr>
                <w:kern w:val="2"/>
                <w:sz w:val="18"/>
                <w:szCs w:val="18"/>
              </w:rPr>
              <w:t>5.50</w:t>
            </w:r>
          </w:p>
        </w:tc>
      </w:tr>
      <w:tr w14:paraId="4318A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85" w:type="dxa"/>
            <w:vAlign w:val="center"/>
          </w:tcPr>
          <w:p w14:paraId="30CAB7C1">
            <w:pPr>
              <w:widowControl w:val="0"/>
              <w:spacing w:before="62" w:beforeLines="20" w:line="240" w:lineRule="auto"/>
              <w:jc w:val="center"/>
              <w:textAlignment w:val="auto"/>
              <w:rPr>
                <w:kern w:val="2"/>
                <w:sz w:val="18"/>
                <w:szCs w:val="18"/>
              </w:rPr>
            </w:pPr>
            <w:r>
              <w:rPr>
                <w:kern w:val="2"/>
                <w:sz w:val="18"/>
                <w:szCs w:val="18"/>
              </w:rPr>
              <w:t>70</w:t>
            </w:r>
          </w:p>
        </w:tc>
        <w:tc>
          <w:tcPr>
            <w:tcW w:w="752" w:type="dxa"/>
            <w:vAlign w:val="center"/>
          </w:tcPr>
          <w:p w14:paraId="6BF83230">
            <w:pPr>
              <w:widowControl w:val="0"/>
              <w:spacing w:before="62" w:beforeLines="20" w:line="240" w:lineRule="auto"/>
              <w:jc w:val="center"/>
              <w:textAlignment w:val="auto"/>
              <w:rPr>
                <w:kern w:val="2"/>
                <w:sz w:val="18"/>
                <w:szCs w:val="18"/>
              </w:rPr>
            </w:pPr>
            <w:r>
              <w:rPr>
                <w:kern w:val="2"/>
                <w:sz w:val="18"/>
                <w:szCs w:val="18"/>
              </w:rPr>
              <w:t>5.52</w:t>
            </w:r>
          </w:p>
        </w:tc>
        <w:tc>
          <w:tcPr>
            <w:tcW w:w="752" w:type="dxa"/>
            <w:vAlign w:val="center"/>
          </w:tcPr>
          <w:p w14:paraId="2BAA5BCB">
            <w:pPr>
              <w:widowControl w:val="0"/>
              <w:spacing w:before="62" w:beforeLines="20" w:line="240" w:lineRule="auto"/>
              <w:jc w:val="center"/>
              <w:textAlignment w:val="auto"/>
              <w:rPr>
                <w:kern w:val="2"/>
                <w:sz w:val="18"/>
                <w:szCs w:val="18"/>
              </w:rPr>
            </w:pPr>
            <w:r>
              <w:rPr>
                <w:kern w:val="2"/>
                <w:sz w:val="18"/>
                <w:szCs w:val="18"/>
              </w:rPr>
              <w:t>5.55</w:t>
            </w:r>
          </w:p>
        </w:tc>
        <w:tc>
          <w:tcPr>
            <w:tcW w:w="752" w:type="dxa"/>
            <w:vAlign w:val="center"/>
          </w:tcPr>
          <w:p w14:paraId="41903411">
            <w:pPr>
              <w:widowControl w:val="0"/>
              <w:spacing w:before="62" w:beforeLines="20" w:line="240" w:lineRule="auto"/>
              <w:jc w:val="center"/>
              <w:textAlignment w:val="auto"/>
              <w:rPr>
                <w:kern w:val="2"/>
                <w:sz w:val="18"/>
                <w:szCs w:val="18"/>
              </w:rPr>
            </w:pPr>
            <w:r>
              <w:rPr>
                <w:kern w:val="2"/>
                <w:sz w:val="18"/>
                <w:szCs w:val="18"/>
              </w:rPr>
              <w:t>5.58</w:t>
            </w:r>
          </w:p>
        </w:tc>
        <w:tc>
          <w:tcPr>
            <w:tcW w:w="752" w:type="dxa"/>
            <w:vAlign w:val="center"/>
          </w:tcPr>
          <w:p w14:paraId="542A484A">
            <w:pPr>
              <w:widowControl w:val="0"/>
              <w:spacing w:before="62" w:beforeLines="20" w:line="240" w:lineRule="auto"/>
              <w:jc w:val="center"/>
              <w:textAlignment w:val="auto"/>
              <w:rPr>
                <w:kern w:val="2"/>
                <w:sz w:val="18"/>
                <w:szCs w:val="18"/>
              </w:rPr>
            </w:pPr>
            <w:r>
              <w:rPr>
                <w:kern w:val="2"/>
                <w:sz w:val="18"/>
                <w:szCs w:val="18"/>
              </w:rPr>
              <w:t>5.61</w:t>
            </w:r>
          </w:p>
        </w:tc>
        <w:tc>
          <w:tcPr>
            <w:tcW w:w="752" w:type="dxa"/>
            <w:vAlign w:val="center"/>
          </w:tcPr>
          <w:p w14:paraId="75243019">
            <w:pPr>
              <w:widowControl w:val="0"/>
              <w:spacing w:before="62" w:beforeLines="20" w:line="240" w:lineRule="auto"/>
              <w:jc w:val="center"/>
              <w:textAlignment w:val="auto"/>
              <w:rPr>
                <w:kern w:val="2"/>
                <w:sz w:val="18"/>
                <w:szCs w:val="18"/>
              </w:rPr>
            </w:pPr>
            <w:r>
              <w:rPr>
                <w:kern w:val="2"/>
                <w:sz w:val="18"/>
                <w:szCs w:val="18"/>
              </w:rPr>
              <w:t>5.64</w:t>
            </w:r>
          </w:p>
        </w:tc>
        <w:tc>
          <w:tcPr>
            <w:tcW w:w="752" w:type="dxa"/>
            <w:vAlign w:val="center"/>
          </w:tcPr>
          <w:p w14:paraId="08561A88">
            <w:pPr>
              <w:widowControl w:val="0"/>
              <w:spacing w:before="62" w:beforeLines="20" w:line="240" w:lineRule="auto"/>
              <w:jc w:val="center"/>
              <w:textAlignment w:val="auto"/>
              <w:rPr>
                <w:kern w:val="2"/>
                <w:sz w:val="18"/>
                <w:szCs w:val="18"/>
              </w:rPr>
            </w:pPr>
            <w:r>
              <w:rPr>
                <w:kern w:val="2"/>
                <w:sz w:val="18"/>
                <w:szCs w:val="18"/>
              </w:rPr>
              <w:t>5.67</w:t>
            </w:r>
          </w:p>
        </w:tc>
        <w:tc>
          <w:tcPr>
            <w:tcW w:w="752" w:type="dxa"/>
            <w:vAlign w:val="center"/>
          </w:tcPr>
          <w:p w14:paraId="6A44992A">
            <w:pPr>
              <w:widowControl w:val="0"/>
              <w:spacing w:before="62" w:beforeLines="20" w:line="240" w:lineRule="auto"/>
              <w:jc w:val="center"/>
              <w:textAlignment w:val="auto"/>
              <w:rPr>
                <w:kern w:val="2"/>
                <w:sz w:val="18"/>
                <w:szCs w:val="18"/>
              </w:rPr>
            </w:pPr>
            <w:r>
              <w:rPr>
                <w:kern w:val="2"/>
                <w:sz w:val="18"/>
                <w:szCs w:val="18"/>
              </w:rPr>
              <w:t>5.71</w:t>
            </w:r>
          </w:p>
        </w:tc>
        <w:tc>
          <w:tcPr>
            <w:tcW w:w="752" w:type="dxa"/>
            <w:vAlign w:val="center"/>
          </w:tcPr>
          <w:p w14:paraId="64B4BE37">
            <w:pPr>
              <w:widowControl w:val="0"/>
              <w:spacing w:before="62" w:beforeLines="20" w:line="240" w:lineRule="auto"/>
              <w:jc w:val="center"/>
              <w:textAlignment w:val="auto"/>
              <w:rPr>
                <w:kern w:val="2"/>
                <w:sz w:val="18"/>
                <w:szCs w:val="18"/>
              </w:rPr>
            </w:pPr>
            <w:r>
              <w:rPr>
                <w:kern w:val="2"/>
                <w:sz w:val="18"/>
                <w:szCs w:val="18"/>
              </w:rPr>
              <w:t>5.74</w:t>
            </w:r>
          </w:p>
        </w:tc>
        <w:tc>
          <w:tcPr>
            <w:tcW w:w="752" w:type="dxa"/>
            <w:vAlign w:val="center"/>
          </w:tcPr>
          <w:p w14:paraId="04F23BA5">
            <w:pPr>
              <w:widowControl w:val="0"/>
              <w:spacing w:before="62" w:beforeLines="20" w:line="240" w:lineRule="auto"/>
              <w:jc w:val="center"/>
              <w:textAlignment w:val="auto"/>
              <w:rPr>
                <w:kern w:val="2"/>
                <w:sz w:val="18"/>
                <w:szCs w:val="18"/>
              </w:rPr>
            </w:pPr>
            <w:r>
              <w:rPr>
                <w:kern w:val="2"/>
                <w:sz w:val="18"/>
                <w:szCs w:val="18"/>
              </w:rPr>
              <w:t>5.77</w:t>
            </w:r>
          </w:p>
        </w:tc>
        <w:tc>
          <w:tcPr>
            <w:tcW w:w="749" w:type="dxa"/>
            <w:vAlign w:val="center"/>
          </w:tcPr>
          <w:p w14:paraId="5BE6DF7D">
            <w:pPr>
              <w:widowControl w:val="0"/>
              <w:spacing w:before="62" w:beforeLines="20" w:line="240" w:lineRule="auto"/>
              <w:jc w:val="center"/>
              <w:textAlignment w:val="auto"/>
              <w:rPr>
                <w:kern w:val="2"/>
                <w:sz w:val="18"/>
                <w:szCs w:val="18"/>
              </w:rPr>
            </w:pPr>
            <w:r>
              <w:rPr>
                <w:kern w:val="2"/>
                <w:sz w:val="18"/>
                <w:szCs w:val="18"/>
              </w:rPr>
              <w:t>5.81</w:t>
            </w:r>
          </w:p>
        </w:tc>
      </w:tr>
      <w:tr w14:paraId="2A880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85" w:type="dxa"/>
            <w:vAlign w:val="center"/>
          </w:tcPr>
          <w:p w14:paraId="22EE9168">
            <w:pPr>
              <w:widowControl w:val="0"/>
              <w:spacing w:before="62" w:beforeLines="20" w:line="240" w:lineRule="auto"/>
              <w:jc w:val="center"/>
              <w:textAlignment w:val="auto"/>
              <w:rPr>
                <w:kern w:val="2"/>
                <w:sz w:val="18"/>
                <w:szCs w:val="18"/>
              </w:rPr>
            </w:pPr>
            <w:r>
              <w:rPr>
                <w:kern w:val="2"/>
                <w:sz w:val="18"/>
                <w:szCs w:val="18"/>
              </w:rPr>
              <w:t>80</w:t>
            </w:r>
          </w:p>
        </w:tc>
        <w:tc>
          <w:tcPr>
            <w:tcW w:w="752" w:type="dxa"/>
            <w:vAlign w:val="center"/>
          </w:tcPr>
          <w:p w14:paraId="354CFA01">
            <w:pPr>
              <w:widowControl w:val="0"/>
              <w:spacing w:before="62" w:beforeLines="20" w:line="240" w:lineRule="auto"/>
              <w:jc w:val="center"/>
              <w:textAlignment w:val="auto"/>
              <w:rPr>
                <w:kern w:val="2"/>
                <w:sz w:val="18"/>
                <w:szCs w:val="18"/>
              </w:rPr>
            </w:pPr>
            <w:r>
              <w:rPr>
                <w:kern w:val="2"/>
                <w:sz w:val="18"/>
                <w:szCs w:val="18"/>
              </w:rPr>
              <w:t>5.84</w:t>
            </w:r>
          </w:p>
        </w:tc>
        <w:tc>
          <w:tcPr>
            <w:tcW w:w="752" w:type="dxa"/>
            <w:vAlign w:val="center"/>
          </w:tcPr>
          <w:p w14:paraId="651FCD2E">
            <w:pPr>
              <w:widowControl w:val="0"/>
              <w:spacing w:before="62" w:beforeLines="20" w:line="240" w:lineRule="auto"/>
              <w:jc w:val="center"/>
              <w:textAlignment w:val="auto"/>
              <w:rPr>
                <w:kern w:val="2"/>
                <w:sz w:val="18"/>
                <w:szCs w:val="18"/>
              </w:rPr>
            </w:pPr>
            <w:r>
              <w:rPr>
                <w:kern w:val="2"/>
                <w:sz w:val="18"/>
                <w:szCs w:val="18"/>
              </w:rPr>
              <w:t>5.88</w:t>
            </w:r>
          </w:p>
        </w:tc>
        <w:tc>
          <w:tcPr>
            <w:tcW w:w="752" w:type="dxa"/>
            <w:vAlign w:val="center"/>
          </w:tcPr>
          <w:p w14:paraId="100F4F3B">
            <w:pPr>
              <w:widowControl w:val="0"/>
              <w:spacing w:before="62" w:beforeLines="20" w:line="240" w:lineRule="auto"/>
              <w:jc w:val="center"/>
              <w:textAlignment w:val="auto"/>
              <w:rPr>
                <w:kern w:val="2"/>
                <w:sz w:val="18"/>
                <w:szCs w:val="18"/>
              </w:rPr>
            </w:pPr>
            <w:r>
              <w:rPr>
                <w:kern w:val="2"/>
                <w:sz w:val="18"/>
                <w:szCs w:val="18"/>
              </w:rPr>
              <w:t>5.92</w:t>
            </w:r>
          </w:p>
        </w:tc>
        <w:tc>
          <w:tcPr>
            <w:tcW w:w="752" w:type="dxa"/>
            <w:vAlign w:val="center"/>
          </w:tcPr>
          <w:p w14:paraId="365F4507">
            <w:pPr>
              <w:widowControl w:val="0"/>
              <w:spacing w:before="62" w:beforeLines="20" w:line="240" w:lineRule="auto"/>
              <w:jc w:val="center"/>
              <w:textAlignment w:val="auto"/>
              <w:rPr>
                <w:kern w:val="2"/>
                <w:sz w:val="18"/>
                <w:szCs w:val="18"/>
              </w:rPr>
            </w:pPr>
            <w:r>
              <w:rPr>
                <w:kern w:val="2"/>
                <w:sz w:val="18"/>
                <w:szCs w:val="18"/>
              </w:rPr>
              <w:t>5.95</w:t>
            </w:r>
          </w:p>
        </w:tc>
        <w:tc>
          <w:tcPr>
            <w:tcW w:w="752" w:type="dxa"/>
            <w:vAlign w:val="center"/>
          </w:tcPr>
          <w:p w14:paraId="7FE7F907">
            <w:pPr>
              <w:widowControl w:val="0"/>
              <w:spacing w:before="62" w:beforeLines="20" w:line="240" w:lineRule="auto"/>
              <w:jc w:val="center"/>
              <w:textAlignment w:val="auto"/>
              <w:rPr>
                <w:kern w:val="2"/>
                <w:sz w:val="18"/>
                <w:szCs w:val="18"/>
              </w:rPr>
            </w:pPr>
            <w:r>
              <w:rPr>
                <w:kern w:val="2"/>
                <w:sz w:val="18"/>
                <w:szCs w:val="18"/>
              </w:rPr>
              <w:t>5.99</w:t>
            </w:r>
          </w:p>
        </w:tc>
        <w:tc>
          <w:tcPr>
            <w:tcW w:w="752" w:type="dxa"/>
            <w:vAlign w:val="center"/>
          </w:tcPr>
          <w:p w14:paraId="0149796F">
            <w:pPr>
              <w:widowControl w:val="0"/>
              <w:spacing w:before="62" w:beforeLines="20" w:line="240" w:lineRule="auto"/>
              <w:jc w:val="center"/>
              <w:textAlignment w:val="auto"/>
              <w:rPr>
                <w:kern w:val="2"/>
                <w:sz w:val="18"/>
                <w:szCs w:val="18"/>
              </w:rPr>
            </w:pPr>
            <w:r>
              <w:rPr>
                <w:kern w:val="2"/>
                <w:sz w:val="18"/>
                <w:szCs w:val="18"/>
              </w:rPr>
              <w:t>6.04</w:t>
            </w:r>
          </w:p>
        </w:tc>
        <w:tc>
          <w:tcPr>
            <w:tcW w:w="752" w:type="dxa"/>
            <w:vAlign w:val="center"/>
          </w:tcPr>
          <w:p w14:paraId="7AC43C69">
            <w:pPr>
              <w:widowControl w:val="0"/>
              <w:spacing w:before="62" w:beforeLines="20" w:line="240" w:lineRule="auto"/>
              <w:jc w:val="center"/>
              <w:textAlignment w:val="auto"/>
              <w:rPr>
                <w:kern w:val="2"/>
                <w:sz w:val="18"/>
                <w:szCs w:val="18"/>
              </w:rPr>
            </w:pPr>
            <w:r>
              <w:rPr>
                <w:kern w:val="2"/>
                <w:sz w:val="18"/>
                <w:szCs w:val="18"/>
              </w:rPr>
              <w:t>6.08</w:t>
            </w:r>
          </w:p>
        </w:tc>
        <w:tc>
          <w:tcPr>
            <w:tcW w:w="752" w:type="dxa"/>
            <w:vAlign w:val="center"/>
          </w:tcPr>
          <w:p w14:paraId="554E84FA">
            <w:pPr>
              <w:widowControl w:val="0"/>
              <w:spacing w:before="62" w:beforeLines="20" w:line="240" w:lineRule="auto"/>
              <w:jc w:val="center"/>
              <w:textAlignment w:val="auto"/>
              <w:rPr>
                <w:kern w:val="2"/>
                <w:sz w:val="18"/>
                <w:szCs w:val="18"/>
              </w:rPr>
            </w:pPr>
            <w:r>
              <w:rPr>
                <w:kern w:val="2"/>
                <w:sz w:val="18"/>
                <w:szCs w:val="18"/>
              </w:rPr>
              <w:t>6.13</w:t>
            </w:r>
          </w:p>
        </w:tc>
        <w:tc>
          <w:tcPr>
            <w:tcW w:w="752" w:type="dxa"/>
            <w:vAlign w:val="center"/>
          </w:tcPr>
          <w:p w14:paraId="4050415D">
            <w:pPr>
              <w:widowControl w:val="0"/>
              <w:spacing w:before="62" w:beforeLines="20" w:line="240" w:lineRule="auto"/>
              <w:jc w:val="center"/>
              <w:textAlignment w:val="auto"/>
              <w:rPr>
                <w:kern w:val="2"/>
                <w:sz w:val="18"/>
                <w:szCs w:val="18"/>
              </w:rPr>
            </w:pPr>
            <w:r>
              <w:rPr>
                <w:kern w:val="2"/>
                <w:sz w:val="18"/>
                <w:szCs w:val="18"/>
              </w:rPr>
              <w:t>6.18</w:t>
            </w:r>
          </w:p>
        </w:tc>
        <w:tc>
          <w:tcPr>
            <w:tcW w:w="749" w:type="dxa"/>
            <w:vAlign w:val="center"/>
          </w:tcPr>
          <w:p w14:paraId="61E85EC1">
            <w:pPr>
              <w:widowControl w:val="0"/>
              <w:spacing w:before="62" w:beforeLines="20" w:line="240" w:lineRule="auto"/>
              <w:jc w:val="center"/>
              <w:textAlignment w:val="auto"/>
              <w:rPr>
                <w:kern w:val="2"/>
                <w:sz w:val="18"/>
                <w:szCs w:val="18"/>
              </w:rPr>
            </w:pPr>
            <w:r>
              <w:rPr>
                <w:kern w:val="2"/>
                <w:sz w:val="18"/>
                <w:szCs w:val="18"/>
              </w:rPr>
              <w:t>6.23</w:t>
            </w:r>
          </w:p>
        </w:tc>
      </w:tr>
      <w:tr w14:paraId="237A4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85" w:type="dxa"/>
            <w:vAlign w:val="center"/>
          </w:tcPr>
          <w:p w14:paraId="3F8FD1FB">
            <w:pPr>
              <w:widowControl w:val="0"/>
              <w:spacing w:before="62" w:beforeLines="20" w:line="240" w:lineRule="auto"/>
              <w:jc w:val="center"/>
              <w:textAlignment w:val="auto"/>
              <w:rPr>
                <w:kern w:val="2"/>
                <w:sz w:val="18"/>
                <w:szCs w:val="18"/>
              </w:rPr>
            </w:pPr>
            <w:r>
              <w:rPr>
                <w:kern w:val="2"/>
                <w:sz w:val="18"/>
                <w:szCs w:val="18"/>
              </w:rPr>
              <w:t>90</w:t>
            </w:r>
          </w:p>
        </w:tc>
        <w:tc>
          <w:tcPr>
            <w:tcW w:w="752" w:type="dxa"/>
            <w:vAlign w:val="center"/>
          </w:tcPr>
          <w:p w14:paraId="0B775770">
            <w:pPr>
              <w:widowControl w:val="0"/>
              <w:spacing w:before="62" w:beforeLines="20" w:line="240" w:lineRule="auto"/>
              <w:jc w:val="center"/>
              <w:textAlignment w:val="auto"/>
              <w:rPr>
                <w:kern w:val="2"/>
                <w:sz w:val="18"/>
                <w:szCs w:val="18"/>
              </w:rPr>
            </w:pPr>
            <w:r>
              <w:rPr>
                <w:kern w:val="2"/>
                <w:sz w:val="18"/>
                <w:szCs w:val="18"/>
              </w:rPr>
              <w:t>6.28</w:t>
            </w:r>
          </w:p>
        </w:tc>
        <w:tc>
          <w:tcPr>
            <w:tcW w:w="752" w:type="dxa"/>
            <w:vAlign w:val="center"/>
          </w:tcPr>
          <w:p w14:paraId="7C622193">
            <w:pPr>
              <w:widowControl w:val="0"/>
              <w:spacing w:before="62" w:beforeLines="20" w:line="240" w:lineRule="auto"/>
              <w:jc w:val="center"/>
              <w:textAlignment w:val="auto"/>
              <w:rPr>
                <w:kern w:val="2"/>
                <w:sz w:val="18"/>
                <w:szCs w:val="18"/>
              </w:rPr>
            </w:pPr>
            <w:r>
              <w:rPr>
                <w:kern w:val="2"/>
                <w:sz w:val="18"/>
                <w:szCs w:val="18"/>
              </w:rPr>
              <w:t>6.34</w:t>
            </w:r>
          </w:p>
        </w:tc>
        <w:tc>
          <w:tcPr>
            <w:tcW w:w="752" w:type="dxa"/>
            <w:vAlign w:val="center"/>
          </w:tcPr>
          <w:p w14:paraId="5BAF05F4">
            <w:pPr>
              <w:widowControl w:val="0"/>
              <w:spacing w:before="62" w:beforeLines="20" w:line="240" w:lineRule="auto"/>
              <w:jc w:val="center"/>
              <w:textAlignment w:val="auto"/>
              <w:rPr>
                <w:kern w:val="2"/>
                <w:sz w:val="18"/>
                <w:szCs w:val="18"/>
              </w:rPr>
            </w:pPr>
            <w:r>
              <w:rPr>
                <w:kern w:val="2"/>
                <w:sz w:val="18"/>
                <w:szCs w:val="18"/>
              </w:rPr>
              <w:t>6.41</w:t>
            </w:r>
          </w:p>
        </w:tc>
        <w:tc>
          <w:tcPr>
            <w:tcW w:w="752" w:type="dxa"/>
            <w:vAlign w:val="center"/>
          </w:tcPr>
          <w:p w14:paraId="64843DBA">
            <w:pPr>
              <w:widowControl w:val="0"/>
              <w:spacing w:before="62" w:beforeLines="20" w:line="240" w:lineRule="auto"/>
              <w:jc w:val="center"/>
              <w:textAlignment w:val="auto"/>
              <w:rPr>
                <w:kern w:val="2"/>
                <w:sz w:val="18"/>
                <w:szCs w:val="18"/>
              </w:rPr>
            </w:pPr>
            <w:r>
              <w:rPr>
                <w:kern w:val="2"/>
                <w:sz w:val="18"/>
                <w:szCs w:val="18"/>
              </w:rPr>
              <w:t>6.48</w:t>
            </w:r>
          </w:p>
        </w:tc>
        <w:tc>
          <w:tcPr>
            <w:tcW w:w="752" w:type="dxa"/>
            <w:vAlign w:val="center"/>
          </w:tcPr>
          <w:p w14:paraId="4040EB7A">
            <w:pPr>
              <w:widowControl w:val="0"/>
              <w:spacing w:before="62" w:beforeLines="20" w:line="240" w:lineRule="auto"/>
              <w:jc w:val="center"/>
              <w:textAlignment w:val="auto"/>
              <w:rPr>
                <w:kern w:val="2"/>
                <w:sz w:val="18"/>
                <w:szCs w:val="18"/>
              </w:rPr>
            </w:pPr>
            <w:r>
              <w:rPr>
                <w:kern w:val="2"/>
                <w:sz w:val="18"/>
                <w:szCs w:val="18"/>
              </w:rPr>
              <w:t>6.55</w:t>
            </w:r>
          </w:p>
        </w:tc>
        <w:tc>
          <w:tcPr>
            <w:tcW w:w="752" w:type="dxa"/>
            <w:vAlign w:val="center"/>
          </w:tcPr>
          <w:p w14:paraId="1596782C">
            <w:pPr>
              <w:widowControl w:val="0"/>
              <w:spacing w:before="62" w:beforeLines="20" w:line="240" w:lineRule="auto"/>
              <w:jc w:val="center"/>
              <w:textAlignment w:val="auto"/>
              <w:rPr>
                <w:kern w:val="2"/>
                <w:sz w:val="18"/>
                <w:szCs w:val="18"/>
              </w:rPr>
            </w:pPr>
            <w:r>
              <w:rPr>
                <w:kern w:val="2"/>
                <w:sz w:val="18"/>
                <w:szCs w:val="18"/>
              </w:rPr>
              <w:t>6.64</w:t>
            </w:r>
          </w:p>
        </w:tc>
        <w:tc>
          <w:tcPr>
            <w:tcW w:w="752" w:type="dxa"/>
            <w:vAlign w:val="center"/>
          </w:tcPr>
          <w:p w14:paraId="488CE316">
            <w:pPr>
              <w:widowControl w:val="0"/>
              <w:spacing w:before="62" w:beforeLines="20" w:line="240" w:lineRule="auto"/>
              <w:jc w:val="center"/>
              <w:textAlignment w:val="auto"/>
              <w:rPr>
                <w:kern w:val="2"/>
                <w:sz w:val="18"/>
                <w:szCs w:val="18"/>
              </w:rPr>
            </w:pPr>
            <w:r>
              <w:rPr>
                <w:kern w:val="2"/>
                <w:sz w:val="18"/>
                <w:szCs w:val="18"/>
              </w:rPr>
              <w:t>6.75</w:t>
            </w:r>
          </w:p>
        </w:tc>
        <w:tc>
          <w:tcPr>
            <w:tcW w:w="752" w:type="dxa"/>
            <w:vAlign w:val="center"/>
          </w:tcPr>
          <w:p w14:paraId="5FF0982F">
            <w:pPr>
              <w:widowControl w:val="0"/>
              <w:spacing w:before="62" w:beforeLines="20" w:line="240" w:lineRule="auto"/>
              <w:jc w:val="center"/>
              <w:textAlignment w:val="auto"/>
              <w:rPr>
                <w:kern w:val="2"/>
                <w:sz w:val="18"/>
                <w:szCs w:val="18"/>
              </w:rPr>
            </w:pPr>
            <w:r>
              <w:rPr>
                <w:kern w:val="2"/>
                <w:sz w:val="18"/>
                <w:szCs w:val="18"/>
              </w:rPr>
              <w:t>6.88</w:t>
            </w:r>
          </w:p>
        </w:tc>
        <w:tc>
          <w:tcPr>
            <w:tcW w:w="752" w:type="dxa"/>
            <w:vAlign w:val="center"/>
          </w:tcPr>
          <w:p w14:paraId="2C0B3112">
            <w:pPr>
              <w:widowControl w:val="0"/>
              <w:spacing w:before="62" w:beforeLines="20" w:line="240" w:lineRule="auto"/>
              <w:jc w:val="center"/>
              <w:textAlignment w:val="auto"/>
              <w:rPr>
                <w:kern w:val="2"/>
                <w:sz w:val="18"/>
                <w:szCs w:val="18"/>
              </w:rPr>
            </w:pPr>
            <w:r>
              <w:rPr>
                <w:kern w:val="2"/>
                <w:sz w:val="18"/>
                <w:szCs w:val="18"/>
              </w:rPr>
              <w:t>7.05</w:t>
            </w:r>
          </w:p>
        </w:tc>
        <w:tc>
          <w:tcPr>
            <w:tcW w:w="749" w:type="dxa"/>
            <w:vAlign w:val="center"/>
          </w:tcPr>
          <w:p w14:paraId="44664BE4">
            <w:pPr>
              <w:widowControl w:val="0"/>
              <w:spacing w:before="62" w:beforeLines="20" w:line="240" w:lineRule="auto"/>
              <w:jc w:val="center"/>
              <w:textAlignment w:val="auto"/>
              <w:rPr>
                <w:kern w:val="2"/>
                <w:sz w:val="18"/>
                <w:szCs w:val="18"/>
              </w:rPr>
            </w:pPr>
            <w:r>
              <w:rPr>
                <w:kern w:val="2"/>
                <w:sz w:val="18"/>
                <w:szCs w:val="18"/>
              </w:rPr>
              <w:t>7.33</w:t>
            </w:r>
          </w:p>
        </w:tc>
      </w:tr>
      <w:tr w14:paraId="1336E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85" w:type="dxa"/>
            <w:vMerge w:val="restart"/>
            <w:vAlign w:val="center"/>
          </w:tcPr>
          <w:p w14:paraId="2509E2B7">
            <w:pPr>
              <w:widowControl w:val="0"/>
              <w:spacing w:before="62" w:beforeLines="20" w:line="240" w:lineRule="auto"/>
              <w:jc w:val="center"/>
              <w:textAlignment w:val="auto"/>
              <w:rPr>
                <w:kern w:val="2"/>
                <w:sz w:val="18"/>
                <w:szCs w:val="18"/>
              </w:rPr>
            </w:pPr>
            <w:r>
              <w:rPr>
                <w:kern w:val="2"/>
                <w:sz w:val="18"/>
                <w:szCs w:val="18"/>
              </w:rPr>
              <w:t>99</w:t>
            </w:r>
          </w:p>
        </w:tc>
        <w:tc>
          <w:tcPr>
            <w:tcW w:w="752" w:type="dxa"/>
            <w:vAlign w:val="center"/>
          </w:tcPr>
          <w:p w14:paraId="074B5E00">
            <w:pPr>
              <w:widowControl w:val="0"/>
              <w:spacing w:before="62" w:beforeLines="20" w:line="240" w:lineRule="auto"/>
              <w:jc w:val="center"/>
              <w:textAlignment w:val="auto"/>
              <w:rPr>
                <w:kern w:val="2"/>
                <w:sz w:val="18"/>
                <w:szCs w:val="18"/>
              </w:rPr>
            </w:pPr>
            <w:r>
              <w:rPr>
                <w:kern w:val="2"/>
                <w:sz w:val="18"/>
                <w:szCs w:val="18"/>
              </w:rPr>
              <w:t>0.0</w:t>
            </w:r>
          </w:p>
        </w:tc>
        <w:tc>
          <w:tcPr>
            <w:tcW w:w="752" w:type="dxa"/>
            <w:vAlign w:val="center"/>
          </w:tcPr>
          <w:p w14:paraId="7161DF78">
            <w:pPr>
              <w:widowControl w:val="0"/>
              <w:spacing w:before="62" w:beforeLines="20" w:line="240" w:lineRule="auto"/>
              <w:jc w:val="center"/>
              <w:textAlignment w:val="auto"/>
              <w:rPr>
                <w:kern w:val="2"/>
                <w:sz w:val="18"/>
                <w:szCs w:val="18"/>
              </w:rPr>
            </w:pPr>
            <w:r>
              <w:rPr>
                <w:kern w:val="2"/>
                <w:sz w:val="18"/>
                <w:szCs w:val="18"/>
              </w:rPr>
              <w:t>0.1</w:t>
            </w:r>
          </w:p>
        </w:tc>
        <w:tc>
          <w:tcPr>
            <w:tcW w:w="752" w:type="dxa"/>
            <w:vAlign w:val="center"/>
          </w:tcPr>
          <w:p w14:paraId="52C6E4A5">
            <w:pPr>
              <w:widowControl w:val="0"/>
              <w:spacing w:before="62" w:beforeLines="20" w:line="240" w:lineRule="auto"/>
              <w:jc w:val="center"/>
              <w:textAlignment w:val="auto"/>
              <w:rPr>
                <w:kern w:val="2"/>
                <w:sz w:val="18"/>
                <w:szCs w:val="18"/>
              </w:rPr>
            </w:pPr>
            <w:r>
              <w:rPr>
                <w:kern w:val="2"/>
                <w:sz w:val="18"/>
                <w:szCs w:val="18"/>
              </w:rPr>
              <w:t>0.2</w:t>
            </w:r>
          </w:p>
        </w:tc>
        <w:tc>
          <w:tcPr>
            <w:tcW w:w="752" w:type="dxa"/>
            <w:vAlign w:val="center"/>
          </w:tcPr>
          <w:p w14:paraId="333E7711">
            <w:pPr>
              <w:widowControl w:val="0"/>
              <w:spacing w:before="62" w:beforeLines="20" w:line="240" w:lineRule="auto"/>
              <w:jc w:val="center"/>
              <w:textAlignment w:val="auto"/>
              <w:rPr>
                <w:kern w:val="2"/>
                <w:sz w:val="18"/>
                <w:szCs w:val="18"/>
              </w:rPr>
            </w:pPr>
            <w:r>
              <w:rPr>
                <w:kern w:val="2"/>
                <w:sz w:val="18"/>
                <w:szCs w:val="18"/>
              </w:rPr>
              <w:t>0.3</w:t>
            </w:r>
          </w:p>
        </w:tc>
        <w:tc>
          <w:tcPr>
            <w:tcW w:w="752" w:type="dxa"/>
            <w:vAlign w:val="center"/>
          </w:tcPr>
          <w:p w14:paraId="7E6A9AF1">
            <w:pPr>
              <w:widowControl w:val="0"/>
              <w:spacing w:before="62" w:beforeLines="20" w:line="240" w:lineRule="auto"/>
              <w:jc w:val="center"/>
              <w:textAlignment w:val="auto"/>
              <w:rPr>
                <w:kern w:val="2"/>
                <w:sz w:val="18"/>
                <w:szCs w:val="18"/>
              </w:rPr>
            </w:pPr>
            <w:r>
              <w:rPr>
                <w:kern w:val="2"/>
                <w:sz w:val="18"/>
                <w:szCs w:val="18"/>
              </w:rPr>
              <w:t>0.4</w:t>
            </w:r>
          </w:p>
        </w:tc>
        <w:tc>
          <w:tcPr>
            <w:tcW w:w="752" w:type="dxa"/>
            <w:vAlign w:val="center"/>
          </w:tcPr>
          <w:p w14:paraId="5AC71299">
            <w:pPr>
              <w:widowControl w:val="0"/>
              <w:spacing w:before="62" w:beforeLines="20" w:line="240" w:lineRule="auto"/>
              <w:jc w:val="center"/>
              <w:textAlignment w:val="auto"/>
              <w:rPr>
                <w:kern w:val="2"/>
                <w:sz w:val="18"/>
                <w:szCs w:val="18"/>
              </w:rPr>
            </w:pPr>
            <w:r>
              <w:rPr>
                <w:kern w:val="2"/>
                <w:sz w:val="18"/>
                <w:szCs w:val="18"/>
              </w:rPr>
              <w:t>0.5</w:t>
            </w:r>
          </w:p>
        </w:tc>
        <w:tc>
          <w:tcPr>
            <w:tcW w:w="752" w:type="dxa"/>
            <w:vAlign w:val="center"/>
          </w:tcPr>
          <w:p w14:paraId="22216BF3">
            <w:pPr>
              <w:widowControl w:val="0"/>
              <w:spacing w:before="62" w:beforeLines="20" w:line="240" w:lineRule="auto"/>
              <w:jc w:val="center"/>
              <w:textAlignment w:val="auto"/>
              <w:rPr>
                <w:kern w:val="2"/>
                <w:sz w:val="18"/>
                <w:szCs w:val="18"/>
              </w:rPr>
            </w:pPr>
            <w:r>
              <w:rPr>
                <w:kern w:val="2"/>
                <w:sz w:val="18"/>
                <w:szCs w:val="18"/>
              </w:rPr>
              <w:t>0.6</w:t>
            </w:r>
          </w:p>
        </w:tc>
        <w:tc>
          <w:tcPr>
            <w:tcW w:w="752" w:type="dxa"/>
            <w:vAlign w:val="center"/>
          </w:tcPr>
          <w:p w14:paraId="7737001F">
            <w:pPr>
              <w:widowControl w:val="0"/>
              <w:spacing w:before="62" w:beforeLines="20" w:line="240" w:lineRule="auto"/>
              <w:jc w:val="center"/>
              <w:textAlignment w:val="auto"/>
              <w:rPr>
                <w:kern w:val="2"/>
                <w:sz w:val="18"/>
                <w:szCs w:val="18"/>
              </w:rPr>
            </w:pPr>
            <w:r>
              <w:rPr>
                <w:kern w:val="2"/>
                <w:sz w:val="18"/>
                <w:szCs w:val="18"/>
              </w:rPr>
              <w:t>0.7</w:t>
            </w:r>
          </w:p>
        </w:tc>
        <w:tc>
          <w:tcPr>
            <w:tcW w:w="752" w:type="dxa"/>
            <w:vAlign w:val="center"/>
          </w:tcPr>
          <w:p w14:paraId="140CA3F8">
            <w:pPr>
              <w:widowControl w:val="0"/>
              <w:spacing w:before="62" w:beforeLines="20" w:line="240" w:lineRule="auto"/>
              <w:jc w:val="center"/>
              <w:textAlignment w:val="auto"/>
              <w:rPr>
                <w:kern w:val="2"/>
                <w:sz w:val="18"/>
                <w:szCs w:val="18"/>
              </w:rPr>
            </w:pPr>
            <w:r>
              <w:rPr>
                <w:kern w:val="2"/>
                <w:sz w:val="18"/>
                <w:szCs w:val="18"/>
              </w:rPr>
              <w:t>0.8</w:t>
            </w:r>
          </w:p>
        </w:tc>
        <w:tc>
          <w:tcPr>
            <w:tcW w:w="749" w:type="dxa"/>
            <w:vAlign w:val="center"/>
          </w:tcPr>
          <w:p w14:paraId="43FB1A90">
            <w:pPr>
              <w:widowControl w:val="0"/>
              <w:spacing w:before="62" w:beforeLines="20" w:line="240" w:lineRule="auto"/>
              <w:jc w:val="center"/>
              <w:textAlignment w:val="auto"/>
              <w:rPr>
                <w:kern w:val="2"/>
                <w:sz w:val="18"/>
                <w:szCs w:val="18"/>
              </w:rPr>
            </w:pPr>
            <w:r>
              <w:rPr>
                <w:kern w:val="2"/>
                <w:sz w:val="18"/>
                <w:szCs w:val="18"/>
              </w:rPr>
              <w:t>0.9</w:t>
            </w:r>
          </w:p>
        </w:tc>
      </w:tr>
      <w:tr w14:paraId="7C40B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85" w:type="dxa"/>
            <w:vMerge w:val="continue"/>
            <w:vAlign w:val="center"/>
          </w:tcPr>
          <w:p w14:paraId="3D1694C3">
            <w:pPr>
              <w:widowControl w:val="0"/>
              <w:spacing w:before="62" w:beforeLines="20" w:line="240" w:lineRule="auto"/>
              <w:jc w:val="center"/>
              <w:textAlignment w:val="auto"/>
              <w:rPr>
                <w:kern w:val="2"/>
                <w:sz w:val="18"/>
                <w:szCs w:val="18"/>
              </w:rPr>
            </w:pPr>
          </w:p>
        </w:tc>
        <w:tc>
          <w:tcPr>
            <w:tcW w:w="752" w:type="dxa"/>
            <w:vAlign w:val="center"/>
          </w:tcPr>
          <w:p w14:paraId="2655C2AD">
            <w:pPr>
              <w:widowControl w:val="0"/>
              <w:spacing w:before="62" w:beforeLines="20" w:line="240" w:lineRule="auto"/>
              <w:jc w:val="center"/>
              <w:textAlignment w:val="auto"/>
              <w:rPr>
                <w:kern w:val="2"/>
                <w:sz w:val="18"/>
                <w:szCs w:val="18"/>
              </w:rPr>
            </w:pPr>
            <w:r>
              <w:rPr>
                <w:kern w:val="2"/>
                <w:sz w:val="18"/>
                <w:szCs w:val="18"/>
              </w:rPr>
              <w:t>7.33</w:t>
            </w:r>
          </w:p>
        </w:tc>
        <w:tc>
          <w:tcPr>
            <w:tcW w:w="752" w:type="dxa"/>
            <w:vAlign w:val="center"/>
          </w:tcPr>
          <w:p w14:paraId="431A256A">
            <w:pPr>
              <w:widowControl w:val="0"/>
              <w:spacing w:before="62" w:beforeLines="20" w:line="240" w:lineRule="auto"/>
              <w:jc w:val="center"/>
              <w:textAlignment w:val="auto"/>
              <w:rPr>
                <w:kern w:val="2"/>
                <w:sz w:val="18"/>
                <w:szCs w:val="18"/>
              </w:rPr>
            </w:pPr>
            <w:r>
              <w:rPr>
                <w:kern w:val="2"/>
                <w:sz w:val="18"/>
                <w:szCs w:val="18"/>
              </w:rPr>
              <w:t>7.37</w:t>
            </w:r>
          </w:p>
        </w:tc>
        <w:tc>
          <w:tcPr>
            <w:tcW w:w="752" w:type="dxa"/>
            <w:vAlign w:val="center"/>
          </w:tcPr>
          <w:p w14:paraId="5D1A20AF">
            <w:pPr>
              <w:widowControl w:val="0"/>
              <w:spacing w:before="62" w:beforeLines="20" w:line="240" w:lineRule="auto"/>
              <w:jc w:val="center"/>
              <w:textAlignment w:val="auto"/>
              <w:rPr>
                <w:kern w:val="2"/>
                <w:sz w:val="18"/>
                <w:szCs w:val="18"/>
              </w:rPr>
            </w:pPr>
            <w:r>
              <w:rPr>
                <w:kern w:val="2"/>
                <w:sz w:val="18"/>
                <w:szCs w:val="18"/>
              </w:rPr>
              <w:t>7.41</w:t>
            </w:r>
          </w:p>
        </w:tc>
        <w:tc>
          <w:tcPr>
            <w:tcW w:w="752" w:type="dxa"/>
            <w:vAlign w:val="center"/>
          </w:tcPr>
          <w:p w14:paraId="4E64B6DC">
            <w:pPr>
              <w:widowControl w:val="0"/>
              <w:spacing w:before="62" w:beforeLines="20" w:line="240" w:lineRule="auto"/>
              <w:jc w:val="center"/>
              <w:textAlignment w:val="auto"/>
              <w:rPr>
                <w:kern w:val="2"/>
                <w:sz w:val="18"/>
                <w:szCs w:val="18"/>
              </w:rPr>
            </w:pPr>
            <w:r>
              <w:rPr>
                <w:kern w:val="2"/>
                <w:sz w:val="18"/>
                <w:szCs w:val="18"/>
              </w:rPr>
              <w:t>7.46</w:t>
            </w:r>
          </w:p>
        </w:tc>
        <w:tc>
          <w:tcPr>
            <w:tcW w:w="752" w:type="dxa"/>
            <w:vAlign w:val="center"/>
          </w:tcPr>
          <w:p w14:paraId="08C7F53C">
            <w:pPr>
              <w:widowControl w:val="0"/>
              <w:spacing w:before="62" w:beforeLines="20" w:line="240" w:lineRule="auto"/>
              <w:jc w:val="center"/>
              <w:textAlignment w:val="auto"/>
              <w:rPr>
                <w:kern w:val="2"/>
                <w:sz w:val="18"/>
                <w:szCs w:val="18"/>
              </w:rPr>
            </w:pPr>
            <w:r>
              <w:rPr>
                <w:kern w:val="2"/>
                <w:sz w:val="18"/>
                <w:szCs w:val="18"/>
              </w:rPr>
              <w:t>7.51</w:t>
            </w:r>
          </w:p>
        </w:tc>
        <w:tc>
          <w:tcPr>
            <w:tcW w:w="752" w:type="dxa"/>
            <w:vAlign w:val="center"/>
          </w:tcPr>
          <w:p w14:paraId="7A17B411">
            <w:pPr>
              <w:widowControl w:val="0"/>
              <w:spacing w:before="62" w:beforeLines="20" w:line="240" w:lineRule="auto"/>
              <w:jc w:val="center"/>
              <w:textAlignment w:val="auto"/>
              <w:rPr>
                <w:kern w:val="2"/>
                <w:sz w:val="18"/>
                <w:szCs w:val="18"/>
              </w:rPr>
            </w:pPr>
            <w:r>
              <w:rPr>
                <w:kern w:val="2"/>
                <w:sz w:val="18"/>
                <w:szCs w:val="18"/>
              </w:rPr>
              <w:t>7.58</w:t>
            </w:r>
          </w:p>
        </w:tc>
        <w:tc>
          <w:tcPr>
            <w:tcW w:w="752" w:type="dxa"/>
            <w:vAlign w:val="center"/>
          </w:tcPr>
          <w:p w14:paraId="7A63F5FF">
            <w:pPr>
              <w:widowControl w:val="0"/>
              <w:spacing w:before="62" w:beforeLines="20" w:line="240" w:lineRule="auto"/>
              <w:jc w:val="center"/>
              <w:textAlignment w:val="auto"/>
              <w:rPr>
                <w:kern w:val="2"/>
                <w:sz w:val="18"/>
                <w:szCs w:val="18"/>
              </w:rPr>
            </w:pPr>
            <w:r>
              <w:rPr>
                <w:kern w:val="2"/>
                <w:sz w:val="18"/>
                <w:szCs w:val="18"/>
              </w:rPr>
              <w:t>7.58</w:t>
            </w:r>
          </w:p>
        </w:tc>
        <w:tc>
          <w:tcPr>
            <w:tcW w:w="752" w:type="dxa"/>
            <w:vAlign w:val="center"/>
          </w:tcPr>
          <w:p w14:paraId="67E1215C">
            <w:pPr>
              <w:widowControl w:val="0"/>
              <w:spacing w:before="62" w:beforeLines="20" w:line="240" w:lineRule="auto"/>
              <w:jc w:val="center"/>
              <w:textAlignment w:val="auto"/>
              <w:rPr>
                <w:kern w:val="2"/>
                <w:sz w:val="18"/>
                <w:szCs w:val="18"/>
              </w:rPr>
            </w:pPr>
            <w:r>
              <w:rPr>
                <w:kern w:val="2"/>
                <w:sz w:val="18"/>
                <w:szCs w:val="18"/>
              </w:rPr>
              <w:t>7.65</w:t>
            </w:r>
          </w:p>
        </w:tc>
        <w:tc>
          <w:tcPr>
            <w:tcW w:w="752" w:type="dxa"/>
            <w:vAlign w:val="center"/>
          </w:tcPr>
          <w:p w14:paraId="42C9ABA6">
            <w:pPr>
              <w:widowControl w:val="0"/>
              <w:spacing w:before="62" w:beforeLines="20" w:line="240" w:lineRule="auto"/>
              <w:jc w:val="center"/>
              <w:textAlignment w:val="auto"/>
              <w:rPr>
                <w:kern w:val="2"/>
                <w:sz w:val="18"/>
                <w:szCs w:val="18"/>
              </w:rPr>
            </w:pPr>
            <w:r>
              <w:rPr>
                <w:kern w:val="2"/>
                <w:sz w:val="18"/>
                <w:szCs w:val="18"/>
              </w:rPr>
              <w:t>7.88</w:t>
            </w:r>
          </w:p>
        </w:tc>
        <w:tc>
          <w:tcPr>
            <w:tcW w:w="749" w:type="dxa"/>
            <w:vAlign w:val="center"/>
          </w:tcPr>
          <w:p w14:paraId="4DCAE85B">
            <w:pPr>
              <w:widowControl w:val="0"/>
              <w:spacing w:before="62" w:beforeLines="20" w:line="240" w:lineRule="auto"/>
              <w:jc w:val="center"/>
              <w:textAlignment w:val="auto"/>
              <w:rPr>
                <w:kern w:val="2"/>
                <w:sz w:val="18"/>
                <w:szCs w:val="18"/>
              </w:rPr>
            </w:pPr>
            <w:r>
              <w:rPr>
                <w:kern w:val="2"/>
                <w:sz w:val="18"/>
                <w:szCs w:val="18"/>
              </w:rPr>
              <w:t>8.09</w:t>
            </w:r>
          </w:p>
        </w:tc>
      </w:tr>
      <w:bookmarkEnd w:id="251"/>
      <w:bookmarkEnd w:id="252"/>
      <w:bookmarkEnd w:id="253"/>
      <w:bookmarkEnd w:id="254"/>
      <w:bookmarkEnd w:id="255"/>
      <w:bookmarkEnd w:id="256"/>
    </w:tbl>
    <w:p w14:paraId="59DA53BA">
      <w:pPr>
        <w:widowControl w:val="0"/>
        <w:spacing w:before="156" w:beforeLines="50" w:after="156" w:afterLines="50" w:line="240" w:lineRule="auto"/>
        <w:rPr>
          <w:rFonts w:ascii="黑体" w:eastAsia="黑体"/>
          <w:kern w:val="2"/>
          <w:szCs w:val="21"/>
        </w:rPr>
      </w:pPr>
      <w:bookmarkStart w:id="259" w:name="_Toc286131407"/>
      <w:bookmarkStart w:id="260" w:name="_Toc296956118"/>
      <w:bookmarkStart w:id="261" w:name="_Toc247531500"/>
      <w:bookmarkStart w:id="262" w:name="_Toc286132390"/>
      <w:bookmarkStart w:id="263" w:name="_Toc310952710"/>
      <w:bookmarkStart w:id="264" w:name="_Toc310769308"/>
      <w:r>
        <w:rPr>
          <w:rFonts w:hint="eastAsia" w:ascii="黑体" w:hAnsi="黑体" w:eastAsia="黑体"/>
          <w:kern w:val="2"/>
          <w:szCs w:val="21"/>
        </w:rPr>
        <w:t>B.5.5.2</w:t>
      </w:r>
      <w:r>
        <w:rPr>
          <w:rFonts w:ascii="黑体" w:eastAsia="黑体"/>
          <w:kern w:val="2"/>
          <w:szCs w:val="21"/>
        </w:rPr>
        <w:t xml:space="preserve">  </w:t>
      </w:r>
      <w:r>
        <w:rPr>
          <w:rFonts w:hint="eastAsia" w:ascii="黑体" w:eastAsia="黑体"/>
          <w:kern w:val="2"/>
          <w:szCs w:val="21"/>
        </w:rPr>
        <w:t>热辐射危害</w:t>
      </w:r>
      <w:bookmarkEnd w:id="259"/>
      <w:bookmarkEnd w:id="260"/>
      <w:bookmarkEnd w:id="261"/>
      <w:bookmarkEnd w:id="262"/>
      <w:bookmarkEnd w:id="263"/>
      <w:bookmarkEnd w:id="264"/>
    </w:p>
    <w:p w14:paraId="27CAFA7C">
      <w:pPr>
        <w:widowControl w:val="0"/>
        <w:spacing w:line="240" w:lineRule="auto"/>
        <w:textAlignment w:val="auto"/>
        <w:rPr>
          <w:rFonts w:hint="eastAsia" w:hAnsi="宋体"/>
          <w:kern w:val="2"/>
          <w:szCs w:val="32"/>
        </w:rPr>
      </w:pPr>
      <w:r>
        <w:rPr>
          <w:rFonts w:hint="eastAsia" w:ascii="黑体" w:hAnsi="黑体" w:eastAsia="黑体"/>
          <w:kern w:val="2"/>
          <w:szCs w:val="21"/>
        </w:rPr>
        <w:t>B.5.5.2</w:t>
      </w:r>
      <w:r>
        <w:rPr>
          <w:rFonts w:ascii="黑体" w:hAnsi="黑体" w:eastAsia="黑体"/>
          <w:kern w:val="2"/>
          <w:szCs w:val="21"/>
        </w:rPr>
        <w:t xml:space="preserve">.1 </w:t>
      </w:r>
      <w:r>
        <w:rPr>
          <w:rFonts w:hAnsi="宋体"/>
          <w:kern w:val="2"/>
          <w:szCs w:val="32"/>
        </w:rPr>
        <w:t xml:space="preserve"> </w:t>
      </w:r>
      <w:r>
        <w:rPr>
          <w:rFonts w:hint="eastAsia" w:hAnsi="宋体"/>
          <w:kern w:val="2"/>
          <w:szCs w:val="32"/>
        </w:rPr>
        <w:t>火球、池火及喷射火的死亡概率值可按式（</w:t>
      </w:r>
      <w:r>
        <w:rPr>
          <w:rFonts w:hint="eastAsia"/>
        </w:rPr>
        <w:t>B</w:t>
      </w:r>
      <w:r>
        <w:t>.</w:t>
      </w:r>
      <w:r>
        <w:rPr>
          <w:rFonts w:hint="eastAsia"/>
        </w:rPr>
        <w:t>40</w:t>
      </w:r>
      <w:r>
        <w:rPr>
          <w:rFonts w:hint="eastAsia" w:hAnsi="宋体"/>
          <w:kern w:val="2"/>
          <w:szCs w:val="32"/>
        </w:rPr>
        <w:t>）计算：</w:t>
      </w:r>
    </w:p>
    <w:p w14:paraId="30F840D0">
      <w:pPr>
        <w:pStyle w:val="163"/>
        <w:tabs>
          <w:tab w:val="right" w:leader="middleDot" w:pos="9450"/>
          <w:tab w:val="clear" w:pos="9660"/>
        </w:tabs>
      </w:pPr>
      <w:r>
        <w:tab/>
      </w:r>
      <w:r>
        <w:object>
          <v:shape id="_x0000_i1104" o:spt="75" type="#_x0000_t75" style="height:18.75pt;width:135pt;" o:ole="t" filled="f" o:preferrelative="t" stroked="f" coordsize="21600,21600">
            <v:path/>
            <v:fill on="f" focussize="0,0"/>
            <v:stroke on="f" joinstyle="miter"/>
            <v:imagedata r:id="rId173" o:title=""/>
            <o:lock v:ext="edit" aspectratio="f"/>
            <w10:wrap type="none"/>
            <w10:anchorlock/>
          </v:shape>
          <o:OLEObject Type="Embed" ProgID="Equation.3" ShapeID="_x0000_i1104" DrawAspect="Content" ObjectID="_1468075806" r:id="rId172">
            <o:LockedField>false</o:LockedField>
          </o:OLEObject>
        </w:object>
      </w:r>
      <w:r>
        <w:tab/>
      </w:r>
      <w:r>
        <w:rPr>
          <w:rFonts w:hint="eastAsia"/>
        </w:rPr>
        <w:t>（</w:t>
      </w:r>
      <w:r>
        <w:rPr>
          <w:rFonts w:hint="eastAsia"/>
          <w:lang w:val="en-US"/>
        </w:rPr>
        <w:t>B</w:t>
      </w:r>
      <w:r>
        <w:t>.</w:t>
      </w:r>
      <w:r>
        <w:rPr>
          <w:rFonts w:hint="eastAsia"/>
          <w:lang w:val="en-US"/>
        </w:rPr>
        <w:t>40</w:t>
      </w:r>
      <w:r>
        <w:rPr>
          <w:rFonts w:hint="eastAsia"/>
        </w:rPr>
        <w:t>）</w:t>
      </w:r>
    </w:p>
    <w:p w14:paraId="3EDB3644">
      <w:pPr>
        <w:widowControl w:val="0"/>
        <w:spacing w:line="240" w:lineRule="auto"/>
        <w:ind w:firstLine="420" w:firstLineChars="200"/>
        <w:textAlignment w:val="auto"/>
        <w:rPr>
          <w:bCs/>
          <w:kern w:val="2"/>
          <w:szCs w:val="21"/>
        </w:rPr>
      </w:pPr>
      <w:r>
        <w:rPr>
          <w:rFonts w:hint="eastAsia"/>
          <w:bCs/>
          <w:kern w:val="2"/>
          <w:szCs w:val="21"/>
        </w:rPr>
        <w:t>式中：</w:t>
      </w:r>
      <w:r>
        <w:rPr>
          <w:bCs/>
          <w:kern w:val="2"/>
          <w:szCs w:val="21"/>
        </w:rPr>
        <w:t xml:space="preserve"> </w:t>
      </w:r>
    </w:p>
    <w:p w14:paraId="7ABDAC36">
      <w:pPr>
        <w:widowControl w:val="0"/>
        <w:snapToGrid w:val="0"/>
        <w:spacing w:line="240" w:lineRule="auto"/>
        <w:ind w:firstLine="420" w:firstLineChars="200"/>
        <w:textAlignment w:val="auto"/>
        <w:rPr>
          <w:kern w:val="2"/>
          <w:szCs w:val="21"/>
        </w:rPr>
      </w:pPr>
      <w:r>
        <w:rPr>
          <w:i/>
          <w:kern w:val="2"/>
          <w:szCs w:val="21"/>
        </w:rPr>
        <w:t>P</w:t>
      </w:r>
      <w:r>
        <w:rPr>
          <w:i/>
          <w:kern w:val="2"/>
          <w:szCs w:val="21"/>
          <w:vertAlign w:val="subscript"/>
        </w:rPr>
        <w:t>rH</w:t>
      </w:r>
      <w:r>
        <w:rPr>
          <w:kern w:val="2"/>
          <w:szCs w:val="21"/>
        </w:rPr>
        <w:t>——</w:t>
      </w:r>
      <w:r>
        <w:rPr>
          <w:rFonts w:hint="eastAsia"/>
          <w:kern w:val="2"/>
          <w:szCs w:val="21"/>
        </w:rPr>
        <w:t>热辐射暴露下的死亡概率值；</w:t>
      </w:r>
    </w:p>
    <w:p w14:paraId="598487D4">
      <w:pPr>
        <w:widowControl w:val="0"/>
        <w:snapToGrid w:val="0"/>
        <w:spacing w:line="240" w:lineRule="auto"/>
        <w:ind w:firstLine="420" w:firstLineChars="200"/>
        <w:textAlignment w:val="auto"/>
        <w:rPr>
          <w:bCs/>
          <w:kern w:val="2"/>
          <w:szCs w:val="21"/>
        </w:rPr>
      </w:pPr>
      <w:r>
        <w:rPr>
          <w:bCs/>
          <w:i/>
          <w:kern w:val="2"/>
          <w:szCs w:val="21"/>
        </w:rPr>
        <w:t>Q</w:t>
      </w:r>
      <w:r>
        <w:rPr>
          <w:kern w:val="2"/>
          <w:szCs w:val="21"/>
        </w:rPr>
        <w:t>——</w:t>
      </w:r>
      <w:r>
        <w:rPr>
          <w:rFonts w:hint="eastAsia"/>
          <w:bCs/>
          <w:kern w:val="2"/>
          <w:szCs w:val="21"/>
        </w:rPr>
        <w:t>热辐射强度，单位为瓦特</w:t>
      </w:r>
      <w:r>
        <w:rPr>
          <w:bCs/>
          <w:kern w:val="2"/>
          <w:szCs w:val="21"/>
        </w:rPr>
        <w:t>每平方米（W/m</w:t>
      </w:r>
      <w:r>
        <w:rPr>
          <w:bCs/>
          <w:kern w:val="2"/>
          <w:szCs w:val="21"/>
          <w:vertAlign w:val="superscript"/>
        </w:rPr>
        <w:t>2</w:t>
      </w:r>
      <w:r>
        <w:rPr>
          <w:bCs/>
          <w:kern w:val="2"/>
          <w:szCs w:val="21"/>
        </w:rPr>
        <w:t>）</w:t>
      </w:r>
      <w:r>
        <w:rPr>
          <w:rFonts w:hint="eastAsia"/>
          <w:bCs/>
          <w:kern w:val="2"/>
          <w:szCs w:val="21"/>
        </w:rPr>
        <w:t>；</w:t>
      </w:r>
    </w:p>
    <w:p w14:paraId="4C5BC5BA">
      <w:pPr>
        <w:widowControl w:val="0"/>
        <w:snapToGrid w:val="0"/>
        <w:spacing w:line="240" w:lineRule="auto"/>
        <w:ind w:firstLine="420" w:firstLineChars="200"/>
        <w:textAlignment w:val="auto"/>
        <w:rPr>
          <w:kern w:val="2"/>
          <w:szCs w:val="21"/>
        </w:rPr>
      </w:pPr>
      <w:r>
        <w:rPr>
          <w:i/>
          <w:kern w:val="2"/>
          <w:szCs w:val="21"/>
        </w:rPr>
        <w:t>t</w:t>
      </w:r>
      <w:r>
        <w:rPr>
          <w:kern w:val="2"/>
          <w:szCs w:val="21"/>
        </w:rPr>
        <w:t>——</w:t>
      </w:r>
      <w:r>
        <w:rPr>
          <w:rFonts w:hint="eastAsia"/>
          <w:kern w:val="2"/>
          <w:szCs w:val="21"/>
        </w:rPr>
        <w:t>暴露时间，单位为秒</w:t>
      </w:r>
      <w:r>
        <w:rPr>
          <w:kern w:val="2"/>
          <w:szCs w:val="21"/>
        </w:rPr>
        <w:t>（s）</w:t>
      </w:r>
      <w:r>
        <w:rPr>
          <w:rFonts w:hint="eastAsia"/>
          <w:kern w:val="2"/>
          <w:szCs w:val="21"/>
        </w:rPr>
        <w:t>，最大值为</w:t>
      </w:r>
      <w:r>
        <w:rPr>
          <w:kern w:val="2"/>
          <w:szCs w:val="21"/>
        </w:rPr>
        <w:t>20 s</w:t>
      </w:r>
      <w:r>
        <w:rPr>
          <w:rFonts w:hint="eastAsia"/>
          <w:kern w:val="2"/>
          <w:szCs w:val="21"/>
        </w:rPr>
        <w:t>。</w:t>
      </w:r>
    </w:p>
    <w:p w14:paraId="77BD581E">
      <w:pPr>
        <w:widowControl w:val="0"/>
        <w:spacing w:line="240" w:lineRule="auto"/>
        <w:textAlignment w:val="auto"/>
        <w:rPr>
          <w:bCs/>
          <w:kern w:val="2"/>
          <w:szCs w:val="21"/>
        </w:rPr>
      </w:pPr>
      <w:r>
        <w:rPr>
          <w:rFonts w:hint="eastAsia" w:ascii="黑体" w:hAnsi="黑体" w:eastAsia="黑体"/>
          <w:kern w:val="2"/>
          <w:szCs w:val="21"/>
        </w:rPr>
        <w:t>B.5.5.2</w:t>
      </w:r>
      <w:r>
        <w:rPr>
          <w:rFonts w:ascii="黑体" w:hAnsi="黑体" w:eastAsia="黑体"/>
          <w:kern w:val="2"/>
          <w:szCs w:val="21"/>
        </w:rPr>
        <w:t>.</w:t>
      </w:r>
      <w:r>
        <w:rPr>
          <w:rFonts w:hint="eastAsia" w:ascii="黑体" w:hAnsi="黑体" w:eastAsia="黑体"/>
          <w:kern w:val="2"/>
          <w:szCs w:val="21"/>
        </w:rPr>
        <w:t>2</w:t>
      </w:r>
      <w:r>
        <w:rPr>
          <w:rFonts w:ascii="黑体" w:hAnsi="黑体" w:eastAsia="黑体"/>
          <w:kern w:val="2"/>
          <w:szCs w:val="21"/>
        </w:rPr>
        <w:t xml:space="preserve"> </w:t>
      </w:r>
      <w:r>
        <w:rPr>
          <w:rFonts w:hAnsi="宋体"/>
          <w:kern w:val="2"/>
          <w:szCs w:val="32"/>
        </w:rPr>
        <w:t xml:space="preserve"> </w:t>
      </w:r>
      <w:r>
        <w:rPr>
          <w:rFonts w:hint="eastAsia" w:hAnsi="宋体"/>
          <w:kern w:val="2"/>
          <w:szCs w:val="32"/>
        </w:rPr>
        <w:t>在计算热辐射暴露死亡概率时，处于火球、池火及喷射火火场中或热辐射强度</w:t>
      </w:r>
      <w:r>
        <w:rPr>
          <w:rFonts w:hint="eastAsia"/>
          <w:bCs/>
          <w:kern w:val="2"/>
          <w:szCs w:val="21"/>
        </w:rPr>
        <w:t>不小于</w:t>
      </w:r>
      <w:r>
        <w:rPr>
          <w:bCs/>
          <w:kern w:val="2"/>
          <w:szCs w:val="21"/>
        </w:rPr>
        <w:t xml:space="preserve">37.5 </w:t>
      </w:r>
      <w:r>
        <w:rPr>
          <w:kern w:val="2"/>
          <w:szCs w:val="21"/>
        </w:rPr>
        <w:t>kW/m</w:t>
      </w:r>
      <w:r>
        <w:rPr>
          <w:kern w:val="2"/>
          <w:szCs w:val="21"/>
          <w:vertAlign w:val="superscript"/>
        </w:rPr>
        <w:t>2</w:t>
      </w:r>
      <w:r>
        <w:rPr>
          <w:rFonts w:hint="eastAsia"/>
          <w:kern w:val="2"/>
          <w:szCs w:val="21"/>
        </w:rPr>
        <w:t>时</w:t>
      </w:r>
      <w:r>
        <w:rPr>
          <w:rFonts w:hint="eastAsia"/>
          <w:bCs/>
          <w:kern w:val="2"/>
          <w:szCs w:val="21"/>
        </w:rPr>
        <w:t>，人员的死亡概率为</w:t>
      </w:r>
      <w:r>
        <w:rPr>
          <w:bCs/>
          <w:kern w:val="2"/>
          <w:szCs w:val="21"/>
        </w:rPr>
        <w:t>100</w:t>
      </w:r>
      <w:r>
        <w:rPr>
          <w:rFonts w:hint="eastAsia"/>
          <w:bCs/>
          <w:kern w:val="2"/>
          <w:szCs w:val="21"/>
        </w:rPr>
        <w:t xml:space="preserve"> </w:t>
      </w:r>
      <w:r>
        <w:rPr>
          <w:bCs/>
          <w:kern w:val="2"/>
          <w:szCs w:val="21"/>
        </w:rPr>
        <w:t>%</w:t>
      </w:r>
      <w:r>
        <w:rPr>
          <w:rFonts w:hint="eastAsia"/>
          <w:bCs/>
          <w:kern w:val="2"/>
          <w:szCs w:val="21"/>
        </w:rPr>
        <w:t>；</w:t>
      </w:r>
    </w:p>
    <w:p w14:paraId="35EA7827">
      <w:pPr>
        <w:widowControl w:val="0"/>
        <w:spacing w:before="156" w:beforeLines="50" w:after="156" w:afterLines="50" w:line="240" w:lineRule="auto"/>
        <w:rPr>
          <w:rFonts w:ascii="黑体" w:eastAsia="黑体"/>
          <w:kern w:val="2"/>
          <w:szCs w:val="21"/>
        </w:rPr>
      </w:pPr>
      <w:bookmarkStart w:id="265" w:name="_Toc296956119"/>
      <w:bookmarkStart w:id="266" w:name="_Toc286132391"/>
      <w:bookmarkStart w:id="267" w:name="_Toc247531501"/>
      <w:bookmarkStart w:id="268" w:name="_Toc310952711"/>
      <w:bookmarkStart w:id="269" w:name="_Toc286131408"/>
      <w:bookmarkStart w:id="270" w:name="_Toc310769309"/>
      <w:r>
        <w:rPr>
          <w:rFonts w:hint="eastAsia" w:ascii="黑体" w:hAnsi="黑体" w:eastAsia="黑体"/>
          <w:kern w:val="2"/>
          <w:szCs w:val="21"/>
        </w:rPr>
        <w:t>B.5.5.3</w:t>
      </w:r>
      <w:r>
        <w:rPr>
          <w:rFonts w:ascii="黑体" w:eastAsia="黑体"/>
          <w:kern w:val="2"/>
          <w:szCs w:val="21"/>
        </w:rPr>
        <w:t xml:space="preserve">  </w:t>
      </w:r>
      <w:r>
        <w:rPr>
          <w:rFonts w:hint="eastAsia" w:ascii="黑体" w:eastAsia="黑体"/>
          <w:kern w:val="2"/>
          <w:szCs w:val="21"/>
        </w:rPr>
        <w:t>闪火和爆炸</w:t>
      </w:r>
      <w:bookmarkEnd w:id="265"/>
      <w:bookmarkEnd w:id="266"/>
      <w:bookmarkEnd w:id="267"/>
      <w:bookmarkEnd w:id="268"/>
      <w:bookmarkEnd w:id="269"/>
      <w:bookmarkEnd w:id="270"/>
    </w:p>
    <w:p w14:paraId="7F103061">
      <w:pPr>
        <w:widowControl w:val="0"/>
        <w:spacing w:line="240" w:lineRule="auto"/>
        <w:textAlignment w:val="auto"/>
        <w:rPr>
          <w:rFonts w:hint="eastAsia" w:hAnsi="宋体"/>
          <w:kern w:val="2"/>
          <w:szCs w:val="32"/>
        </w:rPr>
      </w:pPr>
      <w:r>
        <w:rPr>
          <w:rFonts w:hint="eastAsia" w:ascii="黑体" w:hAnsi="黑体" w:eastAsia="黑体"/>
          <w:kern w:val="2"/>
          <w:szCs w:val="21"/>
        </w:rPr>
        <w:t>B.5.5.3</w:t>
      </w:r>
      <w:r>
        <w:rPr>
          <w:rFonts w:ascii="黑体" w:hAnsi="黑体" w:eastAsia="黑体"/>
          <w:kern w:val="2"/>
          <w:szCs w:val="21"/>
        </w:rPr>
        <w:t>.1</w:t>
      </w:r>
      <w:r>
        <w:rPr>
          <w:rFonts w:hAnsi="宋体"/>
          <w:kern w:val="2"/>
          <w:szCs w:val="32"/>
        </w:rPr>
        <w:t xml:space="preserve">  </w:t>
      </w:r>
      <w:r>
        <w:rPr>
          <w:rFonts w:hint="eastAsia" w:hAnsi="宋体"/>
          <w:kern w:val="2"/>
          <w:szCs w:val="32"/>
        </w:rPr>
        <w:t>闪火的火焰区域等于点燃时可燃云团浓度超过燃烧下限的范围。闪火火焰区域内，人员的死亡概率为</w:t>
      </w:r>
      <w:r>
        <w:rPr>
          <w:rFonts w:hAnsi="宋体"/>
          <w:kern w:val="2"/>
          <w:szCs w:val="32"/>
        </w:rPr>
        <w:t>100</w:t>
      </w:r>
      <w:r>
        <w:rPr>
          <w:rFonts w:hint="eastAsia" w:hAnsi="宋体"/>
          <w:kern w:val="2"/>
          <w:szCs w:val="32"/>
        </w:rPr>
        <w:t xml:space="preserve"> </w:t>
      </w:r>
      <w:r>
        <w:rPr>
          <w:rFonts w:hAnsi="宋体"/>
          <w:kern w:val="2"/>
          <w:szCs w:val="32"/>
        </w:rPr>
        <w:t>%</w:t>
      </w:r>
      <w:r>
        <w:rPr>
          <w:rFonts w:hint="eastAsia" w:hAnsi="宋体"/>
          <w:kern w:val="2"/>
          <w:szCs w:val="32"/>
        </w:rPr>
        <w:t>；闪火火焰区域外，人员的死亡概率为</w:t>
      </w:r>
      <w:r>
        <w:rPr>
          <w:rFonts w:hAnsi="宋体"/>
          <w:kern w:val="2"/>
          <w:szCs w:val="32"/>
        </w:rPr>
        <w:t>0</w:t>
      </w:r>
      <w:r>
        <w:rPr>
          <w:rFonts w:hint="eastAsia" w:hAnsi="宋体"/>
          <w:kern w:val="2"/>
          <w:szCs w:val="32"/>
        </w:rPr>
        <w:t>。</w:t>
      </w:r>
    </w:p>
    <w:p w14:paraId="2B1CECA1">
      <w:pPr>
        <w:widowControl w:val="0"/>
        <w:spacing w:line="240" w:lineRule="auto"/>
        <w:textAlignment w:val="auto"/>
        <w:rPr>
          <w:bCs/>
          <w:kern w:val="2"/>
          <w:szCs w:val="21"/>
        </w:rPr>
      </w:pPr>
      <w:r>
        <w:rPr>
          <w:rFonts w:hint="eastAsia" w:ascii="黑体" w:hAnsi="黑体" w:eastAsia="黑体"/>
          <w:kern w:val="2"/>
          <w:szCs w:val="21"/>
        </w:rPr>
        <w:t>B.5.5.3</w:t>
      </w:r>
      <w:r>
        <w:rPr>
          <w:rFonts w:ascii="黑体" w:hAnsi="黑体" w:eastAsia="黑体"/>
          <w:kern w:val="2"/>
          <w:szCs w:val="21"/>
        </w:rPr>
        <w:t xml:space="preserve">.2  </w:t>
      </w:r>
      <w:r>
        <w:rPr>
          <w:rFonts w:hint="eastAsia" w:hAnsi="宋体"/>
          <w:kern w:val="2"/>
          <w:szCs w:val="32"/>
        </w:rPr>
        <w:t>对于蒸气云爆炸，在超过</w:t>
      </w:r>
      <w:r>
        <w:rPr>
          <w:rFonts w:hAnsi="宋体"/>
          <w:kern w:val="2"/>
          <w:szCs w:val="32"/>
        </w:rPr>
        <w:t>0.03 MPa</w:t>
      </w:r>
      <w:r>
        <w:rPr>
          <w:rFonts w:hint="eastAsia" w:hAnsi="宋体"/>
          <w:kern w:val="2"/>
          <w:szCs w:val="32"/>
        </w:rPr>
        <w:t>超压影响的区域内，人员的死亡概率为</w:t>
      </w:r>
      <w:r>
        <w:rPr>
          <w:rFonts w:hAnsi="宋体"/>
          <w:kern w:val="2"/>
          <w:szCs w:val="32"/>
        </w:rPr>
        <w:t>100</w:t>
      </w:r>
      <w:r>
        <w:rPr>
          <w:rFonts w:hint="eastAsia" w:hAnsi="宋体"/>
          <w:kern w:val="2"/>
          <w:szCs w:val="32"/>
        </w:rPr>
        <w:t xml:space="preserve"> </w:t>
      </w:r>
      <w:r>
        <w:rPr>
          <w:rFonts w:hAnsi="宋体"/>
          <w:kern w:val="2"/>
          <w:szCs w:val="32"/>
        </w:rPr>
        <w:t>%</w:t>
      </w:r>
      <w:r>
        <w:rPr>
          <w:rFonts w:hint="eastAsia" w:hAnsi="宋体"/>
          <w:kern w:val="2"/>
          <w:szCs w:val="32"/>
        </w:rPr>
        <w:t>；在</w:t>
      </w:r>
      <w:r>
        <w:rPr>
          <w:kern w:val="2"/>
          <w:szCs w:val="21"/>
        </w:rPr>
        <w:t>0.01 MPa</w:t>
      </w:r>
      <w:r>
        <w:rPr>
          <w:rFonts w:hint="eastAsia"/>
          <w:kern w:val="2"/>
          <w:szCs w:val="21"/>
        </w:rPr>
        <w:t>超压影响区域外，人员的</w:t>
      </w:r>
      <w:r>
        <w:rPr>
          <w:rFonts w:hint="eastAsia"/>
          <w:bCs/>
          <w:kern w:val="2"/>
          <w:szCs w:val="21"/>
        </w:rPr>
        <w:t>死亡概率为</w:t>
      </w:r>
      <w:r>
        <w:rPr>
          <w:bCs/>
          <w:kern w:val="2"/>
          <w:szCs w:val="21"/>
        </w:rPr>
        <w:t>0</w:t>
      </w:r>
      <w:r>
        <w:rPr>
          <w:rFonts w:hint="eastAsia"/>
          <w:bCs/>
          <w:kern w:val="2"/>
          <w:szCs w:val="21"/>
        </w:rPr>
        <w:t>。</w:t>
      </w:r>
    </w:p>
    <w:p w14:paraId="0FAEABD7">
      <w:pPr>
        <w:widowControl w:val="0"/>
        <w:spacing w:before="156" w:beforeLines="50" w:after="156" w:afterLines="50" w:line="240" w:lineRule="auto"/>
        <w:textAlignment w:val="auto"/>
        <w:outlineLvl w:val="1"/>
        <w:rPr>
          <w:rFonts w:ascii="黑体" w:eastAsia="黑体"/>
          <w:color w:val="auto"/>
        </w:rPr>
      </w:pPr>
      <w:bookmarkStart w:id="271" w:name="_Toc497830970"/>
      <w:r>
        <w:rPr>
          <w:rFonts w:hint="eastAsia" w:ascii="黑体" w:eastAsia="黑体"/>
          <w:color w:val="auto"/>
        </w:rPr>
        <w:t>B.6  定量风险计算</w:t>
      </w:r>
      <w:bookmarkEnd w:id="271"/>
    </w:p>
    <w:p w14:paraId="3B03184B">
      <w:pPr>
        <w:widowControl w:val="0"/>
        <w:spacing w:line="240" w:lineRule="auto"/>
        <w:textAlignment w:val="auto"/>
        <w:rPr>
          <w:rFonts w:hint="eastAsia" w:hAnsi="宋体"/>
          <w:kern w:val="2"/>
          <w:szCs w:val="32"/>
        </w:rPr>
      </w:pPr>
      <w:bookmarkStart w:id="272" w:name="_Toc233773227"/>
      <w:bookmarkStart w:id="273" w:name="_Toc234561204"/>
      <w:bookmarkStart w:id="274" w:name="_Toc233777771"/>
      <w:bookmarkStart w:id="275" w:name="_Toc234553285"/>
      <w:r>
        <w:rPr>
          <w:rFonts w:hint="eastAsia" w:ascii="黑体" w:hAnsi="黑体" w:eastAsia="黑体"/>
          <w:kern w:val="2"/>
          <w:szCs w:val="21"/>
        </w:rPr>
        <w:t>B</w:t>
      </w:r>
      <w:r>
        <w:rPr>
          <w:rFonts w:ascii="黑体" w:hAnsi="黑体" w:eastAsia="黑体"/>
          <w:kern w:val="2"/>
          <w:szCs w:val="21"/>
        </w:rPr>
        <w:t>.</w:t>
      </w:r>
      <w:r>
        <w:rPr>
          <w:rFonts w:hint="eastAsia" w:ascii="黑体" w:hAnsi="黑体" w:eastAsia="黑体"/>
          <w:kern w:val="2"/>
          <w:szCs w:val="21"/>
        </w:rPr>
        <w:t>6</w:t>
      </w:r>
      <w:r>
        <w:rPr>
          <w:rFonts w:ascii="黑体" w:hAnsi="黑体" w:eastAsia="黑体"/>
          <w:kern w:val="2"/>
          <w:szCs w:val="21"/>
        </w:rPr>
        <w:t>.1</w:t>
      </w:r>
      <w:r>
        <w:rPr>
          <w:rFonts w:hAnsi="宋体"/>
          <w:kern w:val="2"/>
          <w:szCs w:val="32"/>
        </w:rPr>
        <w:t xml:space="preserve">  </w:t>
      </w:r>
      <w:r>
        <w:rPr>
          <w:rFonts w:hint="eastAsia" w:hAnsi="宋体"/>
          <w:kern w:val="2"/>
          <w:szCs w:val="32"/>
        </w:rPr>
        <w:t>定量风险可用个人风险来度量。个人风险可用绘制在标准比例尺地理图上的个人风险等值线表示，个人风险等值线对应的死亡概率不宜小于</w:t>
      </w:r>
      <w:r>
        <w:rPr>
          <w:rFonts w:hAnsi="宋体"/>
          <w:kern w:val="2"/>
          <w:szCs w:val="32"/>
        </w:rPr>
        <w:t>10</w:t>
      </w:r>
      <w:r>
        <w:rPr>
          <w:rFonts w:hAnsi="宋体"/>
          <w:kern w:val="2"/>
          <w:szCs w:val="32"/>
          <w:vertAlign w:val="superscript"/>
        </w:rPr>
        <w:t>-8</w:t>
      </w:r>
      <w:r>
        <w:rPr>
          <w:rFonts w:hint="eastAsia" w:hAnsi="宋体"/>
          <w:kern w:val="2"/>
          <w:szCs w:val="32"/>
        </w:rPr>
        <w:t>次</w:t>
      </w:r>
      <w:r>
        <w:rPr>
          <w:rFonts w:hAnsi="宋体"/>
          <w:kern w:val="2"/>
          <w:szCs w:val="32"/>
        </w:rPr>
        <w:t>/</w:t>
      </w:r>
      <w:r>
        <w:rPr>
          <w:rFonts w:hint="eastAsia" w:hAnsi="宋体"/>
          <w:kern w:val="2"/>
          <w:szCs w:val="32"/>
        </w:rPr>
        <w:t>年。</w:t>
      </w:r>
      <w:bookmarkEnd w:id="272"/>
      <w:bookmarkEnd w:id="273"/>
      <w:bookmarkEnd w:id="274"/>
      <w:bookmarkEnd w:id="275"/>
    </w:p>
    <w:p w14:paraId="00C7D023">
      <w:pPr>
        <w:widowControl w:val="0"/>
        <w:spacing w:line="240" w:lineRule="auto"/>
        <w:textAlignment w:val="auto"/>
        <w:rPr>
          <w:rFonts w:hint="eastAsia" w:hAnsi="宋体"/>
          <w:kern w:val="2"/>
          <w:szCs w:val="32"/>
        </w:rPr>
      </w:pPr>
      <w:r>
        <w:rPr>
          <w:rFonts w:hint="eastAsia" w:ascii="黑体" w:hAnsi="黑体" w:eastAsia="黑体"/>
          <w:kern w:val="2"/>
          <w:szCs w:val="21"/>
        </w:rPr>
        <w:t>B</w:t>
      </w:r>
      <w:r>
        <w:rPr>
          <w:rFonts w:ascii="黑体" w:hAnsi="黑体" w:eastAsia="黑体"/>
          <w:kern w:val="2"/>
          <w:szCs w:val="21"/>
        </w:rPr>
        <w:t>.</w:t>
      </w:r>
      <w:r>
        <w:rPr>
          <w:rFonts w:hint="eastAsia" w:ascii="黑体" w:hAnsi="黑体" w:eastAsia="黑体"/>
          <w:kern w:val="2"/>
          <w:szCs w:val="21"/>
        </w:rPr>
        <w:t>6</w:t>
      </w:r>
      <w:r>
        <w:rPr>
          <w:rFonts w:ascii="黑体" w:hAnsi="黑体" w:eastAsia="黑体"/>
          <w:kern w:val="2"/>
          <w:szCs w:val="21"/>
        </w:rPr>
        <w:t xml:space="preserve">.2 </w:t>
      </w:r>
      <w:r>
        <w:rPr>
          <w:rFonts w:hAnsi="宋体"/>
          <w:kern w:val="2"/>
          <w:szCs w:val="32"/>
        </w:rPr>
        <w:t xml:space="preserve"> </w:t>
      </w:r>
      <w:r>
        <w:rPr>
          <w:rFonts w:hint="eastAsia" w:hAnsi="宋体"/>
          <w:kern w:val="2"/>
          <w:szCs w:val="32"/>
        </w:rPr>
        <w:t>在计算个人风险时，应对评价区域进行计算网格划分。网格单元的划分应考虑当地人口密度和事故影响范围，网格尺寸不应影响计算结果。在确定每个网格单元的人员数量时，可假设网格单元内部有相同的人口密度。将点火概率分配到每一个网格单元，如网格中有多个点火源，应将所有的点火源合并成处于网格单元中心的单个点火源。</w:t>
      </w:r>
    </w:p>
    <w:p w14:paraId="0C888EDB">
      <w:pPr>
        <w:widowControl w:val="0"/>
        <w:spacing w:line="240" w:lineRule="auto"/>
        <w:textAlignment w:val="auto"/>
        <w:rPr>
          <w:rFonts w:hint="eastAsia" w:hAnsi="宋体"/>
          <w:kern w:val="2"/>
          <w:szCs w:val="32"/>
        </w:rPr>
      </w:pPr>
      <w:r>
        <w:rPr>
          <w:rFonts w:hint="eastAsia" w:ascii="黑体" w:hAnsi="黑体" w:eastAsia="黑体"/>
          <w:kern w:val="2"/>
          <w:szCs w:val="21"/>
        </w:rPr>
        <w:t>B</w:t>
      </w:r>
      <w:r>
        <w:rPr>
          <w:rFonts w:ascii="黑体" w:hAnsi="黑体" w:eastAsia="黑体"/>
          <w:kern w:val="2"/>
          <w:szCs w:val="21"/>
        </w:rPr>
        <w:t>.</w:t>
      </w:r>
      <w:r>
        <w:rPr>
          <w:rFonts w:hint="eastAsia" w:ascii="黑体" w:hAnsi="黑体" w:eastAsia="黑体"/>
          <w:kern w:val="2"/>
          <w:szCs w:val="21"/>
        </w:rPr>
        <w:t>6</w:t>
      </w:r>
      <w:r>
        <w:rPr>
          <w:rFonts w:ascii="黑体" w:hAnsi="黑体" w:eastAsia="黑体"/>
          <w:kern w:val="2"/>
          <w:szCs w:val="21"/>
        </w:rPr>
        <w:t>.</w:t>
      </w:r>
      <w:r>
        <w:rPr>
          <w:rFonts w:hint="eastAsia" w:ascii="黑体" w:hAnsi="黑体" w:eastAsia="黑体"/>
          <w:kern w:val="2"/>
          <w:szCs w:val="21"/>
        </w:rPr>
        <w:t>3</w:t>
      </w:r>
      <w:r>
        <w:rPr>
          <w:rFonts w:ascii="黑体" w:hAnsi="黑体" w:eastAsia="黑体"/>
          <w:kern w:val="2"/>
          <w:szCs w:val="21"/>
        </w:rPr>
        <w:t xml:space="preserve">  </w:t>
      </w:r>
      <w:r>
        <w:rPr>
          <w:rFonts w:hint="eastAsia" w:hAnsi="宋体"/>
          <w:kern w:val="2"/>
          <w:szCs w:val="32"/>
        </w:rPr>
        <w:t>个人风险计算流程见图B.6，包括以下步骤：</w:t>
      </w:r>
    </w:p>
    <w:p w14:paraId="6DDD2D9E">
      <w:pPr>
        <w:widowControl w:val="0"/>
        <w:snapToGrid w:val="0"/>
        <w:spacing w:line="240" w:lineRule="auto"/>
        <w:ind w:firstLine="420" w:firstLineChars="200"/>
        <w:textAlignment w:val="auto"/>
        <w:rPr>
          <w:bCs/>
          <w:kern w:val="2"/>
          <w:szCs w:val="21"/>
        </w:rPr>
      </w:pPr>
      <w:r>
        <w:rPr>
          <w:bCs/>
          <w:kern w:val="2"/>
          <w:szCs w:val="21"/>
        </w:rPr>
        <w:t>a</w:t>
      </w:r>
      <w:r>
        <w:rPr>
          <w:rFonts w:hint="eastAsia"/>
          <w:bCs/>
          <w:kern w:val="2"/>
          <w:szCs w:val="21"/>
        </w:rPr>
        <w:t>）选择一个泄漏场景（</w:t>
      </w:r>
      <w:r>
        <w:rPr>
          <w:bCs/>
          <w:kern w:val="2"/>
          <w:szCs w:val="21"/>
        </w:rPr>
        <w:t xml:space="preserve">Loss of Containment, </w:t>
      </w:r>
      <w:r>
        <w:rPr>
          <w:bCs/>
          <w:i/>
          <w:kern w:val="2"/>
          <w:szCs w:val="21"/>
        </w:rPr>
        <w:t>LOC</w:t>
      </w:r>
      <w:r>
        <w:rPr>
          <w:rFonts w:hint="eastAsia"/>
          <w:bCs/>
          <w:kern w:val="2"/>
          <w:szCs w:val="21"/>
        </w:rPr>
        <w:t>），确定</w:t>
      </w:r>
      <w:r>
        <w:rPr>
          <w:bCs/>
          <w:i/>
          <w:kern w:val="2"/>
          <w:szCs w:val="21"/>
        </w:rPr>
        <w:t>LOC</w:t>
      </w:r>
      <w:r>
        <w:rPr>
          <w:rFonts w:hint="eastAsia"/>
          <w:bCs/>
          <w:kern w:val="2"/>
          <w:szCs w:val="21"/>
        </w:rPr>
        <w:t>的发生频率</w:t>
      </w:r>
      <w:r>
        <w:rPr>
          <w:bCs/>
          <w:i/>
          <w:kern w:val="2"/>
          <w:szCs w:val="21"/>
        </w:rPr>
        <w:t>f</w:t>
      </w:r>
      <w:r>
        <w:rPr>
          <w:bCs/>
          <w:i/>
          <w:kern w:val="2"/>
          <w:szCs w:val="21"/>
          <w:vertAlign w:val="subscript"/>
        </w:rPr>
        <w:t>s</w:t>
      </w:r>
      <w:r>
        <w:rPr>
          <w:rFonts w:hint="eastAsia"/>
          <w:bCs/>
          <w:kern w:val="2"/>
          <w:szCs w:val="21"/>
        </w:rPr>
        <w:t>；</w:t>
      </w:r>
    </w:p>
    <w:p w14:paraId="592BE55E">
      <w:pPr>
        <w:widowControl w:val="0"/>
        <w:snapToGrid w:val="0"/>
        <w:spacing w:line="240" w:lineRule="auto"/>
        <w:ind w:firstLine="420" w:firstLineChars="200"/>
        <w:textAlignment w:val="auto"/>
        <w:rPr>
          <w:bCs/>
          <w:kern w:val="2"/>
          <w:szCs w:val="21"/>
        </w:rPr>
      </w:pPr>
      <w:r>
        <w:rPr>
          <w:bCs/>
          <w:kern w:val="2"/>
          <w:szCs w:val="21"/>
        </w:rPr>
        <w:t>b</w:t>
      </w:r>
      <w:r>
        <w:rPr>
          <w:rFonts w:hint="eastAsia"/>
          <w:bCs/>
          <w:kern w:val="2"/>
          <w:szCs w:val="21"/>
        </w:rPr>
        <w:t>）</w:t>
      </w:r>
      <w:r>
        <w:rPr>
          <w:rFonts w:hint="eastAsia"/>
          <w:kern w:val="2"/>
          <w:szCs w:val="21"/>
        </w:rPr>
        <w:t>选择一种天气等级</w:t>
      </w:r>
      <w:r>
        <w:rPr>
          <w:i/>
          <w:kern w:val="2"/>
          <w:szCs w:val="21"/>
        </w:rPr>
        <w:t>M</w:t>
      </w:r>
      <w:r>
        <w:rPr>
          <w:rFonts w:hint="eastAsia"/>
          <w:kern w:val="2"/>
          <w:szCs w:val="21"/>
        </w:rPr>
        <w:t>和该天气等级下的一种风向</w:t>
      </w:r>
      <w:r>
        <w:rPr>
          <w:rFonts w:hint="eastAsia"/>
          <w:i/>
          <w:kern w:val="2"/>
          <w:szCs w:val="22"/>
        </w:rPr>
        <w:t>φ</w:t>
      </w:r>
      <w:r>
        <w:rPr>
          <w:rFonts w:hint="eastAsia"/>
          <w:kern w:val="2"/>
          <w:szCs w:val="21"/>
        </w:rPr>
        <w:t>，给出天气等级</w:t>
      </w:r>
      <w:r>
        <w:rPr>
          <w:i/>
          <w:kern w:val="2"/>
          <w:szCs w:val="21"/>
        </w:rPr>
        <w:t>M</w:t>
      </w:r>
      <w:r>
        <w:rPr>
          <w:rFonts w:hint="eastAsia"/>
          <w:kern w:val="2"/>
          <w:szCs w:val="21"/>
        </w:rPr>
        <w:t>和风向</w:t>
      </w:r>
      <w:r>
        <w:rPr>
          <w:rFonts w:hint="eastAsia"/>
          <w:i/>
          <w:kern w:val="2"/>
          <w:szCs w:val="22"/>
        </w:rPr>
        <w:t>φ</w:t>
      </w:r>
      <w:r>
        <w:rPr>
          <w:rFonts w:hint="eastAsia"/>
          <w:kern w:val="2"/>
          <w:szCs w:val="21"/>
        </w:rPr>
        <w:t>同时出现的联合概率</w:t>
      </w:r>
      <w:r>
        <w:rPr>
          <w:i/>
          <w:kern w:val="2"/>
          <w:szCs w:val="21"/>
        </w:rPr>
        <w:t>P</w:t>
      </w:r>
      <w:r>
        <w:rPr>
          <w:i/>
          <w:kern w:val="2"/>
          <w:szCs w:val="21"/>
          <w:vertAlign w:val="subscript"/>
        </w:rPr>
        <w:t>M</w:t>
      </w:r>
      <w:r>
        <w:rPr>
          <w:rFonts w:hint="eastAsia"/>
          <w:kern w:val="2"/>
          <w:szCs w:val="21"/>
        </w:rPr>
        <w:t>×</w:t>
      </w:r>
      <w:r>
        <w:rPr>
          <w:i/>
          <w:kern w:val="2"/>
          <w:szCs w:val="21"/>
        </w:rPr>
        <w:t>P</w:t>
      </w:r>
      <w:r>
        <w:rPr>
          <w:rFonts w:hint="eastAsia"/>
          <w:i/>
          <w:kern w:val="2"/>
          <w:szCs w:val="22"/>
          <w:vertAlign w:val="subscript"/>
        </w:rPr>
        <w:t>φ</w:t>
      </w:r>
      <w:r>
        <w:rPr>
          <w:rFonts w:hint="eastAsia"/>
          <w:kern w:val="2"/>
          <w:szCs w:val="21"/>
        </w:rPr>
        <w:t>；</w:t>
      </w:r>
    </w:p>
    <w:p w14:paraId="040B3D04">
      <w:pPr>
        <w:widowControl w:val="0"/>
        <w:snapToGrid w:val="0"/>
        <w:spacing w:line="240" w:lineRule="auto"/>
        <w:ind w:firstLine="420" w:firstLineChars="200"/>
        <w:textAlignment w:val="auto"/>
        <w:rPr>
          <w:bCs/>
          <w:kern w:val="2"/>
          <w:szCs w:val="21"/>
        </w:rPr>
      </w:pPr>
      <w:r>
        <w:rPr>
          <w:bCs/>
          <w:kern w:val="2"/>
          <w:szCs w:val="21"/>
        </w:rPr>
        <w:t>c</w:t>
      </w:r>
      <w:r>
        <w:rPr>
          <w:rFonts w:hint="eastAsia"/>
          <w:bCs/>
          <w:kern w:val="2"/>
          <w:szCs w:val="21"/>
        </w:rPr>
        <w:t>）</w:t>
      </w:r>
      <w:r>
        <w:rPr>
          <w:rFonts w:hint="eastAsia"/>
          <w:kern w:val="2"/>
          <w:szCs w:val="21"/>
        </w:rPr>
        <w:t>如果是可燃物释放，选择一个点火事件</w:t>
      </w:r>
      <w:r>
        <w:rPr>
          <w:i/>
          <w:kern w:val="2"/>
          <w:szCs w:val="21"/>
        </w:rPr>
        <w:t>i</w:t>
      </w:r>
      <w:r>
        <w:rPr>
          <w:rFonts w:hint="eastAsia"/>
          <w:kern w:val="2"/>
          <w:szCs w:val="21"/>
        </w:rPr>
        <w:t>并确定点火概率</w:t>
      </w:r>
      <w:r>
        <w:rPr>
          <w:i/>
          <w:kern w:val="2"/>
          <w:szCs w:val="21"/>
        </w:rPr>
        <w:t>P</w:t>
      </w:r>
      <w:r>
        <w:rPr>
          <w:i/>
          <w:kern w:val="2"/>
          <w:szCs w:val="21"/>
          <w:vertAlign w:val="subscript"/>
        </w:rPr>
        <w:t>i</w:t>
      </w:r>
      <w:r>
        <w:rPr>
          <w:rFonts w:hint="eastAsia"/>
          <w:bCs/>
          <w:kern w:val="2"/>
          <w:szCs w:val="21"/>
        </w:rPr>
        <w:t>。</w:t>
      </w:r>
    </w:p>
    <w:p w14:paraId="3E306B37">
      <w:pPr>
        <w:widowControl w:val="0"/>
        <w:snapToGrid w:val="0"/>
        <w:spacing w:line="240" w:lineRule="auto"/>
        <w:ind w:firstLine="420" w:firstLineChars="200"/>
        <w:textAlignment w:val="auto"/>
        <w:rPr>
          <w:bCs/>
          <w:kern w:val="2"/>
          <w:szCs w:val="21"/>
        </w:rPr>
      </w:pPr>
      <w:r>
        <w:rPr>
          <w:bCs/>
          <w:kern w:val="2"/>
          <w:szCs w:val="21"/>
        </w:rPr>
        <w:t>d</w:t>
      </w:r>
      <w:r>
        <w:rPr>
          <w:rFonts w:hint="eastAsia"/>
          <w:bCs/>
          <w:kern w:val="2"/>
          <w:szCs w:val="21"/>
        </w:rPr>
        <w:t>）计算在特定的</w:t>
      </w:r>
      <w:r>
        <w:rPr>
          <w:bCs/>
          <w:i/>
          <w:kern w:val="2"/>
          <w:szCs w:val="21"/>
        </w:rPr>
        <w:t>LOC</w:t>
      </w:r>
      <w:r>
        <w:rPr>
          <w:rFonts w:hint="eastAsia"/>
          <w:bCs/>
          <w:kern w:val="2"/>
          <w:szCs w:val="21"/>
        </w:rPr>
        <w:t>、天气等级</w:t>
      </w:r>
      <w:r>
        <w:rPr>
          <w:bCs/>
          <w:i/>
          <w:kern w:val="2"/>
          <w:szCs w:val="21"/>
        </w:rPr>
        <w:t>M</w:t>
      </w:r>
      <w:r>
        <w:rPr>
          <w:rFonts w:hint="eastAsia"/>
          <w:bCs/>
          <w:kern w:val="2"/>
          <w:szCs w:val="21"/>
        </w:rPr>
        <w:t>、风向</w:t>
      </w:r>
      <w:r>
        <w:rPr>
          <w:rFonts w:hint="eastAsia"/>
          <w:i/>
          <w:kern w:val="2"/>
          <w:szCs w:val="22"/>
        </w:rPr>
        <w:t>φ</w:t>
      </w:r>
      <w:r>
        <w:rPr>
          <w:rFonts w:hint="eastAsia"/>
          <w:bCs/>
          <w:kern w:val="2"/>
          <w:szCs w:val="21"/>
        </w:rPr>
        <w:t>及点火事件</w:t>
      </w:r>
      <w:r>
        <w:rPr>
          <w:bCs/>
          <w:i/>
          <w:kern w:val="2"/>
          <w:szCs w:val="21"/>
        </w:rPr>
        <w:t>i</w:t>
      </w:r>
      <w:r>
        <w:rPr>
          <w:rFonts w:hint="eastAsia"/>
          <w:bCs/>
          <w:kern w:val="2"/>
          <w:szCs w:val="21"/>
        </w:rPr>
        <w:t>（针对可燃物）条件下网格单元上的死亡概率</w:t>
      </w:r>
      <w:r>
        <w:rPr>
          <w:i/>
          <w:kern w:val="2"/>
          <w:szCs w:val="24"/>
        </w:rPr>
        <w:t>P</w:t>
      </w:r>
      <w:r>
        <w:rPr>
          <w:rFonts w:hint="eastAsia"/>
          <w:i/>
          <w:kern w:val="2"/>
          <w:szCs w:val="24"/>
          <w:vertAlign w:val="subscript"/>
        </w:rPr>
        <w:t>d</w:t>
      </w:r>
      <w:r>
        <w:rPr>
          <w:rFonts w:hint="eastAsia"/>
          <w:bCs/>
          <w:kern w:val="2"/>
          <w:szCs w:val="21"/>
        </w:rPr>
        <w:t>，计算中参考高度取</w:t>
      </w:r>
      <w:r>
        <w:rPr>
          <w:bCs/>
          <w:kern w:val="2"/>
          <w:szCs w:val="21"/>
        </w:rPr>
        <w:t>1 m</w:t>
      </w:r>
      <w:r>
        <w:rPr>
          <w:rFonts w:hint="eastAsia"/>
          <w:bCs/>
          <w:kern w:val="2"/>
          <w:szCs w:val="21"/>
        </w:rPr>
        <w:t>；</w:t>
      </w:r>
    </w:p>
    <w:p w14:paraId="628DEFA0">
      <w:pPr>
        <w:widowControl w:val="0"/>
        <w:snapToGrid w:val="0"/>
        <w:spacing w:line="240" w:lineRule="auto"/>
        <w:ind w:firstLine="420" w:firstLineChars="200"/>
        <w:textAlignment w:val="auto"/>
        <w:rPr>
          <w:bCs/>
          <w:kern w:val="2"/>
          <w:szCs w:val="21"/>
        </w:rPr>
      </w:pPr>
      <w:r>
        <w:rPr>
          <w:bCs/>
          <w:kern w:val="2"/>
          <w:szCs w:val="21"/>
        </w:rPr>
        <w:t>e</w:t>
      </w:r>
      <w:r>
        <w:rPr>
          <w:rFonts w:hint="eastAsia"/>
          <w:bCs/>
          <w:kern w:val="2"/>
          <w:szCs w:val="21"/>
        </w:rPr>
        <w:t>）</w:t>
      </w:r>
      <w:r>
        <w:rPr>
          <w:rFonts w:hint="eastAsia"/>
          <w:kern w:val="2"/>
          <w:szCs w:val="21"/>
        </w:rPr>
        <w:t>计算（</w:t>
      </w:r>
      <w:r>
        <w:rPr>
          <w:i/>
          <w:kern w:val="2"/>
          <w:szCs w:val="21"/>
        </w:rPr>
        <w:t>LOC</w:t>
      </w:r>
      <w:r>
        <w:rPr>
          <w:rFonts w:hint="eastAsia"/>
          <w:kern w:val="2"/>
          <w:szCs w:val="21"/>
        </w:rPr>
        <w:t>、</w:t>
      </w:r>
      <w:r>
        <w:rPr>
          <w:i/>
          <w:kern w:val="2"/>
          <w:szCs w:val="21"/>
        </w:rPr>
        <w:t>M</w:t>
      </w:r>
      <w:r>
        <w:rPr>
          <w:rFonts w:hint="eastAsia"/>
          <w:kern w:val="2"/>
          <w:szCs w:val="21"/>
        </w:rPr>
        <w:t>、</w:t>
      </w:r>
      <w:r>
        <w:rPr>
          <w:rFonts w:hint="eastAsia"/>
          <w:i/>
          <w:kern w:val="2"/>
          <w:szCs w:val="22"/>
        </w:rPr>
        <w:t>φ</w:t>
      </w:r>
      <w:r>
        <w:rPr>
          <w:rFonts w:hint="eastAsia"/>
          <w:kern w:val="2"/>
          <w:szCs w:val="21"/>
        </w:rPr>
        <w:t>、</w:t>
      </w:r>
      <w:r>
        <w:rPr>
          <w:i/>
          <w:kern w:val="2"/>
          <w:szCs w:val="21"/>
        </w:rPr>
        <w:t>i</w:t>
      </w:r>
      <w:r>
        <w:rPr>
          <w:rFonts w:hint="eastAsia"/>
          <w:kern w:val="2"/>
          <w:szCs w:val="21"/>
        </w:rPr>
        <w:t>）条件下对网格单元个体风险（</w:t>
      </w:r>
      <w:r>
        <w:rPr>
          <w:kern w:val="2"/>
          <w:szCs w:val="21"/>
        </w:rPr>
        <w:t>Individual Risk, IR</w:t>
      </w:r>
      <w:r>
        <w:rPr>
          <w:rFonts w:hint="eastAsia"/>
          <w:kern w:val="2"/>
          <w:szCs w:val="21"/>
        </w:rPr>
        <w:t>）的贡献，按式（</w:t>
      </w:r>
      <w:r>
        <w:rPr>
          <w:rFonts w:hint="eastAsia"/>
        </w:rPr>
        <w:t>B</w:t>
      </w:r>
      <w:r>
        <w:t>.</w:t>
      </w:r>
      <w:r>
        <w:rPr>
          <w:rFonts w:hint="eastAsia"/>
        </w:rPr>
        <w:t>41</w:t>
      </w:r>
      <w:r>
        <w:rPr>
          <w:rFonts w:hint="eastAsia"/>
          <w:kern w:val="2"/>
          <w:szCs w:val="21"/>
        </w:rPr>
        <w:t>）计算；</w:t>
      </w:r>
    </w:p>
    <w:p w14:paraId="7A2EB45F">
      <w:pPr>
        <w:pStyle w:val="163"/>
        <w:tabs>
          <w:tab w:val="right" w:leader="middleDot" w:pos="9450"/>
          <w:tab w:val="clear" w:pos="9660"/>
        </w:tabs>
      </w:pPr>
      <w:r>
        <w:tab/>
      </w:r>
      <w:r>
        <w:t>Δ</w:t>
      </w:r>
      <w:r>
        <w:rPr>
          <w:i/>
        </w:rPr>
        <w:t>IR</w:t>
      </w:r>
      <w:r>
        <w:rPr>
          <w:i/>
          <w:vertAlign w:val="subscript"/>
        </w:rPr>
        <w:t>S,M,</w:t>
      </w:r>
      <w:r>
        <w:rPr>
          <w:rFonts w:hint="eastAsia"/>
          <w:i/>
          <w:szCs w:val="22"/>
          <w:vertAlign w:val="subscript"/>
        </w:rPr>
        <w:t>φ</w:t>
      </w:r>
      <w:r>
        <w:rPr>
          <w:i/>
          <w:vertAlign w:val="subscript"/>
        </w:rPr>
        <w:t>,i</w:t>
      </w:r>
      <w:r>
        <w:t>=</w:t>
      </w:r>
      <w:r>
        <w:rPr>
          <w:i/>
        </w:rPr>
        <w:t>f</w:t>
      </w:r>
      <w:r>
        <w:rPr>
          <w:i/>
          <w:vertAlign w:val="subscript"/>
        </w:rPr>
        <w:t>S</w:t>
      </w:r>
      <w:r>
        <w:rPr>
          <w:i/>
        </w:rPr>
        <w:t>×P</w:t>
      </w:r>
      <w:r>
        <w:rPr>
          <w:i/>
          <w:vertAlign w:val="subscript"/>
        </w:rPr>
        <w:t>M</w:t>
      </w:r>
      <w:r>
        <w:rPr>
          <w:i/>
        </w:rPr>
        <w:t>×P</w:t>
      </w:r>
      <w:r>
        <w:rPr>
          <w:rFonts w:hint="eastAsia"/>
          <w:i/>
          <w:szCs w:val="22"/>
          <w:vertAlign w:val="subscript"/>
        </w:rPr>
        <w:t>φ</w:t>
      </w:r>
      <w:r>
        <w:rPr>
          <w:i/>
        </w:rPr>
        <w:t>×P</w:t>
      </w:r>
      <w:r>
        <w:rPr>
          <w:i/>
          <w:vertAlign w:val="subscript"/>
        </w:rPr>
        <w:t>i</w:t>
      </w:r>
      <w:r>
        <w:rPr>
          <w:i/>
        </w:rPr>
        <w:t>×P</w:t>
      </w:r>
      <w:r>
        <w:rPr>
          <w:rFonts w:hint="eastAsia"/>
          <w:i/>
          <w:vertAlign w:val="subscript"/>
        </w:rPr>
        <w:t>d</w:t>
      </w:r>
      <w:r>
        <w:tab/>
      </w:r>
      <w:r>
        <w:rPr>
          <w:rFonts w:hint="eastAsia"/>
        </w:rPr>
        <w:t>（</w:t>
      </w:r>
      <w:r>
        <w:rPr>
          <w:rFonts w:hint="eastAsia"/>
          <w:lang w:val="en-US"/>
        </w:rPr>
        <w:t>B</w:t>
      </w:r>
      <w:r>
        <w:t>.</w:t>
      </w:r>
      <w:r>
        <w:rPr>
          <w:rFonts w:hint="eastAsia"/>
          <w:lang w:val="en-US"/>
        </w:rPr>
        <w:t>42</w:t>
      </w:r>
      <w:r>
        <w:rPr>
          <w:rFonts w:hint="eastAsia"/>
        </w:rPr>
        <w:t>）</w:t>
      </w:r>
    </w:p>
    <w:p w14:paraId="6CCAAC40">
      <w:pPr>
        <w:widowControl w:val="0"/>
        <w:snapToGrid w:val="0"/>
        <w:spacing w:line="240" w:lineRule="auto"/>
        <w:ind w:firstLine="420" w:firstLineChars="200"/>
        <w:textAlignment w:val="auto"/>
        <w:rPr>
          <w:bCs/>
          <w:kern w:val="2"/>
          <w:szCs w:val="21"/>
        </w:rPr>
      </w:pPr>
      <w:r>
        <w:rPr>
          <w:bCs/>
          <w:kern w:val="2"/>
          <w:szCs w:val="21"/>
        </w:rPr>
        <w:t>f</w:t>
      </w:r>
      <w:r>
        <w:rPr>
          <w:rFonts w:hint="eastAsia"/>
          <w:bCs/>
          <w:kern w:val="2"/>
          <w:szCs w:val="21"/>
        </w:rPr>
        <w:t>）对所有的</w:t>
      </w:r>
      <w:r>
        <w:rPr>
          <w:bCs/>
          <w:i/>
          <w:kern w:val="2"/>
          <w:szCs w:val="21"/>
        </w:rPr>
        <w:t>LOC</w:t>
      </w:r>
      <w:r>
        <w:rPr>
          <w:rFonts w:hint="eastAsia"/>
          <w:bCs/>
          <w:kern w:val="2"/>
          <w:szCs w:val="21"/>
        </w:rPr>
        <w:t>（</w:t>
      </w:r>
      <w:r>
        <w:rPr>
          <w:bCs/>
          <w:i/>
          <w:kern w:val="2"/>
          <w:szCs w:val="21"/>
        </w:rPr>
        <w:t>f</w:t>
      </w:r>
      <w:r>
        <w:rPr>
          <w:bCs/>
          <w:i/>
          <w:kern w:val="2"/>
          <w:szCs w:val="21"/>
          <w:vertAlign w:val="subscript"/>
        </w:rPr>
        <w:t>S</w:t>
      </w:r>
      <w:r>
        <w:rPr>
          <w:rFonts w:hint="eastAsia"/>
          <w:bCs/>
          <w:kern w:val="2"/>
          <w:szCs w:val="21"/>
        </w:rPr>
        <w:t>）、</w:t>
      </w:r>
      <w:r>
        <w:rPr>
          <w:bCs/>
          <w:i/>
          <w:kern w:val="2"/>
          <w:szCs w:val="21"/>
        </w:rPr>
        <w:t>M</w:t>
      </w:r>
      <w:r>
        <w:rPr>
          <w:rFonts w:hint="eastAsia"/>
          <w:bCs/>
          <w:kern w:val="2"/>
          <w:szCs w:val="21"/>
        </w:rPr>
        <w:t>、</w:t>
      </w:r>
      <w:r>
        <w:rPr>
          <w:rFonts w:hint="eastAsia"/>
          <w:i/>
          <w:kern w:val="2"/>
          <w:szCs w:val="22"/>
        </w:rPr>
        <w:t>φ</w:t>
      </w:r>
      <w:r>
        <w:rPr>
          <w:rFonts w:hint="eastAsia"/>
          <w:bCs/>
          <w:kern w:val="2"/>
          <w:szCs w:val="21"/>
        </w:rPr>
        <w:t>及</w:t>
      </w:r>
      <w:r>
        <w:rPr>
          <w:bCs/>
          <w:i/>
          <w:kern w:val="2"/>
          <w:szCs w:val="21"/>
        </w:rPr>
        <w:t>i</w:t>
      </w:r>
      <w:r>
        <w:rPr>
          <w:rFonts w:hint="eastAsia"/>
          <w:bCs/>
          <w:kern w:val="2"/>
          <w:szCs w:val="21"/>
        </w:rPr>
        <w:t>，重复</w:t>
      </w:r>
      <w:r>
        <w:rPr>
          <w:bCs/>
          <w:kern w:val="2"/>
          <w:szCs w:val="21"/>
        </w:rPr>
        <w:t>a</w:t>
      </w:r>
      <w:r>
        <w:rPr>
          <w:rFonts w:hint="eastAsia"/>
          <w:bCs/>
          <w:kern w:val="2"/>
          <w:szCs w:val="21"/>
        </w:rPr>
        <w:t>）</w:t>
      </w:r>
      <w:r>
        <w:rPr>
          <w:rFonts w:hAnsi="宋体"/>
          <w:kern w:val="2"/>
          <w:szCs w:val="32"/>
        </w:rPr>
        <w:t>～</w:t>
      </w:r>
      <w:r>
        <w:rPr>
          <w:bCs/>
          <w:kern w:val="2"/>
          <w:szCs w:val="21"/>
        </w:rPr>
        <w:t>e</w:t>
      </w:r>
      <w:r>
        <w:rPr>
          <w:rFonts w:hint="eastAsia"/>
          <w:bCs/>
          <w:kern w:val="2"/>
          <w:szCs w:val="21"/>
        </w:rPr>
        <w:t>）步的计算；则网格单元处的个人风险按式（</w:t>
      </w:r>
      <w:r>
        <w:rPr>
          <w:rFonts w:hint="eastAsia"/>
        </w:rPr>
        <w:t>B</w:t>
      </w:r>
      <w:r>
        <w:t>.</w:t>
      </w:r>
      <w:r>
        <w:rPr>
          <w:rFonts w:hint="eastAsia"/>
        </w:rPr>
        <w:t>43</w:t>
      </w:r>
      <w:r>
        <w:rPr>
          <w:rFonts w:hint="eastAsia"/>
          <w:bCs/>
          <w:kern w:val="2"/>
          <w:szCs w:val="21"/>
        </w:rPr>
        <w:t>）计算。</w:t>
      </w:r>
    </w:p>
    <w:p w14:paraId="363F0A50">
      <w:pPr>
        <w:pStyle w:val="163"/>
        <w:tabs>
          <w:tab w:val="right" w:leader="middleDot" w:pos="9450"/>
          <w:tab w:val="clear" w:pos="9660"/>
        </w:tabs>
      </w:pPr>
      <w:r>
        <w:tab/>
      </w:r>
      <w:r>
        <w:object>
          <v:shape id="_x0000_i1105" o:spt="75" type="#_x0000_t75" style="height:29.25pt;width:143.25pt;" o:ole="t" filled="f" o:preferrelative="t" stroked="f" coordsize="21600,21600">
            <v:path/>
            <v:fill on="f" focussize="0,0"/>
            <v:stroke on="f" joinstyle="miter"/>
            <v:imagedata r:id="rId175" o:title=""/>
            <o:lock v:ext="edit" aspectratio="f"/>
            <w10:wrap type="none"/>
            <w10:anchorlock/>
          </v:shape>
          <o:OLEObject Type="Embed" ProgID="Equation.3" ShapeID="_x0000_i1105" DrawAspect="Content" ObjectID="_1468075807" r:id="rId174">
            <o:LockedField>false</o:LockedField>
          </o:OLEObject>
        </w:object>
      </w:r>
      <w:r>
        <w:tab/>
      </w:r>
      <w:r>
        <w:rPr>
          <w:rFonts w:hint="eastAsia"/>
        </w:rPr>
        <w:t>（</w:t>
      </w:r>
      <w:r>
        <w:rPr>
          <w:rFonts w:hint="eastAsia"/>
          <w:lang w:val="en-US"/>
        </w:rPr>
        <w:t>B</w:t>
      </w:r>
      <w:r>
        <w:t>.</w:t>
      </w:r>
      <w:r>
        <w:rPr>
          <w:rFonts w:hint="eastAsia"/>
          <w:lang w:val="en-US"/>
        </w:rPr>
        <w:t>44</w:t>
      </w:r>
      <w:r>
        <w:rPr>
          <w:rFonts w:hint="eastAsia"/>
        </w:rPr>
        <w:t>）</w:t>
      </w:r>
    </w:p>
    <w:p w14:paraId="2B7B6AAB">
      <w:pPr>
        <w:keepNext/>
        <w:widowControl w:val="0"/>
        <w:snapToGrid w:val="0"/>
        <w:spacing w:line="240" w:lineRule="auto"/>
        <w:jc w:val="center"/>
        <w:textAlignment w:val="auto"/>
        <w:rPr>
          <w:kern w:val="2"/>
          <w:szCs w:val="24"/>
        </w:rPr>
      </w:pPr>
      <w:r>
        <w:rPr>
          <w:kern w:val="2"/>
          <w:szCs w:val="24"/>
        </w:rPr>
        <mc:AlternateContent>
          <mc:Choice Requires="wpg">
            <w:drawing>
              <wp:inline distT="0" distB="0" distL="0" distR="0">
                <wp:extent cx="3335020" cy="6486525"/>
                <wp:effectExtent l="4445" t="5080" r="13335" b="4445"/>
                <wp:docPr id="7" name="Group 671"/>
                <wp:cNvGraphicFramePr/>
                <a:graphic xmlns:a="http://schemas.openxmlformats.org/drawingml/2006/main">
                  <a:graphicData uri="http://schemas.microsoft.com/office/word/2010/wordprocessingGroup">
                    <wpg:wgp>
                      <wpg:cNvGrpSpPr/>
                      <wpg:grpSpPr>
                        <a:xfrm>
                          <a:off x="0" y="0"/>
                          <a:ext cx="3335020" cy="6486525"/>
                          <a:chOff x="0" y="0"/>
                          <a:chExt cx="5580" cy="10215"/>
                        </a:xfrm>
                      </wpg:grpSpPr>
                      <wpg:grpSp>
                        <wpg:cNvPr id="8" name="Group 672"/>
                        <wpg:cNvGrpSpPr/>
                        <wpg:grpSpPr>
                          <a:xfrm>
                            <a:off x="0" y="0"/>
                            <a:ext cx="5580" cy="10215"/>
                            <a:chOff x="0" y="0"/>
                            <a:chExt cx="5580" cy="10215"/>
                          </a:xfrm>
                        </wpg:grpSpPr>
                        <wps:wsp>
                          <wps:cNvPr id="137" name="Text Box 673"/>
                          <wps:cNvSpPr txBox="1">
                            <a:spLocks noChangeArrowheads="1"/>
                          </wps:cNvSpPr>
                          <wps:spPr bwMode="auto">
                            <a:xfrm>
                              <a:off x="360" y="0"/>
                              <a:ext cx="3240" cy="468"/>
                            </a:xfrm>
                            <a:prstGeom prst="rect">
                              <a:avLst/>
                            </a:prstGeom>
                            <a:solidFill>
                              <a:srgbClr val="FFFFFF"/>
                            </a:solidFill>
                            <a:ln w="9525">
                              <a:solidFill>
                                <a:srgbClr val="000000"/>
                              </a:solidFill>
                              <a:miter lim="800000"/>
                            </a:ln>
                          </wps:spPr>
                          <wps:txbx>
                            <w:txbxContent>
                              <w:p w14:paraId="60D412C0">
                                <w:pPr>
                                  <w:widowControl w:val="0"/>
                                  <w:spacing w:line="240" w:lineRule="auto"/>
                                  <w:jc w:val="center"/>
                                  <w:textAlignment w:val="auto"/>
                                  <w:rPr>
                                    <w:kern w:val="2"/>
                                    <w:sz w:val="15"/>
                                    <w:szCs w:val="15"/>
                                  </w:rPr>
                                </w:pPr>
                                <w:r>
                                  <w:rPr>
                                    <w:rFonts w:hint="eastAsia"/>
                                    <w:kern w:val="2"/>
                                    <w:sz w:val="15"/>
                                    <w:szCs w:val="15"/>
                                  </w:rPr>
                                  <w:t>选择一种</w:t>
                                </w:r>
                                <w:r>
                                  <w:rPr>
                                    <w:i/>
                                    <w:kern w:val="2"/>
                                    <w:sz w:val="15"/>
                                    <w:szCs w:val="15"/>
                                  </w:rPr>
                                  <w:t>LOC</w:t>
                                </w:r>
                                <w:r>
                                  <w:rPr>
                                    <w:rFonts w:hint="eastAsia"/>
                                    <w:kern w:val="2"/>
                                    <w:sz w:val="15"/>
                                    <w:szCs w:val="15"/>
                                  </w:rPr>
                                  <w:t>（</w:t>
                                </w:r>
                                <w:r>
                                  <w:rPr>
                                    <w:i/>
                                    <w:iCs/>
                                    <w:kern w:val="2"/>
                                    <w:sz w:val="15"/>
                                    <w:szCs w:val="15"/>
                                  </w:rPr>
                                  <w:t>f</w:t>
                                </w:r>
                                <w:r>
                                  <w:rPr>
                                    <w:kern w:val="2"/>
                                    <w:sz w:val="15"/>
                                    <w:szCs w:val="15"/>
                                    <w:vertAlign w:val="subscript"/>
                                  </w:rPr>
                                  <w:t>s</w:t>
                                </w:r>
                                <w:r>
                                  <w:rPr>
                                    <w:rFonts w:hint="eastAsia"/>
                                    <w:kern w:val="2"/>
                                    <w:sz w:val="15"/>
                                    <w:szCs w:val="15"/>
                                  </w:rPr>
                                  <w:t>）</w:t>
                                </w:r>
                              </w:p>
                            </w:txbxContent>
                          </wps:txbx>
                          <wps:bodyPr rot="0" vert="horz" wrap="square" lIns="91440" tIns="45720" rIns="91440" bIns="45720" anchor="ctr" anchorCtr="0" upright="1">
                            <a:noAutofit/>
                          </wps:bodyPr>
                        </wps:wsp>
                        <wps:wsp>
                          <wps:cNvPr id="138" name="Text Box 674"/>
                          <wps:cNvSpPr txBox="1">
                            <a:spLocks noChangeArrowheads="1"/>
                          </wps:cNvSpPr>
                          <wps:spPr bwMode="auto">
                            <a:xfrm>
                              <a:off x="180" y="780"/>
                              <a:ext cx="3600" cy="780"/>
                            </a:xfrm>
                            <a:prstGeom prst="rect">
                              <a:avLst/>
                            </a:prstGeom>
                            <a:solidFill>
                              <a:srgbClr val="FFFFFF"/>
                            </a:solidFill>
                            <a:ln w="9525">
                              <a:solidFill>
                                <a:srgbClr val="000000"/>
                              </a:solidFill>
                              <a:miter lim="800000"/>
                            </a:ln>
                          </wps:spPr>
                          <wps:txbx>
                            <w:txbxContent>
                              <w:p w14:paraId="2DCAAA78">
                                <w:pPr>
                                  <w:widowControl w:val="0"/>
                                  <w:spacing w:line="240" w:lineRule="auto"/>
                                  <w:jc w:val="center"/>
                                  <w:textAlignment w:val="auto"/>
                                  <w:rPr>
                                    <w:kern w:val="2"/>
                                    <w:sz w:val="15"/>
                                    <w:szCs w:val="15"/>
                                  </w:rPr>
                                </w:pPr>
                                <w:r>
                                  <w:rPr>
                                    <w:rFonts w:hint="eastAsia"/>
                                    <w:kern w:val="2"/>
                                    <w:sz w:val="15"/>
                                    <w:szCs w:val="15"/>
                                  </w:rPr>
                                  <w:t>选择一种天气等级</w:t>
                                </w:r>
                                <w:r>
                                  <w:rPr>
                                    <w:kern w:val="2"/>
                                    <w:sz w:val="15"/>
                                    <w:szCs w:val="15"/>
                                  </w:rPr>
                                  <w:t>M</w:t>
                                </w:r>
                                <w:r>
                                  <w:rPr>
                                    <w:rFonts w:hint="eastAsia"/>
                                    <w:kern w:val="2"/>
                                    <w:sz w:val="15"/>
                                    <w:szCs w:val="15"/>
                                  </w:rPr>
                                  <w:t>（</w:t>
                                </w:r>
                                <w:r>
                                  <w:rPr>
                                    <w:i/>
                                    <w:iCs/>
                                    <w:kern w:val="2"/>
                                    <w:sz w:val="15"/>
                                    <w:szCs w:val="15"/>
                                  </w:rPr>
                                  <w:t>P</w:t>
                                </w:r>
                                <w:r>
                                  <w:rPr>
                                    <w:kern w:val="2"/>
                                    <w:sz w:val="15"/>
                                    <w:szCs w:val="15"/>
                                    <w:vertAlign w:val="subscript"/>
                                  </w:rPr>
                                  <w:t>M</w:t>
                                </w:r>
                                <w:r>
                                  <w:rPr>
                                    <w:rFonts w:hint="eastAsia"/>
                                    <w:kern w:val="2"/>
                                    <w:sz w:val="15"/>
                                    <w:szCs w:val="15"/>
                                  </w:rPr>
                                  <w:t>）和该等级下的一种风向</w:t>
                                </w:r>
                                <w:r>
                                  <w:rPr>
                                    <w:rFonts w:hint="eastAsia"/>
                                    <w:i/>
                                    <w:kern w:val="2"/>
                                    <w:sz w:val="15"/>
                                    <w:szCs w:val="22"/>
                                  </w:rPr>
                                  <w:t>φ</w:t>
                                </w:r>
                                <w:r>
                                  <w:rPr>
                                    <w:rFonts w:hint="eastAsia"/>
                                    <w:kern w:val="2"/>
                                    <w:sz w:val="15"/>
                                    <w:szCs w:val="15"/>
                                  </w:rPr>
                                  <w:t>（</w:t>
                                </w:r>
                                <w:r>
                                  <w:rPr>
                                    <w:i/>
                                    <w:iCs/>
                                    <w:kern w:val="2"/>
                                    <w:sz w:val="15"/>
                                    <w:szCs w:val="15"/>
                                  </w:rPr>
                                  <w:t>P</w:t>
                                </w:r>
                                <w:r>
                                  <w:rPr>
                                    <w:rFonts w:hint="eastAsia"/>
                                    <w:i/>
                                    <w:kern w:val="2"/>
                                    <w:sz w:val="15"/>
                                    <w:szCs w:val="22"/>
                                    <w:vertAlign w:val="subscript"/>
                                  </w:rPr>
                                  <w:t>φ</w:t>
                                </w:r>
                                <w:r>
                                  <w:rPr>
                                    <w:rFonts w:hint="eastAsia" w:ascii="宋体" w:hAnsi="宋体"/>
                                    <w:kern w:val="2"/>
                                    <w:sz w:val="15"/>
                                    <w:szCs w:val="15"/>
                                  </w:rPr>
                                  <w:t>）：</w:t>
                                </w:r>
                                <w:r>
                                  <w:rPr>
                                    <w:i/>
                                    <w:iCs/>
                                    <w:kern w:val="2"/>
                                    <w:sz w:val="15"/>
                                    <w:szCs w:val="15"/>
                                  </w:rPr>
                                  <w:t>P</w:t>
                                </w:r>
                                <w:r>
                                  <w:rPr>
                                    <w:kern w:val="2"/>
                                    <w:sz w:val="15"/>
                                    <w:szCs w:val="15"/>
                                    <w:vertAlign w:val="subscript"/>
                                  </w:rPr>
                                  <w:t>M</w:t>
                                </w:r>
                                <w:r>
                                  <w:rPr>
                                    <w:rFonts w:ascii="Calibri" w:hAnsi="Calibri"/>
                                    <w:kern w:val="2"/>
                                    <w:szCs w:val="22"/>
                                  </w:rPr>
                                  <w:t>×</w:t>
                                </w:r>
                                <w:r>
                                  <w:rPr>
                                    <w:i/>
                                    <w:iCs/>
                                    <w:kern w:val="2"/>
                                    <w:sz w:val="15"/>
                                    <w:szCs w:val="15"/>
                                  </w:rPr>
                                  <w:t>P</w:t>
                                </w:r>
                                <w:r>
                                  <w:rPr>
                                    <w:rFonts w:hint="eastAsia"/>
                                    <w:i/>
                                    <w:kern w:val="2"/>
                                    <w:sz w:val="15"/>
                                    <w:szCs w:val="22"/>
                                    <w:vertAlign w:val="subscript"/>
                                  </w:rPr>
                                  <w:t>φ</w:t>
                                </w:r>
                              </w:p>
                            </w:txbxContent>
                          </wps:txbx>
                          <wps:bodyPr rot="0" vert="horz" wrap="square" lIns="91440" tIns="45720" rIns="91440" bIns="45720" anchor="ctr" anchorCtr="0" upright="1">
                            <a:noAutofit/>
                          </wps:bodyPr>
                        </wps:wsp>
                        <wps:wsp>
                          <wps:cNvPr id="139" name="Text Box 675"/>
                          <wps:cNvSpPr txBox="1">
                            <a:spLocks noChangeArrowheads="1"/>
                          </wps:cNvSpPr>
                          <wps:spPr bwMode="auto">
                            <a:xfrm>
                              <a:off x="540" y="1872"/>
                              <a:ext cx="3060" cy="468"/>
                            </a:xfrm>
                            <a:prstGeom prst="rect">
                              <a:avLst/>
                            </a:prstGeom>
                            <a:solidFill>
                              <a:srgbClr val="FFFFFF"/>
                            </a:solidFill>
                            <a:ln w="9525">
                              <a:solidFill>
                                <a:srgbClr val="000000"/>
                              </a:solidFill>
                              <a:miter lim="800000"/>
                            </a:ln>
                          </wps:spPr>
                          <wps:txbx>
                            <w:txbxContent>
                              <w:p w14:paraId="6D9CA807">
                                <w:pPr>
                                  <w:widowControl w:val="0"/>
                                  <w:spacing w:line="240" w:lineRule="auto"/>
                                  <w:jc w:val="center"/>
                                  <w:textAlignment w:val="auto"/>
                                  <w:rPr>
                                    <w:kern w:val="2"/>
                                    <w:sz w:val="15"/>
                                    <w:szCs w:val="15"/>
                                  </w:rPr>
                                </w:pPr>
                                <w:r>
                                  <w:rPr>
                                    <w:rFonts w:hint="eastAsia"/>
                                    <w:kern w:val="2"/>
                                    <w:sz w:val="15"/>
                                    <w:szCs w:val="15"/>
                                  </w:rPr>
                                  <w:t>选择一种点火事件</w:t>
                                </w:r>
                                <w:r>
                                  <w:rPr>
                                    <w:i/>
                                    <w:kern w:val="2"/>
                                    <w:sz w:val="15"/>
                                    <w:szCs w:val="15"/>
                                  </w:rPr>
                                  <w:t>i</w:t>
                                </w:r>
                                <w:r>
                                  <w:rPr>
                                    <w:rFonts w:hint="eastAsia"/>
                                    <w:kern w:val="2"/>
                                    <w:sz w:val="15"/>
                                    <w:szCs w:val="15"/>
                                  </w:rPr>
                                  <w:t>（</w:t>
                                </w:r>
                                <w:r>
                                  <w:rPr>
                                    <w:i/>
                                    <w:kern w:val="2"/>
                                    <w:sz w:val="15"/>
                                    <w:szCs w:val="15"/>
                                  </w:rPr>
                                  <w:t>P</w:t>
                                </w:r>
                                <w:r>
                                  <w:rPr>
                                    <w:i/>
                                    <w:kern w:val="2"/>
                                    <w:sz w:val="15"/>
                                    <w:szCs w:val="15"/>
                                    <w:vertAlign w:val="subscript"/>
                                  </w:rPr>
                                  <w:t>i</w:t>
                                </w:r>
                                <w:r>
                                  <w:rPr>
                                    <w:rFonts w:hint="eastAsia"/>
                                    <w:kern w:val="2"/>
                                    <w:sz w:val="15"/>
                                    <w:szCs w:val="15"/>
                                  </w:rPr>
                                  <w:t>）（可燃</w:t>
                                </w:r>
                                <w:r>
                                  <w:rPr>
                                    <w:kern w:val="2"/>
                                    <w:sz w:val="15"/>
                                    <w:szCs w:val="15"/>
                                  </w:rPr>
                                  <w:t>)</w:t>
                                </w:r>
                              </w:p>
                            </w:txbxContent>
                          </wps:txbx>
                          <wps:bodyPr rot="0" vert="horz" wrap="square" lIns="91440" tIns="45720" rIns="91440" bIns="45720" anchor="ctr" anchorCtr="0" upright="1">
                            <a:noAutofit/>
                          </wps:bodyPr>
                        </wps:wsp>
                        <wps:wsp>
                          <wps:cNvPr id="140" name="Text Box 676"/>
                          <wps:cNvSpPr txBox="1">
                            <a:spLocks noChangeArrowheads="1"/>
                          </wps:cNvSpPr>
                          <wps:spPr bwMode="auto">
                            <a:xfrm>
                              <a:off x="540" y="2652"/>
                              <a:ext cx="3240" cy="780"/>
                            </a:xfrm>
                            <a:prstGeom prst="rect">
                              <a:avLst/>
                            </a:prstGeom>
                            <a:solidFill>
                              <a:srgbClr val="FFFFFF"/>
                            </a:solidFill>
                            <a:ln w="9525">
                              <a:solidFill>
                                <a:srgbClr val="000000"/>
                              </a:solidFill>
                              <a:miter lim="800000"/>
                            </a:ln>
                          </wps:spPr>
                          <wps:txbx>
                            <w:txbxContent>
                              <w:p w14:paraId="1167BF5A">
                                <w:pPr>
                                  <w:widowControl w:val="0"/>
                                  <w:spacing w:line="240" w:lineRule="auto"/>
                                  <w:jc w:val="center"/>
                                  <w:textAlignment w:val="auto"/>
                                  <w:rPr>
                                    <w:kern w:val="2"/>
                                    <w:sz w:val="15"/>
                                    <w:szCs w:val="15"/>
                                  </w:rPr>
                                </w:pPr>
                                <w:r>
                                  <w:rPr>
                                    <w:rFonts w:hint="eastAsia"/>
                                    <w:kern w:val="2"/>
                                    <w:sz w:val="15"/>
                                    <w:szCs w:val="15"/>
                                  </w:rPr>
                                  <w:t>计算网格点的死亡概率</w:t>
                                </w:r>
                                <w:r>
                                  <w:rPr>
                                    <w:i/>
                                    <w:kern w:val="2"/>
                                    <w:sz w:val="15"/>
                                    <w:szCs w:val="15"/>
                                  </w:rPr>
                                  <w:t>P</w:t>
                                </w:r>
                                <w:r>
                                  <w:rPr>
                                    <w:rFonts w:hint="eastAsia"/>
                                    <w:i/>
                                    <w:kern w:val="2"/>
                                    <w:sz w:val="15"/>
                                    <w:szCs w:val="15"/>
                                    <w:vertAlign w:val="subscript"/>
                                  </w:rPr>
                                  <w:t>I</w:t>
                                </w:r>
                                <w:r>
                                  <w:rPr>
                                    <w:i/>
                                    <w:kern w:val="2"/>
                                    <w:sz w:val="15"/>
                                    <w:szCs w:val="15"/>
                                    <w:vertAlign w:val="subscript"/>
                                  </w:rPr>
                                  <w:t>R</w:t>
                                </w:r>
                                <w:r>
                                  <w:rPr>
                                    <w:kern w:val="2"/>
                                    <w:szCs w:val="24"/>
                                  </w:rPr>
                                  <w:t xml:space="preserve"> </w:t>
                                </w:r>
                              </w:p>
                              <w:p w14:paraId="54249797">
                                <w:pPr>
                                  <w:widowControl w:val="0"/>
                                  <w:spacing w:line="240" w:lineRule="auto"/>
                                  <w:jc w:val="center"/>
                                  <w:textAlignment w:val="auto"/>
                                  <w:rPr>
                                    <w:kern w:val="2"/>
                                    <w:sz w:val="15"/>
                                    <w:szCs w:val="15"/>
                                  </w:rPr>
                                </w:pPr>
                                <w:r>
                                  <w:rPr>
                                    <w:rFonts w:hint="eastAsia"/>
                                    <w:kern w:val="2"/>
                                    <w:sz w:val="15"/>
                                    <w:szCs w:val="15"/>
                                  </w:rPr>
                                  <w:t>（</w:t>
                                </w:r>
                                <w:r>
                                  <w:rPr>
                                    <w:i/>
                                    <w:kern w:val="2"/>
                                    <w:sz w:val="15"/>
                                    <w:szCs w:val="15"/>
                                  </w:rPr>
                                  <w:t>LOC</w:t>
                                </w:r>
                                <w:r>
                                  <w:rPr>
                                    <w:rFonts w:hint="eastAsia"/>
                                    <w:kern w:val="2"/>
                                    <w:sz w:val="15"/>
                                    <w:szCs w:val="15"/>
                                  </w:rPr>
                                  <w:t>、</w:t>
                                </w:r>
                                <w:r>
                                  <w:rPr>
                                    <w:i/>
                                    <w:kern w:val="2"/>
                                    <w:sz w:val="15"/>
                                    <w:szCs w:val="15"/>
                                  </w:rPr>
                                  <w:t>M</w:t>
                                </w:r>
                                <w:r>
                                  <w:rPr>
                                    <w:rFonts w:hint="eastAsia"/>
                                    <w:kern w:val="2"/>
                                    <w:sz w:val="15"/>
                                    <w:szCs w:val="15"/>
                                  </w:rPr>
                                  <w:t>、</w:t>
                                </w:r>
                                <w:r>
                                  <w:rPr>
                                    <w:rFonts w:hint="eastAsia"/>
                                    <w:i/>
                                    <w:kern w:val="2"/>
                                    <w:sz w:val="15"/>
                                    <w:szCs w:val="22"/>
                                  </w:rPr>
                                  <w:t>φ</w:t>
                                </w:r>
                                <w:r>
                                  <w:rPr>
                                    <w:rFonts w:hint="eastAsia"/>
                                    <w:kern w:val="2"/>
                                    <w:sz w:val="15"/>
                                    <w:szCs w:val="15"/>
                                  </w:rPr>
                                  <w:t>、</w:t>
                                </w:r>
                                <w:r>
                                  <w:rPr>
                                    <w:i/>
                                    <w:kern w:val="2"/>
                                    <w:sz w:val="15"/>
                                    <w:szCs w:val="15"/>
                                  </w:rPr>
                                  <w:t>i</w:t>
                                </w:r>
                                <w:r>
                                  <w:rPr>
                                    <w:rFonts w:hint="eastAsia"/>
                                    <w:kern w:val="2"/>
                                    <w:sz w:val="15"/>
                                    <w:szCs w:val="15"/>
                                  </w:rPr>
                                  <w:t>）</w:t>
                                </w:r>
                              </w:p>
                            </w:txbxContent>
                          </wps:txbx>
                          <wps:bodyPr rot="0" vert="horz" wrap="square" lIns="91440" tIns="45720" rIns="91440" bIns="45720" anchor="ctr" anchorCtr="0" upright="1">
                            <a:noAutofit/>
                          </wps:bodyPr>
                        </wps:wsp>
                        <wps:wsp>
                          <wps:cNvPr id="141" name="Text Box 677"/>
                          <wps:cNvSpPr txBox="1">
                            <a:spLocks noChangeArrowheads="1"/>
                          </wps:cNvSpPr>
                          <wps:spPr bwMode="auto">
                            <a:xfrm>
                              <a:off x="0" y="3744"/>
                              <a:ext cx="4500" cy="780"/>
                            </a:xfrm>
                            <a:prstGeom prst="rect">
                              <a:avLst/>
                            </a:prstGeom>
                            <a:solidFill>
                              <a:srgbClr val="FFFFFF"/>
                            </a:solidFill>
                            <a:ln w="9525">
                              <a:solidFill>
                                <a:srgbClr val="000000"/>
                              </a:solidFill>
                              <a:miter lim="800000"/>
                            </a:ln>
                          </wps:spPr>
                          <wps:txbx>
                            <w:txbxContent>
                              <w:p w14:paraId="7B41FDF7">
                                <w:pPr>
                                  <w:widowControl w:val="0"/>
                                  <w:spacing w:line="240" w:lineRule="auto"/>
                                  <w:jc w:val="center"/>
                                  <w:textAlignment w:val="auto"/>
                                  <w:rPr>
                                    <w:kern w:val="2"/>
                                    <w:sz w:val="15"/>
                                    <w:szCs w:val="15"/>
                                  </w:rPr>
                                </w:pPr>
                                <w:r>
                                  <w:rPr>
                                    <w:rFonts w:hint="eastAsia"/>
                                    <w:kern w:val="2"/>
                                    <w:sz w:val="15"/>
                                    <w:szCs w:val="15"/>
                                  </w:rPr>
                                  <w:t>计算（</w:t>
                                </w:r>
                                <w:r>
                                  <w:rPr>
                                    <w:i/>
                                    <w:kern w:val="2"/>
                                    <w:sz w:val="15"/>
                                    <w:szCs w:val="15"/>
                                  </w:rPr>
                                  <w:t>LOC</w:t>
                                </w:r>
                                <w:r>
                                  <w:rPr>
                                    <w:rFonts w:hint="eastAsia"/>
                                    <w:kern w:val="2"/>
                                    <w:sz w:val="15"/>
                                    <w:szCs w:val="15"/>
                                  </w:rPr>
                                  <w:t>、</w:t>
                                </w:r>
                                <w:r>
                                  <w:rPr>
                                    <w:i/>
                                    <w:kern w:val="2"/>
                                    <w:sz w:val="15"/>
                                    <w:szCs w:val="15"/>
                                  </w:rPr>
                                  <w:t>M</w:t>
                                </w:r>
                                <w:r>
                                  <w:rPr>
                                    <w:rFonts w:hint="eastAsia"/>
                                    <w:kern w:val="2"/>
                                    <w:sz w:val="15"/>
                                    <w:szCs w:val="15"/>
                                  </w:rPr>
                                  <w:t>、</w:t>
                                </w:r>
                                <w:r>
                                  <w:rPr>
                                    <w:rFonts w:hint="eastAsia"/>
                                    <w:i/>
                                    <w:kern w:val="2"/>
                                    <w:sz w:val="15"/>
                                    <w:szCs w:val="22"/>
                                  </w:rPr>
                                  <w:t>φ</w:t>
                                </w:r>
                                <w:r>
                                  <w:rPr>
                                    <w:rFonts w:hint="eastAsia"/>
                                    <w:kern w:val="2"/>
                                    <w:sz w:val="15"/>
                                    <w:szCs w:val="15"/>
                                  </w:rPr>
                                  <w:t>、</w:t>
                                </w:r>
                                <w:r>
                                  <w:rPr>
                                    <w:i/>
                                    <w:kern w:val="2"/>
                                    <w:sz w:val="15"/>
                                    <w:szCs w:val="15"/>
                                  </w:rPr>
                                  <w:t>i</w:t>
                                </w:r>
                                <w:r>
                                  <w:rPr>
                                    <w:rFonts w:hint="eastAsia"/>
                                    <w:kern w:val="2"/>
                                    <w:sz w:val="15"/>
                                    <w:szCs w:val="15"/>
                                  </w:rPr>
                                  <w:t>）条件下对网格点个体风险的贡献</w:t>
                                </w:r>
                              </w:p>
                              <w:p w14:paraId="2DB8F76D">
                                <w:pPr>
                                  <w:widowControl w:val="0"/>
                                  <w:spacing w:line="240" w:lineRule="auto"/>
                                  <w:jc w:val="center"/>
                                  <w:textAlignment w:val="auto"/>
                                  <w:rPr>
                                    <w:kern w:val="2"/>
                                    <w:sz w:val="18"/>
                                    <w:szCs w:val="18"/>
                                  </w:rPr>
                                </w:pPr>
                                <w:r>
                                  <w:rPr>
                                    <w:i/>
                                    <w:kern w:val="2"/>
                                    <w:szCs w:val="24"/>
                                  </w:rPr>
                                  <w:t>ΔIR</w:t>
                                </w:r>
                                <w:r>
                                  <w:rPr>
                                    <w:i/>
                                    <w:kern w:val="2"/>
                                    <w:szCs w:val="24"/>
                                    <w:vertAlign w:val="subscript"/>
                                  </w:rPr>
                                  <w:t>S,M,</w:t>
                                </w:r>
                                <w:r>
                                  <w:rPr>
                                    <w:rFonts w:hint="eastAsia"/>
                                    <w:i/>
                                    <w:kern w:val="2"/>
                                    <w:szCs w:val="24"/>
                                    <w:vertAlign w:val="subscript"/>
                                  </w:rPr>
                                  <w:t>φ</w:t>
                                </w:r>
                                <w:r>
                                  <w:rPr>
                                    <w:i/>
                                    <w:kern w:val="2"/>
                                    <w:szCs w:val="24"/>
                                    <w:vertAlign w:val="subscript"/>
                                  </w:rPr>
                                  <w:t>,i</w:t>
                                </w:r>
                                <w:r>
                                  <w:rPr>
                                    <w:i/>
                                    <w:kern w:val="2"/>
                                    <w:szCs w:val="24"/>
                                  </w:rPr>
                                  <w:t>=f</w:t>
                                </w:r>
                                <w:r>
                                  <w:rPr>
                                    <w:i/>
                                    <w:kern w:val="2"/>
                                    <w:szCs w:val="24"/>
                                    <w:vertAlign w:val="subscript"/>
                                  </w:rPr>
                                  <w:t>S</w:t>
                                </w:r>
                                <w:r>
                                  <w:rPr>
                                    <w:i/>
                                    <w:kern w:val="2"/>
                                    <w:szCs w:val="24"/>
                                  </w:rPr>
                                  <w:t>×P</w:t>
                                </w:r>
                                <w:r>
                                  <w:rPr>
                                    <w:i/>
                                    <w:kern w:val="2"/>
                                    <w:szCs w:val="24"/>
                                    <w:vertAlign w:val="subscript"/>
                                  </w:rPr>
                                  <w:t>M</w:t>
                                </w:r>
                                <w:r>
                                  <w:rPr>
                                    <w:i/>
                                    <w:kern w:val="2"/>
                                    <w:szCs w:val="24"/>
                                  </w:rPr>
                                  <w:t>×P</w:t>
                                </w:r>
                                <w:r>
                                  <w:rPr>
                                    <w:rFonts w:hint="eastAsia"/>
                                    <w:i/>
                                    <w:kern w:val="2"/>
                                    <w:sz w:val="15"/>
                                    <w:szCs w:val="22"/>
                                    <w:vertAlign w:val="subscript"/>
                                  </w:rPr>
                                  <w:t>φ</w:t>
                                </w:r>
                                <w:r>
                                  <w:rPr>
                                    <w:i/>
                                    <w:kern w:val="2"/>
                                    <w:szCs w:val="24"/>
                                  </w:rPr>
                                  <w:t>×P</w:t>
                                </w:r>
                                <w:r>
                                  <w:rPr>
                                    <w:rFonts w:hint="eastAsia"/>
                                    <w:i/>
                                    <w:kern w:val="2"/>
                                    <w:szCs w:val="24"/>
                                    <w:vertAlign w:val="subscript"/>
                                  </w:rPr>
                                  <w:t>i</w:t>
                                </w:r>
                                <w:r>
                                  <w:rPr>
                                    <w:i/>
                                    <w:kern w:val="2"/>
                                    <w:szCs w:val="24"/>
                                  </w:rPr>
                                  <w:t>×P</w:t>
                                </w:r>
                                <w:r>
                                  <w:rPr>
                                    <w:i/>
                                    <w:kern w:val="2"/>
                                    <w:szCs w:val="24"/>
                                    <w:vertAlign w:val="subscript"/>
                                  </w:rPr>
                                  <w:t>d</w:t>
                                </w:r>
                              </w:p>
                            </w:txbxContent>
                          </wps:txbx>
                          <wps:bodyPr rot="0" vert="horz" wrap="square" lIns="91440" tIns="45720" rIns="91440" bIns="45720" anchor="ctr" anchorCtr="0" upright="1">
                            <a:noAutofit/>
                          </wps:bodyPr>
                        </wps:wsp>
                        <wps:wsp>
                          <wps:cNvPr id="142" name="AutoShape 678"/>
                          <wps:cNvSpPr>
                            <a:spLocks noChangeArrowheads="1"/>
                          </wps:cNvSpPr>
                          <wps:spPr bwMode="auto">
                            <a:xfrm>
                              <a:off x="360" y="4992"/>
                              <a:ext cx="3240" cy="936"/>
                            </a:xfrm>
                            <a:prstGeom prst="flowChartDecision">
                              <a:avLst/>
                            </a:prstGeom>
                            <a:solidFill>
                              <a:srgbClr val="FFFFFF"/>
                            </a:solidFill>
                            <a:ln w="9525">
                              <a:solidFill>
                                <a:srgbClr val="000000"/>
                              </a:solidFill>
                              <a:miter lim="800000"/>
                            </a:ln>
                          </wps:spPr>
                          <wps:txbx>
                            <w:txbxContent>
                              <w:p w14:paraId="02C8D018">
                                <w:pPr>
                                  <w:widowControl w:val="0"/>
                                  <w:spacing w:line="240" w:lineRule="auto"/>
                                  <w:jc w:val="center"/>
                                  <w:textAlignment w:val="auto"/>
                                  <w:rPr>
                                    <w:kern w:val="2"/>
                                    <w:sz w:val="15"/>
                                    <w:szCs w:val="15"/>
                                  </w:rPr>
                                </w:pPr>
                                <w:r>
                                  <w:rPr>
                                    <w:rFonts w:hint="eastAsia"/>
                                    <w:kern w:val="2"/>
                                    <w:sz w:val="15"/>
                                    <w:szCs w:val="15"/>
                                  </w:rPr>
                                  <w:t>是否选择所有点火</w:t>
                                </w:r>
                                <w:r>
                                  <w:rPr>
                                    <w:rFonts w:hint="eastAsia"/>
                                    <w:kern w:val="2"/>
                                    <w:sz w:val="15"/>
                                    <w:szCs w:val="15"/>
                                    <w:highlight w:val="yellow"/>
                                  </w:rPr>
                                  <w:t>事件</w:t>
                                </w:r>
                              </w:p>
                            </w:txbxContent>
                          </wps:txbx>
                          <wps:bodyPr rot="0" vert="horz" wrap="square" lIns="91440" tIns="45720" rIns="91440" bIns="45720" anchor="ctr" anchorCtr="0" upright="1">
                            <a:noAutofit/>
                          </wps:bodyPr>
                        </wps:wsp>
                        <wps:wsp>
                          <wps:cNvPr id="143" name="AutoShape 679"/>
                          <wps:cNvSpPr>
                            <a:spLocks noChangeArrowheads="1"/>
                          </wps:cNvSpPr>
                          <wps:spPr bwMode="auto">
                            <a:xfrm>
                              <a:off x="360" y="6240"/>
                              <a:ext cx="3240" cy="1248"/>
                            </a:xfrm>
                            <a:prstGeom prst="flowChartDecision">
                              <a:avLst/>
                            </a:prstGeom>
                            <a:solidFill>
                              <a:srgbClr val="FFFFFF"/>
                            </a:solidFill>
                            <a:ln w="9525">
                              <a:solidFill>
                                <a:srgbClr val="000000"/>
                              </a:solidFill>
                              <a:miter lim="800000"/>
                            </a:ln>
                          </wps:spPr>
                          <wps:txbx>
                            <w:txbxContent>
                              <w:p w14:paraId="7C43FEAE">
                                <w:pPr>
                                  <w:widowControl w:val="0"/>
                                  <w:spacing w:line="240" w:lineRule="exact"/>
                                  <w:jc w:val="center"/>
                                  <w:textAlignment w:val="auto"/>
                                  <w:rPr>
                                    <w:kern w:val="2"/>
                                    <w:sz w:val="15"/>
                                    <w:szCs w:val="15"/>
                                  </w:rPr>
                                </w:pPr>
                                <w:r>
                                  <w:rPr>
                                    <w:rFonts w:hint="eastAsia"/>
                                    <w:kern w:val="2"/>
                                    <w:sz w:val="15"/>
                                    <w:szCs w:val="15"/>
                                  </w:rPr>
                                  <w:t>是否选择所有天气等级和风向</w:t>
                                </w:r>
                              </w:p>
                            </w:txbxContent>
                          </wps:txbx>
                          <wps:bodyPr rot="0" vert="horz" wrap="square" lIns="91440" tIns="45720" rIns="91440" bIns="45720" anchor="ctr" anchorCtr="0" upright="1">
                            <a:noAutofit/>
                          </wps:bodyPr>
                        </wps:wsp>
                        <wps:wsp>
                          <wps:cNvPr id="144" name="AutoShape 680"/>
                          <wps:cNvSpPr>
                            <a:spLocks noChangeArrowheads="1"/>
                          </wps:cNvSpPr>
                          <wps:spPr bwMode="auto">
                            <a:xfrm>
                              <a:off x="540" y="7800"/>
                              <a:ext cx="2880" cy="936"/>
                            </a:xfrm>
                            <a:prstGeom prst="flowChartDecision">
                              <a:avLst/>
                            </a:prstGeom>
                            <a:solidFill>
                              <a:srgbClr val="FFFFFF"/>
                            </a:solidFill>
                            <a:ln w="9525">
                              <a:solidFill>
                                <a:srgbClr val="000000"/>
                              </a:solidFill>
                              <a:miter lim="800000"/>
                            </a:ln>
                          </wps:spPr>
                          <wps:txbx>
                            <w:txbxContent>
                              <w:p w14:paraId="0AC40C5D">
                                <w:pPr>
                                  <w:widowControl w:val="0"/>
                                  <w:spacing w:line="240" w:lineRule="auto"/>
                                  <w:jc w:val="center"/>
                                  <w:textAlignment w:val="auto"/>
                                  <w:rPr>
                                    <w:kern w:val="2"/>
                                    <w:sz w:val="15"/>
                                    <w:szCs w:val="15"/>
                                  </w:rPr>
                                </w:pPr>
                                <w:r>
                                  <w:rPr>
                                    <w:rFonts w:hint="eastAsia"/>
                                    <w:kern w:val="2"/>
                                    <w:sz w:val="15"/>
                                    <w:szCs w:val="15"/>
                                  </w:rPr>
                                  <w:t>是否选择所有</w:t>
                                </w:r>
                                <w:r>
                                  <w:rPr>
                                    <w:i/>
                                    <w:kern w:val="2"/>
                                    <w:sz w:val="15"/>
                                    <w:szCs w:val="15"/>
                                    <w:highlight w:val="yellow"/>
                                  </w:rPr>
                                  <w:t>LOC</w:t>
                                </w:r>
                              </w:p>
                            </w:txbxContent>
                          </wps:txbx>
                          <wps:bodyPr rot="0" vert="horz" wrap="square" lIns="91440" tIns="45720" rIns="91440" bIns="45720" anchor="ctr" anchorCtr="0" upright="1">
                            <a:noAutofit/>
                          </wps:bodyPr>
                        </wps:wsp>
                        <wps:wsp>
                          <wps:cNvPr id="145" name="Text Box 681"/>
                          <wps:cNvSpPr txBox="1">
                            <a:spLocks noChangeArrowheads="1"/>
                          </wps:cNvSpPr>
                          <wps:spPr bwMode="auto">
                            <a:xfrm>
                              <a:off x="385" y="9205"/>
                              <a:ext cx="3306" cy="1010"/>
                            </a:xfrm>
                            <a:prstGeom prst="rect">
                              <a:avLst/>
                            </a:prstGeom>
                            <a:solidFill>
                              <a:srgbClr val="FFFFFF"/>
                            </a:solidFill>
                            <a:ln w="9525">
                              <a:solidFill>
                                <a:srgbClr val="000000"/>
                              </a:solidFill>
                              <a:miter lim="800000"/>
                            </a:ln>
                          </wps:spPr>
                          <wps:txbx>
                            <w:txbxContent>
                              <w:p w14:paraId="0B4CAFB3">
                                <w:pPr>
                                  <w:widowControl w:val="0"/>
                                  <w:spacing w:line="380" w:lineRule="exact"/>
                                  <w:jc w:val="center"/>
                                  <w:textAlignment w:val="auto"/>
                                  <w:rPr>
                                    <w:kern w:val="2"/>
                                    <w:sz w:val="15"/>
                                    <w:szCs w:val="15"/>
                                  </w:rPr>
                                </w:pPr>
                                <w:r>
                                  <w:rPr>
                                    <w:rFonts w:hint="eastAsia"/>
                                    <w:kern w:val="2"/>
                                    <w:sz w:val="15"/>
                                    <w:szCs w:val="15"/>
                                  </w:rPr>
                                  <w:t>计算网格点处的个体风险</w:t>
                                </w:r>
                              </w:p>
                              <w:p w14:paraId="17FD1396">
                                <w:pPr>
                                  <w:widowControl w:val="0"/>
                                  <w:spacing w:line="240" w:lineRule="auto"/>
                                  <w:jc w:val="center"/>
                                  <w:textAlignment w:val="auto"/>
                                  <w:rPr>
                                    <w:kern w:val="2"/>
                                    <w:sz w:val="18"/>
                                    <w:szCs w:val="18"/>
                                  </w:rPr>
                                </w:pPr>
                                <w:r>
                                  <w:rPr>
                                    <w:rFonts w:ascii="Calibri" w:hAnsi="Calibri"/>
                                    <w:kern w:val="2"/>
                                    <w:sz w:val="15"/>
                                    <w:szCs w:val="15"/>
                                  </w:rPr>
                                  <w:object>
                                    <v:shape id="_x0000_i1106" o:spt="75" type="#_x0000_t75" style="height:19.5pt;width:110.25pt;" o:ole="t" filled="f" o:preferrelative="t" stroked="f" coordsize="21600,21600">
                                      <v:path/>
                                      <v:fill on="f" focussize="0,0"/>
                                      <v:stroke on="f" joinstyle="miter"/>
                                      <v:imagedata r:id="rId177" o:title=""/>
                                      <o:lock v:ext="edit" aspectratio="t"/>
                                      <w10:wrap type="none"/>
                                      <w10:anchorlock/>
                                    </v:shape>
                                    <o:OLEObject Type="Embed" ProgID="Equation.3" ShapeID="_x0000_i1106" DrawAspect="Content" ObjectID="_1468075808" r:id="rId176">
                                      <o:LockedField>false</o:LockedField>
                                    </o:OLEObject>
                                  </w:object>
                                </w:r>
                              </w:p>
                            </w:txbxContent>
                          </wps:txbx>
                          <wps:bodyPr rot="0" vert="horz" wrap="square" lIns="91440" tIns="45720" rIns="91440" bIns="45720" anchor="ctr" anchorCtr="0" upright="1">
                            <a:noAutofit/>
                          </wps:bodyPr>
                        </wps:wsp>
                        <wps:wsp>
                          <wps:cNvPr id="146" name="Line 682"/>
                          <wps:cNvCnPr>
                            <a:cxnSpLocks noChangeShapeType="1"/>
                          </wps:cNvCnPr>
                          <wps:spPr bwMode="auto">
                            <a:xfrm>
                              <a:off x="1980" y="469"/>
                              <a:ext cx="0" cy="312"/>
                            </a:xfrm>
                            <a:prstGeom prst="line">
                              <a:avLst/>
                            </a:prstGeom>
                            <a:noFill/>
                            <a:ln w="9525">
                              <a:solidFill>
                                <a:srgbClr val="000000"/>
                              </a:solidFill>
                              <a:round/>
                              <a:tailEnd type="triangle" w="med" len="med"/>
                            </a:ln>
                          </wps:spPr>
                          <wps:bodyPr/>
                        </wps:wsp>
                        <wps:wsp>
                          <wps:cNvPr id="147" name="Line 683"/>
                          <wps:cNvCnPr>
                            <a:cxnSpLocks noChangeShapeType="1"/>
                          </wps:cNvCnPr>
                          <wps:spPr bwMode="auto">
                            <a:xfrm>
                              <a:off x="1980" y="1560"/>
                              <a:ext cx="0" cy="312"/>
                            </a:xfrm>
                            <a:prstGeom prst="line">
                              <a:avLst/>
                            </a:prstGeom>
                            <a:noFill/>
                            <a:ln w="9525">
                              <a:solidFill>
                                <a:srgbClr val="000000"/>
                              </a:solidFill>
                              <a:round/>
                              <a:tailEnd type="triangle" w="med" len="med"/>
                            </a:ln>
                          </wps:spPr>
                          <wps:bodyPr/>
                        </wps:wsp>
                        <wps:wsp>
                          <wps:cNvPr id="148" name="Line 684"/>
                          <wps:cNvCnPr>
                            <a:cxnSpLocks noChangeShapeType="1"/>
                          </wps:cNvCnPr>
                          <wps:spPr bwMode="auto">
                            <a:xfrm>
                              <a:off x="1980" y="2341"/>
                              <a:ext cx="0" cy="312"/>
                            </a:xfrm>
                            <a:prstGeom prst="line">
                              <a:avLst/>
                            </a:prstGeom>
                            <a:noFill/>
                            <a:ln w="9525">
                              <a:solidFill>
                                <a:srgbClr val="000000"/>
                              </a:solidFill>
                              <a:round/>
                              <a:tailEnd type="triangle" w="med" len="med"/>
                            </a:ln>
                          </wps:spPr>
                          <wps:bodyPr/>
                        </wps:wsp>
                        <wps:wsp>
                          <wps:cNvPr id="149" name="Line 685"/>
                          <wps:cNvCnPr>
                            <a:cxnSpLocks noChangeShapeType="1"/>
                          </wps:cNvCnPr>
                          <wps:spPr bwMode="auto">
                            <a:xfrm>
                              <a:off x="1980" y="3432"/>
                              <a:ext cx="0" cy="312"/>
                            </a:xfrm>
                            <a:prstGeom prst="line">
                              <a:avLst/>
                            </a:prstGeom>
                            <a:noFill/>
                            <a:ln w="9525">
                              <a:solidFill>
                                <a:srgbClr val="000000"/>
                              </a:solidFill>
                              <a:round/>
                              <a:tailEnd type="triangle" w="med" len="med"/>
                            </a:ln>
                          </wps:spPr>
                          <wps:bodyPr/>
                        </wps:wsp>
                        <wps:wsp>
                          <wps:cNvPr id="150" name="Line 686"/>
                          <wps:cNvCnPr>
                            <a:cxnSpLocks noChangeShapeType="1"/>
                          </wps:cNvCnPr>
                          <wps:spPr bwMode="auto">
                            <a:xfrm>
                              <a:off x="1980" y="5928"/>
                              <a:ext cx="0" cy="312"/>
                            </a:xfrm>
                            <a:prstGeom prst="line">
                              <a:avLst/>
                            </a:prstGeom>
                            <a:noFill/>
                            <a:ln w="9525">
                              <a:solidFill>
                                <a:srgbClr val="000000"/>
                              </a:solidFill>
                              <a:round/>
                              <a:tailEnd type="triangle" w="med" len="med"/>
                            </a:ln>
                          </wps:spPr>
                          <wps:bodyPr/>
                        </wps:wsp>
                        <wps:wsp>
                          <wps:cNvPr id="151" name="Line 687"/>
                          <wps:cNvCnPr>
                            <a:cxnSpLocks noChangeShapeType="1"/>
                          </wps:cNvCnPr>
                          <wps:spPr bwMode="auto">
                            <a:xfrm>
                              <a:off x="1980" y="7488"/>
                              <a:ext cx="0" cy="312"/>
                            </a:xfrm>
                            <a:prstGeom prst="line">
                              <a:avLst/>
                            </a:prstGeom>
                            <a:noFill/>
                            <a:ln w="9525">
                              <a:solidFill>
                                <a:srgbClr val="000000"/>
                              </a:solidFill>
                              <a:round/>
                              <a:tailEnd type="triangle" w="med" len="med"/>
                            </a:ln>
                          </wps:spPr>
                          <wps:bodyPr/>
                        </wps:wsp>
                        <wps:wsp>
                          <wps:cNvPr id="152" name="Line 688"/>
                          <wps:cNvCnPr>
                            <a:cxnSpLocks noChangeShapeType="1"/>
                          </wps:cNvCnPr>
                          <wps:spPr bwMode="auto">
                            <a:xfrm>
                              <a:off x="1980" y="8736"/>
                              <a:ext cx="0" cy="468"/>
                            </a:xfrm>
                            <a:prstGeom prst="line">
                              <a:avLst/>
                            </a:prstGeom>
                            <a:noFill/>
                            <a:ln w="9525">
                              <a:solidFill>
                                <a:srgbClr val="000000"/>
                              </a:solidFill>
                              <a:round/>
                              <a:tailEnd type="triangle" w="med" len="med"/>
                            </a:ln>
                          </wps:spPr>
                          <wps:bodyPr/>
                        </wps:wsp>
                        <wps:wsp>
                          <wps:cNvPr id="153" name="Line 689"/>
                          <wps:cNvCnPr>
                            <a:cxnSpLocks noChangeShapeType="1"/>
                          </wps:cNvCnPr>
                          <wps:spPr bwMode="auto">
                            <a:xfrm>
                              <a:off x="1980" y="4525"/>
                              <a:ext cx="0" cy="468"/>
                            </a:xfrm>
                            <a:prstGeom prst="line">
                              <a:avLst/>
                            </a:prstGeom>
                            <a:noFill/>
                            <a:ln w="9525">
                              <a:solidFill>
                                <a:srgbClr val="000000"/>
                              </a:solidFill>
                              <a:round/>
                              <a:tailEnd type="triangle" w="med" len="med"/>
                            </a:ln>
                          </wps:spPr>
                          <wps:bodyPr/>
                        </wps:wsp>
                        <wps:wsp>
                          <wps:cNvPr id="154" name="Line 690"/>
                          <wps:cNvCnPr>
                            <a:cxnSpLocks noChangeShapeType="1"/>
                          </wps:cNvCnPr>
                          <wps:spPr bwMode="auto">
                            <a:xfrm>
                              <a:off x="3600" y="5460"/>
                              <a:ext cx="1260" cy="0"/>
                            </a:xfrm>
                            <a:prstGeom prst="line">
                              <a:avLst/>
                            </a:prstGeom>
                            <a:noFill/>
                            <a:ln w="9525">
                              <a:solidFill>
                                <a:srgbClr val="000000"/>
                              </a:solidFill>
                              <a:round/>
                            </a:ln>
                          </wps:spPr>
                          <wps:bodyPr/>
                        </wps:wsp>
                        <wps:wsp>
                          <wps:cNvPr id="155" name="Line 691"/>
                          <wps:cNvCnPr>
                            <a:cxnSpLocks noChangeShapeType="1"/>
                          </wps:cNvCnPr>
                          <wps:spPr bwMode="auto">
                            <a:xfrm flipV="1">
                              <a:off x="4860" y="2184"/>
                              <a:ext cx="0" cy="3276"/>
                            </a:xfrm>
                            <a:prstGeom prst="line">
                              <a:avLst/>
                            </a:prstGeom>
                            <a:noFill/>
                            <a:ln w="9525">
                              <a:solidFill>
                                <a:srgbClr val="000000"/>
                              </a:solidFill>
                              <a:round/>
                            </a:ln>
                          </wps:spPr>
                          <wps:bodyPr/>
                        </wps:wsp>
                        <wps:wsp>
                          <wps:cNvPr id="156" name="Line 692"/>
                          <wps:cNvCnPr>
                            <a:cxnSpLocks noChangeShapeType="1"/>
                          </wps:cNvCnPr>
                          <wps:spPr bwMode="auto">
                            <a:xfrm flipH="1">
                              <a:off x="3600" y="2184"/>
                              <a:ext cx="1260" cy="0"/>
                            </a:xfrm>
                            <a:prstGeom prst="line">
                              <a:avLst/>
                            </a:prstGeom>
                            <a:noFill/>
                            <a:ln w="9525">
                              <a:solidFill>
                                <a:srgbClr val="000000"/>
                              </a:solidFill>
                              <a:round/>
                              <a:tailEnd type="triangle" w="med" len="med"/>
                            </a:ln>
                          </wps:spPr>
                          <wps:bodyPr/>
                        </wps:wsp>
                        <wps:wsp>
                          <wps:cNvPr id="157" name="Line 693"/>
                          <wps:cNvCnPr>
                            <a:cxnSpLocks noChangeShapeType="1"/>
                          </wps:cNvCnPr>
                          <wps:spPr bwMode="auto">
                            <a:xfrm>
                              <a:off x="3600" y="6864"/>
                              <a:ext cx="1440" cy="0"/>
                            </a:xfrm>
                            <a:prstGeom prst="line">
                              <a:avLst/>
                            </a:prstGeom>
                            <a:noFill/>
                            <a:ln w="9525">
                              <a:solidFill>
                                <a:srgbClr val="000000"/>
                              </a:solidFill>
                              <a:round/>
                            </a:ln>
                          </wps:spPr>
                          <wps:bodyPr/>
                        </wps:wsp>
                        <wps:wsp>
                          <wps:cNvPr id="158" name="Line 694"/>
                          <wps:cNvCnPr>
                            <a:cxnSpLocks noChangeShapeType="1"/>
                          </wps:cNvCnPr>
                          <wps:spPr bwMode="auto">
                            <a:xfrm flipV="1">
                              <a:off x="5040" y="1249"/>
                              <a:ext cx="0" cy="5616"/>
                            </a:xfrm>
                            <a:prstGeom prst="line">
                              <a:avLst/>
                            </a:prstGeom>
                            <a:noFill/>
                            <a:ln w="9525">
                              <a:solidFill>
                                <a:srgbClr val="000000"/>
                              </a:solidFill>
                              <a:round/>
                            </a:ln>
                          </wps:spPr>
                          <wps:bodyPr/>
                        </wps:wsp>
                        <wps:wsp>
                          <wps:cNvPr id="159" name="Line 695"/>
                          <wps:cNvCnPr>
                            <a:cxnSpLocks noChangeShapeType="1"/>
                          </wps:cNvCnPr>
                          <wps:spPr bwMode="auto">
                            <a:xfrm flipH="1">
                              <a:off x="3780" y="1249"/>
                              <a:ext cx="1260" cy="0"/>
                            </a:xfrm>
                            <a:prstGeom prst="line">
                              <a:avLst/>
                            </a:prstGeom>
                            <a:noFill/>
                            <a:ln w="9525">
                              <a:solidFill>
                                <a:srgbClr val="000000"/>
                              </a:solidFill>
                              <a:round/>
                              <a:tailEnd type="triangle" w="med" len="med"/>
                            </a:ln>
                          </wps:spPr>
                          <wps:bodyPr/>
                        </wps:wsp>
                        <wps:wsp>
                          <wps:cNvPr id="160" name="Line 696"/>
                          <wps:cNvCnPr>
                            <a:cxnSpLocks noChangeShapeType="1"/>
                          </wps:cNvCnPr>
                          <wps:spPr bwMode="auto">
                            <a:xfrm>
                              <a:off x="3420" y="8269"/>
                              <a:ext cx="2160" cy="0"/>
                            </a:xfrm>
                            <a:prstGeom prst="line">
                              <a:avLst/>
                            </a:prstGeom>
                            <a:noFill/>
                            <a:ln w="9525">
                              <a:solidFill>
                                <a:srgbClr val="000000"/>
                              </a:solidFill>
                              <a:round/>
                            </a:ln>
                          </wps:spPr>
                          <wps:bodyPr/>
                        </wps:wsp>
                        <wps:wsp>
                          <wps:cNvPr id="161" name="Line 697"/>
                          <wps:cNvCnPr>
                            <a:cxnSpLocks noChangeShapeType="1"/>
                          </wps:cNvCnPr>
                          <wps:spPr bwMode="auto">
                            <a:xfrm flipV="1">
                              <a:off x="5580" y="156"/>
                              <a:ext cx="0" cy="8112"/>
                            </a:xfrm>
                            <a:prstGeom prst="line">
                              <a:avLst/>
                            </a:prstGeom>
                            <a:noFill/>
                            <a:ln w="9525">
                              <a:solidFill>
                                <a:srgbClr val="000000"/>
                              </a:solidFill>
                              <a:round/>
                            </a:ln>
                          </wps:spPr>
                          <wps:bodyPr/>
                        </wps:wsp>
                        <wps:wsp>
                          <wps:cNvPr id="162" name="Line 698"/>
                          <wps:cNvCnPr>
                            <a:cxnSpLocks noChangeShapeType="1"/>
                          </wps:cNvCnPr>
                          <wps:spPr bwMode="auto">
                            <a:xfrm flipH="1">
                              <a:off x="3600" y="156"/>
                              <a:ext cx="1980" cy="0"/>
                            </a:xfrm>
                            <a:prstGeom prst="line">
                              <a:avLst/>
                            </a:prstGeom>
                            <a:noFill/>
                            <a:ln w="9525">
                              <a:solidFill>
                                <a:srgbClr val="000000"/>
                              </a:solidFill>
                              <a:round/>
                              <a:tailEnd type="triangle" w="med" len="med"/>
                            </a:ln>
                          </wps:spPr>
                          <wps:bodyPr/>
                        </wps:wsp>
                        <wps:wsp>
                          <wps:cNvPr id="163" name="Text Box 699"/>
                          <wps:cNvSpPr txBox="1">
                            <a:spLocks noChangeArrowheads="1"/>
                          </wps:cNvSpPr>
                          <wps:spPr bwMode="auto">
                            <a:xfrm>
                              <a:off x="2520" y="8674"/>
                              <a:ext cx="540" cy="468"/>
                            </a:xfrm>
                            <a:prstGeom prst="rect">
                              <a:avLst/>
                            </a:prstGeom>
                            <a:solidFill>
                              <a:srgbClr val="FFFFFF"/>
                            </a:solidFill>
                            <a:ln>
                              <a:noFill/>
                            </a:ln>
                          </wps:spPr>
                          <wps:txbx>
                            <w:txbxContent>
                              <w:p w14:paraId="0BE622CD">
                                <w:pPr>
                                  <w:widowControl w:val="0"/>
                                  <w:spacing w:line="240" w:lineRule="auto"/>
                                  <w:textAlignment w:val="auto"/>
                                  <w:rPr>
                                    <w:kern w:val="2"/>
                                    <w:sz w:val="15"/>
                                    <w:szCs w:val="15"/>
                                  </w:rPr>
                                </w:pPr>
                                <w:r>
                                  <w:rPr>
                                    <w:rFonts w:hint="eastAsia"/>
                                    <w:kern w:val="2"/>
                                    <w:sz w:val="15"/>
                                    <w:szCs w:val="15"/>
                                  </w:rPr>
                                  <w:t>是</w:t>
                                </w:r>
                              </w:p>
                            </w:txbxContent>
                          </wps:txbx>
                          <wps:bodyPr rot="0" vert="horz" wrap="square" lIns="91440" tIns="45720" rIns="91440" bIns="45720" anchor="t" anchorCtr="0" upright="1">
                            <a:noAutofit/>
                          </wps:bodyPr>
                        </wps:wsp>
                        <wps:wsp>
                          <wps:cNvPr id="164" name="Text Box 700"/>
                          <wps:cNvSpPr txBox="1">
                            <a:spLocks noChangeArrowheads="1"/>
                          </wps:cNvSpPr>
                          <wps:spPr bwMode="auto">
                            <a:xfrm>
                              <a:off x="3960" y="7738"/>
                              <a:ext cx="720" cy="468"/>
                            </a:xfrm>
                            <a:prstGeom prst="rect">
                              <a:avLst/>
                            </a:prstGeom>
                            <a:solidFill>
                              <a:srgbClr val="FFFFFF"/>
                            </a:solidFill>
                            <a:ln>
                              <a:noFill/>
                            </a:ln>
                          </wps:spPr>
                          <wps:txbx>
                            <w:txbxContent>
                              <w:p w14:paraId="083691DE">
                                <w:pPr>
                                  <w:widowControl w:val="0"/>
                                  <w:spacing w:line="240" w:lineRule="auto"/>
                                  <w:jc w:val="center"/>
                                  <w:textAlignment w:val="auto"/>
                                  <w:rPr>
                                    <w:kern w:val="2"/>
                                    <w:sz w:val="15"/>
                                    <w:szCs w:val="15"/>
                                  </w:rPr>
                                </w:pPr>
                                <w:r>
                                  <w:rPr>
                                    <w:rFonts w:hint="eastAsia"/>
                                    <w:kern w:val="2"/>
                                    <w:sz w:val="15"/>
                                    <w:szCs w:val="15"/>
                                  </w:rPr>
                                  <w:t>否</w:t>
                                </w:r>
                              </w:p>
                            </w:txbxContent>
                          </wps:txbx>
                          <wps:bodyPr rot="0" vert="horz" wrap="square" lIns="91440" tIns="45720" rIns="91440" bIns="45720" anchor="t" anchorCtr="0" upright="1">
                            <a:noAutofit/>
                          </wps:bodyPr>
                        </wps:wsp>
                        <wps:wsp>
                          <wps:cNvPr id="165" name="Text Box 701"/>
                          <wps:cNvSpPr txBox="1">
                            <a:spLocks noChangeArrowheads="1"/>
                          </wps:cNvSpPr>
                          <wps:spPr bwMode="auto">
                            <a:xfrm>
                              <a:off x="2520" y="7423"/>
                              <a:ext cx="540" cy="468"/>
                            </a:xfrm>
                            <a:prstGeom prst="rect">
                              <a:avLst/>
                            </a:prstGeom>
                            <a:solidFill>
                              <a:srgbClr val="FFFFFF"/>
                            </a:solidFill>
                            <a:ln>
                              <a:noFill/>
                            </a:ln>
                          </wps:spPr>
                          <wps:txbx>
                            <w:txbxContent>
                              <w:p w14:paraId="38E109A4">
                                <w:pPr>
                                  <w:widowControl w:val="0"/>
                                  <w:spacing w:line="240" w:lineRule="auto"/>
                                  <w:textAlignment w:val="auto"/>
                                  <w:rPr>
                                    <w:kern w:val="2"/>
                                    <w:sz w:val="15"/>
                                    <w:szCs w:val="15"/>
                                  </w:rPr>
                                </w:pPr>
                                <w:r>
                                  <w:rPr>
                                    <w:rFonts w:hint="eastAsia"/>
                                    <w:kern w:val="2"/>
                                    <w:sz w:val="15"/>
                                    <w:szCs w:val="15"/>
                                  </w:rPr>
                                  <w:t>是</w:t>
                                </w:r>
                              </w:p>
                            </w:txbxContent>
                          </wps:txbx>
                          <wps:bodyPr rot="0" vert="horz" wrap="square" lIns="91440" tIns="45720" rIns="91440" bIns="45720" anchor="t" anchorCtr="0" upright="1">
                            <a:noAutofit/>
                          </wps:bodyPr>
                        </wps:wsp>
                        <wps:wsp>
                          <wps:cNvPr id="166" name="Text Box 702"/>
                          <wps:cNvSpPr txBox="1">
                            <a:spLocks noChangeArrowheads="1"/>
                          </wps:cNvSpPr>
                          <wps:spPr bwMode="auto">
                            <a:xfrm>
                              <a:off x="3960" y="6471"/>
                              <a:ext cx="720" cy="347"/>
                            </a:xfrm>
                            <a:prstGeom prst="rect">
                              <a:avLst/>
                            </a:prstGeom>
                            <a:solidFill>
                              <a:srgbClr val="FFFFFF"/>
                            </a:solidFill>
                            <a:ln>
                              <a:noFill/>
                            </a:ln>
                          </wps:spPr>
                          <wps:txbx>
                            <w:txbxContent>
                              <w:p w14:paraId="09EABC87">
                                <w:pPr>
                                  <w:widowControl w:val="0"/>
                                  <w:spacing w:line="240" w:lineRule="auto"/>
                                  <w:jc w:val="center"/>
                                  <w:textAlignment w:val="auto"/>
                                  <w:rPr>
                                    <w:kern w:val="2"/>
                                    <w:sz w:val="15"/>
                                    <w:szCs w:val="15"/>
                                  </w:rPr>
                                </w:pPr>
                                <w:r>
                                  <w:rPr>
                                    <w:rFonts w:hint="eastAsia"/>
                                    <w:kern w:val="2"/>
                                    <w:sz w:val="15"/>
                                    <w:szCs w:val="15"/>
                                  </w:rPr>
                                  <w:t>否</w:t>
                                </w:r>
                              </w:p>
                            </w:txbxContent>
                          </wps:txbx>
                          <wps:bodyPr rot="0" vert="horz" wrap="square" lIns="91440" tIns="45720" rIns="91440" bIns="45720" anchor="t" anchorCtr="0" upright="1">
                            <a:noAutofit/>
                          </wps:bodyPr>
                        </wps:wsp>
                        <wps:wsp>
                          <wps:cNvPr id="167" name="Text Box 703"/>
                          <wps:cNvSpPr txBox="1">
                            <a:spLocks noChangeArrowheads="1"/>
                          </wps:cNvSpPr>
                          <wps:spPr bwMode="auto">
                            <a:xfrm>
                              <a:off x="2520" y="5866"/>
                              <a:ext cx="540" cy="468"/>
                            </a:xfrm>
                            <a:prstGeom prst="rect">
                              <a:avLst/>
                            </a:prstGeom>
                            <a:solidFill>
                              <a:srgbClr val="FFFFFF"/>
                            </a:solidFill>
                            <a:ln>
                              <a:noFill/>
                            </a:ln>
                          </wps:spPr>
                          <wps:txbx>
                            <w:txbxContent>
                              <w:p w14:paraId="3567BC43">
                                <w:pPr>
                                  <w:widowControl w:val="0"/>
                                  <w:spacing w:line="240" w:lineRule="auto"/>
                                  <w:textAlignment w:val="auto"/>
                                  <w:rPr>
                                    <w:kern w:val="2"/>
                                    <w:sz w:val="15"/>
                                    <w:szCs w:val="15"/>
                                  </w:rPr>
                                </w:pPr>
                                <w:r>
                                  <w:rPr>
                                    <w:rFonts w:hint="eastAsia"/>
                                    <w:kern w:val="2"/>
                                    <w:sz w:val="15"/>
                                    <w:szCs w:val="15"/>
                                  </w:rPr>
                                  <w:t>是</w:t>
                                </w:r>
                              </w:p>
                            </w:txbxContent>
                          </wps:txbx>
                          <wps:bodyPr rot="0" vert="horz" wrap="square" lIns="91440" tIns="45720" rIns="91440" bIns="45720" anchor="t" anchorCtr="0" upright="1">
                            <a:noAutofit/>
                          </wps:bodyPr>
                        </wps:wsp>
                      </wpg:grpSp>
                      <wps:wsp>
                        <wps:cNvPr id="168" name="Text Box 704"/>
                        <wps:cNvSpPr txBox="1">
                          <a:spLocks noChangeArrowheads="1"/>
                        </wps:cNvSpPr>
                        <wps:spPr bwMode="auto">
                          <a:xfrm>
                            <a:off x="3979" y="5101"/>
                            <a:ext cx="720" cy="312"/>
                          </a:xfrm>
                          <a:prstGeom prst="rect">
                            <a:avLst/>
                          </a:prstGeom>
                          <a:solidFill>
                            <a:srgbClr val="FFFFFF"/>
                          </a:solidFill>
                          <a:ln>
                            <a:noFill/>
                          </a:ln>
                        </wps:spPr>
                        <wps:txbx>
                          <w:txbxContent>
                            <w:p w14:paraId="2024EA44">
                              <w:pPr>
                                <w:widowControl w:val="0"/>
                                <w:spacing w:line="240" w:lineRule="auto"/>
                                <w:jc w:val="center"/>
                                <w:textAlignment w:val="auto"/>
                                <w:rPr>
                                  <w:kern w:val="2"/>
                                  <w:sz w:val="15"/>
                                  <w:szCs w:val="15"/>
                                </w:rPr>
                              </w:pPr>
                              <w:r>
                                <w:rPr>
                                  <w:rFonts w:hint="eastAsia"/>
                                  <w:kern w:val="2"/>
                                  <w:sz w:val="15"/>
                                  <w:szCs w:val="15"/>
                                </w:rPr>
                                <w:t>否</w:t>
                              </w:r>
                            </w:p>
                          </w:txbxContent>
                        </wps:txbx>
                        <wps:bodyPr rot="0" vert="horz" wrap="square" lIns="91440" tIns="45720" rIns="91440" bIns="45720" anchor="t" anchorCtr="0" upright="1">
                          <a:noAutofit/>
                        </wps:bodyPr>
                      </wps:wsp>
                    </wpg:wgp>
                  </a:graphicData>
                </a:graphic>
              </wp:inline>
            </w:drawing>
          </mc:Choice>
          <mc:Fallback>
            <w:pict>
              <v:group id="Group 671" o:spid="_x0000_s1026" o:spt="203" style="height:510.75pt;width:262.6pt;" coordsize="5580,10215" o:gfxdata="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">
                <o:lock v:ext="edit" aspectratio="f"/>
                <v:group id="Group 672" o:spid="_x0000_s1026" o:spt="203" style="position:absolute;left:0;top:0;height:10215;width:5580;" coordsize="5580,10215" o:gfxdata="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mvPm5boAAADaAAAADwAAAAAAAAABACAAAAAiAAAAZHJzL2Rvd25yZXYueG1sUEsB&#10;AhQAFAAAAAgAh07iQDMvBZ47AAAAOQAAABUAAAAAAAAAAQAgAAAACQEAAGRycy9ncm91cHNoYXBl&#10;eG1sLnhtbFBLBQYAAAAABgAGAGABAADGAwAAAAA=&#10;">
                  <o:lock v:ext="edit" aspectratio="f"/>
                  <v:shape id="Text Box 673" o:spid="_x0000_s1026" o:spt="202" type="#_x0000_t202" style="position:absolute;left:360;top:0;height:468;width:3240;v-text-anchor:middle;" fillcolor="#FFFFFF" filled="t" stroked="t" coordsize="21600,21600" o:gfxdata="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EH85PugAAANw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textbox>
                      <w:txbxContent>
                        <w:p w14:paraId="60D412C0">
                          <w:pPr>
                            <w:widowControl w:val="0"/>
                            <w:spacing w:line="240" w:lineRule="auto"/>
                            <w:jc w:val="center"/>
                            <w:textAlignment w:val="auto"/>
                            <w:rPr>
                              <w:kern w:val="2"/>
                              <w:sz w:val="15"/>
                              <w:szCs w:val="15"/>
                            </w:rPr>
                          </w:pPr>
                          <w:r>
                            <w:rPr>
                              <w:rFonts w:hint="eastAsia"/>
                              <w:kern w:val="2"/>
                              <w:sz w:val="15"/>
                              <w:szCs w:val="15"/>
                            </w:rPr>
                            <w:t>选择一种</w:t>
                          </w:r>
                          <w:r>
                            <w:rPr>
                              <w:i/>
                              <w:kern w:val="2"/>
                              <w:sz w:val="15"/>
                              <w:szCs w:val="15"/>
                            </w:rPr>
                            <w:t>LOC</w:t>
                          </w:r>
                          <w:r>
                            <w:rPr>
                              <w:rFonts w:hint="eastAsia"/>
                              <w:kern w:val="2"/>
                              <w:sz w:val="15"/>
                              <w:szCs w:val="15"/>
                            </w:rPr>
                            <w:t>（</w:t>
                          </w:r>
                          <w:r>
                            <w:rPr>
                              <w:i/>
                              <w:iCs/>
                              <w:kern w:val="2"/>
                              <w:sz w:val="15"/>
                              <w:szCs w:val="15"/>
                            </w:rPr>
                            <w:t>f</w:t>
                          </w:r>
                          <w:r>
                            <w:rPr>
                              <w:kern w:val="2"/>
                              <w:sz w:val="15"/>
                              <w:szCs w:val="15"/>
                              <w:vertAlign w:val="subscript"/>
                            </w:rPr>
                            <w:t>s</w:t>
                          </w:r>
                          <w:r>
                            <w:rPr>
                              <w:rFonts w:hint="eastAsia"/>
                              <w:kern w:val="2"/>
                              <w:sz w:val="15"/>
                              <w:szCs w:val="15"/>
                            </w:rPr>
                            <w:t>）</w:t>
                          </w:r>
                        </w:p>
                      </w:txbxContent>
                    </v:textbox>
                  </v:shape>
                  <v:shape id="Text Box 674" o:spid="_x0000_s1026" o:spt="202" type="#_x0000_t202" style="position:absolute;left:180;top:780;height:780;width:3600;v-text-anchor:middle;" fillcolor="#FFFFFF" filled="t" stroked="t" coordsize="21600,21600" o:gfxdata="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WAWj28AAAA&#10;3A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14:paraId="2DCAAA78">
                          <w:pPr>
                            <w:widowControl w:val="0"/>
                            <w:spacing w:line="240" w:lineRule="auto"/>
                            <w:jc w:val="center"/>
                            <w:textAlignment w:val="auto"/>
                            <w:rPr>
                              <w:kern w:val="2"/>
                              <w:sz w:val="15"/>
                              <w:szCs w:val="15"/>
                            </w:rPr>
                          </w:pPr>
                          <w:r>
                            <w:rPr>
                              <w:rFonts w:hint="eastAsia"/>
                              <w:kern w:val="2"/>
                              <w:sz w:val="15"/>
                              <w:szCs w:val="15"/>
                            </w:rPr>
                            <w:t>选择一种天气等级</w:t>
                          </w:r>
                          <w:r>
                            <w:rPr>
                              <w:kern w:val="2"/>
                              <w:sz w:val="15"/>
                              <w:szCs w:val="15"/>
                            </w:rPr>
                            <w:t>M</w:t>
                          </w:r>
                          <w:r>
                            <w:rPr>
                              <w:rFonts w:hint="eastAsia"/>
                              <w:kern w:val="2"/>
                              <w:sz w:val="15"/>
                              <w:szCs w:val="15"/>
                            </w:rPr>
                            <w:t>（</w:t>
                          </w:r>
                          <w:r>
                            <w:rPr>
                              <w:i/>
                              <w:iCs/>
                              <w:kern w:val="2"/>
                              <w:sz w:val="15"/>
                              <w:szCs w:val="15"/>
                            </w:rPr>
                            <w:t>P</w:t>
                          </w:r>
                          <w:r>
                            <w:rPr>
                              <w:kern w:val="2"/>
                              <w:sz w:val="15"/>
                              <w:szCs w:val="15"/>
                              <w:vertAlign w:val="subscript"/>
                            </w:rPr>
                            <w:t>M</w:t>
                          </w:r>
                          <w:r>
                            <w:rPr>
                              <w:rFonts w:hint="eastAsia"/>
                              <w:kern w:val="2"/>
                              <w:sz w:val="15"/>
                              <w:szCs w:val="15"/>
                            </w:rPr>
                            <w:t>）和该等级下的一种风向</w:t>
                          </w:r>
                          <w:r>
                            <w:rPr>
                              <w:rFonts w:hint="eastAsia"/>
                              <w:i/>
                              <w:kern w:val="2"/>
                              <w:sz w:val="15"/>
                              <w:szCs w:val="22"/>
                            </w:rPr>
                            <w:t>φ</w:t>
                          </w:r>
                          <w:r>
                            <w:rPr>
                              <w:rFonts w:hint="eastAsia"/>
                              <w:kern w:val="2"/>
                              <w:sz w:val="15"/>
                              <w:szCs w:val="15"/>
                            </w:rPr>
                            <w:t>（</w:t>
                          </w:r>
                          <w:r>
                            <w:rPr>
                              <w:i/>
                              <w:iCs/>
                              <w:kern w:val="2"/>
                              <w:sz w:val="15"/>
                              <w:szCs w:val="15"/>
                            </w:rPr>
                            <w:t>P</w:t>
                          </w:r>
                          <w:r>
                            <w:rPr>
                              <w:rFonts w:hint="eastAsia"/>
                              <w:i/>
                              <w:kern w:val="2"/>
                              <w:sz w:val="15"/>
                              <w:szCs w:val="22"/>
                              <w:vertAlign w:val="subscript"/>
                            </w:rPr>
                            <w:t>φ</w:t>
                          </w:r>
                          <w:r>
                            <w:rPr>
                              <w:rFonts w:hint="eastAsia" w:ascii="宋体" w:hAnsi="宋体"/>
                              <w:kern w:val="2"/>
                              <w:sz w:val="15"/>
                              <w:szCs w:val="15"/>
                            </w:rPr>
                            <w:t>）：</w:t>
                          </w:r>
                          <w:r>
                            <w:rPr>
                              <w:i/>
                              <w:iCs/>
                              <w:kern w:val="2"/>
                              <w:sz w:val="15"/>
                              <w:szCs w:val="15"/>
                            </w:rPr>
                            <w:t>P</w:t>
                          </w:r>
                          <w:r>
                            <w:rPr>
                              <w:kern w:val="2"/>
                              <w:sz w:val="15"/>
                              <w:szCs w:val="15"/>
                              <w:vertAlign w:val="subscript"/>
                            </w:rPr>
                            <w:t>M</w:t>
                          </w:r>
                          <w:r>
                            <w:rPr>
                              <w:rFonts w:ascii="Calibri" w:hAnsi="Calibri"/>
                              <w:kern w:val="2"/>
                              <w:szCs w:val="22"/>
                            </w:rPr>
                            <w:t>×</w:t>
                          </w:r>
                          <w:r>
                            <w:rPr>
                              <w:i/>
                              <w:iCs/>
                              <w:kern w:val="2"/>
                              <w:sz w:val="15"/>
                              <w:szCs w:val="15"/>
                            </w:rPr>
                            <w:t>P</w:t>
                          </w:r>
                          <w:r>
                            <w:rPr>
                              <w:rFonts w:hint="eastAsia"/>
                              <w:i/>
                              <w:kern w:val="2"/>
                              <w:sz w:val="15"/>
                              <w:szCs w:val="22"/>
                              <w:vertAlign w:val="subscript"/>
                            </w:rPr>
                            <w:t>φ</w:t>
                          </w:r>
                        </w:p>
                      </w:txbxContent>
                    </v:textbox>
                  </v:shape>
                  <v:shape id="Text Box 675" o:spid="_x0000_s1026" o:spt="202" type="#_x0000_t202" style="position:absolute;left:540;top:1872;height:468;width:3060;v-text-anchor:middle;" fillcolor="#FFFFFF" filled="t" stroked="t" coordsize="21600,21600" o:gfxdata="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azP+mugAAANw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textbox>
                      <w:txbxContent>
                        <w:p w14:paraId="6D9CA807">
                          <w:pPr>
                            <w:widowControl w:val="0"/>
                            <w:spacing w:line="240" w:lineRule="auto"/>
                            <w:jc w:val="center"/>
                            <w:textAlignment w:val="auto"/>
                            <w:rPr>
                              <w:kern w:val="2"/>
                              <w:sz w:val="15"/>
                              <w:szCs w:val="15"/>
                            </w:rPr>
                          </w:pPr>
                          <w:r>
                            <w:rPr>
                              <w:rFonts w:hint="eastAsia"/>
                              <w:kern w:val="2"/>
                              <w:sz w:val="15"/>
                              <w:szCs w:val="15"/>
                            </w:rPr>
                            <w:t>选择一种点火事件</w:t>
                          </w:r>
                          <w:r>
                            <w:rPr>
                              <w:i/>
                              <w:kern w:val="2"/>
                              <w:sz w:val="15"/>
                              <w:szCs w:val="15"/>
                            </w:rPr>
                            <w:t>i</w:t>
                          </w:r>
                          <w:r>
                            <w:rPr>
                              <w:rFonts w:hint="eastAsia"/>
                              <w:kern w:val="2"/>
                              <w:sz w:val="15"/>
                              <w:szCs w:val="15"/>
                            </w:rPr>
                            <w:t>（</w:t>
                          </w:r>
                          <w:r>
                            <w:rPr>
                              <w:i/>
                              <w:kern w:val="2"/>
                              <w:sz w:val="15"/>
                              <w:szCs w:val="15"/>
                            </w:rPr>
                            <w:t>P</w:t>
                          </w:r>
                          <w:r>
                            <w:rPr>
                              <w:i/>
                              <w:kern w:val="2"/>
                              <w:sz w:val="15"/>
                              <w:szCs w:val="15"/>
                              <w:vertAlign w:val="subscript"/>
                            </w:rPr>
                            <w:t>i</w:t>
                          </w:r>
                          <w:r>
                            <w:rPr>
                              <w:rFonts w:hint="eastAsia"/>
                              <w:kern w:val="2"/>
                              <w:sz w:val="15"/>
                              <w:szCs w:val="15"/>
                            </w:rPr>
                            <w:t>）（可燃</w:t>
                          </w:r>
                          <w:r>
                            <w:rPr>
                              <w:kern w:val="2"/>
                              <w:sz w:val="15"/>
                              <w:szCs w:val="15"/>
                            </w:rPr>
                            <w:t>)</w:t>
                          </w:r>
                        </w:p>
                      </w:txbxContent>
                    </v:textbox>
                  </v:shape>
                  <v:shape id="Text Box 676" o:spid="_x0000_s1026" o:spt="202" type="#_x0000_t202" style="position:absolute;left:540;top:2652;height:780;width:3240;v-text-anchor:middle;" fillcolor="#FFFFFF" filled="t" stroked="t" coordsize="21600,21600" o:gfxdata="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PwJUa8AAAA&#10;3A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14:paraId="1167BF5A">
                          <w:pPr>
                            <w:widowControl w:val="0"/>
                            <w:spacing w:line="240" w:lineRule="auto"/>
                            <w:jc w:val="center"/>
                            <w:textAlignment w:val="auto"/>
                            <w:rPr>
                              <w:kern w:val="2"/>
                              <w:sz w:val="15"/>
                              <w:szCs w:val="15"/>
                            </w:rPr>
                          </w:pPr>
                          <w:r>
                            <w:rPr>
                              <w:rFonts w:hint="eastAsia"/>
                              <w:kern w:val="2"/>
                              <w:sz w:val="15"/>
                              <w:szCs w:val="15"/>
                            </w:rPr>
                            <w:t>计算网格点的死亡概率</w:t>
                          </w:r>
                          <w:r>
                            <w:rPr>
                              <w:i/>
                              <w:kern w:val="2"/>
                              <w:sz w:val="15"/>
                              <w:szCs w:val="15"/>
                            </w:rPr>
                            <w:t>P</w:t>
                          </w:r>
                          <w:r>
                            <w:rPr>
                              <w:rFonts w:hint="eastAsia"/>
                              <w:i/>
                              <w:kern w:val="2"/>
                              <w:sz w:val="15"/>
                              <w:szCs w:val="15"/>
                              <w:vertAlign w:val="subscript"/>
                            </w:rPr>
                            <w:t>I</w:t>
                          </w:r>
                          <w:r>
                            <w:rPr>
                              <w:i/>
                              <w:kern w:val="2"/>
                              <w:sz w:val="15"/>
                              <w:szCs w:val="15"/>
                              <w:vertAlign w:val="subscript"/>
                            </w:rPr>
                            <w:t>R</w:t>
                          </w:r>
                          <w:r>
                            <w:rPr>
                              <w:kern w:val="2"/>
                              <w:szCs w:val="24"/>
                            </w:rPr>
                            <w:t xml:space="preserve"> </w:t>
                          </w:r>
                        </w:p>
                        <w:p w14:paraId="54249797">
                          <w:pPr>
                            <w:widowControl w:val="0"/>
                            <w:spacing w:line="240" w:lineRule="auto"/>
                            <w:jc w:val="center"/>
                            <w:textAlignment w:val="auto"/>
                            <w:rPr>
                              <w:kern w:val="2"/>
                              <w:sz w:val="15"/>
                              <w:szCs w:val="15"/>
                            </w:rPr>
                          </w:pPr>
                          <w:r>
                            <w:rPr>
                              <w:rFonts w:hint="eastAsia"/>
                              <w:kern w:val="2"/>
                              <w:sz w:val="15"/>
                              <w:szCs w:val="15"/>
                            </w:rPr>
                            <w:t>（</w:t>
                          </w:r>
                          <w:r>
                            <w:rPr>
                              <w:i/>
                              <w:kern w:val="2"/>
                              <w:sz w:val="15"/>
                              <w:szCs w:val="15"/>
                            </w:rPr>
                            <w:t>LOC</w:t>
                          </w:r>
                          <w:r>
                            <w:rPr>
                              <w:rFonts w:hint="eastAsia"/>
                              <w:kern w:val="2"/>
                              <w:sz w:val="15"/>
                              <w:szCs w:val="15"/>
                            </w:rPr>
                            <w:t>、</w:t>
                          </w:r>
                          <w:r>
                            <w:rPr>
                              <w:i/>
                              <w:kern w:val="2"/>
                              <w:sz w:val="15"/>
                              <w:szCs w:val="15"/>
                            </w:rPr>
                            <w:t>M</w:t>
                          </w:r>
                          <w:r>
                            <w:rPr>
                              <w:rFonts w:hint="eastAsia"/>
                              <w:kern w:val="2"/>
                              <w:sz w:val="15"/>
                              <w:szCs w:val="15"/>
                            </w:rPr>
                            <w:t>、</w:t>
                          </w:r>
                          <w:r>
                            <w:rPr>
                              <w:rFonts w:hint="eastAsia"/>
                              <w:i/>
                              <w:kern w:val="2"/>
                              <w:sz w:val="15"/>
                              <w:szCs w:val="22"/>
                            </w:rPr>
                            <w:t>φ</w:t>
                          </w:r>
                          <w:r>
                            <w:rPr>
                              <w:rFonts w:hint="eastAsia"/>
                              <w:kern w:val="2"/>
                              <w:sz w:val="15"/>
                              <w:szCs w:val="15"/>
                            </w:rPr>
                            <w:t>、</w:t>
                          </w:r>
                          <w:r>
                            <w:rPr>
                              <w:i/>
                              <w:kern w:val="2"/>
                              <w:sz w:val="15"/>
                              <w:szCs w:val="15"/>
                            </w:rPr>
                            <w:t>i</w:t>
                          </w:r>
                          <w:r>
                            <w:rPr>
                              <w:rFonts w:hint="eastAsia"/>
                              <w:kern w:val="2"/>
                              <w:sz w:val="15"/>
                              <w:szCs w:val="15"/>
                            </w:rPr>
                            <w:t>）</w:t>
                          </w:r>
                        </w:p>
                      </w:txbxContent>
                    </v:textbox>
                  </v:shape>
                  <v:shape id="Text Box 677" o:spid="_x0000_s1026" o:spt="202" type="#_x0000_t202" style="position:absolute;left:0;top:3744;height:780;width:4500;v-text-anchor:middle;" fillcolor="#FFFFFF" filled="t" stroked="t" coordsize="21600,21600" o:gfxdata="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y8gN25AAAA3AAA&#10;AA8AAAAAAAAAAQAgAAAAIgAAAGRycy9kb3ducmV2LnhtbFBLAQIUABQAAAAIAIdO4kAzLwWeOwAA&#10;ADkAAAAQAAAAAAAAAAEAIAAAAAgBAABkcnMvc2hhcGV4bWwueG1sUEsFBgAAAAAGAAYAWwEAALID&#10;AAAAAA==&#10;">
                    <v:fill on="t" focussize="0,0"/>
                    <v:stroke color="#000000" miterlimit="8" joinstyle="miter"/>
                    <v:imagedata o:title=""/>
                    <o:lock v:ext="edit" aspectratio="f"/>
                    <v:textbox>
                      <w:txbxContent>
                        <w:p w14:paraId="7B41FDF7">
                          <w:pPr>
                            <w:widowControl w:val="0"/>
                            <w:spacing w:line="240" w:lineRule="auto"/>
                            <w:jc w:val="center"/>
                            <w:textAlignment w:val="auto"/>
                            <w:rPr>
                              <w:kern w:val="2"/>
                              <w:sz w:val="15"/>
                              <w:szCs w:val="15"/>
                            </w:rPr>
                          </w:pPr>
                          <w:r>
                            <w:rPr>
                              <w:rFonts w:hint="eastAsia"/>
                              <w:kern w:val="2"/>
                              <w:sz w:val="15"/>
                              <w:szCs w:val="15"/>
                            </w:rPr>
                            <w:t>计算（</w:t>
                          </w:r>
                          <w:r>
                            <w:rPr>
                              <w:i/>
                              <w:kern w:val="2"/>
                              <w:sz w:val="15"/>
                              <w:szCs w:val="15"/>
                            </w:rPr>
                            <w:t>LOC</w:t>
                          </w:r>
                          <w:r>
                            <w:rPr>
                              <w:rFonts w:hint="eastAsia"/>
                              <w:kern w:val="2"/>
                              <w:sz w:val="15"/>
                              <w:szCs w:val="15"/>
                            </w:rPr>
                            <w:t>、</w:t>
                          </w:r>
                          <w:r>
                            <w:rPr>
                              <w:i/>
                              <w:kern w:val="2"/>
                              <w:sz w:val="15"/>
                              <w:szCs w:val="15"/>
                            </w:rPr>
                            <w:t>M</w:t>
                          </w:r>
                          <w:r>
                            <w:rPr>
                              <w:rFonts w:hint="eastAsia"/>
                              <w:kern w:val="2"/>
                              <w:sz w:val="15"/>
                              <w:szCs w:val="15"/>
                            </w:rPr>
                            <w:t>、</w:t>
                          </w:r>
                          <w:r>
                            <w:rPr>
                              <w:rFonts w:hint="eastAsia"/>
                              <w:i/>
                              <w:kern w:val="2"/>
                              <w:sz w:val="15"/>
                              <w:szCs w:val="22"/>
                            </w:rPr>
                            <w:t>φ</w:t>
                          </w:r>
                          <w:r>
                            <w:rPr>
                              <w:rFonts w:hint="eastAsia"/>
                              <w:kern w:val="2"/>
                              <w:sz w:val="15"/>
                              <w:szCs w:val="15"/>
                            </w:rPr>
                            <w:t>、</w:t>
                          </w:r>
                          <w:r>
                            <w:rPr>
                              <w:i/>
                              <w:kern w:val="2"/>
                              <w:sz w:val="15"/>
                              <w:szCs w:val="15"/>
                            </w:rPr>
                            <w:t>i</w:t>
                          </w:r>
                          <w:r>
                            <w:rPr>
                              <w:rFonts w:hint="eastAsia"/>
                              <w:kern w:val="2"/>
                              <w:sz w:val="15"/>
                              <w:szCs w:val="15"/>
                            </w:rPr>
                            <w:t>）条件下对网格点个体风险的贡献</w:t>
                          </w:r>
                        </w:p>
                        <w:p w14:paraId="2DB8F76D">
                          <w:pPr>
                            <w:widowControl w:val="0"/>
                            <w:spacing w:line="240" w:lineRule="auto"/>
                            <w:jc w:val="center"/>
                            <w:textAlignment w:val="auto"/>
                            <w:rPr>
                              <w:kern w:val="2"/>
                              <w:sz w:val="18"/>
                              <w:szCs w:val="18"/>
                            </w:rPr>
                          </w:pPr>
                          <w:r>
                            <w:rPr>
                              <w:i/>
                              <w:kern w:val="2"/>
                              <w:szCs w:val="24"/>
                            </w:rPr>
                            <w:t>ΔIR</w:t>
                          </w:r>
                          <w:r>
                            <w:rPr>
                              <w:i/>
                              <w:kern w:val="2"/>
                              <w:szCs w:val="24"/>
                              <w:vertAlign w:val="subscript"/>
                            </w:rPr>
                            <w:t>S,M,</w:t>
                          </w:r>
                          <w:r>
                            <w:rPr>
                              <w:rFonts w:hint="eastAsia"/>
                              <w:i/>
                              <w:kern w:val="2"/>
                              <w:szCs w:val="24"/>
                              <w:vertAlign w:val="subscript"/>
                            </w:rPr>
                            <w:t>φ</w:t>
                          </w:r>
                          <w:r>
                            <w:rPr>
                              <w:i/>
                              <w:kern w:val="2"/>
                              <w:szCs w:val="24"/>
                              <w:vertAlign w:val="subscript"/>
                            </w:rPr>
                            <w:t>,i</w:t>
                          </w:r>
                          <w:r>
                            <w:rPr>
                              <w:i/>
                              <w:kern w:val="2"/>
                              <w:szCs w:val="24"/>
                            </w:rPr>
                            <w:t>=f</w:t>
                          </w:r>
                          <w:r>
                            <w:rPr>
                              <w:i/>
                              <w:kern w:val="2"/>
                              <w:szCs w:val="24"/>
                              <w:vertAlign w:val="subscript"/>
                            </w:rPr>
                            <w:t>S</w:t>
                          </w:r>
                          <w:r>
                            <w:rPr>
                              <w:i/>
                              <w:kern w:val="2"/>
                              <w:szCs w:val="24"/>
                            </w:rPr>
                            <w:t>×P</w:t>
                          </w:r>
                          <w:r>
                            <w:rPr>
                              <w:i/>
                              <w:kern w:val="2"/>
                              <w:szCs w:val="24"/>
                              <w:vertAlign w:val="subscript"/>
                            </w:rPr>
                            <w:t>M</w:t>
                          </w:r>
                          <w:r>
                            <w:rPr>
                              <w:i/>
                              <w:kern w:val="2"/>
                              <w:szCs w:val="24"/>
                            </w:rPr>
                            <w:t>×P</w:t>
                          </w:r>
                          <w:r>
                            <w:rPr>
                              <w:rFonts w:hint="eastAsia"/>
                              <w:i/>
                              <w:kern w:val="2"/>
                              <w:sz w:val="15"/>
                              <w:szCs w:val="22"/>
                              <w:vertAlign w:val="subscript"/>
                            </w:rPr>
                            <w:t>φ</w:t>
                          </w:r>
                          <w:r>
                            <w:rPr>
                              <w:i/>
                              <w:kern w:val="2"/>
                              <w:szCs w:val="24"/>
                            </w:rPr>
                            <w:t>×P</w:t>
                          </w:r>
                          <w:r>
                            <w:rPr>
                              <w:rFonts w:hint="eastAsia"/>
                              <w:i/>
                              <w:kern w:val="2"/>
                              <w:szCs w:val="24"/>
                              <w:vertAlign w:val="subscript"/>
                            </w:rPr>
                            <w:t>i</w:t>
                          </w:r>
                          <w:r>
                            <w:rPr>
                              <w:i/>
                              <w:kern w:val="2"/>
                              <w:szCs w:val="24"/>
                            </w:rPr>
                            <w:t>×P</w:t>
                          </w:r>
                          <w:r>
                            <w:rPr>
                              <w:i/>
                              <w:kern w:val="2"/>
                              <w:szCs w:val="24"/>
                              <w:vertAlign w:val="subscript"/>
                            </w:rPr>
                            <w:t>d</w:t>
                          </w:r>
                        </w:p>
                      </w:txbxContent>
                    </v:textbox>
                  </v:shape>
                  <v:shape id="AutoShape 678" o:spid="_x0000_s1026" o:spt="110" type="#_x0000_t110" style="position:absolute;left:360;top:4992;height:936;width:3240;v-text-anchor:middle;" fillcolor="#FFFFFF" filled="t" stroked="t" coordsize="21600,21600" o:gfxdata="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SuhcvQAA&#10;ANw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14:paraId="02C8D018">
                          <w:pPr>
                            <w:widowControl w:val="0"/>
                            <w:spacing w:line="240" w:lineRule="auto"/>
                            <w:jc w:val="center"/>
                            <w:textAlignment w:val="auto"/>
                            <w:rPr>
                              <w:kern w:val="2"/>
                              <w:sz w:val="15"/>
                              <w:szCs w:val="15"/>
                            </w:rPr>
                          </w:pPr>
                          <w:r>
                            <w:rPr>
                              <w:rFonts w:hint="eastAsia"/>
                              <w:kern w:val="2"/>
                              <w:sz w:val="15"/>
                              <w:szCs w:val="15"/>
                            </w:rPr>
                            <w:t>是否选择所有点火</w:t>
                          </w:r>
                          <w:r>
                            <w:rPr>
                              <w:rFonts w:hint="eastAsia"/>
                              <w:kern w:val="2"/>
                              <w:sz w:val="15"/>
                              <w:szCs w:val="15"/>
                              <w:highlight w:val="yellow"/>
                            </w:rPr>
                            <w:t>事件</w:t>
                          </w:r>
                        </w:p>
                      </w:txbxContent>
                    </v:textbox>
                  </v:shape>
                  <v:shape id="AutoShape 679" o:spid="_x0000_s1026" o:spt="110" type="#_x0000_t110" style="position:absolute;left:360;top:6240;height:1248;width:3240;v-text-anchor:middle;" fillcolor="#FFFFFF" filled="t" stroked="t" coordsize="21600,21600" o:gfxdata="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wZNx7sAAADc&#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14:paraId="7C43FEAE">
                          <w:pPr>
                            <w:widowControl w:val="0"/>
                            <w:spacing w:line="240" w:lineRule="exact"/>
                            <w:jc w:val="center"/>
                            <w:textAlignment w:val="auto"/>
                            <w:rPr>
                              <w:kern w:val="2"/>
                              <w:sz w:val="15"/>
                              <w:szCs w:val="15"/>
                            </w:rPr>
                          </w:pPr>
                          <w:r>
                            <w:rPr>
                              <w:rFonts w:hint="eastAsia"/>
                              <w:kern w:val="2"/>
                              <w:sz w:val="15"/>
                              <w:szCs w:val="15"/>
                            </w:rPr>
                            <w:t>是否选择所有天气等级和风向</w:t>
                          </w:r>
                        </w:p>
                      </w:txbxContent>
                    </v:textbox>
                  </v:shape>
                  <v:shape id="AutoShape 680" o:spid="_x0000_s1026" o:spt="110" type="#_x0000_t110" style="position:absolute;left:540;top:7800;height:936;width:2880;v-text-anchor:middle;" fillcolor="#FFFFFF" filled="t" stroked="t" coordsize="21600,21600" o:gfxdata="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zv1bO8AAAA&#10;3A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14:paraId="0AC40C5D">
                          <w:pPr>
                            <w:widowControl w:val="0"/>
                            <w:spacing w:line="240" w:lineRule="auto"/>
                            <w:jc w:val="center"/>
                            <w:textAlignment w:val="auto"/>
                            <w:rPr>
                              <w:kern w:val="2"/>
                              <w:sz w:val="15"/>
                              <w:szCs w:val="15"/>
                            </w:rPr>
                          </w:pPr>
                          <w:r>
                            <w:rPr>
                              <w:rFonts w:hint="eastAsia"/>
                              <w:kern w:val="2"/>
                              <w:sz w:val="15"/>
                              <w:szCs w:val="15"/>
                            </w:rPr>
                            <w:t>是否选择所有</w:t>
                          </w:r>
                          <w:r>
                            <w:rPr>
                              <w:i/>
                              <w:kern w:val="2"/>
                              <w:sz w:val="15"/>
                              <w:szCs w:val="15"/>
                              <w:highlight w:val="yellow"/>
                            </w:rPr>
                            <w:t>LOC</w:t>
                          </w:r>
                        </w:p>
                      </w:txbxContent>
                    </v:textbox>
                  </v:shape>
                  <v:shape id="Text Box 681" o:spid="_x0000_s1026" o:spt="202" type="#_x0000_t202" style="position:absolute;left:385;top:9205;height:1010;width:3306;v-text-anchor:middle;" fillcolor="#FFFFFF" filled="t" stroked="t" coordsize="21600,21600" o:gfxdata="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Dh4beugAAANw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textbox>
                      <w:txbxContent>
                        <w:p w14:paraId="0B4CAFB3">
                          <w:pPr>
                            <w:widowControl w:val="0"/>
                            <w:spacing w:line="380" w:lineRule="exact"/>
                            <w:jc w:val="center"/>
                            <w:textAlignment w:val="auto"/>
                            <w:rPr>
                              <w:kern w:val="2"/>
                              <w:sz w:val="15"/>
                              <w:szCs w:val="15"/>
                            </w:rPr>
                          </w:pPr>
                          <w:r>
                            <w:rPr>
                              <w:rFonts w:hint="eastAsia"/>
                              <w:kern w:val="2"/>
                              <w:sz w:val="15"/>
                              <w:szCs w:val="15"/>
                            </w:rPr>
                            <w:t>计算网格点处的个体风险</w:t>
                          </w:r>
                        </w:p>
                        <w:p w14:paraId="17FD1396">
                          <w:pPr>
                            <w:widowControl w:val="0"/>
                            <w:spacing w:line="240" w:lineRule="auto"/>
                            <w:jc w:val="center"/>
                            <w:textAlignment w:val="auto"/>
                            <w:rPr>
                              <w:kern w:val="2"/>
                              <w:sz w:val="18"/>
                              <w:szCs w:val="18"/>
                            </w:rPr>
                          </w:pPr>
                          <w:r>
                            <w:rPr>
                              <w:rFonts w:ascii="Calibri" w:hAnsi="Calibri"/>
                              <w:kern w:val="2"/>
                              <w:sz w:val="15"/>
                              <w:szCs w:val="15"/>
                            </w:rPr>
                            <w:object>
                              <v:shape id="_x0000_i1106" o:spt="75" type="#_x0000_t75" style="height:19.5pt;width:110.25pt;" o:ole="t" filled="f" o:preferrelative="t" stroked="f" coordsize="21600,21600">
                                <v:path/>
                                <v:fill on="f" focussize="0,0"/>
                                <v:stroke on="f" joinstyle="miter"/>
                                <v:imagedata r:id="rId177" o:title=""/>
                                <o:lock v:ext="edit" aspectratio="t"/>
                                <w10:wrap type="none"/>
                                <w10:anchorlock/>
                              </v:shape>
                              <o:OLEObject Type="Embed" ProgID="Equation.3" ShapeID="_x0000_i1106" DrawAspect="Content" ObjectID="_1468075809" r:id="rId178">
                                <o:LockedField>false</o:LockedField>
                              </o:OLEObject>
                            </w:object>
                          </w:r>
                        </w:p>
                      </w:txbxContent>
                    </v:textbox>
                  </v:shape>
                  <v:line id="Line 682" o:spid="_x0000_s1026" o:spt="20" style="position:absolute;left:1980;top:469;height:312;width:0;" filled="f" stroked="t" coordsize="21600,21600" o:gfxdata="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QcnqZ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Line 683" o:spid="_x0000_s1026" o:spt="20" style="position:absolute;left:1980;top:1560;height:312;width:0;" filled="f" stroked="t" coordsize="21600,21600" o:gfxdata="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t8C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Line 684" o:spid="_x0000_s1026" o:spt="20" style="position:absolute;left:1980;top:2341;height:312;width:0;" filled="f" stroked="t" coordsize="21600,21600" o:gfxdata="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OoUtw&#10;wAAAANw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line>
                  <v:line id="Line 685" o:spid="_x0000_s1026" o:spt="20" style="position:absolute;left:1980;top:3432;height:312;width:0;" filled="f" stroked="t" coordsize="21600,21600" o:gfxdata="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7e7r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Line 686" o:spid="_x0000_s1026" o:spt="20" style="position:absolute;left:1980;top:5928;height:312;width:0;" filled="f" stroked="t" coordsize="21600,21600" o:gfxdata="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1DtGr&#10;wAAAANw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line>
                  <v:line id="Line 687" o:spid="_x0000_s1026" o:spt="20" style="position:absolute;left:1980;top:7488;height:312;width:0;" filled="f" stroked="t" coordsize="21600,21600" o:gfxdata="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aQnQw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Line 688" o:spid="_x0000_s1026" o:spt="20" style="position:absolute;left:1980;top:8736;height:468;width:0;" filled="f" stroked="t" coordsize="21600,21600" o:gfxdata="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pDqR74A&#10;AADc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Line 689" o:spid="_x0000_s1026" o:spt="20" style="position:absolute;left:1980;top:4525;height:468;width:0;" filled="f" stroked="t" coordsize="21600,21600" o:gfxdata="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3E/c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Line 690" o:spid="_x0000_s1026" o:spt="20" style="position:absolute;left:3600;top:5460;height:0;width:1260;" filled="f" stroked="t" coordsize="21600,21600" o:gfxdata="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dbA5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691" o:spid="_x0000_s1026" o:spt="20" style="position:absolute;left:4860;top:2184;flip:y;height:3276;width:0;" filled="f" stroked="t" coordsize="21600,21600" o:gfxdata="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wfh87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Line 692" o:spid="_x0000_s1026" o:spt="20" style="position:absolute;left:3600;top:2184;flip:x;height:0;width:1260;" filled="f" stroked="t" coordsize="21600,21600" o:gfxdata="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FeD0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Line 693" o:spid="_x0000_s1026" o:spt="20" style="position:absolute;left:3600;top:6864;height:0;width:1440;" filled="f" stroked="t" coordsize="21600,21600" o:gfxdata="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4py5O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694" o:spid="_x0000_s1026" o:spt="20" style="position:absolute;left:5040;top:1249;flip:y;height:5616;width:0;" filled="f" stroked="t" coordsize="21600,21600" o:gfxdata="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QZObb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695" o:spid="_x0000_s1026" o:spt="20" style="position:absolute;left:3780;top:1249;flip:x;height:0;width:1260;" filled="f" stroked="t" coordsize="21600,21600" o:gfxdata="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inSG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Line 696" o:spid="_x0000_s1026" o:spt="20" style="position:absolute;left:3420;top:8269;height:0;width:2160;" filled="f" stroked="t" coordsize="21600,21600" o:gfxdata="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kifIe/&#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697" o:spid="_x0000_s1026" o:spt="20" style="position:absolute;left:5580;top:156;flip:y;height:8112;width:0;" filled="f" stroked="t" coordsize="21600,21600" o:gfxdata="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lAtTb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Line 698" o:spid="_x0000_s1026" o:spt="20" style="position:absolute;left:3600;top:156;flip:x;height:0;width:1980;" filled="f" stroked="t" coordsize="21600,21600" o:gfxdata="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QixK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shape id="Text Box 699" o:spid="_x0000_s1026" o:spt="202" type="#_x0000_t202" style="position:absolute;left:2520;top:8674;height:468;width:540;" fillcolor="#FFFFFF" filled="t" stroked="f" coordsize="21600,21600" o:gfxdata="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M8zS7sAAADc&#10;AAAADwAAAAAAAAABACAAAAAiAAAAZHJzL2Rvd25yZXYueG1sUEsBAhQAFAAAAAgAh07iQDMvBZ47&#10;AAAAOQAAABAAAAAAAAAAAQAgAAAACgEAAGRycy9zaGFwZXhtbC54bWxQSwUGAAAAAAYABgBbAQAA&#10;tAMAAAAA&#10;">
                    <v:fill on="t" focussize="0,0"/>
                    <v:stroke on="f"/>
                    <v:imagedata o:title=""/>
                    <o:lock v:ext="edit" aspectratio="f"/>
                    <v:textbox>
                      <w:txbxContent>
                        <w:p w14:paraId="0BE622CD">
                          <w:pPr>
                            <w:widowControl w:val="0"/>
                            <w:spacing w:line="240" w:lineRule="auto"/>
                            <w:textAlignment w:val="auto"/>
                            <w:rPr>
                              <w:kern w:val="2"/>
                              <w:sz w:val="15"/>
                              <w:szCs w:val="15"/>
                            </w:rPr>
                          </w:pPr>
                          <w:r>
                            <w:rPr>
                              <w:rFonts w:hint="eastAsia"/>
                              <w:kern w:val="2"/>
                              <w:sz w:val="15"/>
                              <w:szCs w:val="15"/>
                            </w:rPr>
                            <w:t>是</w:t>
                          </w:r>
                        </w:p>
                      </w:txbxContent>
                    </v:textbox>
                  </v:shape>
                  <v:shape id="Text Box 700" o:spid="_x0000_s1026" o:spt="202" type="#_x0000_t202" style="position:absolute;left:3960;top:7738;height:468;width:720;" fillcolor="#FFFFFF" filled="t" stroked="f" coordsize="21600,21600" o:gfxdata="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rJqs/twAAANwAAAAP&#10;AAAAAAAAAAEAIAAAACIAAABkcnMvZG93bnJldi54bWxQSwECFAAUAAAACACHTuJAMy8FnjsAAAA5&#10;AAAAEAAAAAAAAAABACAAAAAGAQAAZHJzL3NoYXBleG1sLnhtbFBLBQYAAAAABgAGAFsBAACwAwAA&#10;AAA=&#10;">
                    <v:fill on="t" focussize="0,0"/>
                    <v:stroke on="f"/>
                    <v:imagedata o:title=""/>
                    <o:lock v:ext="edit" aspectratio="f"/>
                    <v:textbox>
                      <w:txbxContent>
                        <w:p w14:paraId="083691DE">
                          <w:pPr>
                            <w:widowControl w:val="0"/>
                            <w:spacing w:line="240" w:lineRule="auto"/>
                            <w:jc w:val="center"/>
                            <w:textAlignment w:val="auto"/>
                            <w:rPr>
                              <w:kern w:val="2"/>
                              <w:sz w:val="15"/>
                              <w:szCs w:val="15"/>
                            </w:rPr>
                          </w:pPr>
                          <w:r>
                            <w:rPr>
                              <w:rFonts w:hint="eastAsia"/>
                              <w:kern w:val="2"/>
                              <w:sz w:val="15"/>
                              <w:szCs w:val="15"/>
                            </w:rPr>
                            <w:t>否</w:t>
                          </w:r>
                        </w:p>
                      </w:txbxContent>
                    </v:textbox>
                  </v:shape>
                  <v:shape id="Text Box 701" o:spid="_x0000_s1026" o:spt="202" type="#_x0000_t202" style="position:absolute;left:2520;top:7423;height:468;width:540;" fillcolor="#FFFFFF" filled="t" stroked="f" coordsize="21600,21600" o:gfxdata="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Eag6ktwAAANwAAAAP&#10;AAAAAAAAAAEAIAAAACIAAABkcnMvZG93bnJldi54bWxQSwECFAAUAAAACACHTuJAMy8FnjsAAAA5&#10;AAAAEAAAAAAAAAABACAAAAAGAQAAZHJzL3NoYXBleG1sLnhtbFBLBQYAAAAABgAGAFsBAACwAwAA&#10;AAA=&#10;">
                    <v:fill on="t" focussize="0,0"/>
                    <v:stroke on="f"/>
                    <v:imagedata o:title=""/>
                    <o:lock v:ext="edit" aspectratio="f"/>
                    <v:textbox>
                      <w:txbxContent>
                        <w:p w14:paraId="38E109A4">
                          <w:pPr>
                            <w:widowControl w:val="0"/>
                            <w:spacing w:line="240" w:lineRule="auto"/>
                            <w:textAlignment w:val="auto"/>
                            <w:rPr>
                              <w:kern w:val="2"/>
                              <w:sz w:val="15"/>
                              <w:szCs w:val="15"/>
                            </w:rPr>
                          </w:pPr>
                          <w:r>
                            <w:rPr>
                              <w:rFonts w:hint="eastAsia"/>
                              <w:kern w:val="2"/>
                              <w:sz w:val="15"/>
                              <w:szCs w:val="15"/>
                            </w:rPr>
                            <w:t>是</w:t>
                          </w:r>
                        </w:p>
                      </w:txbxContent>
                    </v:textbox>
                  </v:shape>
                  <v:shape id="Text Box 702" o:spid="_x0000_s1026" o:spt="202" type="#_x0000_t202" style="position:absolute;left:3960;top:6471;height:347;width:720;" fillcolor="#FFFFFF" filled="t" stroked="f" coordsize="21600,21600" o:gfxdata="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0uJDTtwAAANwAAAAP&#10;AAAAAAAAAAEAIAAAACIAAABkcnMvZG93bnJldi54bWxQSwECFAAUAAAACACHTuJAMy8FnjsAAAA5&#10;AAAAEAAAAAAAAAABACAAAAAGAQAAZHJzL3NoYXBleG1sLnhtbFBLBQYAAAAABgAGAFsBAACwAwAA&#10;AAA=&#10;">
                    <v:fill on="t" focussize="0,0"/>
                    <v:stroke on="f"/>
                    <v:imagedata o:title=""/>
                    <o:lock v:ext="edit" aspectratio="f"/>
                    <v:textbox>
                      <w:txbxContent>
                        <w:p w14:paraId="09EABC87">
                          <w:pPr>
                            <w:widowControl w:val="0"/>
                            <w:spacing w:line="240" w:lineRule="auto"/>
                            <w:jc w:val="center"/>
                            <w:textAlignment w:val="auto"/>
                            <w:rPr>
                              <w:kern w:val="2"/>
                              <w:sz w:val="15"/>
                              <w:szCs w:val="15"/>
                            </w:rPr>
                          </w:pPr>
                          <w:r>
                            <w:rPr>
                              <w:rFonts w:hint="eastAsia"/>
                              <w:kern w:val="2"/>
                              <w:sz w:val="15"/>
                              <w:szCs w:val="15"/>
                            </w:rPr>
                            <w:t>否</w:t>
                          </w:r>
                        </w:p>
                      </w:txbxContent>
                    </v:textbox>
                  </v:shape>
                  <v:shape id="Text Box 703" o:spid="_x0000_s1026" o:spt="202" type="#_x0000_t202" style="position:absolute;left:2520;top:5866;height:468;width:540;" fillcolor="#FFFFFF" filled="t" stroked="f" coordsize="21600,21600" o:gfxdata="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v0NUi5AAAA3AAA&#10;AA8AAAAAAAAAAQAgAAAAIgAAAGRycy9kb3ducmV2LnhtbFBLAQIUABQAAAAIAIdO4kAzLwWeOwAA&#10;ADkAAAAQAAAAAAAAAAEAIAAAAAgBAABkcnMvc2hhcGV4bWwueG1sUEsFBgAAAAAGAAYAWwEAALID&#10;AAAAAA==&#10;">
                    <v:fill on="t" focussize="0,0"/>
                    <v:stroke on="f"/>
                    <v:imagedata o:title=""/>
                    <o:lock v:ext="edit" aspectratio="f"/>
                    <v:textbox>
                      <w:txbxContent>
                        <w:p w14:paraId="3567BC43">
                          <w:pPr>
                            <w:widowControl w:val="0"/>
                            <w:spacing w:line="240" w:lineRule="auto"/>
                            <w:textAlignment w:val="auto"/>
                            <w:rPr>
                              <w:kern w:val="2"/>
                              <w:sz w:val="15"/>
                              <w:szCs w:val="15"/>
                            </w:rPr>
                          </w:pPr>
                          <w:r>
                            <w:rPr>
                              <w:rFonts w:hint="eastAsia"/>
                              <w:kern w:val="2"/>
                              <w:sz w:val="15"/>
                              <w:szCs w:val="15"/>
                            </w:rPr>
                            <w:t>是</w:t>
                          </w:r>
                        </w:p>
                      </w:txbxContent>
                    </v:textbox>
                  </v:shape>
                </v:group>
                <v:shape id="Text Box 704" o:spid="_x0000_s1026" o:spt="202" type="#_x0000_t202" style="position:absolute;left:3979;top:5101;height:312;width:720;" fillcolor="#FFFFFF" filled="t" stroked="f" coordsize="21600,21600" o:gfxdata="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muhOr4A&#10;AADcAAAADwAAAAAAAAABACAAAAAiAAAAZHJzL2Rvd25yZXYueG1sUEsBAhQAFAAAAAgAh07iQDMv&#10;BZ47AAAAOQAAABAAAAAAAAAAAQAgAAAADQEAAGRycy9zaGFwZXhtbC54bWxQSwUGAAAAAAYABgBb&#10;AQAAtwMAAAAA&#10;">
                  <v:fill on="t" focussize="0,0"/>
                  <v:stroke on="f"/>
                  <v:imagedata o:title=""/>
                  <o:lock v:ext="edit" aspectratio="f"/>
                  <v:textbox>
                    <w:txbxContent>
                      <w:p w14:paraId="2024EA44">
                        <w:pPr>
                          <w:widowControl w:val="0"/>
                          <w:spacing w:line="240" w:lineRule="auto"/>
                          <w:jc w:val="center"/>
                          <w:textAlignment w:val="auto"/>
                          <w:rPr>
                            <w:kern w:val="2"/>
                            <w:sz w:val="15"/>
                            <w:szCs w:val="15"/>
                          </w:rPr>
                        </w:pPr>
                        <w:r>
                          <w:rPr>
                            <w:rFonts w:hint="eastAsia"/>
                            <w:kern w:val="2"/>
                            <w:sz w:val="15"/>
                            <w:szCs w:val="15"/>
                          </w:rPr>
                          <w:t>否</w:t>
                        </w:r>
                      </w:p>
                    </w:txbxContent>
                  </v:textbox>
                </v:shape>
                <w10:wrap type="none"/>
                <w10:anchorlock/>
              </v:group>
            </w:pict>
          </mc:Fallback>
        </mc:AlternateContent>
      </w:r>
    </w:p>
    <w:p w14:paraId="38B7E02A">
      <w:pPr>
        <w:widowControl w:val="0"/>
        <w:spacing w:before="156" w:beforeLines="50" w:after="156" w:afterLines="50"/>
        <w:jc w:val="center"/>
        <w:rPr>
          <w:rFonts w:hint="eastAsia" w:ascii="黑体" w:hAnsi="黑体" w:eastAsia="黑体"/>
          <w:kern w:val="2"/>
          <w:szCs w:val="24"/>
        </w:rPr>
      </w:pPr>
      <w:bookmarkStart w:id="276" w:name="_Toc508891565"/>
      <w:r>
        <w:rPr>
          <w:rFonts w:hint="eastAsia" w:ascii="黑体" w:hAnsi="黑体" w:eastAsia="黑体"/>
          <w:kern w:val="2"/>
          <w:szCs w:val="24"/>
        </w:rPr>
        <w:t>图 B.6</w:t>
      </w:r>
      <w:r>
        <w:rPr>
          <w:rFonts w:ascii="黑体" w:hAnsi="黑体" w:eastAsia="黑体"/>
          <w:kern w:val="2"/>
          <w:szCs w:val="24"/>
        </w:rPr>
        <w:t xml:space="preserve">  </w:t>
      </w:r>
      <w:r>
        <w:rPr>
          <w:rFonts w:hint="eastAsia" w:ascii="黑体" w:hAnsi="黑体" w:eastAsia="黑体"/>
          <w:kern w:val="2"/>
          <w:szCs w:val="24"/>
        </w:rPr>
        <w:t>网格单元的个人风险计算程序</w:t>
      </w:r>
      <w:bookmarkEnd w:id="276"/>
    </w:p>
    <w:p w14:paraId="6390EA23">
      <w:pPr>
        <w:pStyle w:val="109"/>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br w:type="textWrapping"/>
      </w:r>
      <w:bookmarkStart w:id="277" w:name="_Toc180478641"/>
      <w:r>
        <w:rPr>
          <w:rFonts w:ascii="Times New Roman"/>
          <w:color w:val="000000" w:themeColor="text1"/>
          <w:szCs w:val="21"/>
          <w14:textFill>
            <w14:solidFill>
              <w14:schemeClr w14:val="tx1"/>
            </w14:solidFill>
          </w14:textFill>
        </w:rPr>
        <w:t>（</w:t>
      </w:r>
      <w:r>
        <w:rPr>
          <w:rFonts w:hint="eastAsia" w:ascii="Times New Roman"/>
          <w:color w:val="000000" w:themeColor="text1"/>
          <w:szCs w:val="21"/>
          <w14:textFill>
            <w14:solidFill>
              <w14:schemeClr w14:val="tx1"/>
            </w14:solidFill>
          </w14:textFill>
        </w:rPr>
        <w:t>规范性</w:t>
      </w:r>
      <w:r>
        <w:rPr>
          <w:rFonts w:ascii="Times New Roman"/>
          <w:color w:val="000000" w:themeColor="text1"/>
          <w:szCs w:val="21"/>
          <w14:textFill>
            <w14:solidFill>
              <w14:schemeClr w14:val="tx1"/>
            </w14:solidFill>
          </w14:textFill>
        </w:rPr>
        <w:t>）</w:t>
      </w:r>
      <w:r>
        <w:rPr>
          <w:rFonts w:ascii="Times New Roman"/>
          <w:color w:val="000000" w:themeColor="text1"/>
          <w:szCs w:val="21"/>
          <w14:textFill>
            <w14:solidFill>
              <w14:schemeClr w14:val="tx1"/>
            </w14:solidFill>
          </w14:textFill>
        </w:rPr>
        <w:br w:type="textWrapping"/>
      </w:r>
      <w:r>
        <w:rPr>
          <w:rFonts w:hint="eastAsia" w:hAnsi="黑体"/>
          <w:color w:val="000000" w:themeColor="text1"/>
          <w:szCs w:val="21"/>
          <w14:textFill>
            <w14:solidFill>
              <w14:schemeClr w14:val="tx1"/>
            </w14:solidFill>
          </w14:textFill>
        </w:rPr>
        <w:t>个人风险基准</w:t>
      </w:r>
      <w:bookmarkEnd w:id="277"/>
    </w:p>
    <w:p w14:paraId="4973259B">
      <w:pPr>
        <w:widowControl w:val="0"/>
        <w:spacing w:line="240" w:lineRule="auto"/>
        <w:textAlignment w:val="auto"/>
        <w:rPr>
          <w:rFonts w:hint="eastAsia" w:ascii="黑体" w:hAnsi="黑体" w:eastAsia="黑体"/>
          <w:color w:val="auto"/>
          <w:kern w:val="2"/>
          <w:szCs w:val="21"/>
        </w:rPr>
      </w:pPr>
      <w:r>
        <w:rPr>
          <w:rFonts w:hint="eastAsia" w:ascii="黑体" w:eastAsia="黑体"/>
          <w:color w:val="auto"/>
        </w:rPr>
        <w:t>C.</w:t>
      </w:r>
      <w:r>
        <w:rPr>
          <w:rFonts w:ascii="黑体" w:eastAsia="黑体"/>
          <w:color w:val="auto"/>
        </w:rPr>
        <w:t>1</w:t>
      </w:r>
      <w:r>
        <w:rPr>
          <w:rFonts w:hint="eastAsia" w:ascii="黑体" w:eastAsia="黑体"/>
          <w:color w:val="auto"/>
        </w:rPr>
        <w:t>防</w:t>
      </w:r>
      <w:r>
        <w:rPr>
          <w:rFonts w:hint="eastAsia" w:ascii="黑体" w:hAnsi="黑体" w:eastAsia="黑体"/>
          <w:color w:val="auto"/>
          <w:kern w:val="2"/>
          <w:szCs w:val="21"/>
        </w:rPr>
        <w:t>护目标</w:t>
      </w:r>
    </w:p>
    <w:p w14:paraId="61768838">
      <w:pPr>
        <w:widowControl w:val="0"/>
        <w:spacing w:line="240" w:lineRule="auto"/>
        <w:textAlignment w:val="auto"/>
        <w:rPr>
          <w:rFonts w:hint="eastAsia" w:ascii="宋体" w:hAnsi="宋体" w:cs="宋体"/>
          <w:color w:val="auto"/>
          <w:kern w:val="2"/>
          <w:szCs w:val="21"/>
        </w:rPr>
      </w:pPr>
      <w:r>
        <w:rPr>
          <w:rFonts w:hint="eastAsia" w:ascii="黑体" w:hAnsi="黑体" w:eastAsia="黑体" w:cs="宋体"/>
          <w:color w:val="auto"/>
          <w:kern w:val="2"/>
          <w:szCs w:val="21"/>
        </w:rPr>
        <w:t>C</w:t>
      </w:r>
      <w:r>
        <w:rPr>
          <w:rFonts w:ascii="黑体" w:hAnsi="黑体" w:eastAsia="黑体" w:cs="宋体"/>
          <w:color w:val="auto"/>
          <w:kern w:val="2"/>
          <w:szCs w:val="21"/>
        </w:rPr>
        <w:t>.1.1</w:t>
      </w:r>
      <w:r>
        <w:rPr>
          <w:rFonts w:ascii="宋体" w:hAnsi="宋体" w:cs="宋体"/>
          <w:color w:val="auto"/>
          <w:kern w:val="2"/>
          <w:szCs w:val="21"/>
        </w:rPr>
        <w:t xml:space="preserve"> </w:t>
      </w:r>
      <w:r>
        <w:rPr>
          <w:rFonts w:hint="eastAsia" w:ascii="宋体" w:hAnsi="宋体" w:cs="宋体"/>
          <w:color w:val="auto"/>
          <w:kern w:val="2"/>
          <w:szCs w:val="21"/>
        </w:rPr>
        <w:t>防护目标按设施或场所实际使用的主要性质，分为高敏感防护目标、重要防护目标、一般防护目标。</w:t>
      </w:r>
    </w:p>
    <w:p w14:paraId="1B54AF2D">
      <w:pPr>
        <w:widowControl w:val="0"/>
        <w:spacing w:line="240" w:lineRule="auto"/>
        <w:textAlignment w:val="auto"/>
        <w:rPr>
          <w:color w:val="auto"/>
          <w:kern w:val="2"/>
          <w:szCs w:val="21"/>
        </w:rPr>
      </w:pPr>
      <w:r>
        <w:rPr>
          <w:rFonts w:hint="eastAsia" w:ascii="黑体" w:hAnsi="黑体" w:eastAsia="黑体" w:cs="宋体"/>
          <w:color w:val="auto"/>
          <w:kern w:val="2"/>
          <w:szCs w:val="21"/>
        </w:rPr>
        <w:t>C</w:t>
      </w:r>
      <w:r>
        <w:rPr>
          <w:rFonts w:ascii="黑体" w:hAnsi="黑体" w:eastAsia="黑体" w:cs="宋体"/>
          <w:color w:val="auto"/>
          <w:kern w:val="2"/>
          <w:szCs w:val="21"/>
        </w:rPr>
        <w:t>.</w:t>
      </w:r>
      <w:r>
        <w:rPr>
          <w:rFonts w:hint="eastAsia" w:ascii="黑体" w:hAnsi="黑体" w:eastAsia="黑体"/>
          <w:color w:val="auto"/>
          <w:kern w:val="2"/>
          <w:szCs w:val="21"/>
        </w:rPr>
        <w:t>1.</w:t>
      </w:r>
      <w:r>
        <w:rPr>
          <w:rFonts w:ascii="黑体" w:hAnsi="黑体" w:eastAsia="黑体"/>
          <w:color w:val="auto"/>
          <w:kern w:val="2"/>
          <w:szCs w:val="21"/>
        </w:rPr>
        <w:t>2</w:t>
      </w:r>
      <w:r>
        <w:rPr>
          <w:rFonts w:hint="eastAsia" w:ascii="黑体" w:hAnsi="黑体" w:eastAsia="黑体"/>
          <w:color w:val="auto"/>
          <w:kern w:val="2"/>
          <w:szCs w:val="21"/>
        </w:rPr>
        <w:t xml:space="preserve"> </w:t>
      </w:r>
      <w:r>
        <w:rPr>
          <w:rFonts w:hint="eastAsia"/>
          <w:color w:val="auto"/>
          <w:kern w:val="2"/>
          <w:szCs w:val="21"/>
        </w:rPr>
        <w:t xml:space="preserve"> 高敏感防护目标包括下列设施或场所：</w:t>
      </w:r>
    </w:p>
    <w:p w14:paraId="1AD11B3B">
      <w:pPr>
        <w:widowControl w:val="0"/>
        <w:spacing w:line="240" w:lineRule="auto"/>
        <w:ind w:left="424" w:leftChars="202"/>
        <w:jc w:val="left"/>
        <w:textAlignment w:val="auto"/>
        <w:rPr>
          <w:color w:val="auto"/>
          <w:kern w:val="2"/>
          <w:szCs w:val="32"/>
        </w:rPr>
      </w:pPr>
      <w:r>
        <w:rPr>
          <w:lang w:val="zh-CN"/>
        </w:rPr>
        <w:t>a</w:t>
      </w:r>
      <w:r>
        <w:rPr>
          <w:rFonts w:hint="eastAsia"/>
          <w:lang w:val="zh-CN"/>
        </w:rPr>
        <w:t>）</w:t>
      </w:r>
      <w:r>
        <w:rPr>
          <w:rFonts w:hint="eastAsia"/>
          <w:color w:val="auto"/>
          <w:kern w:val="2"/>
          <w:szCs w:val="32"/>
        </w:rPr>
        <w:t>文化设施。包括：综合文化活动中心、文化馆、青少年宫、儿童活动中心、老年活动中心等设施。</w:t>
      </w:r>
    </w:p>
    <w:p w14:paraId="630E5DA7">
      <w:pPr>
        <w:widowControl w:val="0"/>
        <w:spacing w:line="240" w:lineRule="auto"/>
        <w:ind w:left="424" w:leftChars="202"/>
        <w:jc w:val="left"/>
        <w:textAlignment w:val="auto"/>
        <w:rPr>
          <w:color w:val="auto"/>
          <w:kern w:val="2"/>
          <w:szCs w:val="32"/>
        </w:rPr>
      </w:pPr>
      <w:r>
        <w:rPr>
          <w:lang w:val="zh-CN"/>
        </w:rPr>
        <w:t>b</w:t>
      </w:r>
      <w:r>
        <w:rPr>
          <w:rFonts w:hint="eastAsia"/>
          <w:lang w:val="zh-CN"/>
        </w:rPr>
        <w:t>）</w:t>
      </w:r>
      <w:r>
        <w:rPr>
          <w:rFonts w:hint="eastAsia"/>
          <w:color w:val="auto"/>
          <w:kern w:val="2"/>
          <w:szCs w:val="32"/>
        </w:rPr>
        <w:t>教育设施。包括：高等院校、中等专业学校、体育训练基地、中学、小学、幼儿园、业余学校、民营培训机构及其附属设施，包括为学校配建的独立地段的学生生活场所。</w:t>
      </w:r>
    </w:p>
    <w:p w14:paraId="392BCADA">
      <w:pPr>
        <w:widowControl w:val="0"/>
        <w:spacing w:line="240" w:lineRule="auto"/>
        <w:ind w:left="424" w:leftChars="202"/>
        <w:jc w:val="left"/>
        <w:textAlignment w:val="auto"/>
        <w:rPr>
          <w:color w:val="auto"/>
          <w:kern w:val="2"/>
          <w:szCs w:val="32"/>
        </w:rPr>
      </w:pPr>
      <w:r>
        <w:rPr>
          <w:lang w:val="zh-CN"/>
        </w:rPr>
        <w:t>c</w:t>
      </w:r>
      <w:r>
        <w:rPr>
          <w:rFonts w:hint="eastAsia"/>
          <w:lang w:val="zh-CN"/>
        </w:rPr>
        <w:t>）</w:t>
      </w:r>
      <w:r>
        <w:rPr>
          <w:rFonts w:hint="eastAsia"/>
          <w:color w:val="auto"/>
          <w:kern w:val="2"/>
          <w:szCs w:val="32"/>
        </w:rPr>
        <w:t>医疗卫生场所。包括：医疗、保健、卫生、防疫、康复和急救场所；不包括：居住小区及小区级以下的卫生服务设施。</w:t>
      </w:r>
    </w:p>
    <w:p w14:paraId="6011D859">
      <w:pPr>
        <w:widowControl w:val="0"/>
        <w:spacing w:line="240" w:lineRule="auto"/>
        <w:ind w:left="424" w:leftChars="202"/>
        <w:jc w:val="left"/>
        <w:textAlignment w:val="auto"/>
        <w:rPr>
          <w:color w:val="auto"/>
          <w:kern w:val="2"/>
          <w:szCs w:val="32"/>
        </w:rPr>
      </w:pPr>
      <w:r>
        <w:rPr>
          <w:lang w:val="zh-CN"/>
        </w:rPr>
        <w:t>d</w:t>
      </w:r>
      <w:r>
        <w:rPr>
          <w:rFonts w:hint="eastAsia"/>
          <w:lang w:val="zh-CN"/>
        </w:rPr>
        <w:t>）</w:t>
      </w:r>
      <w:r>
        <w:rPr>
          <w:rFonts w:hint="eastAsia"/>
          <w:color w:val="auto"/>
          <w:kern w:val="2"/>
          <w:szCs w:val="32"/>
        </w:rPr>
        <w:t>社会福利设施。包括：福利院、养老院、孤儿院等为社会提供福利和慈善服务的设施及其附属设施。</w:t>
      </w:r>
    </w:p>
    <w:p w14:paraId="27A5AF4B">
      <w:pPr>
        <w:widowControl w:val="0"/>
        <w:spacing w:line="240" w:lineRule="auto"/>
        <w:ind w:left="424" w:leftChars="202"/>
        <w:jc w:val="left"/>
        <w:textAlignment w:val="auto"/>
        <w:rPr>
          <w:color w:val="auto"/>
          <w:kern w:val="2"/>
          <w:szCs w:val="32"/>
        </w:rPr>
      </w:pPr>
      <w:r>
        <w:rPr>
          <w:lang w:val="zh-CN"/>
        </w:rPr>
        <w:t>e</w:t>
      </w:r>
      <w:r>
        <w:rPr>
          <w:rFonts w:hint="eastAsia"/>
          <w:lang w:val="zh-CN"/>
        </w:rPr>
        <w:t>）</w:t>
      </w:r>
      <w:r>
        <w:rPr>
          <w:color w:val="auto"/>
          <w:kern w:val="2"/>
          <w:szCs w:val="32"/>
        </w:rPr>
        <w:t>其</w:t>
      </w:r>
      <w:r>
        <w:rPr>
          <w:rFonts w:hint="eastAsia"/>
          <w:color w:val="auto"/>
          <w:kern w:val="2"/>
          <w:szCs w:val="32"/>
        </w:rPr>
        <w:t>它</w:t>
      </w:r>
      <w:r>
        <w:rPr>
          <w:color w:val="auto"/>
          <w:kern w:val="2"/>
          <w:szCs w:val="32"/>
        </w:rPr>
        <w:t>在事故场景下自我保护能力相对较低群体聚集的场所</w:t>
      </w:r>
      <w:r>
        <w:rPr>
          <w:rFonts w:hint="eastAsia"/>
          <w:color w:val="auto"/>
          <w:kern w:val="2"/>
          <w:szCs w:val="32"/>
        </w:rPr>
        <w:t>。</w:t>
      </w:r>
    </w:p>
    <w:p w14:paraId="1A42855F">
      <w:pPr>
        <w:widowControl w:val="0"/>
        <w:spacing w:line="240" w:lineRule="auto"/>
        <w:jc w:val="left"/>
        <w:textAlignment w:val="auto"/>
        <w:rPr>
          <w:rFonts w:hint="eastAsia" w:ascii="宋体" w:hAnsi="宋体"/>
          <w:color w:val="auto"/>
          <w:kern w:val="2"/>
          <w:szCs w:val="32"/>
        </w:rPr>
      </w:pPr>
      <w:r>
        <w:rPr>
          <w:rFonts w:hint="eastAsia" w:ascii="黑体" w:hAnsi="黑体" w:eastAsia="黑体" w:cs="宋体"/>
          <w:color w:val="auto"/>
          <w:kern w:val="2"/>
          <w:szCs w:val="21"/>
        </w:rPr>
        <w:t>C</w:t>
      </w:r>
      <w:r>
        <w:rPr>
          <w:rFonts w:ascii="黑体" w:hAnsi="黑体" w:eastAsia="黑体" w:cs="宋体"/>
          <w:color w:val="auto"/>
          <w:kern w:val="2"/>
          <w:szCs w:val="21"/>
        </w:rPr>
        <w:t>.</w:t>
      </w:r>
      <w:r>
        <w:rPr>
          <w:rFonts w:hint="eastAsia" w:ascii="黑体" w:hAnsi="黑体" w:eastAsia="黑体"/>
          <w:color w:val="auto"/>
          <w:kern w:val="2"/>
          <w:szCs w:val="21"/>
        </w:rPr>
        <w:t>1.3</w:t>
      </w:r>
      <w:r>
        <w:rPr>
          <w:rFonts w:ascii="黑体" w:hAnsi="黑体" w:eastAsia="黑体"/>
          <w:color w:val="auto"/>
          <w:kern w:val="2"/>
          <w:szCs w:val="21"/>
        </w:rPr>
        <w:t xml:space="preserve"> </w:t>
      </w:r>
      <w:r>
        <w:rPr>
          <w:color w:val="auto"/>
          <w:kern w:val="2"/>
          <w:szCs w:val="24"/>
        </w:rPr>
        <w:t xml:space="preserve"> </w:t>
      </w:r>
      <w:r>
        <w:rPr>
          <w:rFonts w:ascii="宋体" w:hAnsi="宋体"/>
          <w:color w:val="auto"/>
          <w:kern w:val="2"/>
          <w:szCs w:val="32"/>
        </w:rPr>
        <w:t>重要</w:t>
      </w:r>
      <w:r>
        <w:rPr>
          <w:rFonts w:hint="eastAsia" w:ascii="宋体" w:hAnsi="宋体"/>
          <w:color w:val="auto"/>
          <w:kern w:val="2"/>
          <w:szCs w:val="32"/>
        </w:rPr>
        <w:t>防护</w:t>
      </w:r>
      <w:r>
        <w:rPr>
          <w:rFonts w:ascii="宋体" w:hAnsi="宋体"/>
          <w:color w:val="auto"/>
          <w:kern w:val="2"/>
          <w:szCs w:val="32"/>
        </w:rPr>
        <w:t>目标包括</w:t>
      </w:r>
      <w:r>
        <w:rPr>
          <w:rFonts w:hint="eastAsia" w:ascii="宋体" w:hAnsi="宋体"/>
          <w:color w:val="auto"/>
          <w:kern w:val="2"/>
          <w:szCs w:val="32"/>
        </w:rPr>
        <w:t>下列设施或场所：</w:t>
      </w:r>
    </w:p>
    <w:p w14:paraId="05035F0A">
      <w:pPr>
        <w:widowControl w:val="0"/>
        <w:spacing w:line="240" w:lineRule="auto"/>
        <w:ind w:left="424" w:leftChars="202"/>
        <w:jc w:val="left"/>
        <w:textAlignment w:val="auto"/>
        <w:rPr>
          <w:rFonts w:hint="eastAsia" w:ascii="宋体" w:hAnsi="宋体"/>
          <w:color w:val="auto"/>
          <w:kern w:val="2"/>
          <w:szCs w:val="32"/>
        </w:rPr>
      </w:pPr>
      <w:r>
        <w:rPr>
          <w:lang w:val="zh-CN"/>
        </w:rPr>
        <w:t>a</w:t>
      </w:r>
      <w:r>
        <w:rPr>
          <w:rFonts w:hint="eastAsia"/>
          <w:lang w:val="zh-CN"/>
        </w:rPr>
        <w:t>）</w:t>
      </w:r>
      <w:r>
        <w:rPr>
          <w:rFonts w:hint="eastAsia" w:ascii="宋体" w:hAnsi="宋体"/>
          <w:color w:val="auto"/>
          <w:kern w:val="2"/>
          <w:szCs w:val="32"/>
        </w:rPr>
        <w:t>公共图书展览设施。包括：公共图书馆、博物馆、档案馆、科技馆、纪念馆、美术馆、展览馆、会展中心等设施。</w:t>
      </w:r>
    </w:p>
    <w:p w14:paraId="6D61A7B8">
      <w:pPr>
        <w:widowControl w:val="0"/>
        <w:spacing w:line="240" w:lineRule="auto"/>
        <w:ind w:left="424" w:leftChars="202"/>
        <w:jc w:val="left"/>
        <w:textAlignment w:val="auto"/>
        <w:rPr>
          <w:rFonts w:hint="eastAsia" w:ascii="宋体" w:hAnsi="宋体"/>
          <w:color w:val="auto"/>
          <w:kern w:val="2"/>
          <w:szCs w:val="32"/>
        </w:rPr>
      </w:pPr>
      <w:r>
        <w:rPr>
          <w:lang w:val="zh-CN"/>
        </w:rPr>
        <w:t>b</w:t>
      </w:r>
      <w:r>
        <w:rPr>
          <w:rFonts w:hint="eastAsia"/>
          <w:lang w:val="zh-CN"/>
        </w:rPr>
        <w:t>）</w:t>
      </w:r>
      <w:r>
        <w:rPr>
          <w:rFonts w:hint="eastAsia" w:ascii="宋体" w:hAnsi="宋体"/>
          <w:color w:val="auto"/>
          <w:kern w:val="2"/>
          <w:szCs w:val="32"/>
        </w:rPr>
        <w:t>文物保护单位。</w:t>
      </w:r>
    </w:p>
    <w:p w14:paraId="566C3AAC">
      <w:pPr>
        <w:widowControl w:val="0"/>
        <w:spacing w:line="240" w:lineRule="auto"/>
        <w:ind w:left="424" w:leftChars="202"/>
        <w:jc w:val="left"/>
        <w:textAlignment w:val="auto"/>
        <w:rPr>
          <w:rFonts w:hint="eastAsia" w:ascii="宋体" w:hAnsi="宋体"/>
          <w:color w:val="auto"/>
          <w:kern w:val="2"/>
          <w:szCs w:val="32"/>
        </w:rPr>
      </w:pPr>
      <w:r>
        <w:rPr>
          <w:lang w:val="zh-CN"/>
        </w:rPr>
        <w:t>c</w:t>
      </w:r>
      <w:r>
        <w:rPr>
          <w:rFonts w:hint="eastAsia"/>
          <w:lang w:val="zh-CN"/>
        </w:rPr>
        <w:t>）</w:t>
      </w:r>
      <w:r>
        <w:rPr>
          <w:rFonts w:hint="eastAsia" w:ascii="宋体" w:hAnsi="宋体"/>
          <w:color w:val="auto"/>
          <w:kern w:val="2"/>
          <w:szCs w:val="32"/>
        </w:rPr>
        <w:t>宗教场所。包括：专门用于宗教活动的庙宇、寺院、道观、教堂等场所。</w:t>
      </w:r>
    </w:p>
    <w:p w14:paraId="1113CA01">
      <w:pPr>
        <w:widowControl w:val="0"/>
        <w:spacing w:line="240" w:lineRule="auto"/>
        <w:ind w:left="424" w:leftChars="202"/>
        <w:jc w:val="left"/>
        <w:textAlignment w:val="auto"/>
        <w:rPr>
          <w:rFonts w:hint="eastAsia" w:ascii="宋体" w:hAnsi="宋体"/>
          <w:color w:val="auto"/>
          <w:kern w:val="2"/>
          <w:szCs w:val="32"/>
        </w:rPr>
      </w:pPr>
      <w:r>
        <w:rPr>
          <w:lang w:val="zh-CN"/>
        </w:rPr>
        <w:t>d</w:t>
      </w:r>
      <w:r>
        <w:rPr>
          <w:rFonts w:hint="eastAsia"/>
          <w:lang w:val="zh-CN"/>
        </w:rPr>
        <w:t>）</w:t>
      </w:r>
      <w:r>
        <w:rPr>
          <w:rFonts w:hint="eastAsia" w:ascii="宋体" w:hAnsi="宋体"/>
          <w:color w:val="auto"/>
          <w:kern w:val="2"/>
          <w:szCs w:val="32"/>
        </w:rPr>
        <w:t>城市轨道交通设施。包括：独立地段的城市轨道交通地面以上部分的线路、站点。</w:t>
      </w:r>
    </w:p>
    <w:p w14:paraId="3F3942F5">
      <w:pPr>
        <w:widowControl w:val="0"/>
        <w:spacing w:line="240" w:lineRule="auto"/>
        <w:ind w:left="424" w:leftChars="202"/>
        <w:jc w:val="left"/>
        <w:textAlignment w:val="auto"/>
        <w:rPr>
          <w:rFonts w:hint="eastAsia" w:ascii="宋体" w:hAnsi="宋体"/>
          <w:color w:val="auto"/>
          <w:kern w:val="2"/>
          <w:szCs w:val="32"/>
        </w:rPr>
      </w:pPr>
      <w:r>
        <w:rPr>
          <w:lang w:val="zh-CN"/>
        </w:rPr>
        <w:t>e</w:t>
      </w:r>
      <w:r>
        <w:rPr>
          <w:rFonts w:hint="eastAsia"/>
          <w:lang w:val="zh-CN"/>
        </w:rPr>
        <w:t>）</w:t>
      </w:r>
      <w:r>
        <w:rPr>
          <w:rFonts w:hint="eastAsia" w:ascii="宋体" w:hAnsi="宋体"/>
          <w:color w:val="auto"/>
          <w:kern w:val="2"/>
          <w:szCs w:val="32"/>
        </w:rPr>
        <w:t>军事、安保设施。包括：专门用于军事目的的设施，监狱、拘留所设施。</w:t>
      </w:r>
    </w:p>
    <w:p w14:paraId="12CA8C7F">
      <w:pPr>
        <w:widowControl w:val="0"/>
        <w:spacing w:line="240" w:lineRule="auto"/>
        <w:ind w:left="424" w:leftChars="202"/>
        <w:jc w:val="left"/>
        <w:textAlignment w:val="auto"/>
        <w:rPr>
          <w:rFonts w:hint="eastAsia" w:ascii="宋体" w:hAnsi="宋体"/>
          <w:color w:val="auto"/>
          <w:kern w:val="2"/>
          <w:szCs w:val="32"/>
        </w:rPr>
      </w:pPr>
      <w:r>
        <w:rPr>
          <w:lang w:val="zh-CN"/>
        </w:rPr>
        <w:t>f</w:t>
      </w:r>
      <w:r>
        <w:rPr>
          <w:rFonts w:hint="eastAsia"/>
          <w:lang w:val="zh-CN"/>
        </w:rPr>
        <w:t>）</w:t>
      </w:r>
      <w:r>
        <w:rPr>
          <w:rFonts w:hint="eastAsia" w:ascii="宋体" w:hAnsi="宋体"/>
          <w:color w:val="auto"/>
          <w:kern w:val="2"/>
          <w:szCs w:val="32"/>
        </w:rPr>
        <w:t>外事场所。包括：外国政府及国际组织驻华使领馆、办事处等。</w:t>
      </w:r>
    </w:p>
    <w:p w14:paraId="7F7C8F4B">
      <w:pPr>
        <w:widowControl w:val="0"/>
        <w:spacing w:line="240" w:lineRule="auto"/>
        <w:ind w:left="424" w:leftChars="202"/>
        <w:jc w:val="left"/>
        <w:textAlignment w:val="auto"/>
        <w:rPr>
          <w:rFonts w:hint="eastAsia" w:ascii="宋体" w:hAnsi="宋体"/>
          <w:color w:val="auto"/>
          <w:kern w:val="2"/>
          <w:szCs w:val="32"/>
        </w:rPr>
      </w:pPr>
      <w:r>
        <w:rPr>
          <w:lang w:val="zh-CN"/>
        </w:rPr>
        <w:t>g</w:t>
      </w:r>
      <w:r>
        <w:rPr>
          <w:rFonts w:hint="eastAsia"/>
          <w:lang w:val="zh-CN"/>
        </w:rPr>
        <w:t>）</w:t>
      </w:r>
      <w:r>
        <w:rPr>
          <w:rFonts w:ascii="宋体" w:hAnsi="宋体"/>
          <w:color w:val="auto"/>
          <w:kern w:val="2"/>
          <w:szCs w:val="32"/>
        </w:rPr>
        <w:t>其</w:t>
      </w:r>
      <w:r>
        <w:rPr>
          <w:rFonts w:hint="eastAsia" w:ascii="宋体" w:hAnsi="宋体"/>
          <w:color w:val="auto"/>
          <w:kern w:val="2"/>
          <w:szCs w:val="32"/>
        </w:rPr>
        <w:t>它</w:t>
      </w:r>
      <w:r>
        <w:rPr>
          <w:rFonts w:ascii="宋体" w:hAnsi="宋体"/>
          <w:color w:val="auto"/>
          <w:kern w:val="2"/>
          <w:szCs w:val="32"/>
        </w:rPr>
        <w:t>具有保护价值的</w:t>
      </w:r>
      <w:r>
        <w:rPr>
          <w:rFonts w:hint="eastAsia" w:ascii="宋体" w:hAnsi="宋体"/>
          <w:color w:val="auto"/>
          <w:kern w:val="2"/>
          <w:szCs w:val="32"/>
        </w:rPr>
        <w:t>或</w:t>
      </w:r>
      <w:r>
        <w:rPr>
          <w:rFonts w:ascii="宋体" w:hAnsi="宋体"/>
          <w:color w:val="auto"/>
          <w:kern w:val="2"/>
          <w:szCs w:val="32"/>
        </w:rPr>
        <w:t>事故场景下人员</w:t>
      </w:r>
      <w:r>
        <w:rPr>
          <w:rFonts w:hint="eastAsia" w:ascii="宋体" w:hAnsi="宋体"/>
          <w:color w:val="auto"/>
          <w:kern w:val="2"/>
          <w:szCs w:val="32"/>
        </w:rPr>
        <w:t>不便</w:t>
      </w:r>
      <w:r>
        <w:rPr>
          <w:rFonts w:ascii="宋体" w:hAnsi="宋体"/>
          <w:color w:val="auto"/>
          <w:kern w:val="2"/>
          <w:szCs w:val="32"/>
        </w:rPr>
        <w:t>撤离的场所</w:t>
      </w:r>
      <w:r>
        <w:rPr>
          <w:rFonts w:hint="eastAsia" w:ascii="宋体" w:hAnsi="宋体"/>
          <w:color w:val="auto"/>
          <w:kern w:val="2"/>
          <w:szCs w:val="32"/>
        </w:rPr>
        <w:t>。</w:t>
      </w:r>
    </w:p>
    <w:p w14:paraId="6892220F">
      <w:pPr>
        <w:widowControl w:val="0"/>
        <w:spacing w:line="240" w:lineRule="auto"/>
        <w:jc w:val="left"/>
        <w:textAlignment w:val="auto"/>
        <w:rPr>
          <w:color w:val="auto"/>
          <w:kern w:val="2"/>
          <w:szCs w:val="24"/>
        </w:rPr>
      </w:pPr>
      <w:r>
        <w:rPr>
          <w:rFonts w:hint="eastAsia" w:ascii="黑体" w:hAnsi="黑体" w:eastAsia="黑体" w:cs="宋体"/>
          <w:color w:val="auto"/>
          <w:kern w:val="2"/>
          <w:szCs w:val="21"/>
        </w:rPr>
        <w:t>C</w:t>
      </w:r>
      <w:r>
        <w:rPr>
          <w:rFonts w:ascii="黑体" w:hAnsi="黑体" w:eastAsia="黑体" w:cs="宋体"/>
          <w:color w:val="auto"/>
          <w:kern w:val="2"/>
          <w:szCs w:val="21"/>
        </w:rPr>
        <w:t>.</w:t>
      </w:r>
      <w:r>
        <w:rPr>
          <w:rFonts w:hint="eastAsia" w:ascii="黑体" w:hAnsi="黑体" w:eastAsia="黑体"/>
          <w:color w:val="auto"/>
          <w:kern w:val="2"/>
          <w:szCs w:val="21"/>
        </w:rPr>
        <w:t>1.4</w:t>
      </w:r>
      <w:r>
        <w:rPr>
          <w:rFonts w:ascii="黑体" w:hAnsi="黑体" w:eastAsia="黑体"/>
          <w:color w:val="auto"/>
          <w:kern w:val="2"/>
          <w:szCs w:val="21"/>
        </w:rPr>
        <w:t xml:space="preserve"> </w:t>
      </w:r>
      <w:r>
        <w:rPr>
          <w:rFonts w:ascii="宋体" w:hAnsi="宋体"/>
          <w:color w:val="auto"/>
          <w:kern w:val="2"/>
          <w:szCs w:val="32"/>
        </w:rPr>
        <w:t xml:space="preserve"> </w:t>
      </w:r>
      <w:r>
        <w:rPr>
          <w:rFonts w:hint="eastAsia"/>
          <w:color w:val="auto"/>
          <w:kern w:val="2"/>
          <w:szCs w:val="24"/>
        </w:rPr>
        <w:t>一般防护目标根据其规模分为一类防护目标、二类防护目标和三类防护目标。一般防护目标的分类规定参见表C.1</w:t>
      </w:r>
      <w:r>
        <w:rPr>
          <w:color w:val="auto"/>
          <w:kern w:val="2"/>
          <w:szCs w:val="24"/>
        </w:rPr>
        <w:t xml:space="preserve"> </w:t>
      </w:r>
      <w:r>
        <w:rPr>
          <w:rFonts w:hint="eastAsia"/>
          <w:color w:val="auto"/>
          <w:kern w:val="2"/>
          <w:szCs w:val="24"/>
        </w:rPr>
        <w:t>一般防护目标的分类。</w:t>
      </w:r>
    </w:p>
    <w:p w14:paraId="4931965B">
      <w:pPr>
        <w:widowControl w:val="0"/>
        <w:spacing w:before="156" w:beforeLines="50" w:after="156" w:afterLines="50" w:line="240" w:lineRule="auto"/>
        <w:jc w:val="center"/>
        <w:textAlignment w:val="auto"/>
        <w:rPr>
          <w:rFonts w:hint="eastAsia" w:ascii="黑体" w:hAnsi="宋体" w:eastAsia="黑体"/>
          <w:color w:val="auto"/>
          <w:kern w:val="2"/>
          <w:szCs w:val="21"/>
        </w:rPr>
      </w:pPr>
      <w:r>
        <w:rPr>
          <w:rFonts w:ascii="黑体" w:hAnsi="宋体" w:eastAsia="黑体"/>
          <w:color w:val="auto"/>
          <w:kern w:val="2"/>
          <w:szCs w:val="21"/>
        </w:rPr>
        <w:t>表</w:t>
      </w:r>
      <w:r>
        <w:rPr>
          <w:rFonts w:hint="eastAsia" w:eastAsia="黑体"/>
          <w:color w:val="auto"/>
          <w:kern w:val="2"/>
          <w:szCs w:val="24"/>
        </w:rPr>
        <w:t>C</w:t>
      </w:r>
      <w:r>
        <w:rPr>
          <w:rFonts w:hint="eastAsia"/>
          <w:color w:val="auto"/>
          <w:kern w:val="2"/>
          <w:szCs w:val="24"/>
        </w:rPr>
        <w:t>.</w:t>
      </w:r>
      <w:r>
        <w:rPr>
          <w:rFonts w:hint="eastAsia" w:ascii="宋体" w:hAnsi="Courier New"/>
          <w:color w:val="auto"/>
          <w:kern w:val="2"/>
        </w:rPr>
        <w:t>1</w:t>
      </w:r>
      <w:r>
        <w:rPr>
          <w:rFonts w:hint="eastAsia" w:ascii="黑体" w:hAnsi="宋体" w:eastAsia="黑体"/>
          <w:color w:val="auto"/>
          <w:kern w:val="2"/>
          <w:szCs w:val="21"/>
        </w:rPr>
        <w:t xml:space="preserve"> </w:t>
      </w:r>
      <w:r>
        <w:rPr>
          <w:rFonts w:ascii="黑体" w:hAnsi="宋体" w:eastAsia="黑体"/>
          <w:color w:val="auto"/>
          <w:kern w:val="2"/>
          <w:szCs w:val="21"/>
        </w:rPr>
        <w:t xml:space="preserve"> </w:t>
      </w:r>
      <w:r>
        <w:rPr>
          <w:rFonts w:hint="eastAsia" w:ascii="黑体" w:hAnsi="宋体" w:eastAsia="黑体"/>
          <w:color w:val="auto"/>
          <w:kern w:val="2"/>
          <w:szCs w:val="21"/>
        </w:rPr>
        <w:t>一般防护目标的分类</w:t>
      </w:r>
    </w:p>
    <w:tbl>
      <w:tblPr>
        <w:tblStyle w:val="36"/>
        <w:tblW w:w="4997"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116"/>
        <w:gridCol w:w="1645"/>
        <w:gridCol w:w="1643"/>
        <w:gridCol w:w="1652"/>
      </w:tblGrid>
      <w:tr w14:paraId="720C58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blHeader/>
        </w:trPr>
        <w:tc>
          <w:tcPr>
            <w:tcW w:w="2273" w:type="pct"/>
            <w:tcBorders>
              <w:bottom w:val="single" w:color="auto" w:sz="12" w:space="0"/>
            </w:tcBorders>
            <w:vAlign w:val="center"/>
          </w:tcPr>
          <w:p w14:paraId="0E61F309">
            <w:pPr>
              <w:spacing w:line="240" w:lineRule="auto"/>
              <w:jc w:val="center"/>
              <w:textAlignment w:val="auto"/>
              <w:rPr>
                <w:rFonts w:hint="eastAsia" w:ascii="宋体" w:hAnsi="宋体" w:cs="宋体"/>
                <w:color w:val="auto"/>
                <w:sz w:val="18"/>
                <w:szCs w:val="18"/>
              </w:rPr>
            </w:pPr>
            <w:r>
              <w:rPr>
                <w:rFonts w:hint="eastAsia" w:ascii="宋体" w:hAnsi="宋体" w:cs="宋体"/>
                <w:color w:val="auto"/>
                <w:sz w:val="18"/>
                <w:szCs w:val="18"/>
              </w:rPr>
              <w:t>防护目标类型</w:t>
            </w:r>
          </w:p>
        </w:tc>
        <w:tc>
          <w:tcPr>
            <w:tcW w:w="908" w:type="pct"/>
            <w:tcBorders>
              <w:bottom w:val="single" w:color="auto" w:sz="12" w:space="0"/>
            </w:tcBorders>
            <w:vAlign w:val="center"/>
          </w:tcPr>
          <w:p w14:paraId="5EB548CE">
            <w:pPr>
              <w:spacing w:line="240" w:lineRule="auto"/>
              <w:jc w:val="center"/>
              <w:textAlignment w:val="auto"/>
              <w:rPr>
                <w:rFonts w:hint="eastAsia" w:ascii="宋体" w:hAnsi="宋体" w:cs="宋体"/>
                <w:color w:val="auto"/>
                <w:sz w:val="18"/>
                <w:szCs w:val="18"/>
              </w:rPr>
            </w:pPr>
            <w:r>
              <w:rPr>
                <w:rFonts w:hint="eastAsia" w:ascii="宋体" w:hAnsi="宋体" w:cs="宋体"/>
                <w:color w:val="auto"/>
                <w:sz w:val="18"/>
                <w:szCs w:val="18"/>
              </w:rPr>
              <w:t>一类防护目标</w:t>
            </w:r>
          </w:p>
        </w:tc>
        <w:tc>
          <w:tcPr>
            <w:tcW w:w="907" w:type="pct"/>
            <w:tcBorders>
              <w:bottom w:val="single" w:color="auto" w:sz="12" w:space="0"/>
            </w:tcBorders>
            <w:vAlign w:val="center"/>
          </w:tcPr>
          <w:p w14:paraId="6BB6EAF0">
            <w:pPr>
              <w:spacing w:line="240" w:lineRule="auto"/>
              <w:jc w:val="center"/>
              <w:textAlignment w:val="auto"/>
              <w:rPr>
                <w:rFonts w:hint="eastAsia" w:ascii="宋体" w:hAnsi="宋体" w:cs="宋体"/>
                <w:color w:val="auto"/>
                <w:sz w:val="18"/>
                <w:szCs w:val="18"/>
              </w:rPr>
            </w:pPr>
            <w:r>
              <w:rPr>
                <w:rFonts w:hint="eastAsia" w:ascii="宋体" w:hAnsi="宋体" w:cs="宋体"/>
                <w:color w:val="auto"/>
                <w:sz w:val="18"/>
                <w:szCs w:val="18"/>
              </w:rPr>
              <w:t>二类防护目标</w:t>
            </w:r>
          </w:p>
        </w:tc>
        <w:tc>
          <w:tcPr>
            <w:tcW w:w="913" w:type="pct"/>
            <w:tcBorders>
              <w:bottom w:val="single" w:color="auto" w:sz="12" w:space="0"/>
            </w:tcBorders>
            <w:vAlign w:val="center"/>
          </w:tcPr>
          <w:p w14:paraId="635FECCD">
            <w:pPr>
              <w:spacing w:line="240" w:lineRule="auto"/>
              <w:jc w:val="center"/>
              <w:textAlignment w:val="auto"/>
              <w:rPr>
                <w:rFonts w:hint="eastAsia" w:ascii="宋体" w:hAnsi="宋体" w:cs="宋体"/>
                <w:color w:val="auto"/>
                <w:sz w:val="18"/>
                <w:szCs w:val="18"/>
              </w:rPr>
            </w:pPr>
            <w:r>
              <w:rPr>
                <w:rFonts w:hint="eastAsia" w:ascii="宋体" w:hAnsi="宋体" w:cs="宋体"/>
                <w:color w:val="auto"/>
                <w:sz w:val="18"/>
                <w:szCs w:val="18"/>
              </w:rPr>
              <w:t>三类防护目标</w:t>
            </w:r>
          </w:p>
        </w:tc>
      </w:tr>
      <w:tr w14:paraId="167C61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2273" w:type="pct"/>
            <w:tcBorders>
              <w:top w:val="single" w:color="auto" w:sz="12" w:space="0"/>
            </w:tcBorders>
            <w:vAlign w:val="center"/>
          </w:tcPr>
          <w:p w14:paraId="5EB792A1">
            <w:pPr>
              <w:spacing w:line="240" w:lineRule="exact"/>
              <w:textAlignment w:val="auto"/>
              <w:rPr>
                <w:color w:val="auto"/>
                <w:sz w:val="18"/>
                <w:szCs w:val="18"/>
              </w:rPr>
            </w:pPr>
            <w:r>
              <w:rPr>
                <w:color w:val="auto"/>
                <w:sz w:val="18"/>
                <w:szCs w:val="18"/>
              </w:rPr>
              <w:t>住宅及相应服务设施</w:t>
            </w:r>
          </w:p>
          <w:p w14:paraId="43810287">
            <w:pPr>
              <w:spacing w:line="240" w:lineRule="exact"/>
              <w:textAlignment w:val="auto"/>
              <w:rPr>
                <w:color w:val="auto"/>
                <w:sz w:val="18"/>
                <w:szCs w:val="18"/>
              </w:rPr>
            </w:pPr>
            <w:r>
              <w:rPr>
                <w:color w:val="auto"/>
                <w:sz w:val="18"/>
                <w:szCs w:val="18"/>
              </w:rPr>
              <w:t>住宅包括：农村居民点、低层住区、中层和高层住宅建筑等。</w:t>
            </w:r>
          </w:p>
          <w:p w14:paraId="474ADF4B">
            <w:pPr>
              <w:spacing w:line="240" w:lineRule="exact"/>
              <w:textAlignment w:val="auto"/>
              <w:rPr>
                <w:color w:val="auto"/>
                <w:sz w:val="18"/>
                <w:szCs w:val="18"/>
              </w:rPr>
            </w:pPr>
            <w:r>
              <w:rPr>
                <w:color w:val="auto"/>
                <w:sz w:val="18"/>
                <w:szCs w:val="18"/>
              </w:rPr>
              <w:t>相应服务设施包括：居住小区及小区级以下的幼托、文化、体育、商业、卫生服务、养老助残设施，不包括中小学。</w:t>
            </w:r>
          </w:p>
        </w:tc>
        <w:tc>
          <w:tcPr>
            <w:tcW w:w="908" w:type="pct"/>
            <w:tcBorders>
              <w:top w:val="single" w:color="auto" w:sz="12" w:space="0"/>
            </w:tcBorders>
            <w:vAlign w:val="center"/>
          </w:tcPr>
          <w:p w14:paraId="1E650974">
            <w:pPr>
              <w:spacing w:line="240" w:lineRule="exact"/>
              <w:textAlignment w:val="auto"/>
              <w:rPr>
                <w:color w:val="auto"/>
                <w:sz w:val="18"/>
                <w:szCs w:val="18"/>
              </w:rPr>
            </w:pPr>
            <w:r>
              <w:rPr>
                <w:color w:val="auto"/>
                <w:sz w:val="18"/>
                <w:szCs w:val="18"/>
              </w:rPr>
              <w:t>居住户数30户以上，或居住人数100人以上。</w:t>
            </w:r>
          </w:p>
        </w:tc>
        <w:tc>
          <w:tcPr>
            <w:tcW w:w="907" w:type="pct"/>
            <w:tcBorders>
              <w:top w:val="single" w:color="auto" w:sz="12" w:space="0"/>
            </w:tcBorders>
            <w:vAlign w:val="center"/>
          </w:tcPr>
          <w:p w14:paraId="25286C60">
            <w:pPr>
              <w:spacing w:line="240" w:lineRule="exact"/>
              <w:textAlignment w:val="auto"/>
              <w:rPr>
                <w:color w:val="auto"/>
                <w:sz w:val="18"/>
                <w:szCs w:val="18"/>
              </w:rPr>
            </w:pPr>
            <w:r>
              <w:rPr>
                <w:color w:val="auto"/>
                <w:sz w:val="18"/>
                <w:szCs w:val="18"/>
              </w:rPr>
              <w:t>居住户数10户以上30户以下，或居住人数30人以上100人以下。</w:t>
            </w:r>
          </w:p>
        </w:tc>
        <w:tc>
          <w:tcPr>
            <w:tcW w:w="913" w:type="pct"/>
            <w:tcBorders>
              <w:top w:val="single" w:color="auto" w:sz="12" w:space="0"/>
            </w:tcBorders>
            <w:vAlign w:val="center"/>
          </w:tcPr>
          <w:p w14:paraId="1AD2726C">
            <w:pPr>
              <w:spacing w:line="240" w:lineRule="exact"/>
              <w:textAlignment w:val="auto"/>
              <w:rPr>
                <w:color w:val="auto"/>
                <w:sz w:val="18"/>
                <w:szCs w:val="18"/>
              </w:rPr>
            </w:pPr>
            <w:r>
              <w:rPr>
                <w:color w:val="auto"/>
                <w:sz w:val="18"/>
                <w:szCs w:val="18"/>
              </w:rPr>
              <w:t>居住户数10户以下，或居住人数30人以下。</w:t>
            </w:r>
          </w:p>
        </w:tc>
      </w:tr>
      <w:tr w14:paraId="09CFCF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2273" w:type="pct"/>
            <w:vAlign w:val="center"/>
          </w:tcPr>
          <w:p w14:paraId="3CA2B0BE">
            <w:pPr>
              <w:spacing w:line="240" w:lineRule="exact"/>
              <w:textAlignment w:val="auto"/>
              <w:rPr>
                <w:color w:val="auto"/>
                <w:sz w:val="18"/>
                <w:szCs w:val="18"/>
              </w:rPr>
            </w:pPr>
            <w:r>
              <w:rPr>
                <w:color w:val="auto"/>
                <w:sz w:val="18"/>
                <w:szCs w:val="18"/>
              </w:rPr>
              <w:t>行政办公设施</w:t>
            </w:r>
          </w:p>
          <w:p w14:paraId="48633E24">
            <w:pPr>
              <w:spacing w:line="240" w:lineRule="exact"/>
              <w:textAlignment w:val="auto"/>
              <w:rPr>
                <w:color w:val="auto"/>
                <w:sz w:val="18"/>
                <w:szCs w:val="18"/>
              </w:rPr>
            </w:pPr>
            <w:r>
              <w:rPr>
                <w:color w:val="auto"/>
                <w:sz w:val="18"/>
                <w:szCs w:val="18"/>
              </w:rPr>
              <w:t>包括：党政机关、社会团体、科研、事业单位等办公楼及其相关设施。</w:t>
            </w:r>
          </w:p>
        </w:tc>
        <w:tc>
          <w:tcPr>
            <w:tcW w:w="908" w:type="pct"/>
            <w:vAlign w:val="center"/>
          </w:tcPr>
          <w:p w14:paraId="2253D21B">
            <w:pPr>
              <w:spacing w:line="240" w:lineRule="exact"/>
              <w:textAlignment w:val="auto"/>
              <w:rPr>
                <w:color w:val="auto"/>
                <w:sz w:val="18"/>
                <w:szCs w:val="18"/>
              </w:rPr>
            </w:pPr>
            <w:r>
              <w:rPr>
                <w:color w:val="auto"/>
                <w:sz w:val="18"/>
                <w:szCs w:val="18"/>
              </w:rPr>
              <w:t>县级以上党政机关以及其它办公人数100人以上的行政办公建筑。</w:t>
            </w:r>
          </w:p>
        </w:tc>
        <w:tc>
          <w:tcPr>
            <w:tcW w:w="907" w:type="pct"/>
            <w:vAlign w:val="center"/>
          </w:tcPr>
          <w:p w14:paraId="04B02649">
            <w:pPr>
              <w:spacing w:line="240" w:lineRule="exact"/>
              <w:textAlignment w:val="auto"/>
              <w:rPr>
                <w:color w:val="auto"/>
                <w:sz w:val="18"/>
                <w:szCs w:val="18"/>
              </w:rPr>
            </w:pPr>
            <w:r>
              <w:rPr>
                <w:color w:val="auto"/>
                <w:sz w:val="18"/>
                <w:szCs w:val="18"/>
              </w:rPr>
              <w:t>办公人数100人以下的行政办公建筑。</w:t>
            </w:r>
          </w:p>
        </w:tc>
        <w:tc>
          <w:tcPr>
            <w:tcW w:w="913" w:type="pct"/>
            <w:vAlign w:val="center"/>
          </w:tcPr>
          <w:p w14:paraId="74B97524">
            <w:pPr>
              <w:spacing w:line="240" w:lineRule="exact"/>
              <w:textAlignment w:val="auto"/>
              <w:rPr>
                <w:color w:val="auto"/>
                <w:sz w:val="18"/>
                <w:szCs w:val="18"/>
              </w:rPr>
            </w:pPr>
          </w:p>
        </w:tc>
      </w:tr>
      <w:tr w14:paraId="3CAD00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2273" w:type="pct"/>
            <w:vAlign w:val="center"/>
          </w:tcPr>
          <w:p w14:paraId="0466B080">
            <w:pPr>
              <w:spacing w:line="240" w:lineRule="exact"/>
              <w:textAlignment w:val="auto"/>
              <w:rPr>
                <w:color w:val="auto"/>
                <w:sz w:val="18"/>
                <w:szCs w:val="18"/>
              </w:rPr>
            </w:pPr>
            <w:r>
              <w:rPr>
                <w:color w:val="auto"/>
                <w:sz w:val="18"/>
                <w:szCs w:val="18"/>
              </w:rPr>
              <w:t>体育场馆</w:t>
            </w:r>
          </w:p>
          <w:p w14:paraId="728DD618">
            <w:pPr>
              <w:spacing w:line="240" w:lineRule="exact"/>
              <w:textAlignment w:val="auto"/>
              <w:rPr>
                <w:color w:val="auto"/>
                <w:sz w:val="18"/>
                <w:szCs w:val="18"/>
              </w:rPr>
            </w:pPr>
            <w:r>
              <w:rPr>
                <w:color w:val="auto"/>
                <w:sz w:val="18"/>
                <w:szCs w:val="18"/>
              </w:rPr>
              <w:t>不包括：学校等机构专用的体育设施。</w:t>
            </w:r>
          </w:p>
        </w:tc>
        <w:tc>
          <w:tcPr>
            <w:tcW w:w="908" w:type="pct"/>
            <w:vAlign w:val="center"/>
          </w:tcPr>
          <w:p w14:paraId="465B4E61">
            <w:pPr>
              <w:spacing w:line="240" w:lineRule="exact"/>
              <w:textAlignment w:val="auto"/>
              <w:rPr>
                <w:color w:val="auto"/>
                <w:sz w:val="18"/>
                <w:szCs w:val="18"/>
              </w:rPr>
            </w:pPr>
            <w:r>
              <w:rPr>
                <w:color w:val="auto"/>
                <w:sz w:val="18"/>
                <w:szCs w:val="18"/>
              </w:rPr>
              <w:t>总建筑面积5000 m</w:t>
            </w:r>
            <w:r>
              <w:rPr>
                <w:color w:val="auto"/>
                <w:sz w:val="18"/>
                <w:szCs w:val="18"/>
                <w:vertAlign w:val="superscript"/>
              </w:rPr>
              <w:t>2</w:t>
            </w:r>
            <w:r>
              <w:rPr>
                <w:color w:val="auto"/>
                <w:sz w:val="18"/>
                <w:szCs w:val="18"/>
              </w:rPr>
              <w:t>以上的。</w:t>
            </w:r>
          </w:p>
        </w:tc>
        <w:tc>
          <w:tcPr>
            <w:tcW w:w="907" w:type="pct"/>
            <w:vAlign w:val="center"/>
          </w:tcPr>
          <w:p w14:paraId="37DABC3A">
            <w:pPr>
              <w:spacing w:line="240" w:lineRule="exact"/>
              <w:textAlignment w:val="auto"/>
              <w:rPr>
                <w:color w:val="auto"/>
                <w:sz w:val="18"/>
                <w:szCs w:val="18"/>
              </w:rPr>
            </w:pPr>
            <w:r>
              <w:rPr>
                <w:color w:val="auto"/>
                <w:sz w:val="18"/>
                <w:szCs w:val="18"/>
              </w:rPr>
              <w:t>总建筑面积5000 m</w:t>
            </w:r>
            <w:r>
              <w:rPr>
                <w:color w:val="auto"/>
                <w:sz w:val="18"/>
                <w:szCs w:val="18"/>
                <w:vertAlign w:val="superscript"/>
              </w:rPr>
              <w:t>2</w:t>
            </w:r>
            <w:r>
              <w:rPr>
                <w:color w:val="auto"/>
                <w:sz w:val="18"/>
                <w:szCs w:val="18"/>
              </w:rPr>
              <w:t>以下的。</w:t>
            </w:r>
          </w:p>
        </w:tc>
        <w:tc>
          <w:tcPr>
            <w:tcW w:w="913" w:type="pct"/>
            <w:vAlign w:val="center"/>
          </w:tcPr>
          <w:p w14:paraId="5D73C081">
            <w:pPr>
              <w:spacing w:line="240" w:lineRule="exact"/>
              <w:textAlignment w:val="auto"/>
              <w:rPr>
                <w:color w:val="auto"/>
                <w:sz w:val="18"/>
                <w:szCs w:val="18"/>
              </w:rPr>
            </w:pPr>
          </w:p>
        </w:tc>
      </w:tr>
    </w:tbl>
    <w:p w14:paraId="540BA182">
      <w:pPr>
        <w:widowControl w:val="0"/>
        <w:spacing w:before="156" w:beforeLines="50" w:after="156" w:afterLines="50" w:line="240" w:lineRule="auto"/>
        <w:jc w:val="center"/>
        <w:textAlignment w:val="auto"/>
        <w:rPr>
          <w:rFonts w:hint="eastAsia" w:ascii="黑体" w:hAnsi="宋体" w:eastAsia="黑体"/>
          <w:color w:val="auto"/>
          <w:kern w:val="2"/>
          <w:szCs w:val="21"/>
        </w:rPr>
      </w:pPr>
    </w:p>
    <w:p w14:paraId="5D3FC986">
      <w:pPr>
        <w:widowControl w:val="0"/>
        <w:spacing w:before="156" w:beforeLines="50" w:after="156" w:afterLines="50" w:line="240" w:lineRule="auto"/>
        <w:jc w:val="center"/>
        <w:textAlignment w:val="auto"/>
        <w:rPr>
          <w:rFonts w:hint="eastAsia" w:ascii="黑体" w:hAnsi="宋体" w:eastAsia="黑体"/>
          <w:color w:val="auto"/>
          <w:kern w:val="2"/>
          <w:szCs w:val="21"/>
        </w:rPr>
      </w:pPr>
    </w:p>
    <w:p w14:paraId="7322F697">
      <w:pPr>
        <w:widowControl w:val="0"/>
        <w:spacing w:before="156" w:beforeLines="50" w:after="156" w:afterLines="50" w:line="240" w:lineRule="auto"/>
        <w:jc w:val="center"/>
        <w:textAlignment w:val="auto"/>
        <w:rPr>
          <w:rFonts w:hint="eastAsia" w:ascii="黑体" w:hAnsi="宋体" w:eastAsia="黑体"/>
          <w:color w:val="auto"/>
          <w:kern w:val="2"/>
          <w:szCs w:val="21"/>
        </w:rPr>
      </w:pPr>
      <w:r>
        <w:rPr>
          <w:rFonts w:hint="eastAsia" w:ascii="黑体" w:hAnsi="宋体" w:eastAsia="黑体"/>
          <w:color w:val="auto"/>
          <w:kern w:val="2"/>
          <w:szCs w:val="21"/>
        </w:rPr>
        <w:t>续</w:t>
      </w:r>
      <w:r>
        <w:rPr>
          <w:rFonts w:ascii="黑体" w:hAnsi="宋体" w:eastAsia="黑体"/>
          <w:color w:val="auto"/>
          <w:kern w:val="2"/>
          <w:szCs w:val="21"/>
        </w:rPr>
        <w:t>表</w:t>
      </w:r>
      <w:r>
        <w:rPr>
          <w:rFonts w:hint="eastAsia" w:eastAsia="黑体"/>
          <w:color w:val="auto"/>
          <w:kern w:val="2"/>
          <w:szCs w:val="24"/>
        </w:rPr>
        <w:t>C</w:t>
      </w:r>
      <w:r>
        <w:rPr>
          <w:rFonts w:hint="eastAsia"/>
          <w:color w:val="auto"/>
          <w:kern w:val="2"/>
          <w:szCs w:val="24"/>
        </w:rPr>
        <w:t>.</w:t>
      </w:r>
      <w:r>
        <w:rPr>
          <w:rFonts w:hint="eastAsia" w:ascii="宋体" w:hAnsi="Courier New"/>
          <w:color w:val="auto"/>
          <w:kern w:val="2"/>
        </w:rPr>
        <w:t>1</w:t>
      </w:r>
      <w:r>
        <w:rPr>
          <w:rFonts w:hint="eastAsia" w:ascii="黑体" w:hAnsi="宋体" w:eastAsia="黑体"/>
          <w:color w:val="auto"/>
          <w:kern w:val="2"/>
          <w:szCs w:val="21"/>
        </w:rPr>
        <w:t xml:space="preserve"> </w:t>
      </w:r>
      <w:r>
        <w:rPr>
          <w:rFonts w:ascii="黑体" w:hAnsi="宋体" w:eastAsia="黑体"/>
          <w:color w:val="auto"/>
          <w:kern w:val="2"/>
          <w:szCs w:val="21"/>
        </w:rPr>
        <w:t xml:space="preserve"> </w:t>
      </w:r>
      <w:r>
        <w:rPr>
          <w:rFonts w:hint="eastAsia" w:ascii="黑体" w:hAnsi="宋体" w:eastAsia="黑体"/>
          <w:color w:val="auto"/>
          <w:kern w:val="2"/>
          <w:szCs w:val="21"/>
        </w:rPr>
        <w:t>一般防护目标的分类</w:t>
      </w:r>
    </w:p>
    <w:tbl>
      <w:tblPr>
        <w:tblStyle w:val="36"/>
        <w:tblW w:w="4997"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113"/>
        <w:gridCol w:w="1643"/>
        <w:gridCol w:w="1643"/>
        <w:gridCol w:w="1657"/>
      </w:tblGrid>
      <w:tr w14:paraId="04A5DA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blHeader/>
        </w:trPr>
        <w:tc>
          <w:tcPr>
            <w:tcW w:w="2271" w:type="pct"/>
            <w:tcBorders>
              <w:bottom w:val="single" w:color="auto" w:sz="12" w:space="0"/>
            </w:tcBorders>
            <w:vAlign w:val="center"/>
          </w:tcPr>
          <w:p w14:paraId="1F5AE1B0">
            <w:pPr>
              <w:spacing w:line="240" w:lineRule="auto"/>
              <w:jc w:val="center"/>
              <w:textAlignment w:val="auto"/>
              <w:rPr>
                <w:rFonts w:hint="eastAsia" w:ascii="宋体" w:hAnsi="宋体" w:cs="宋体"/>
                <w:color w:val="auto"/>
                <w:sz w:val="18"/>
                <w:szCs w:val="18"/>
              </w:rPr>
            </w:pPr>
            <w:r>
              <w:rPr>
                <w:rFonts w:hint="eastAsia" w:ascii="宋体" w:hAnsi="宋体" w:cs="宋体"/>
                <w:color w:val="auto"/>
                <w:sz w:val="18"/>
                <w:szCs w:val="18"/>
              </w:rPr>
              <w:t>防护目标类型</w:t>
            </w:r>
          </w:p>
        </w:tc>
        <w:tc>
          <w:tcPr>
            <w:tcW w:w="907" w:type="pct"/>
            <w:tcBorders>
              <w:bottom w:val="single" w:color="auto" w:sz="12" w:space="0"/>
            </w:tcBorders>
            <w:vAlign w:val="center"/>
          </w:tcPr>
          <w:p w14:paraId="7C90E6E3">
            <w:pPr>
              <w:spacing w:line="240" w:lineRule="auto"/>
              <w:jc w:val="center"/>
              <w:textAlignment w:val="auto"/>
              <w:rPr>
                <w:rFonts w:hint="eastAsia" w:ascii="宋体" w:hAnsi="宋体" w:cs="宋体"/>
                <w:color w:val="auto"/>
                <w:sz w:val="18"/>
                <w:szCs w:val="18"/>
              </w:rPr>
            </w:pPr>
            <w:r>
              <w:rPr>
                <w:rFonts w:hint="eastAsia" w:ascii="宋体" w:hAnsi="宋体" w:cs="宋体"/>
                <w:color w:val="auto"/>
                <w:sz w:val="18"/>
                <w:szCs w:val="18"/>
              </w:rPr>
              <w:t>一类防护目标</w:t>
            </w:r>
          </w:p>
        </w:tc>
        <w:tc>
          <w:tcPr>
            <w:tcW w:w="907" w:type="pct"/>
            <w:tcBorders>
              <w:bottom w:val="single" w:color="auto" w:sz="12" w:space="0"/>
            </w:tcBorders>
            <w:vAlign w:val="center"/>
          </w:tcPr>
          <w:p w14:paraId="5DF69D61">
            <w:pPr>
              <w:spacing w:line="240" w:lineRule="auto"/>
              <w:jc w:val="center"/>
              <w:textAlignment w:val="auto"/>
              <w:rPr>
                <w:rFonts w:hint="eastAsia" w:ascii="宋体" w:hAnsi="宋体" w:cs="宋体"/>
                <w:color w:val="auto"/>
                <w:sz w:val="18"/>
                <w:szCs w:val="18"/>
              </w:rPr>
            </w:pPr>
            <w:r>
              <w:rPr>
                <w:rFonts w:hint="eastAsia" w:ascii="宋体" w:hAnsi="宋体" w:cs="宋体"/>
                <w:color w:val="auto"/>
                <w:sz w:val="18"/>
                <w:szCs w:val="18"/>
              </w:rPr>
              <w:t>二类防护目标</w:t>
            </w:r>
          </w:p>
        </w:tc>
        <w:tc>
          <w:tcPr>
            <w:tcW w:w="915" w:type="pct"/>
            <w:tcBorders>
              <w:bottom w:val="single" w:color="auto" w:sz="12" w:space="0"/>
            </w:tcBorders>
            <w:vAlign w:val="center"/>
          </w:tcPr>
          <w:p w14:paraId="59008973">
            <w:pPr>
              <w:spacing w:line="240" w:lineRule="auto"/>
              <w:jc w:val="center"/>
              <w:textAlignment w:val="auto"/>
              <w:rPr>
                <w:rFonts w:hint="eastAsia" w:ascii="宋体" w:hAnsi="宋体" w:cs="宋体"/>
                <w:color w:val="auto"/>
                <w:sz w:val="18"/>
                <w:szCs w:val="18"/>
              </w:rPr>
            </w:pPr>
            <w:r>
              <w:rPr>
                <w:rFonts w:hint="eastAsia" w:ascii="宋体" w:hAnsi="宋体" w:cs="宋体"/>
                <w:color w:val="auto"/>
                <w:sz w:val="18"/>
                <w:szCs w:val="18"/>
              </w:rPr>
              <w:t>三类防护目标</w:t>
            </w:r>
          </w:p>
        </w:tc>
      </w:tr>
      <w:tr w14:paraId="649A6A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2271" w:type="pct"/>
            <w:vAlign w:val="center"/>
          </w:tcPr>
          <w:p w14:paraId="69B251B7">
            <w:pPr>
              <w:spacing w:line="240" w:lineRule="exact"/>
              <w:textAlignment w:val="auto"/>
              <w:rPr>
                <w:color w:val="auto"/>
                <w:sz w:val="18"/>
                <w:szCs w:val="18"/>
              </w:rPr>
            </w:pPr>
            <w:r>
              <w:rPr>
                <w:color w:val="auto"/>
                <w:sz w:val="18"/>
                <w:szCs w:val="18"/>
              </w:rPr>
              <w:t>商业、餐饮业等综合性商业服务建筑</w:t>
            </w:r>
          </w:p>
          <w:p w14:paraId="78F5C779">
            <w:pPr>
              <w:spacing w:line="240" w:lineRule="exact"/>
              <w:textAlignment w:val="auto"/>
              <w:rPr>
                <w:color w:val="auto"/>
                <w:sz w:val="18"/>
                <w:szCs w:val="18"/>
              </w:rPr>
            </w:pPr>
            <w:r>
              <w:rPr>
                <w:color w:val="auto"/>
                <w:sz w:val="18"/>
                <w:szCs w:val="18"/>
              </w:rPr>
              <w:t>包括：以零售功能为主的商铺、商场、超市、市场类商业建筑或场所；以批发功能为主的农贸市场；饭店、餐厅、酒吧等餐饮业场所或建筑。</w:t>
            </w:r>
          </w:p>
        </w:tc>
        <w:tc>
          <w:tcPr>
            <w:tcW w:w="907" w:type="pct"/>
            <w:vAlign w:val="center"/>
          </w:tcPr>
          <w:p w14:paraId="07F25FAD">
            <w:pPr>
              <w:spacing w:line="240" w:lineRule="exact"/>
              <w:textAlignment w:val="auto"/>
              <w:rPr>
                <w:color w:val="auto"/>
                <w:sz w:val="18"/>
                <w:szCs w:val="18"/>
              </w:rPr>
            </w:pPr>
            <w:r>
              <w:rPr>
                <w:color w:val="auto"/>
                <w:sz w:val="18"/>
                <w:szCs w:val="18"/>
              </w:rPr>
              <w:t>总建筑面积5000 m</w:t>
            </w:r>
            <w:r>
              <w:rPr>
                <w:color w:val="auto"/>
                <w:sz w:val="18"/>
                <w:szCs w:val="18"/>
                <w:vertAlign w:val="superscript"/>
              </w:rPr>
              <w:t>2</w:t>
            </w:r>
            <w:r>
              <w:rPr>
                <w:color w:val="auto"/>
                <w:sz w:val="18"/>
                <w:szCs w:val="18"/>
              </w:rPr>
              <w:t>以上的建筑，或高峰时300人以上的露天场所。</w:t>
            </w:r>
          </w:p>
        </w:tc>
        <w:tc>
          <w:tcPr>
            <w:tcW w:w="907" w:type="pct"/>
            <w:vAlign w:val="center"/>
          </w:tcPr>
          <w:p w14:paraId="784D26EB">
            <w:pPr>
              <w:spacing w:line="240" w:lineRule="exact"/>
              <w:textAlignment w:val="auto"/>
              <w:rPr>
                <w:color w:val="auto"/>
                <w:sz w:val="18"/>
                <w:szCs w:val="18"/>
              </w:rPr>
            </w:pPr>
            <w:r>
              <w:rPr>
                <w:color w:val="auto"/>
                <w:sz w:val="18"/>
                <w:szCs w:val="18"/>
              </w:rPr>
              <w:t>总建筑面积1500 m</w:t>
            </w:r>
            <w:r>
              <w:rPr>
                <w:color w:val="auto"/>
                <w:sz w:val="18"/>
                <w:szCs w:val="18"/>
                <w:vertAlign w:val="superscript"/>
              </w:rPr>
              <w:t>2</w:t>
            </w:r>
            <w:r>
              <w:rPr>
                <w:color w:val="auto"/>
                <w:sz w:val="18"/>
                <w:szCs w:val="18"/>
              </w:rPr>
              <w:t>以上5000 m</w:t>
            </w:r>
            <w:r>
              <w:rPr>
                <w:color w:val="auto"/>
                <w:sz w:val="18"/>
                <w:szCs w:val="18"/>
                <w:vertAlign w:val="superscript"/>
              </w:rPr>
              <w:t>2</w:t>
            </w:r>
            <w:r>
              <w:rPr>
                <w:color w:val="auto"/>
                <w:sz w:val="18"/>
                <w:szCs w:val="18"/>
              </w:rPr>
              <w:t>以下的建筑，或高峰时100人以上300人以下的露天场所。</w:t>
            </w:r>
          </w:p>
        </w:tc>
        <w:tc>
          <w:tcPr>
            <w:tcW w:w="915" w:type="pct"/>
            <w:vAlign w:val="center"/>
          </w:tcPr>
          <w:p w14:paraId="42DAF29E">
            <w:pPr>
              <w:spacing w:line="240" w:lineRule="exact"/>
              <w:textAlignment w:val="auto"/>
              <w:rPr>
                <w:color w:val="auto"/>
                <w:sz w:val="18"/>
                <w:szCs w:val="18"/>
              </w:rPr>
            </w:pPr>
            <w:r>
              <w:rPr>
                <w:color w:val="auto"/>
                <w:sz w:val="18"/>
                <w:szCs w:val="18"/>
              </w:rPr>
              <w:t>总建筑面积1500 m</w:t>
            </w:r>
            <w:r>
              <w:rPr>
                <w:color w:val="auto"/>
                <w:sz w:val="18"/>
                <w:szCs w:val="18"/>
                <w:vertAlign w:val="superscript"/>
              </w:rPr>
              <w:t>2</w:t>
            </w:r>
            <w:r>
              <w:rPr>
                <w:color w:val="auto"/>
                <w:sz w:val="18"/>
                <w:szCs w:val="18"/>
              </w:rPr>
              <w:t>以下的建筑，或高峰时100人以下的露天场所。</w:t>
            </w:r>
          </w:p>
        </w:tc>
      </w:tr>
      <w:tr w14:paraId="08CB9A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2271" w:type="pct"/>
            <w:vAlign w:val="center"/>
          </w:tcPr>
          <w:p w14:paraId="13058DB3">
            <w:pPr>
              <w:spacing w:line="240" w:lineRule="exact"/>
              <w:textAlignment w:val="auto"/>
              <w:rPr>
                <w:color w:val="auto"/>
                <w:sz w:val="18"/>
                <w:szCs w:val="18"/>
              </w:rPr>
            </w:pPr>
            <w:r>
              <w:rPr>
                <w:color w:val="auto"/>
                <w:sz w:val="18"/>
                <w:szCs w:val="18"/>
              </w:rPr>
              <w:t>旅馆住宿业建筑</w:t>
            </w:r>
          </w:p>
          <w:p w14:paraId="5719BFF4">
            <w:pPr>
              <w:spacing w:line="240" w:lineRule="exact"/>
              <w:textAlignment w:val="auto"/>
              <w:rPr>
                <w:color w:val="auto"/>
                <w:sz w:val="18"/>
                <w:szCs w:val="18"/>
              </w:rPr>
            </w:pPr>
            <w:r>
              <w:rPr>
                <w:color w:val="auto"/>
                <w:sz w:val="18"/>
                <w:szCs w:val="18"/>
              </w:rPr>
              <w:t>包括：宾馆、旅馆、招待所、服务型公寓、度假村等建筑。</w:t>
            </w:r>
          </w:p>
        </w:tc>
        <w:tc>
          <w:tcPr>
            <w:tcW w:w="907" w:type="pct"/>
            <w:vAlign w:val="center"/>
          </w:tcPr>
          <w:p w14:paraId="11E5C8C3">
            <w:pPr>
              <w:spacing w:line="240" w:lineRule="exact"/>
              <w:textAlignment w:val="auto"/>
              <w:rPr>
                <w:color w:val="auto"/>
                <w:sz w:val="18"/>
                <w:szCs w:val="18"/>
              </w:rPr>
            </w:pPr>
            <w:r>
              <w:rPr>
                <w:color w:val="auto"/>
                <w:sz w:val="18"/>
                <w:szCs w:val="18"/>
              </w:rPr>
              <w:t>床位数100张以上的。</w:t>
            </w:r>
          </w:p>
        </w:tc>
        <w:tc>
          <w:tcPr>
            <w:tcW w:w="907" w:type="pct"/>
            <w:vAlign w:val="center"/>
          </w:tcPr>
          <w:p w14:paraId="3753A181">
            <w:pPr>
              <w:spacing w:line="240" w:lineRule="exact"/>
              <w:textAlignment w:val="auto"/>
              <w:rPr>
                <w:color w:val="auto"/>
                <w:sz w:val="18"/>
                <w:szCs w:val="18"/>
              </w:rPr>
            </w:pPr>
            <w:r>
              <w:rPr>
                <w:color w:val="auto"/>
                <w:sz w:val="18"/>
                <w:szCs w:val="18"/>
              </w:rPr>
              <w:t>床位数100张以下的。</w:t>
            </w:r>
          </w:p>
        </w:tc>
        <w:tc>
          <w:tcPr>
            <w:tcW w:w="915" w:type="pct"/>
            <w:vAlign w:val="center"/>
          </w:tcPr>
          <w:p w14:paraId="1E67A257">
            <w:pPr>
              <w:spacing w:line="240" w:lineRule="exact"/>
              <w:textAlignment w:val="auto"/>
              <w:rPr>
                <w:color w:val="auto"/>
                <w:sz w:val="18"/>
                <w:szCs w:val="18"/>
              </w:rPr>
            </w:pPr>
          </w:p>
        </w:tc>
      </w:tr>
      <w:tr w14:paraId="6AD739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2271" w:type="pct"/>
            <w:vAlign w:val="center"/>
          </w:tcPr>
          <w:p w14:paraId="05E88CDF">
            <w:pPr>
              <w:spacing w:line="240" w:lineRule="exact"/>
              <w:textAlignment w:val="auto"/>
              <w:rPr>
                <w:color w:val="auto"/>
                <w:sz w:val="18"/>
                <w:szCs w:val="18"/>
              </w:rPr>
            </w:pPr>
            <w:r>
              <w:rPr>
                <w:color w:val="auto"/>
                <w:sz w:val="18"/>
                <w:szCs w:val="18"/>
              </w:rPr>
              <w:t>金融保险、艺术传媒、技术服务等综合性商务办公建筑</w:t>
            </w:r>
          </w:p>
        </w:tc>
        <w:tc>
          <w:tcPr>
            <w:tcW w:w="907" w:type="pct"/>
            <w:vAlign w:val="center"/>
          </w:tcPr>
          <w:p w14:paraId="45710CC5">
            <w:pPr>
              <w:spacing w:line="240" w:lineRule="exact"/>
              <w:textAlignment w:val="auto"/>
              <w:rPr>
                <w:color w:val="auto"/>
                <w:sz w:val="18"/>
                <w:szCs w:val="18"/>
              </w:rPr>
            </w:pPr>
            <w:r>
              <w:rPr>
                <w:color w:val="auto"/>
                <w:sz w:val="18"/>
                <w:szCs w:val="18"/>
              </w:rPr>
              <w:t>总建筑面积5000 m</w:t>
            </w:r>
            <w:r>
              <w:rPr>
                <w:color w:val="auto"/>
                <w:sz w:val="18"/>
                <w:szCs w:val="18"/>
                <w:vertAlign w:val="superscript"/>
              </w:rPr>
              <w:t>2</w:t>
            </w:r>
            <w:r>
              <w:rPr>
                <w:color w:val="auto"/>
                <w:sz w:val="18"/>
                <w:szCs w:val="18"/>
              </w:rPr>
              <w:t>以上的。</w:t>
            </w:r>
          </w:p>
        </w:tc>
        <w:tc>
          <w:tcPr>
            <w:tcW w:w="907" w:type="pct"/>
            <w:vAlign w:val="center"/>
          </w:tcPr>
          <w:p w14:paraId="1D03BF87">
            <w:pPr>
              <w:spacing w:line="240" w:lineRule="exact"/>
              <w:textAlignment w:val="auto"/>
              <w:rPr>
                <w:color w:val="auto"/>
                <w:sz w:val="18"/>
                <w:szCs w:val="18"/>
              </w:rPr>
            </w:pPr>
            <w:r>
              <w:rPr>
                <w:color w:val="auto"/>
                <w:sz w:val="18"/>
                <w:szCs w:val="18"/>
              </w:rPr>
              <w:t>总建筑面积1500 m</w:t>
            </w:r>
            <w:r>
              <w:rPr>
                <w:color w:val="auto"/>
                <w:sz w:val="18"/>
                <w:szCs w:val="18"/>
                <w:vertAlign w:val="superscript"/>
              </w:rPr>
              <w:t>2</w:t>
            </w:r>
            <w:r>
              <w:rPr>
                <w:color w:val="auto"/>
                <w:sz w:val="18"/>
                <w:szCs w:val="18"/>
              </w:rPr>
              <w:t>以上5000 m</w:t>
            </w:r>
            <w:r>
              <w:rPr>
                <w:color w:val="auto"/>
                <w:sz w:val="18"/>
                <w:szCs w:val="18"/>
                <w:vertAlign w:val="superscript"/>
              </w:rPr>
              <w:t>2</w:t>
            </w:r>
            <w:r>
              <w:rPr>
                <w:color w:val="auto"/>
                <w:sz w:val="18"/>
                <w:szCs w:val="18"/>
              </w:rPr>
              <w:t>以下的。</w:t>
            </w:r>
          </w:p>
        </w:tc>
        <w:tc>
          <w:tcPr>
            <w:tcW w:w="915" w:type="pct"/>
            <w:vAlign w:val="center"/>
          </w:tcPr>
          <w:p w14:paraId="33D76F57">
            <w:pPr>
              <w:spacing w:line="240" w:lineRule="exact"/>
              <w:textAlignment w:val="auto"/>
              <w:rPr>
                <w:color w:val="auto"/>
                <w:sz w:val="18"/>
                <w:szCs w:val="18"/>
              </w:rPr>
            </w:pPr>
            <w:r>
              <w:rPr>
                <w:color w:val="auto"/>
                <w:sz w:val="18"/>
                <w:szCs w:val="18"/>
              </w:rPr>
              <w:t>总建筑面积1500 m</w:t>
            </w:r>
            <w:r>
              <w:rPr>
                <w:color w:val="auto"/>
                <w:sz w:val="18"/>
                <w:szCs w:val="18"/>
                <w:vertAlign w:val="superscript"/>
              </w:rPr>
              <w:t>2</w:t>
            </w:r>
            <w:r>
              <w:rPr>
                <w:color w:val="auto"/>
                <w:sz w:val="18"/>
                <w:szCs w:val="18"/>
              </w:rPr>
              <w:t>以下的。</w:t>
            </w:r>
          </w:p>
        </w:tc>
      </w:tr>
      <w:tr w14:paraId="504DC7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2271" w:type="pct"/>
            <w:vAlign w:val="center"/>
          </w:tcPr>
          <w:p w14:paraId="5DC65FC8">
            <w:pPr>
              <w:spacing w:line="240" w:lineRule="exact"/>
              <w:textAlignment w:val="auto"/>
              <w:rPr>
                <w:color w:val="auto"/>
                <w:sz w:val="18"/>
                <w:szCs w:val="18"/>
              </w:rPr>
            </w:pPr>
            <w:r>
              <w:rPr>
                <w:color w:val="auto"/>
                <w:sz w:val="18"/>
                <w:szCs w:val="18"/>
              </w:rPr>
              <w:t>娱乐、康体类建筑或场所</w:t>
            </w:r>
          </w:p>
          <w:p w14:paraId="1E556BFA">
            <w:pPr>
              <w:spacing w:line="240" w:lineRule="exact"/>
              <w:textAlignment w:val="auto"/>
              <w:rPr>
                <w:color w:val="auto"/>
                <w:sz w:val="18"/>
                <w:szCs w:val="18"/>
              </w:rPr>
            </w:pPr>
            <w:r>
              <w:rPr>
                <w:color w:val="auto"/>
                <w:sz w:val="18"/>
                <w:szCs w:val="18"/>
              </w:rPr>
              <w:t>包括：剧院、音乐厅、电影院、歌舞厅、网吧以及大型游乐等娱乐场所建筑；</w:t>
            </w:r>
          </w:p>
          <w:p w14:paraId="4E1C1403">
            <w:pPr>
              <w:spacing w:line="240" w:lineRule="exact"/>
              <w:textAlignment w:val="auto"/>
              <w:rPr>
                <w:color w:val="auto"/>
                <w:sz w:val="18"/>
                <w:szCs w:val="18"/>
              </w:rPr>
            </w:pPr>
            <w:r>
              <w:rPr>
                <w:color w:val="auto"/>
                <w:sz w:val="18"/>
                <w:szCs w:val="18"/>
              </w:rPr>
              <w:t>赛马场、高尔夫、溜冰场、跳伞场、摩托车场、射击场等康体场所。</w:t>
            </w:r>
          </w:p>
        </w:tc>
        <w:tc>
          <w:tcPr>
            <w:tcW w:w="907" w:type="pct"/>
            <w:vAlign w:val="center"/>
          </w:tcPr>
          <w:p w14:paraId="263887CA">
            <w:pPr>
              <w:spacing w:line="240" w:lineRule="exact"/>
              <w:textAlignment w:val="auto"/>
              <w:rPr>
                <w:color w:val="auto"/>
                <w:sz w:val="18"/>
                <w:szCs w:val="18"/>
              </w:rPr>
            </w:pPr>
            <w:r>
              <w:rPr>
                <w:color w:val="auto"/>
                <w:sz w:val="18"/>
                <w:szCs w:val="18"/>
              </w:rPr>
              <w:t>总建筑面积3000 m</w:t>
            </w:r>
            <w:r>
              <w:rPr>
                <w:color w:val="auto"/>
                <w:sz w:val="18"/>
                <w:szCs w:val="18"/>
                <w:vertAlign w:val="superscript"/>
              </w:rPr>
              <w:t>2</w:t>
            </w:r>
            <w:r>
              <w:rPr>
                <w:color w:val="auto"/>
                <w:sz w:val="18"/>
                <w:szCs w:val="18"/>
              </w:rPr>
              <w:t>以上的建筑，或高峰时100人以上的露天场所。</w:t>
            </w:r>
          </w:p>
        </w:tc>
        <w:tc>
          <w:tcPr>
            <w:tcW w:w="907" w:type="pct"/>
            <w:vAlign w:val="center"/>
          </w:tcPr>
          <w:p w14:paraId="61BE1BE9">
            <w:pPr>
              <w:spacing w:line="240" w:lineRule="exact"/>
              <w:textAlignment w:val="auto"/>
              <w:rPr>
                <w:color w:val="auto"/>
                <w:sz w:val="18"/>
                <w:szCs w:val="18"/>
              </w:rPr>
            </w:pPr>
            <w:r>
              <w:rPr>
                <w:color w:val="auto"/>
                <w:sz w:val="18"/>
                <w:szCs w:val="18"/>
              </w:rPr>
              <w:t>总建筑面积3000 m</w:t>
            </w:r>
            <w:r>
              <w:rPr>
                <w:color w:val="auto"/>
                <w:sz w:val="18"/>
                <w:szCs w:val="18"/>
                <w:vertAlign w:val="superscript"/>
              </w:rPr>
              <w:t>2</w:t>
            </w:r>
            <w:r>
              <w:rPr>
                <w:color w:val="auto"/>
                <w:sz w:val="18"/>
                <w:szCs w:val="18"/>
              </w:rPr>
              <w:t>以下的建筑，或高峰时100人以下的露天场所。</w:t>
            </w:r>
          </w:p>
        </w:tc>
        <w:tc>
          <w:tcPr>
            <w:tcW w:w="915" w:type="pct"/>
            <w:vAlign w:val="center"/>
          </w:tcPr>
          <w:p w14:paraId="55419714">
            <w:pPr>
              <w:spacing w:line="240" w:lineRule="exact"/>
              <w:textAlignment w:val="auto"/>
              <w:rPr>
                <w:color w:val="auto"/>
                <w:sz w:val="18"/>
                <w:szCs w:val="18"/>
              </w:rPr>
            </w:pPr>
          </w:p>
        </w:tc>
      </w:tr>
      <w:tr w14:paraId="4A5F36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2271" w:type="pct"/>
            <w:vAlign w:val="center"/>
          </w:tcPr>
          <w:p w14:paraId="52EBBFFC">
            <w:pPr>
              <w:spacing w:line="240" w:lineRule="exact"/>
              <w:textAlignment w:val="auto"/>
              <w:rPr>
                <w:color w:val="auto"/>
                <w:sz w:val="18"/>
                <w:szCs w:val="18"/>
              </w:rPr>
            </w:pPr>
            <w:r>
              <w:rPr>
                <w:color w:val="auto"/>
                <w:sz w:val="18"/>
                <w:szCs w:val="18"/>
              </w:rPr>
              <w:t>公共设施营业网点</w:t>
            </w:r>
          </w:p>
        </w:tc>
        <w:tc>
          <w:tcPr>
            <w:tcW w:w="907" w:type="pct"/>
            <w:vAlign w:val="center"/>
          </w:tcPr>
          <w:p w14:paraId="393106C1">
            <w:pPr>
              <w:spacing w:line="240" w:lineRule="exact"/>
              <w:textAlignment w:val="auto"/>
              <w:rPr>
                <w:color w:val="auto"/>
                <w:sz w:val="18"/>
                <w:szCs w:val="18"/>
              </w:rPr>
            </w:pPr>
          </w:p>
        </w:tc>
        <w:tc>
          <w:tcPr>
            <w:tcW w:w="907" w:type="pct"/>
            <w:vAlign w:val="center"/>
          </w:tcPr>
          <w:p w14:paraId="28DCFCA5">
            <w:pPr>
              <w:spacing w:line="240" w:lineRule="exact"/>
              <w:textAlignment w:val="auto"/>
              <w:rPr>
                <w:color w:val="auto"/>
                <w:sz w:val="18"/>
                <w:szCs w:val="18"/>
              </w:rPr>
            </w:pPr>
            <w:r>
              <w:rPr>
                <w:color w:val="auto"/>
                <w:sz w:val="18"/>
                <w:szCs w:val="18"/>
              </w:rPr>
              <w:t>其它公用设施营业网点。包括电信、邮政、供水、燃气、供电、供热等其它公用设施营业网点。</w:t>
            </w:r>
          </w:p>
        </w:tc>
        <w:tc>
          <w:tcPr>
            <w:tcW w:w="915" w:type="pct"/>
            <w:vAlign w:val="center"/>
          </w:tcPr>
          <w:p w14:paraId="40D51A50">
            <w:pPr>
              <w:spacing w:line="240" w:lineRule="exact"/>
              <w:textAlignment w:val="auto"/>
              <w:rPr>
                <w:color w:val="auto"/>
                <w:sz w:val="18"/>
                <w:szCs w:val="18"/>
              </w:rPr>
            </w:pPr>
            <w:r>
              <w:rPr>
                <w:color w:val="auto"/>
                <w:sz w:val="18"/>
                <w:szCs w:val="18"/>
              </w:rPr>
              <w:t>加油加气站营业网点。</w:t>
            </w:r>
          </w:p>
        </w:tc>
      </w:tr>
      <w:tr w14:paraId="7472D7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2271" w:type="pct"/>
            <w:vAlign w:val="center"/>
          </w:tcPr>
          <w:p w14:paraId="41C4F6E3">
            <w:pPr>
              <w:spacing w:line="240" w:lineRule="exact"/>
              <w:textAlignment w:val="auto"/>
              <w:rPr>
                <w:color w:val="auto"/>
                <w:sz w:val="18"/>
                <w:szCs w:val="18"/>
              </w:rPr>
            </w:pPr>
            <w:r>
              <w:rPr>
                <w:color w:val="auto"/>
                <w:sz w:val="18"/>
                <w:szCs w:val="18"/>
              </w:rPr>
              <w:t>其它非危险化学品工业企业</w:t>
            </w:r>
          </w:p>
        </w:tc>
        <w:tc>
          <w:tcPr>
            <w:tcW w:w="907" w:type="pct"/>
            <w:vAlign w:val="center"/>
          </w:tcPr>
          <w:p w14:paraId="3C403BB4">
            <w:pPr>
              <w:spacing w:line="240" w:lineRule="exact"/>
              <w:textAlignment w:val="auto"/>
              <w:rPr>
                <w:color w:val="auto"/>
                <w:sz w:val="18"/>
                <w:szCs w:val="18"/>
              </w:rPr>
            </w:pPr>
          </w:p>
        </w:tc>
        <w:tc>
          <w:tcPr>
            <w:tcW w:w="907" w:type="pct"/>
            <w:vAlign w:val="center"/>
          </w:tcPr>
          <w:p w14:paraId="073F4F0C">
            <w:pPr>
              <w:spacing w:line="240" w:lineRule="exact"/>
              <w:textAlignment w:val="auto"/>
              <w:rPr>
                <w:color w:val="auto"/>
                <w:sz w:val="18"/>
                <w:szCs w:val="18"/>
              </w:rPr>
            </w:pPr>
            <w:r>
              <w:rPr>
                <w:color w:val="auto"/>
                <w:sz w:val="18"/>
                <w:szCs w:val="18"/>
              </w:rPr>
              <w:t>企业中当班人数100人以上的建筑。</w:t>
            </w:r>
          </w:p>
        </w:tc>
        <w:tc>
          <w:tcPr>
            <w:tcW w:w="915" w:type="pct"/>
            <w:vAlign w:val="center"/>
          </w:tcPr>
          <w:p w14:paraId="22C82CFE">
            <w:pPr>
              <w:spacing w:line="240" w:lineRule="exact"/>
              <w:textAlignment w:val="auto"/>
              <w:rPr>
                <w:color w:val="auto"/>
                <w:sz w:val="18"/>
                <w:szCs w:val="18"/>
              </w:rPr>
            </w:pPr>
            <w:r>
              <w:rPr>
                <w:color w:val="auto"/>
                <w:sz w:val="18"/>
                <w:szCs w:val="18"/>
              </w:rPr>
              <w:t>企业中当班人数100人以下的建筑。</w:t>
            </w:r>
          </w:p>
        </w:tc>
      </w:tr>
      <w:tr w14:paraId="5832DA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1" w:hRule="atLeast"/>
        </w:trPr>
        <w:tc>
          <w:tcPr>
            <w:tcW w:w="2271" w:type="pct"/>
            <w:vAlign w:val="center"/>
          </w:tcPr>
          <w:p w14:paraId="74C2316C">
            <w:pPr>
              <w:spacing w:line="240" w:lineRule="exact"/>
              <w:textAlignment w:val="auto"/>
              <w:rPr>
                <w:color w:val="auto"/>
                <w:sz w:val="18"/>
                <w:szCs w:val="18"/>
              </w:rPr>
            </w:pPr>
            <w:r>
              <w:rPr>
                <w:color w:val="auto"/>
                <w:sz w:val="18"/>
                <w:szCs w:val="18"/>
              </w:rPr>
              <w:t>交通枢纽设施</w:t>
            </w:r>
          </w:p>
          <w:p w14:paraId="58EEFA0A">
            <w:pPr>
              <w:spacing w:line="240" w:lineRule="exact"/>
              <w:textAlignment w:val="auto"/>
              <w:rPr>
                <w:color w:val="auto"/>
                <w:sz w:val="18"/>
                <w:szCs w:val="18"/>
              </w:rPr>
            </w:pPr>
            <w:r>
              <w:rPr>
                <w:color w:val="auto"/>
                <w:sz w:val="18"/>
                <w:szCs w:val="18"/>
              </w:rPr>
              <w:t>包括：铁路客运站、公路长途客运站、港口客运码头、机场、交通服务设施（不包括交通指挥中心、交通队）等。</w:t>
            </w:r>
          </w:p>
        </w:tc>
        <w:tc>
          <w:tcPr>
            <w:tcW w:w="907" w:type="pct"/>
            <w:vAlign w:val="center"/>
          </w:tcPr>
          <w:p w14:paraId="62FB2A92">
            <w:pPr>
              <w:spacing w:line="240" w:lineRule="exact"/>
              <w:textAlignment w:val="auto"/>
              <w:rPr>
                <w:color w:val="auto"/>
                <w:sz w:val="18"/>
                <w:szCs w:val="18"/>
              </w:rPr>
            </w:pPr>
            <w:r>
              <w:rPr>
                <w:color w:val="auto"/>
                <w:sz w:val="18"/>
                <w:szCs w:val="18"/>
              </w:rPr>
              <w:t>旅客最高聚集人数100人以上。</w:t>
            </w:r>
          </w:p>
        </w:tc>
        <w:tc>
          <w:tcPr>
            <w:tcW w:w="907" w:type="pct"/>
            <w:vAlign w:val="center"/>
          </w:tcPr>
          <w:p w14:paraId="589D142E">
            <w:pPr>
              <w:spacing w:line="240" w:lineRule="exact"/>
              <w:textAlignment w:val="auto"/>
              <w:rPr>
                <w:color w:val="auto"/>
                <w:sz w:val="18"/>
                <w:szCs w:val="18"/>
              </w:rPr>
            </w:pPr>
            <w:r>
              <w:rPr>
                <w:color w:val="auto"/>
                <w:sz w:val="18"/>
                <w:szCs w:val="18"/>
              </w:rPr>
              <w:t>旅客最高聚集人数100人以下。</w:t>
            </w:r>
          </w:p>
        </w:tc>
        <w:tc>
          <w:tcPr>
            <w:tcW w:w="915" w:type="pct"/>
            <w:vAlign w:val="center"/>
          </w:tcPr>
          <w:p w14:paraId="1D1C0D31">
            <w:pPr>
              <w:spacing w:line="240" w:lineRule="exact"/>
              <w:textAlignment w:val="auto"/>
              <w:rPr>
                <w:color w:val="auto"/>
                <w:sz w:val="18"/>
                <w:szCs w:val="18"/>
              </w:rPr>
            </w:pPr>
          </w:p>
        </w:tc>
      </w:tr>
      <w:tr w14:paraId="3A656D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2271" w:type="pct"/>
            <w:tcBorders>
              <w:bottom w:val="single" w:color="auto" w:sz="12" w:space="0"/>
            </w:tcBorders>
            <w:vAlign w:val="center"/>
          </w:tcPr>
          <w:p w14:paraId="31F6630E">
            <w:pPr>
              <w:spacing w:line="240" w:lineRule="exact"/>
              <w:textAlignment w:val="auto"/>
              <w:rPr>
                <w:color w:val="auto"/>
                <w:sz w:val="18"/>
                <w:szCs w:val="18"/>
              </w:rPr>
            </w:pPr>
            <w:r>
              <w:rPr>
                <w:color w:val="auto"/>
                <w:sz w:val="18"/>
                <w:szCs w:val="18"/>
              </w:rPr>
              <w:t>城镇公园广场</w:t>
            </w:r>
          </w:p>
        </w:tc>
        <w:tc>
          <w:tcPr>
            <w:tcW w:w="907" w:type="pct"/>
            <w:tcBorders>
              <w:bottom w:val="single" w:color="auto" w:sz="12" w:space="0"/>
            </w:tcBorders>
            <w:vAlign w:val="center"/>
          </w:tcPr>
          <w:p w14:paraId="5442ED25">
            <w:pPr>
              <w:spacing w:line="240" w:lineRule="exact"/>
              <w:textAlignment w:val="auto"/>
              <w:rPr>
                <w:color w:val="auto"/>
                <w:sz w:val="18"/>
                <w:szCs w:val="18"/>
              </w:rPr>
            </w:pPr>
            <w:r>
              <w:rPr>
                <w:color w:val="auto"/>
                <w:sz w:val="18"/>
                <w:szCs w:val="18"/>
              </w:rPr>
              <w:t>总占地面积5000 m</w:t>
            </w:r>
            <w:r>
              <w:rPr>
                <w:color w:val="auto"/>
                <w:sz w:val="18"/>
                <w:szCs w:val="18"/>
                <w:vertAlign w:val="superscript"/>
              </w:rPr>
              <w:t>2</w:t>
            </w:r>
            <w:r>
              <w:rPr>
                <w:color w:val="auto"/>
                <w:sz w:val="18"/>
                <w:szCs w:val="18"/>
              </w:rPr>
              <w:t>以上的。</w:t>
            </w:r>
          </w:p>
        </w:tc>
        <w:tc>
          <w:tcPr>
            <w:tcW w:w="907" w:type="pct"/>
            <w:tcBorders>
              <w:bottom w:val="single" w:color="auto" w:sz="12" w:space="0"/>
            </w:tcBorders>
            <w:vAlign w:val="center"/>
          </w:tcPr>
          <w:p w14:paraId="26909536">
            <w:pPr>
              <w:spacing w:line="240" w:lineRule="exact"/>
              <w:textAlignment w:val="auto"/>
              <w:rPr>
                <w:color w:val="auto"/>
                <w:sz w:val="18"/>
                <w:szCs w:val="18"/>
              </w:rPr>
            </w:pPr>
            <w:r>
              <w:rPr>
                <w:color w:val="auto"/>
                <w:sz w:val="18"/>
                <w:szCs w:val="18"/>
              </w:rPr>
              <w:t>总占地面积1500 m</w:t>
            </w:r>
            <w:r>
              <w:rPr>
                <w:color w:val="auto"/>
                <w:sz w:val="18"/>
                <w:szCs w:val="18"/>
                <w:vertAlign w:val="superscript"/>
              </w:rPr>
              <w:t>2</w:t>
            </w:r>
            <w:r>
              <w:rPr>
                <w:color w:val="auto"/>
                <w:sz w:val="18"/>
                <w:szCs w:val="18"/>
              </w:rPr>
              <w:t>以上5000 m</w:t>
            </w:r>
            <w:r>
              <w:rPr>
                <w:color w:val="auto"/>
                <w:sz w:val="18"/>
                <w:szCs w:val="18"/>
                <w:vertAlign w:val="superscript"/>
              </w:rPr>
              <w:t>2</w:t>
            </w:r>
            <w:r>
              <w:rPr>
                <w:color w:val="auto"/>
                <w:sz w:val="18"/>
                <w:szCs w:val="18"/>
              </w:rPr>
              <w:t>以下的。</w:t>
            </w:r>
          </w:p>
        </w:tc>
        <w:tc>
          <w:tcPr>
            <w:tcW w:w="915" w:type="pct"/>
            <w:tcBorders>
              <w:bottom w:val="single" w:color="auto" w:sz="12" w:space="0"/>
            </w:tcBorders>
            <w:vAlign w:val="center"/>
          </w:tcPr>
          <w:p w14:paraId="13B8FA42">
            <w:pPr>
              <w:spacing w:line="240" w:lineRule="exact"/>
              <w:textAlignment w:val="auto"/>
              <w:rPr>
                <w:color w:val="auto"/>
                <w:sz w:val="18"/>
                <w:szCs w:val="18"/>
              </w:rPr>
            </w:pPr>
            <w:r>
              <w:rPr>
                <w:color w:val="auto"/>
                <w:sz w:val="18"/>
                <w:szCs w:val="18"/>
              </w:rPr>
              <w:t>总占地面积1500 m</w:t>
            </w:r>
            <w:r>
              <w:rPr>
                <w:color w:val="auto"/>
                <w:sz w:val="18"/>
                <w:szCs w:val="18"/>
                <w:vertAlign w:val="superscript"/>
              </w:rPr>
              <w:t>2</w:t>
            </w:r>
            <w:r>
              <w:rPr>
                <w:color w:val="auto"/>
                <w:sz w:val="18"/>
                <w:szCs w:val="18"/>
              </w:rPr>
              <w:t>以下的。</w:t>
            </w:r>
          </w:p>
        </w:tc>
      </w:tr>
      <w:tr w14:paraId="7F7F73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5000" w:type="pct"/>
            <w:gridSpan w:val="4"/>
            <w:tcBorders>
              <w:top w:val="single" w:color="auto" w:sz="12" w:space="0"/>
            </w:tcBorders>
            <w:vAlign w:val="center"/>
          </w:tcPr>
          <w:p w14:paraId="6037D10D">
            <w:pPr>
              <w:widowControl w:val="0"/>
              <w:spacing w:line="200" w:lineRule="exact"/>
              <w:ind w:left="960" w:leftChars="200" w:hanging="540" w:hangingChars="300"/>
              <w:textAlignment w:val="auto"/>
              <w:rPr>
                <w:rFonts w:hint="eastAsia" w:ascii="宋体" w:hAnsi="宋体"/>
                <w:color w:val="auto"/>
                <w:kern w:val="2"/>
                <w:sz w:val="18"/>
                <w:szCs w:val="18"/>
              </w:rPr>
            </w:pPr>
            <w:r>
              <w:rPr>
                <w:rFonts w:hint="eastAsia" w:ascii="宋体" w:hAnsi="宋体"/>
                <w:color w:val="auto"/>
                <w:kern w:val="2"/>
                <w:sz w:val="18"/>
                <w:szCs w:val="18"/>
              </w:rPr>
              <w:t>注1：低层建筑（一层至三层住宅）为主的农村居民点、低层住区以整体为单元进行规模核算，中层（四层至六层住宅）及以上建筑以单</w:t>
            </w:r>
            <w:r>
              <w:rPr>
                <w:rFonts w:ascii="宋体" w:hAnsi="宋体"/>
                <w:color w:val="auto"/>
                <w:kern w:val="2"/>
                <w:sz w:val="18"/>
                <w:szCs w:val="18"/>
              </w:rPr>
              <w:t>栋</w:t>
            </w:r>
            <w:r>
              <w:rPr>
                <w:rFonts w:hint="eastAsia" w:ascii="宋体" w:hAnsi="宋体"/>
                <w:color w:val="auto"/>
                <w:kern w:val="2"/>
                <w:sz w:val="18"/>
                <w:szCs w:val="18"/>
              </w:rPr>
              <w:t>建筑为单元进行规模核算。其</w:t>
            </w:r>
            <w:r>
              <w:rPr>
                <w:rFonts w:ascii="宋体" w:hAnsi="宋体"/>
                <w:color w:val="auto"/>
                <w:kern w:val="2"/>
                <w:sz w:val="18"/>
                <w:szCs w:val="18"/>
              </w:rPr>
              <w:t>它</w:t>
            </w:r>
            <w:r>
              <w:rPr>
                <w:rFonts w:hint="eastAsia" w:ascii="宋体" w:hAnsi="宋体"/>
                <w:color w:val="auto"/>
                <w:kern w:val="2"/>
                <w:sz w:val="18"/>
                <w:szCs w:val="18"/>
              </w:rPr>
              <w:t>防护目标未单独说明的，以独立建筑为目标进行分类。</w:t>
            </w:r>
          </w:p>
          <w:p w14:paraId="585BCE64">
            <w:pPr>
              <w:widowControl w:val="0"/>
              <w:spacing w:line="200" w:lineRule="exact"/>
              <w:ind w:left="420" w:leftChars="200"/>
              <w:textAlignment w:val="auto"/>
              <w:rPr>
                <w:rFonts w:hint="eastAsia" w:ascii="宋体" w:hAnsi="宋体"/>
                <w:color w:val="auto"/>
                <w:kern w:val="2"/>
                <w:sz w:val="18"/>
                <w:szCs w:val="18"/>
              </w:rPr>
            </w:pPr>
            <w:r>
              <w:rPr>
                <w:rFonts w:ascii="宋体" w:hAnsi="宋体"/>
                <w:color w:val="auto"/>
                <w:kern w:val="2"/>
                <w:sz w:val="18"/>
                <w:szCs w:val="18"/>
              </w:rPr>
              <w:t>注2</w:t>
            </w:r>
            <w:r>
              <w:rPr>
                <w:rFonts w:hint="eastAsia" w:ascii="宋体" w:hAnsi="宋体"/>
                <w:color w:val="auto"/>
                <w:kern w:val="2"/>
                <w:sz w:val="18"/>
                <w:szCs w:val="18"/>
              </w:rPr>
              <w:t>：</w:t>
            </w:r>
            <w:r>
              <w:rPr>
                <w:rFonts w:ascii="宋体" w:hAnsi="宋体"/>
                <w:color w:val="auto"/>
                <w:kern w:val="2"/>
                <w:sz w:val="18"/>
                <w:szCs w:val="18"/>
              </w:rPr>
              <w:t>人员数量核算时</w:t>
            </w:r>
            <w:r>
              <w:rPr>
                <w:rFonts w:hint="eastAsia" w:ascii="宋体" w:hAnsi="宋体"/>
                <w:color w:val="auto"/>
                <w:kern w:val="2"/>
                <w:sz w:val="18"/>
                <w:szCs w:val="18"/>
              </w:rPr>
              <w:t>，居住户数和居住人数按照常住人口核算，企业人员数量按照最大当班人数核算。</w:t>
            </w:r>
          </w:p>
          <w:p w14:paraId="5509B708">
            <w:pPr>
              <w:widowControl w:val="0"/>
              <w:spacing w:line="200" w:lineRule="exact"/>
              <w:ind w:left="960" w:leftChars="200" w:hanging="540" w:hangingChars="300"/>
              <w:textAlignment w:val="auto"/>
              <w:rPr>
                <w:rFonts w:hint="eastAsia" w:ascii="宋体" w:hAnsi="宋体"/>
                <w:color w:val="auto"/>
                <w:kern w:val="2"/>
                <w:sz w:val="18"/>
                <w:szCs w:val="18"/>
              </w:rPr>
            </w:pPr>
            <w:r>
              <w:rPr>
                <w:rFonts w:ascii="宋体" w:hAnsi="宋体"/>
                <w:color w:val="auto"/>
                <w:kern w:val="2"/>
                <w:sz w:val="18"/>
                <w:szCs w:val="18"/>
              </w:rPr>
              <w:t>注3</w:t>
            </w:r>
            <w:r>
              <w:rPr>
                <w:rFonts w:hint="eastAsia" w:ascii="宋体" w:hAnsi="宋体"/>
                <w:color w:val="auto"/>
                <w:kern w:val="2"/>
                <w:sz w:val="18"/>
                <w:szCs w:val="18"/>
              </w:rPr>
              <w:t>：具有兼容性的综合建筑按其主要类型进行分类，</w:t>
            </w:r>
            <w:r>
              <w:rPr>
                <w:rFonts w:ascii="宋体" w:hAnsi="宋体"/>
                <w:color w:val="auto"/>
                <w:kern w:val="2"/>
                <w:sz w:val="18"/>
                <w:szCs w:val="18"/>
              </w:rPr>
              <w:t>若综合楼使用的主要性质难以确定</w:t>
            </w:r>
            <w:r>
              <w:rPr>
                <w:rFonts w:hint="eastAsia" w:ascii="宋体" w:hAnsi="宋体"/>
                <w:color w:val="auto"/>
                <w:kern w:val="2"/>
                <w:sz w:val="18"/>
                <w:szCs w:val="18"/>
              </w:rPr>
              <w:t>时，按</w:t>
            </w:r>
            <w:r>
              <w:rPr>
                <w:rFonts w:ascii="宋体" w:hAnsi="宋体"/>
                <w:color w:val="auto"/>
                <w:kern w:val="2"/>
                <w:sz w:val="18"/>
                <w:szCs w:val="18"/>
              </w:rPr>
              <w:t>底层使用的主要性质进行归类</w:t>
            </w:r>
            <w:r>
              <w:rPr>
                <w:rFonts w:hint="eastAsia" w:ascii="宋体" w:hAnsi="宋体"/>
                <w:color w:val="auto"/>
                <w:kern w:val="2"/>
                <w:sz w:val="18"/>
                <w:szCs w:val="18"/>
              </w:rPr>
              <w:t>。</w:t>
            </w:r>
          </w:p>
          <w:p w14:paraId="70BF8C8A">
            <w:pPr>
              <w:widowControl w:val="0"/>
              <w:spacing w:line="200" w:lineRule="exact"/>
              <w:ind w:left="420" w:leftChars="200"/>
              <w:textAlignment w:val="auto"/>
              <w:rPr>
                <w:rFonts w:hint="eastAsia" w:ascii="宋体" w:hAnsi="宋体"/>
                <w:color w:val="auto"/>
                <w:kern w:val="2"/>
                <w:sz w:val="18"/>
                <w:szCs w:val="18"/>
              </w:rPr>
            </w:pPr>
            <w:r>
              <w:rPr>
                <w:rFonts w:ascii="宋体" w:hAnsi="宋体"/>
                <w:color w:val="auto"/>
                <w:kern w:val="2"/>
                <w:sz w:val="18"/>
                <w:szCs w:val="18"/>
              </w:rPr>
              <w:t>注4</w:t>
            </w:r>
            <w:r>
              <w:rPr>
                <w:rFonts w:hint="eastAsia" w:ascii="宋体" w:hAnsi="宋体"/>
                <w:color w:val="auto"/>
                <w:kern w:val="2"/>
                <w:sz w:val="18"/>
                <w:szCs w:val="18"/>
              </w:rPr>
              <w:t>：表中“以上”包括本数，“以下”不包括本数。</w:t>
            </w:r>
          </w:p>
        </w:tc>
      </w:tr>
    </w:tbl>
    <w:p w14:paraId="57899DFD">
      <w:pPr>
        <w:widowControl w:val="0"/>
        <w:spacing w:line="240" w:lineRule="auto"/>
        <w:jc w:val="left"/>
        <w:textAlignment w:val="auto"/>
        <w:rPr>
          <w:rFonts w:hint="eastAsia" w:ascii="宋体" w:hAnsi="宋体"/>
          <w:color w:val="auto"/>
          <w:kern w:val="2"/>
          <w:sz w:val="18"/>
          <w:szCs w:val="18"/>
        </w:rPr>
      </w:pPr>
    </w:p>
    <w:p w14:paraId="557EE71F">
      <w:pPr>
        <w:widowControl w:val="0"/>
        <w:spacing w:line="240" w:lineRule="auto"/>
        <w:jc w:val="left"/>
        <w:textAlignment w:val="auto"/>
        <w:rPr>
          <w:rFonts w:hint="eastAsia" w:ascii="黑体" w:hAnsi="黑体" w:eastAsia="黑体"/>
          <w:bCs/>
          <w:color w:val="auto"/>
          <w:kern w:val="2"/>
          <w:szCs w:val="21"/>
        </w:rPr>
      </w:pPr>
      <w:r>
        <w:rPr>
          <w:rFonts w:hint="eastAsia" w:ascii="黑体" w:hAnsi="黑体" w:eastAsia="黑体"/>
          <w:bCs/>
          <w:color w:val="auto"/>
          <w:kern w:val="2"/>
          <w:szCs w:val="21"/>
        </w:rPr>
        <w:t>C.</w:t>
      </w:r>
      <w:r>
        <w:rPr>
          <w:rFonts w:ascii="黑体" w:hAnsi="黑体" w:eastAsia="黑体"/>
          <w:bCs/>
          <w:color w:val="auto"/>
          <w:kern w:val="2"/>
          <w:szCs w:val="21"/>
        </w:rPr>
        <w:t>2</w:t>
      </w:r>
      <w:r>
        <w:rPr>
          <w:rFonts w:hint="eastAsia" w:ascii="黑体" w:hAnsi="黑体" w:eastAsia="黑体"/>
          <w:bCs/>
          <w:color w:val="auto"/>
          <w:kern w:val="2"/>
          <w:szCs w:val="21"/>
        </w:rPr>
        <w:t>防护目标个人风险基准</w:t>
      </w:r>
    </w:p>
    <w:p w14:paraId="007585E7">
      <w:pPr>
        <w:widowControl w:val="0"/>
        <w:spacing w:line="240" w:lineRule="auto"/>
        <w:ind w:firstLine="420" w:firstLineChars="200"/>
        <w:textAlignment w:val="auto"/>
        <w:rPr>
          <w:color w:val="auto"/>
          <w:kern w:val="2"/>
          <w:szCs w:val="32"/>
        </w:rPr>
      </w:pPr>
      <w:r>
        <w:rPr>
          <w:rFonts w:hint="eastAsia" w:hAnsi="黑体"/>
          <w:color w:val="auto"/>
          <w:kern w:val="2"/>
          <w:szCs w:val="32"/>
        </w:rPr>
        <w:t>油气长输管道周</w:t>
      </w:r>
      <w:r>
        <w:rPr>
          <w:color w:val="auto"/>
          <w:kern w:val="2"/>
          <w:szCs w:val="32"/>
        </w:rPr>
        <w:t>边防护目标所承受的个人风险应不超过表</w:t>
      </w:r>
      <w:r>
        <w:rPr>
          <w:rFonts w:hint="eastAsia"/>
          <w:color w:val="auto"/>
          <w:kern w:val="2"/>
          <w:szCs w:val="32"/>
        </w:rPr>
        <w:t>C</w:t>
      </w:r>
      <w:r>
        <w:rPr>
          <w:color w:val="auto"/>
          <w:kern w:val="2"/>
          <w:szCs w:val="32"/>
        </w:rPr>
        <w:t>.2中个人风险基准的要求。</w:t>
      </w:r>
    </w:p>
    <w:p w14:paraId="379EA923">
      <w:pPr>
        <w:widowControl w:val="0"/>
        <w:spacing w:before="156" w:beforeLines="50" w:after="156" w:afterLines="50" w:line="240" w:lineRule="auto"/>
        <w:jc w:val="center"/>
        <w:textAlignment w:val="auto"/>
        <w:rPr>
          <w:rFonts w:eastAsia="黑体"/>
          <w:color w:val="auto"/>
          <w:kern w:val="2"/>
          <w:szCs w:val="21"/>
        </w:rPr>
      </w:pPr>
      <w:r>
        <w:rPr>
          <w:rFonts w:eastAsia="黑体"/>
          <w:color w:val="auto"/>
          <w:kern w:val="2"/>
          <w:szCs w:val="21"/>
        </w:rPr>
        <w:t>表</w:t>
      </w:r>
      <w:r>
        <w:rPr>
          <w:rFonts w:hint="eastAsia" w:eastAsia="黑体"/>
          <w:color w:val="auto"/>
          <w:kern w:val="2"/>
          <w:szCs w:val="21"/>
        </w:rPr>
        <w:t>C</w:t>
      </w:r>
      <w:r>
        <w:rPr>
          <w:rFonts w:eastAsia="黑体"/>
          <w:color w:val="auto"/>
          <w:kern w:val="2"/>
          <w:szCs w:val="21"/>
        </w:rPr>
        <w:t xml:space="preserve">.2 </w:t>
      </w:r>
      <w:r>
        <w:rPr>
          <w:rFonts w:hint="eastAsia" w:eastAsia="黑体"/>
          <w:color w:val="auto"/>
          <w:kern w:val="2"/>
          <w:szCs w:val="21"/>
        </w:rPr>
        <w:t>人员密集型高后果区</w:t>
      </w:r>
      <w:r>
        <w:rPr>
          <w:rFonts w:eastAsia="黑体"/>
          <w:color w:val="auto"/>
          <w:kern w:val="2"/>
          <w:szCs w:val="21"/>
        </w:rPr>
        <w:t>个人风险基准</w:t>
      </w:r>
    </w:p>
    <w:tbl>
      <w:tblPr>
        <w:tblStyle w:val="36"/>
        <w:tblW w:w="963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817"/>
        <w:gridCol w:w="4818"/>
      </w:tblGrid>
      <w:tr w14:paraId="0FEE86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4" w:hRule="atLeast"/>
          <w:tblHeader/>
          <w:jc w:val="center"/>
        </w:trPr>
        <w:tc>
          <w:tcPr>
            <w:tcW w:w="4817" w:type="dxa"/>
            <w:vAlign w:val="center"/>
          </w:tcPr>
          <w:p w14:paraId="5CCB82B9">
            <w:pPr>
              <w:widowControl w:val="0"/>
              <w:snapToGrid w:val="0"/>
              <w:spacing w:line="240" w:lineRule="auto"/>
              <w:jc w:val="center"/>
              <w:textAlignment w:val="auto"/>
              <w:rPr>
                <w:color w:val="auto"/>
                <w:sz w:val="18"/>
                <w:szCs w:val="18"/>
              </w:rPr>
            </w:pPr>
            <w:r>
              <w:rPr>
                <w:color w:val="auto"/>
                <w:sz w:val="18"/>
                <w:szCs w:val="18"/>
              </w:rPr>
              <w:t>防护目标</w:t>
            </w:r>
          </w:p>
        </w:tc>
        <w:tc>
          <w:tcPr>
            <w:tcW w:w="4818" w:type="dxa"/>
            <w:vAlign w:val="center"/>
          </w:tcPr>
          <w:p w14:paraId="0662E4CD">
            <w:pPr>
              <w:widowControl w:val="0"/>
              <w:snapToGrid w:val="0"/>
              <w:spacing w:line="240" w:lineRule="auto"/>
              <w:jc w:val="center"/>
              <w:textAlignment w:val="auto"/>
              <w:rPr>
                <w:color w:val="auto"/>
                <w:sz w:val="18"/>
                <w:szCs w:val="18"/>
              </w:rPr>
            </w:pPr>
            <w:r>
              <w:rPr>
                <w:color w:val="auto"/>
                <w:sz w:val="18"/>
                <w:szCs w:val="18"/>
              </w:rPr>
              <w:t>油气</w:t>
            </w:r>
            <w:r>
              <w:rPr>
                <w:rFonts w:hint="eastAsia"/>
                <w:color w:val="auto"/>
                <w:sz w:val="18"/>
                <w:szCs w:val="18"/>
              </w:rPr>
              <w:t>长输</w:t>
            </w:r>
            <w:r>
              <w:rPr>
                <w:color w:val="auto"/>
                <w:sz w:val="18"/>
                <w:szCs w:val="18"/>
              </w:rPr>
              <w:t>管道个人风险基准</w:t>
            </w:r>
          </w:p>
          <w:p w14:paraId="1AF04E0A">
            <w:pPr>
              <w:widowControl w:val="0"/>
              <w:snapToGrid w:val="0"/>
              <w:spacing w:line="240" w:lineRule="auto"/>
              <w:jc w:val="center"/>
              <w:textAlignment w:val="auto"/>
              <w:rPr>
                <w:color w:val="auto"/>
                <w:sz w:val="18"/>
                <w:szCs w:val="18"/>
              </w:rPr>
            </w:pPr>
            <w:r>
              <w:rPr>
                <w:color w:val="auto"/>
                <w:sz w:val="18"/>
                <w:szCs w:val="18"/>
              </w:rPr>
              <w:t>（次/每年）≤</w:t>
            </w:r>
          </w:p>
        </w:tc>
      </w:tr>
      <w:tr w14:paraId="663172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9" w:hRule="atLeast"/>
          <w:jc w:val="center"/>
        </w:trPr>
        <w:tc>
          <w:tcPr>
            <w:tcW w:w="4817" w:type="dxa"/>
            <w:tcBorders>
              <w:top w:val="single" w:color="auto" w:sz="12" w:space="0"/>
            </w:tcBorders>
            <w:vAlign w:val="center"/>
          </w:tcPr>
          <w:p w14:paraId="4CAFED1C">
            <w:pPr>
              <w:widowControl w:val="0"/>
              <w:snapToGrid w:val="0"/>
              <w:spacing w:line="240" w:lineRule="exact"/>
              <w:jc w:val="left"/>
              <w:textAlignment w:val="auto"/>
              <w:rPr>
                <w:color w:val="auto"/>
                <w:sz w:val="18"/>
                <w:szCs w:val="18"/>
              </w:rPr>
            </w:pPr>
            <w:r>
              <w:rPr>
                <w:color w:val="auto"/>
                <w:sz w:val="18"/>
                <w:szCs w:val="18"/>
              </w:rPr>
              <w:t>高敏感防护目标、重要防护目标</w:t>
            </w:r>
            <w:r>
              <w:rPr>
                <w:rFonts w:hint="eastAsia"/>
                <w:color w:val="auto"/>
                <w:sz w:val="18"/>
                <w:szCs w:val="18"/>
              </w:rPr>
              <w:t>、</w:t>
            </w:r>
            <w:r>
              <w:rPr>
                <w:color w:val="auto"/>
                <w:sz w:val="18"/>
                <w:szCs w:val="18"/>
              </w:rPr>
              <w:t>一般防护目标中的一类防护目标</w:t>
            </w:r>
          </w:p>
        </w:tc>
        <w:tc>
          <w:tcPr>
            <w:tcW w:w="4818" w:type="dxa"/>
            <w:tcBorders>
              <w:top w:val="single" w:color="auto" w:sz="12" w:space="0"/>
            </w:tcBorders>
            <w:vAlign w:val="center"/>
          </w:tcPr>
          <w:p w14:paraId="14283978">
            <w:pPr>
              <w:widowControl w:val="0"/>
              <w:snapToGrid w:val="0"/>
              <w:spacing w:line="240" w:lineRule="exact"/>
              <w:jc w:val="center"/>
              <w:textAlignment w:val="auto"/>
              <w:rPr>
                <w:strike/>
                <w:color w:val="auto"/>
                <w:sz w:val="18"/>
                <w:szCs w:val="18"/>
              </w:rPr>
            </w:pPr>
            <w:r>
              <w:rPr>
                <w:color w:val="auto"/>
                <w:sz w:val="18"/>
                <w:szCs w:val="18"/>
              </w:rPr>
              <w:t>3×10</w:t>
            </w:r>
            <w:r>
              <w:rPr>
                <w:color w:val="auto"/>
                <w:sz w:val="18"/>
                <w:szCs w:val="18"/>
                <w:vertAlign w:val="superscript"/>
              </w:rPr>
              <w:t>-7</w:t>
            </w:r>
          </w:p>
        </w:tc>
      </w:tr>
      <w:tr w14:paraId="376466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9" w:hRule="atLeast"/>
          <w:jc w:val="center"/>
        </w:trPr>
        <w:tc>
          <w:tcPr>
            <w:tcW w:w="4817" w:type="dxa"/>
            <w:vAlign w:val="center"/>
          </w:tcPr>
          <w:p w14:paraId="1200BF62">
            <w:pPr>
              <w:widowControl w:val="0"/>
              <w:snapToGrid w:val="0"/>
              <w:spacing w:line="240" w:lineRule="exact"/>
              <w:jc w:val="left"/>
              <w:textAlignment w:val="auto"/>
              <w:rPr>
                <w:color w:val="auto"/>
                <w:sz w:val="18"/>
                <w:szCs w:val="18"/>
              </w:rPr>
            </w:pPr>
            <w:r>
              <w:rPr>
                <w:color w:val="auto"/>
                <w:sz w:val="18"/>
                <w:szCs w:val="18"/>
              </w:rPr>
              <w:t>一般防护目标中的二类防护目标</w:t>
            </w:r>
          </w:p>
        </w:tc>
        <w:tc>
          <w:tcPr>
            <w:tcW w:w="4818" w:type="dxa"/>
            <w:vAlign w:val="center"/>
          </w:tcPr>
          <w:p w14:paraId="41BAD404">
            <w:pPr>
              <w:widowControl w:val="0"/>
              <w:snapToGrid w:val="0"/>
              <w:spacing w:line="240" w:lineRule="exact"/>
              <w:jc w:val="center"/>
              <w:textAlignment w:val="auto"/>
              <w:rPr>
                <w:strike/>
                <w:color w:val="auto"/>
                <w:sz w:val="18"/>
                <w:szCs w:val="18"/>
              </w:rPr>
            </w:pPr>
            <w:r>
              <w:rPr>
                <w:color w:val="auto"/>
                <w:sz w:val="18"/>
                <w:szCs w:val="18"/>
              </w:rPr>
              <w:t>3×10</w:t>
            </w:r>
            <w:r>
              <w:rPr>
                <w:color w:val="auto"/>
                <w:sz w:val="18"/>
                <w:szCs w:val="18"/>
                <w:vertAlign w:val="superscript"/>
              </w:rPr>
              <w:t>-6</w:t>
            </w:r>
          </w:p>
        </w:tc>
      </w:tr>
      <w:tr w14:paraId="6CDE8B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9" w:hRule="atLeast"/>
          <w:jc w:val="center"/>
        </w:trPr>
        <w:tc>
          <w:tcPr>
            <w:tcW w:w="4817" w:type="dxa"/>
            <w:vAlign w:val="center"/>
          </w:tcPr>
          <w:p w14:paraId="21CBC63E">
            <w:pPr>
              <w:widowControl w:val="0"/>
              <w:snapToGrid w:val="0"/>
              <w:spacing w:line="240" w:lineRule="exact"/>
              <w:jc w:val="left"/>
              <w:textAlignment w:val="auto"/>
              <w:rPr>
                <w:color w:val="auto"/>
                <w:sz w:val="18"/>
                <w:szCs w:val="18"/>
              </w:rPr>
            </w:pPr>
            <w:r>
              <w:rPr>
                <w:color w:val="auto"/>
                <w:sz w:val="18"/>
                <w:szCs w:val="18"/>
              </w:rPr>
              <w:t>一般防护目标中的三类防护目标</w:t>
            </w:r>
          </w:p>
        </w:tc>
        <w:tc>
          <w:tcPr>
            <w:tcW w:w="4818" w:type="dxa"/>
            <w:vAlign w:val="center"/>
          </w:tcPr>
          <w:p w14:paraId="2180FFB5">
            <w:pPr>
              <w:widowControl w:val="0"/>
              <w:snapToGrid w:val="0"/>
              <w:spacing w:line="240" w:lineRule="exact"/>
              <w:jc w:val="center"/>
              <w:textAlignment w:val="auto"/>
              <w:rPr>
                <w:strike/>
                <w:color w:val="auto"/>
                <w:sz w:val="18"/>
                <w:szCs w:val="18"/>
              </w:rPr>
            </w:pPr>
            <w:r>
              <w:rPr>
                <w:color w:val="auto"/>
                <w:sz w:val="18"/>
                <w:szCs w:val="18"/>
              </w:rPr>
              <w:t>1×10</w:t>
            </w:r>
            <w:r>
              <w:rPr>
                <w:color w:val="auto"/>
                <w:sz w:val="18"/>
                <w:szCs w:val="18"/>
                <w:vertAlign w:val="superscript"/>
              </w:rPr>
              <w:t>-5</w:t>
            </w:r>
          </w:p>
        </w:tc>
      </w:tr>
    </w:tbl>
    <w:p w14:paraId="30A0A21F">
      <w:pPr>
        <w:pStyle w:val="109"/>
        <w:spacing w:before="360"/>
        <w:rPr>
          <w:rFonts w:ascii="Times New Roman"/>
          <w:color w:val="000000" w:themeColor="text1"/>
          <w:szCs w:val="21"/>
          <w14:textFill>
            <w14:solidFill>
              <w14:schemeClr w14:val="tx1"/>
            </w14:solidFill>
          </w14:textFill>
        </w:rPr>
      </w:pPr>
      <w:r>
        <w:rPr>
          <w:color w:val="000000" w:themeColor="text1"/>
          <w14:textFill>
            <w14:solidFill>
              <w14:schemeClr w14:val="tx1"/>
            </w14:solidFill>
          </w14:textFill>
        </w:rPr>
        <w:br w:type="page"/>
      </w:r>
      <w:r>
        <w:rPr>
          <w:rFonts w:ascii="Times New Roman"/>
          <w:color w:val="000000" w:themeColor="text1"/>
          <w:szCs w:val="21"/>
          <w14:textFill>
            <w14:solidFill>
              <w14:schemeClr w14:val="tx1"/>
            </w14:solidFill>
          </w14:textFill>
        </w:rPr>
        <w:br w:type="textWrapping"/>
      </w:r>
      <w:bookmarkStart w:id="278" w:name="_Toc283660485"/>
      <w:bookmarkStart w:id="279" w:name="_Toc270422389"/>
      <w:bookmarkStart w:id="280" w:name="_Toc281486375"/>
      <w:bookmarkStart w:id="281" w:name="_Toc180478642"/>
      <w:bookmarkStart w:id="282" w:name="_Toc281486208"/>
      <w:bookmarkStart w:id="283" w:name="_Toc174118014"/>
      <w:r>
        <w:rPr>
          <w:rFonts w:ascii="Times New Roman"/>
          <w:color w:val="000000" w:themeColor="text1"/>
          <w:szCs w:val="21"/>
          <w14:textFill>
            <w14:solidFill>
              <w14:schemeClr w14:val="tx1"/>
            </w14:solidFill>
          </w14:textFill>
        </w:rPr>
        <w:t>（</w:t>
      </w:r>
      <w:r>
        <w:rPr>
          <w:rFonts w:hint="eastAsia" w:ascii="Times New Roman"/>
          <w:color w:val="000000" w:themeColor="text1"/>
          <w:szCs w:val="21"/>
          <w14:textFill>
            <w14:solidFill>
              <w14:schemeClr w14:val="tx1"/>
            </w14:solidFill>
          </w14:textFill>
        </w:rPr>
        <w:t>规范性</w:t>
      </w:r>
      <w:r>
        <w:rPr>
          <w:rFonts w:ascii="Times New Roman"/>
          <w:color w:val="000000" w:themeColor="text1"/>
          <w:szCs w:val="21"/>
          <w14:textFill>
            <w14:solidFill>
              <w14:schemeClr w14:val="tx1"/>
            </w14:solidFill>
          </w14:textFill>
        </w:rPr>
        <w:t>）</w:t>
      </w:r>
      <w:r>
        <w:rPr>
          <w:rFonts w:ascii="Times New Roman"/>
          <w:color w:val="000000" w:themeColor="text1"/>
          <w:szCs w:val="21"/>
          <w14:textFill>
            <w14:solidFill>
              <w14:schemeClr w14:val="tx1"/>
            </w14:solidFill>
          </w14:textFill>
        </w:rPr>
        <w:br w:type="textWrapping"/>
      </w:r>
      <w:r>
        <w:rPr>
          <w:rFonts w:hint="eastAsia" w:ascii="Times New Roman"/>
          <w:color w:val="000000" w:themeColor="text1"/>
          <w:szCs w:val="21"/>
          <w14:textFill>
            <w14:solidFill>
              <w14:schemeClr w14:val="tx1"/>
            </w14:solidFill>
          </w14:textFill>
        </w:rPr>
        <w:t>安全预评价报告封面格式</w:t>
      </w:r>
      <w:bookmarkEnd w:id="278"/>
      <w:bookmarkEnd w:id="279"/>
      <w:bookmarkEnd w:id="280"/>
      <w:bookmarkEnd w:id="281"/>
      <w:bookmarkEnd w:id="282"/>
      <w:bookmarkEnd w:id="283"/>
    </w:p>
    <w:tbl>
      <w:tblPr>
        <w:tblStyle w:val="3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69FDB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tcPr>
          <w:p w14:paraId="1D783CEE">
            <w:pPr>
              <w:jc w:val="center"/>
              <w:rPr>
                <w:rFonts w:eastAsia="华文中宋"/>
                <w:color w:val="000000" w:themeColor="text1"/>
                <w:kern w:val="2"/>
                <w:sz w:val="36"/>
                <w:szCs w:val="22"/>
                <w14:textFill>
                  <w14:solidFill>
                    <w14:schemeClr w14:val="tx1"/>
                  </w14:solidFill>
                </w14:textFill>
              </w:rPr>
            </w:pPr>
          </w:p>
          <w:p w14:paraId="28C63CBF">
            <w:pPr>
              <w:jc w:val="center"/>
              <w:rPr>
                <w:b/>
                <w:color w:val="000000" w:themeColor="text1"/>
                <w:kern w:val="2"/>
                <w:sz w:val="44"/>
                <w:szCs w:val="22"/>
                <w14:textFill>
                  <w14:solidFill>
                    <w14:schemeClr w14:val="tx1"/>
                  </w14:solidFill>
                </w14:textFill>
              </w:rPr>
            </w:pPr>
            <w:r>
              <w:rPr>
                <w:rFonts w:hint="eastAsia"/>
                <w:b/>
                <w:color w:val="000000" w:themeColor="text1"/>
                <w:kern w:val="2"/>
                <w:sz w:val="44"/>
                <w:szCs w:val="22"/>
                <w14:textFill>
                  <w14:solidFill>
                    <w14:schemeClr w14:val="tx1"/>
                  </w14:solidFill>
                </w14:textFill>
              </w:rPr>
              <w:t>（建设单位名称）</w:t>
            </w:r>
          </w:p>
          <w:p w14:paraId="58152D66">
            <w:pPr>
              <w:jc w:val="center"/>
              <w:rPr>
                <w:color w:val="000000" w:themeColor="text1"/>
                <w:kern w:val="2"/>
                <w:sz w:val="44"/>
                <w:szCs w:val="22"/>
                <w14:textFill>
                  <w14:solidFill>
                    <w14:schemeClr w14:val="tx1"/>
                  </w14:solidFill>
                </w14:textFill>
              </w:rPr>
            </w:pPr>
            <w:r>
              <w:rPr>
                <w:rFonts w:hint="eastAsia"/>
                <w:color w:val="000000" w:themeColor="text1"/>
                <w:kern w:val="2"/>
                <w:sz w:val="24"/>
                <w:szCs w:val="22"/>
                <w14:textFill>
                  <w14:solidFill>
                    <w14:schemeClr w14:val="tx1"/>
                  </w14:solidFill>
                </w14:textFill>
              </w:rPr>
              <w:t>（居中，二号宋体加粗）</w:t>
            </w:r>
          </w:p>
          <w:p w14:paraId="3F7B7CDE">
            <w:pPr>
              <w:jc w:val="center"/>
              <w:rPr>
                <w:rFonts w:eastAsia="华文中宋"/>
                <w:color w:val="000000" w:themeColor="text1"/>
                <w:kern w:val="2"/>
                <w:sz w:val="52"/>
                <w:szCs w:val="22"/>
                <w14:textFill>
                  <w14:solidFill>
                    <w14:schemeClr w14:val="tx1"/>
                  </w14:solidFill>
                </w14:textFill>
              </w:rPr>
            </w:pPr>
            <w:r>
              <w:rPr>
                <w:rFonts w:hint="eastAsia"/>
                <w:b/>
                <w:color w:val="000000" w:themeColor="text1"/>
                <w:kern w:val="2"/>
                <w:sz w:val="44"/>
                <w:szCs w:val="22"/>
                <w14:textFill>
                  <w14:solidFill>
                    <w14:schemeClr w14:val="tx1"/>
                  </w14:solidFill>
                </w14:textFill>
              </w:rPr>
              <w:t>（建设项目名称）</w:t>
            </w:r>
          </w:p>
          <w:p w14:paraId="7F72302E">
            <w:pPr>
              <w:jc w:val="center"/>
              <w:rPr>
                <w:rFonts w:eastAsia="华文中宋"/>
                <w:color w:val="000000" w:themeColor="text1"/>
                <w:kern w:val="2"/>
                <w:sz w:val="52"/>
                <w:szCs w:val="22"/>
                <w14:textFill>
                  <w14:solidFill>
                    <w14:schemeClr w14:val="tx1"/>
                  </w14:solidFill>
                </w14:textFill>
              </w:rPr>
            </w:pPr>
            <w:r>
              <w:rPr>
                <w:rFonts w:hint="eastAsia"/>
                <w:color w:val="000000" w:themeColor="text1"/>
                <w:kern w:val="2"/>
                <w:sz w:val="24"/>
                <w:szCs w:val="22"/>
                <w14:textFill>
                  <w14:solidFill>
                    <w14:schemeClr w14:val="tx1"/>
                  </w14:solidFill>
                </w14:textFill>
              </w:rPr>
              <w:t>（居中，二号宋体加粗）</w:t>
            </w:r>
          </w:p>
          <w:p w14:paraId="5AAF4540">
            <w:pPr>
              <w:jc w:val="center"/>
              <w:rPr>
                <w:rFonts w:eastAsia="华文中宋"/>
                <w:color w:val="000000" w:themeColor="text1"/>
                <w:kern w:val="2"/>
                <w:sz w:val="52"/>
                <w:szCs w:val="22"/>
                <w14:textFill>
                  <w14:solidFill>
                    <w14:schemeClr w14:val="tx1"/>
                  </w14:solidFill>
                </w14:textFill>
              </w:rPr>
            </w:pPr>
            <w:r>
              <w:rPr>
                <w:rFonts w:hint="eastAsia" w:eastAsia="华文中宋"/>
                <w:color w:val="000000" w:themeColor="text1"/>
                <w:kern w:val="2"/>
                <w:sz w:val="52"/>
                <w:szCs w:val="22"/>
                <w14:textFill>
                  <w14:solidFill>
                    <w14:schemeClr w14:val="tx1"/>
                  </w14:solidFill>
                </w14:textFill>
              </w:rPr>
              <w:t>安全预评价报告</w:t>
            </w:r>
          </w:p>
          <w:p w14:paraId="1100A1DD">
            <w:pPr>
              <w:jc w:val="center"/>
              <w:rPr>
                <w:rFonts w:eastAsia="仿宋_GB2312"/>
                <w:b/>
                <w:bCs/>
                <w:color w:val="000000" w:themeColor="text1"/>
                <w:kern w:val="2"/>
                <w:sz w:val="32"/>
                <w:szCs w:val="22"/>
                <w14:textFill>
                  <w14:solidFill>
                    <w14:schemeClr w14:val="tx1"/>
                  </w14:solidFill>
                </w14:textFill>
              </w:rPr>
            </w:pPr>
            <w:r>
              <w:rPr>
                <w:rFonts w:hint="eastAsia"/>
                <w:color w:val="000000" w:themeColor="text1"/>
                <w:kern w:val="2"/>
                <w:sz w:val="24"/>
                <w:szCs w:val="22"/>
                <w14:textFill>
                  <w14:solidFill>
                    <w14:schemeClr w14:val="tx1"/>
                  </w14:solidFill>
                </w14:textFill>
              </w:rPr>
              <w:t>（居中，一号黑体加粗）</w:t>
            </w:r>
          </w:p>
          <w:p w14:paraId="604E4731">
            <w:pPr>
              <w:spacing w:before="312" w:after="312"/>
              <w:ind w:firstLine="643" w:firstLineChars="200"/>
              <w:rPr>
                <w:rFonts w:ascii="黑体" w:eastAsia="仿宋_GB2312"/>
                <w:b/>
                <w:bCs/>
                <w:color w:val="000000" w:themeColor="text1"/>
                <w:kern w:val="2"/>
                <w:sz w:val="32"/>
                <w:szCs w:val="22"/>
                <w14:textFill>
                  <w14:solidFill>
                    <w14:schemeClr w14:val="tx1"/>
                  </w14:solidFill>
                </w14:textFill>
              </w:rPr>
            </w:pPr>
          </w:p>
          <w:p w14:paraId="360E0D93">
            <w:pPr>
              <w:spacing w:before="312" w:after="312"/>
              <w:ind w:firstLine="643" w:firstLineChars="200"/>
              <w:rPr>
                <w:rFonts w:ascii="黑体" w:eastAsia="仿宋_GB2312"/>
                <w:b/>
                <w:bCs/>
                <w:color w:val="000000" w:themeColor="text1"/>
                <w:kern w:val="2"/>
                <w:sz w:val="32"/>
                <w:szCs w:val="22"/>
                <w14:textFill>
                  <w14:solidFill>
                    <w14:schemeClr w14:val="tx1"/>
                  </w14:solidFill>
                </w14:textFill>
              </w:rPr>
            </w:pPr>
          </w:p>
          <w:p w14:paraId="542B9405">
            <w:pPr>
              <w:ind w:firstLine="1285" w:firstLineChars="400"/>
              <w:rPr>
                <w:b/>
                <w:color w:val="000000" w:themeColor="text1"/>
                <w:kern w:val="2"/>
                <w:sz w:val="32"/>
                <w:szCs w:val="22"/>
                <w14:textFill>
                  <w14:solidFill>
                    <w14:schemeClr w14:val="tx1"/>
                  </w14:solidFill>
                </w14:textFill>
              </w:rPr>
            </w:pPr>
            <w:r>
              <w:rPr>
                <w:rFonts w:hint="eastAsia"/>
                <w:b/>
                <w:color w:val="000000" w:themeColor="text1"/>
                <w:kern w:val="2"/>
                <w:sz w:val="32"/>
                <w:szCs w:val="22"/>
                <w14:textFill>
                  <w14:solidFill>
                    <w14:schemeClr w14:val="tx1"/>
                  </w14:solidFill>
                </w14:textFill>
              </w:rPr>
              <w:t>建设单位：</w:t>
            </w:r>
          </w:p>
          <w:p w14:paraId="26DA78EE">
            <w:pPr>
              <w:ind w:firstLine="1285" w:firstLineChars="400"/>
              <w:rPr>
                <w:b/>
                <w:color w:val="000000" w:themeColor="text1"/>
                <w:kern w:val="2"/>
                <w:sz w:val="32"/>
                <w:szCs w:val="22"/>
                <w14:textFill>
                  <w14:solidFill>
                    <w14:schemeClr w14:val="tx1"/>
                  </w14:solidFill>
                </w14:textFill>
              </w:rPr>
            </w:pPr>
            <w:r>
              <w:rPr>
                <w:rFonts w:hint="eastAsia"/>
                <w:b/>
                <w:color w:val="000000" w:themeColor="text1"/>
                <w:kern w:val="2"/>
                <w:sz w:val="32"/>
                <w:szCs w:val="22"/>
                <w14:textFill>
                  <w14:solidFill>
                    <w14:schemeClr w14:val="tx1"/>
                  </w14:solidFill>
                </w14:textFill>
              </w:rPr>
              <w:t>建设单位法定代表人：</w:t>
            </w:r>
          </w:p>
          <w:p w14:paraId="265E18A1">
            <w:pPr>
              <w:ind w:firstLine="1285" w:firstLineChars="400"/>
              <w:rPr>
                <w:b/>
                <w:color w:val="000000" w:themeColor="text1"/>
                <w:kern w:val="2"/>
                <w:sz w:val="32"/>
                <w:szCs w:val="22"/>
                <w14:textFill>
                  <w14:solidFill>
                    <w14:schemeClr w14:val="tx1"/>
                  </w14:solidFill>
                </w14:textFill>
              </w:rPr>
            </w:pPr>
            <w:r>
              <w:rPr>
                <w:rFonts w:hint="eastAsia"/>
                <w:b/>
                <w:color w:val="000000" w:themeColor="text1"/>
                <w:kern w:val="2"/>
                <w:sz w:val="32"/>
                <w:szCs w:val="22"/>
                <w14:textFill>
                  <w14:solidFill>
                    <w14:schemeClr w14:val="tx1"/>
                  </w14:solidFill>
                </w14:textFill>
              </w:rPr>
              <w:t>建设单位联系人：</w:t>
            </w:r>
          </w:p>
          <w:p w14:paraId="02E3ADFC">
            <w:pPr>
              <w:ind w:firstLine="1285" w:firstLineChars="400"/>
              <w:rPr>
                <w:b/>
                <w:color w:val="000000" w:themeColor="text1"/>
                <w:kern w:val="2"/>
                <w:sz w:val="32"/>
                <w:szCs w:val="22"/>
                <w14:textFill>
                  <w14:solidFill>
                    <w14:schemeClr w14:val="tx1"/>
                  </w14:solidFill>
                </w14:textFill>
              </w:rPr>
            </w:pPr>
            <w:r>
              <w:rPr>
                <w:rFonts w:hint="eastAsia"/>
                <w:b/>
                <w:color w:val="000000" w:themeColor="text1"/>
                <w:kern w:val="2"/>
                <w:sz w:val="32"/>
                <w:szCs w:val="22"/>
                <w14:textFill>
                  <w14:solidFill>
                    <w14:schemeClr w14:val="tx1"/>
                  </w14:solidFill>
                </w14:textFill>
              </w:rPr>
              <w:t>建设单位联系电话：</w:t>
            </w:r>
          </w:p>
          <w:p w14:paraId="739659AF">
            <w:pPr>
              <w:ind w:firstLine="480" w:firstLineChars="200"/>
              <w:rPr>
                <w:rFonts w:eastAsia="仿宋_GB2312"/>
                <w:b/>
                <w:bCs/>
                <w:color w:val="000000" w:themeColor="text1"/>
                <w:kern w:val="2"/>
                <w:sz w:val="32"/>
                <w:szCs w:val="22"/>
                <w14:textFill>
                  <w14:solidFill>
                    <w14:schemeClr w14:val="tx1"/>
                  </w14:solidFill>
                </w14:textFill>
              </w:rPr>
            </w:pPr>
            <w:r>
              <w:rPr>
                <w:rFonts w:hint="eastAsia"/>
                <w:color w:val="000000" w:themeColor="text1"/>
                <w:kern w:val="2"/>
                <w:sz w:val="24"/>
                <w:szCs w:val="22"/>
                <w14:textFill>
                  <w14:solidFill>
                    <w14:schemeClr w14:val="tx1"/>
                  </w14:solidFill>
                </w14:textFill>
              </w:rPr>
              <w:t>（顶端缩进</w:t>
            </w:r>
            <w:r>
              <w:rPr>
                <w:color w:val="000000" w:themeColor="text1"/>
                <w:kern w:val="2"/>
                <w:sz w:val="24"/>
                <w:szCs w:val="22"/>
                <w14:textFill>
                  <w14:solidFill>
                    <w14:schemeClr w14:val="tx1"/>
                  </w14:solidFill>
                </w14:textFill>
              </w:rPr>
              <w:t>2</w:t>
            </w:r>
            <w:r>
              <w:rPr>
                <w:rFonts w:hint="eastAsia"/>
                <w:color w:val="000000" w:themeColor="text1"/>
                <w:kern w:val="2"/>
                <w:sz w:val="24"/>
                <w:szCs w:val="22"/>
                <w14:textFill>
                  <w14:solidFill>
                    <w14:schemeClr w14:val="tx1"/>
                  </w14:solidFill>
                </w14:textFill>
              </w:rPr>
              <w:t>个字符，三号宋体加粗）</w:t>
            </w:r>
          </w:p>
          <w:p w14:paraId="69FB972B">
            <w:pPr>
              <w:jc w:val="center"/>
              <w:rPr>
                <w:b/>
                <w:color w:val="000000" w:themeColor="text1"/>
                <w:kern w:val="2"/>
                <w:sz w:val="32"/>
                <w:szCs w:val="22"/>
                <w14:textFill>
                  <w14:solidFill>
                    <w14:schemeClr w14:val="tx1"/>
                  </w14:solidFill>
                </w14:textFill>
              </w:rPr>
            </w:pPr>
          </w:p>
          <w:p w14:paraId="73E3427B">
            <w:pPr>
              <w:jc w:val="center"/>
              <w:rPr>
                <w:b/>
                <w:color w:val="000000" w:themeColor="text1"/>
                <w:kern w:val="2"/>
                <w:sz w:val="32"/>
                <w:szCs w:val="22"/>
                <w14:textFill>
                  <w14:solidFill>
                    <w14:schemeClr w14:val="tx1"/>
                  </w14:solidFill>
                </w14:textFill>
              </w:rPr>
            </w:pPr>
            <w:r>
              <w:rPr>
                <w:rFonts w:hint="eastAsia"/>
                <w:b/>
                <w:color w:val="000000" w:themeColor="text1"/>
                <w:kern w:val="2"/>
                <w:sz w:val="32"/>
                <w:szCs w:val="22"/>
                <w14:textFill>
                  <w14:solidFill>
                    <w14:schemeClr w14:val="tx1"/>
                  </w14:solidFill>
                </w14:textFill>
              </w:rPr>
              <w:t>（建设单位公章）</w:t>
            </w:r>
          </w:p>
          <w:p w14:paraId="707A5E2B">
            <w:pPr>
              <w:jc w:val="center"/>
              <w:rPr>
                <w:b/>
                <w:color w:val="000000" w:themeColor="text1"/>
                <w:kern w:val="2"/>
                <w:sz w:val="32"/>
                <w:szCs w:val="22"/>
                <w14:textFill>
                  <w14:solidFill>
                    <w14:schemeClr w14:val="tx1"/>
                  </w14:solidFill>
                </w14:textFill>
              </w:rPr>
            </w:pPr>
            <w:r>
              <w:rPr>
                <w:rFonts w:hint="eastAsia"/>
                <w:b/>
                <w:color w:val="000000" w:themeColor="text1"/>
                <w:kern w:val="2"/>
                <w:sz w:val="32"/>
                <w:szCs w:val="22"/>
                <w14:textFill>
                  <w14:solidFill>
                    <w14:schemeClr w14:val="tx1"/>
                  </w14:solidFill>
                </w14:textFill>
              </w:rPr>
              <w:t>年　　月　　日</w:t>
            </w:r>
          </w:p>
          <w:p w14:paraId="217B90A2">
            <w:pPr>
              <w:jc w:val="center"/>
              <w:rPr>
                <w:color w:val="000000" w:themeColor="text1"/>
                <w:kern w:val="2"/>
                <w:sz w:val="24"/>
                <w:szCs w:val="22"/>
                <w14:textFill>
                  <w14:solidFill>
                    <w14:schemeClr w14:val="tx1"/>
                  </w14:solidFill>
                </w14:textFill>
              </w:rPr>
            </w:pPr>
            <w:r>
              <w:rPr>
                <w:rFonts w:hint="eastAsia"/>
                <w:color w:val="000000" w:themeColor="text1"/>
                <w:kern w:val="2"/>
                <w:sz w:val="24"/>
                <w:szCs w:val="22"/>
                <w14:textFill>
                  <w14:solidFill>
                    <w14:schemeClr w14:val="tx1"/>
                  </w14:solidFill>
                </w14:textFill>
              </w:rPr>
              <w:t>（居中，三号宋体加粗）</w:t>
            </w:r>
          </w:p>
          <w:p w14:paraId="1C6857D1">
            <w:pPr>
              <w:jc w:val="center"/>
              <w:rPr>
                <w:rFonts w:eastAsia="仿宋_GB2312"/>
                <w:b/>
                <w:bCs/>
                <w:color w:val="000000" w:themeColor="text1"/>
                <w:kern w:val="2"/>
                <w:sz w:val="32"/>
                <w:szCs w:val="22"/>
                <w14:textFill>
                  <w14:solidFill>
                    <w14:schemeClr w14:val="tx1"/>
                  </w14:solidFill>
                </w14:textFill>
              </w:rPr>
            </w:pPr>
          </w:p>
        </w:tc>
      </w:tr>
    </w:tbl>
    <w:p w14:paraId="44C56125">
      <w:pPr>
        <w:rPr>
          <w:rFonts w:hint="eastAsia" w:ascii="仿宋_GB2312" w:hAnsi="宋体" w:eastAsia="仿宋_GB2312"/>
          <w:color w:val="000000" w:themeColor="text1"/>
          <w:sz w:val="18"/>
          <w14:textFill>
            <w14:solidFill>
              <w14:schemeClr w14:val="tx1"/>
            </w14:solidFill>
          </w14:textFill>
        </w:rPr>
      </w:pPr>
    </w:p>
    <w:p w14:paraId="632CB3BD">
      <w:pPr>
        <w:pStyle w:val="109"/>
        <w:spacing w:before="360"/>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br w:type="textWrapping"/>
      </w:r>
      <w:bookmarkStart w:id="284" w:name="_Toc174118015"/>
      <w:bookmarkStart w:id="285" w:name="_Toc180478643"/>
      <w:r>
        <w:rPr>
          <w:rFonts w:ascii="Times New Roman"/>
          <w:color w:val="000000" w:themeColor="text1"/>
          <w:szCs w:val="21"/>
          <w14:textFill>
            <w14:solidFill>
              <w14:schemeClr w14:val="tx1"/>
            </w14:solidFill>
          </w14:textFill>
        </w:rPr>
        <w:t>（</w:t>
      </w:r>
      <w:r>
        <w:rPr>
          <w:rFonts w:hint="eastAsia" w:ascii="Times New Roman"/>
          <w:color w:val="000000" w:themeColor="text1"/>
          <w:szCs w:val="21"/>
          <w14:textFill>
            <w14:solidFill>
              <w14:schemeClr w14:val="tx1"/>
            </w14:solidFill>
          </w14:textFill>
        </w:rPr>
        <w:t>规范性</w:t>
      </w:r>
      <w:r>
        <w:rPr>
          <w:rFonts w:ascii="Times New Roman"/>
          <w:color w:val="000000" w:themeColor="text1"/>
          <w:szCs w:val="21"/>
          <w14:textFill>
            <w14:solidFill>
              <w14:schemeClr w14:val="tx1"/>
            </w14:solidFill>
          </w14:textFill>
        </w:rPr>
        <w:t>）</w:t>
      </w:r>
      <w:r>
        <w:rPr>
          <w:rFonts w:ascii="Times New Roman"/>
          <w:color w:val="000000" w:themeColor="text1"/>
          <w:szCs w:val="21"/>
          <w14:textFill>
            <w14:solidFill>
              <w14:schemeClr w14:val="tx1"/>
            </w14:solidFill>
          </w14:textFill>
        </w:rPr>
        <w:br w:type="textWrapping"/>
      </w:r>
      <w:r>
        <w:rPr>
          <w:rFonts w:hint="eastAsia" w:ascii="Times New Roman"/>
          <w:color w:val="000000" w:themeColor="text1"/>
          <w:szCs w:val="21"/>
          <w14:textFill>
            <w14:solidFill>
              <w14:schemeClr w14:val="tx1"/>
            </w14:solidFill>
          </w14:textFill>
        </w:rPr>
        <w:t>安全预评价报告扉页格式</w:t>
      </w:r>
      <w:bookmarkEnd w:id="284"/>
      <w:bookmarkEnd w:id="285"/>
    </w:p>
    <w:tbl>
      <w:tblPr>
        <w:tblStyle w:val="3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0F77A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tcPr>
          <w:p w14:paraId="44F837B2">
            <w:pPr>
              <w:jc w:val="center"/>
              <w:rPr>
                <w:rFonts w:eastAsia="华文中宋"/>
                <w:color w:val="000000" w:themeColor="text1"/>
                <w:kern w:val="2"/>
                <w:sz w:val="36"/>
                <w:szCs w:val="22"/>
                <w14:textFill>
                  <w14:solidFill>
                    <w14:schemeClr w14:val="tx1"/>
                  </w14:solidFill>
                </w14:textFill>
              </w:rPr>
            </w:pPr>
          </w:p>
          <w:p w14:paraId="017D7FEF">
            <w:pPr>
              <w:jc w:val="center"/>
              <w:rPr>
                <w:b/>
                <w:color w:val="000000" w:themeColor="text1"/>
                <w:kern w:val="2"/>
                <w:sz w:val="44"/>
                <w:szCs w:val="22"/>
                <w14:textFill>
                  <w14:solidFill>
                    <w14:schemeClr w14:val="tx1"/>
                  </w14:solidFill>
                </w14:textFill>
              </w:rPr>
            </w:pPr>
            <w:r>
              <w:rPr>
                <w:rFonts w:hint="eastAsia"/>
                <w:b/>
                <w:color w:val="000000" w:themeColor="text1"/>
                <w:kern w:val="2"/>
                <w:sz w:val="44"/>
                <w:szCs w:val="22"/>
                <w14:textFill>
                  <w14:solidFill>
                    <w14:schemeClr w14:val="tx1"/>
                  </w14:solidFill>
                </w14:textFill>
              </w:rPr>
              <w:t>（建设单位名称）</w:t>
            </w:r>
          </w:p>
          <w:p w14:paraId="46A1A640">
            <w:pPr>
              <w:jc w:val="center"/>
              <w:rPr>
                <w:color w:val="000000" w:themeColor="text1"/>
                <w:kern w:val="2"/>
                <w:sz w:val="44"/>
                <w:szCs w:val="22"/>
                <w14:textFill>
                  <w14:solidFill>
                    <w14:schemeClr w14:val="tx1"/>
                  </w14:solidFill>
                </w14:textFill>
              </w:rPr>
            </w:pPr>
            <w:r>
              <w:rPr>
                <w:rFonts w:hint="eastAsia"/>
                <w:color w:val="000000" w:themeColor="text1"/>
                <w:kern w:val="2"/>
                <w:sz w:val="24"/>
                <w:szCs w:val="22"/>
                <w14:textFill>
                  <w14:solidFill>
                    <w14:schemeClr w14:val="tx1"/>
                  </w14:solidFill>
                </w14:textFill>
              </w:rPr>
              <w:t>（居中，二号宋体加粗）</w:t>
            </w:r>
          </w:p>
          <w:p w14:paraId="4273C875">
            <w:pPr>
              <w:jc w:val="center"/>
              <w:rPr>
                <w:rFonts w:eastAsia="华文中宋"/>
                <w:color w:val="000000" w:themeColor="text1"/>
                <w:kern w:val="2"/>
                <w:sz w:val="52"/>
                <w:szCs w:val="22"/>
                <w14:textFill>
                  <w14:solidFill>
                    <w14:schemeClr w14:val="tx1"/>
                  </w14:solidFill>
                </w14:textFill>
              </w:rPr>
            </w:pPr>
            <w:r>
              <w:rPr>
                <w:rFonts w:hint="eastAsia"/>
                <w:b/>
                <w:color w:val="000000" w:themeColor="text1"/>
                <w:kern w:val="2"/>
                <w:sz w:val="44"/>
                <w:szCs w:val="22"/>
                <w14:textFill>
                  <w14:solidFill>
                    <w14:schemeClr w14:val="tx1"/>
                  </w14:solidFill>
                </w14:textFill>
              </w:rPr>
              <w:t>（建设项目名称）</w:t>
            </w:r>
          </w:p>
          <w:p w14:paraId="6EDE0253">
            <w:pPr>
              <w:jc w:val="center"/>
              <w:rPr>
                <w:rFonts w:eastAsia="华文中宋"/>
                <w:color w:val="000000" w:themeColor="text1"/>
                <w:kern w:val="2"/>
                <w:sz w:val="52"/>
                <w:szCs w:val="22"/>
                <w14:textFill>
                  <w14:solidFill>
                    <w14:schemeClr w14:val="tx1"/>
                  </w14:solidFill>
                </w14:textFill>
              </w:rPr>
            </w:pPr>
            <w:r>
              <w:rPr>
                <w:rFonts w:hint="eastAsia"/>
                <w:color w:val="000000" w:themeColor="text1"/>
                <w:kern w:val="2"/>
                <w:sz w:val="24"/>
                <w:szCs w:val="22"/>
                <w14:textFill>
                  <w14:solidFill>
                    <w14:schemeClr w14:val="tx1"/>
                  </w14:solidFill>
                </w14:textFill>
              </w:rPr>
              <w:t>（居中，二号宋体加粗）</w:t>
            </w:r>
          </w:p>
          <w:p w14:paraId="560C117A">
            <w:pPr>
              <w:jc w:val="center"/>
              <w:rPr>
                <w:rFonts w:eastAsia="华文中宋"/>
                <w:color w:val="000000" w:themeColor="text1"/>
                <w:kern w:val="2"/>
                <w:sz w:val="52"/>
                <w:szCs w:val="22"/>
                <w14:textFill>
                  <w14:solidFill>
                    <w14:schemeClr w14:val="tx1"/>
                  </w14:solidFill>
                </w14:textFill>
              </w:rPr>
            </w:pPr>
            <w:r>
              <w:rPr>
                <w:rFonts w:hint="eastAsia" w:eastAsia="华文中宋"/>
                <w:color w:val="000000" w:themeColor="text1"/>
                <w:kern w:val="2"/>
                <w:sz w:val="52"/>
                <w:szCs w:val="22"/>
                <w14:textFill>
                  <w14:solidFill>
                    <w14:schemeClr w14:val="tx1"/>
                  </w14:solidFill>
                </w14:textFill>
              </w:rPr>
              <w:t>安全预评价报告</w:t>
            </w:r>
          </w:p>
          <w:p w14:paraId="280761BE">
            <w:pPr>
              <w:jc w:val="center"/>
              <w:rPr>
                <w:rFonts w:eastAsia="仿宋_GB2312"/>
                <w:b/>
                <w:bCs/>
                <w:color w:val="000000" w:themeColor="text1"/>
                <w:kern w:val="2"/>
                <w:sz w:val="32"/>
                <w:szCs w:val="22"/>
                <w14:textFill>
                  <w14:solidFill>
                    <w14:schemeClr w14:val="tx1"/>
                  </w14:solidFill>
                </w14:textFill>
              </w:rPr>
            </w:pPr>
            <w:r>
              <w:rPr>
                <w:rFonts w:hint="eastAsia"/>
                <w:color w:val="000000" w:themeColor="text1"/>
                <w:kern w:val="2"/>
                <w:sz w:val="24"/>
                <w:szCs w:val="22"/>
                <w14:textFill>
                  <w14:solidFill>
                    <w14:schemeClr w14:val="tx1"/>
                  </w14:solidFill>
                </w14:textFill>
              </w:rPr>
              <w:t>（居中，一号黑体加粗）</w:t>
            </w:r>
          </w:p>
          <w:p w14:paraId="3E3D897E">
            <w:pPr>
              <w:rPr>
                <w:rFonts w:eastAsia="仿宋_GB2312"/>
                <w:b/>
                <w:bCs/>
                <w:color w:val="000000" w:themeColor="text1"/>
                <w:kern w:val="2"/>
                <w:sz w:val="32"/>
                <w:szCs w:val="22"/>
                <w14:textFill>
                  <w14:solidFill>
                    <w14:schemeClr w14:val="tx1"/>
                  </w14:solidFill>
                </w14:textFill>
              </w:rPr>
            </w:pPr>
          </w:p>
          <w:p w14:paraId="59D08DF3">
            <w:pPr>
              <w:ind w:firstLine="1285" w:firstLineChars="400"/>
              <w:rPr>
                <w:b/>
                <w:color w:val="000000" w:themeColor="text1"/>
                <w:kern w:val="2"/>
                <w:sz w:val="32"/>
                <w:szCs w:val="22"/>
                <w14:textFill>
                  <w14:solidFill>
                    <w14:schemeClr w14:val="tx1"/>
                  </w14:solidFill>
                </w14:textFill>
              </w:rPr>
            </w:pPr>
            <w:r>
              <w:rPr>
                <w:rFonts w:hint="eastAsia"/>
                <w:b/>
                <w:color w:val="000000" w:themeColor="text1"/>
                <w:kern w:val="2"/>
                <w:sz w:val="32"/>
                <w:szCs w:val="22"/>
                <w14:textFill>
                  <w14:solidFill>
                    <w14:schemeClr w14:val="tx1"/>
                  </w14:solidFill>
                </w14:textFill>
              </w:rPr>
              <w:t>评价机构名称：</w:t>
            </w:r>
          </w:p>
          <w:p w14:paraId="30E281B0">
            <w:pPr>
              <w:ind w:firstLine="1285" w:firstLineChars="400"/>
              <w:rPr>
                <w:b/>
                <w:color w:val="000000" w:themeColor="text1"/>
                <w:kern w:val="2"/>
                <w:sz w:val="32"/>
                <w:szCs w:val="22"/>
                <w14:textFill>
                  <w14:solidFill>
                    <w14:schemeClr w14:val="tx1"/>
                  </w14:solidFill>
                </w14:textFill>
              </w:rPr>
            </w:pPr>
            <w:r>
              <w:rPr>
                <w:rFonts w:hint="eastAsia"/>
                <w:b/>
                <w:color w:val="000000" w:themeColor="text1"/>
                <w:kern w:val="2"/>
                <w:sz w:val="32"/>
                <w:szCs w:val="22"/>
                <w14:textFill>
                  <w14:solidFill>
                    <w14:schemeClr w14:val="tx1"/>
                  </w14:solidFill>
                </w14:textFill>
              </w:rPr>
              <w:t>法定代表人：</w:t>
            </w:r>
          </w:p>
          <w:p w14:paraId="7C9611AE">
            <w:pPr>
              <w:ind w:firstLine="1285" w:firstLineChars="400"/>
              <w:rPr>
                <w:b/>
                <w:color w:val="000000" w:themeColor="text1"/>
                <w:kern w:val="2"/>
                <w:sz w:val="32"/>
                <w:szCs w:val="22"/>
                <w14:textFill>
                  <w14:solidFill>
                    <w14:schemeClr w14:val="tx1"/>
                  </w14:solidFill>
                </w14:textFill>
              </w:rPr>
            </w:pPr>
            <w:r>
              <w:rPr>
                <w:rFonts w:hint="eastAsia"/>
                <w:b/>
                <w:color w:val="000000" w:themeColor="text1"/>
                <w:kern w:val="2"/>
                <w:sz w:val="32"/>
                <w:szCs w:val="22"/>
                <w14:textFill>
                  <w14:solidFill>
                    <w14:schemeClr w14:val="tx1"/>
                  </w14:solidFill>
                </w14:textFill>
              </w:rPr>
              <w:t>技术负责人：</w:t>
            </w:r>
          </w:p>
          <w:p w14:paraId="24312AC3">
            <w:pPr>
              <w:ind w:firstLine="1285" w:firstLineChars="400"/>
              <w:rPr>
                <w:b/>
                <w:color w:val="000000" w:themeColor="text1"/>
                <w:kern w:val="2"/>
                <w:sz w:val="32"/>
                <w:szCs w:val="22"/>
                <w14:textFill>
                  <w14:solidFill>
                    <w14:schemeClr w14:val="tx1"/>
                  </w14:solidFill>
                </w14:textFill>
              </w:rPr>
            </w:pPr>
            <w:r>
              <w:rPr>
                <w:rFonts w:hint="eastAsia"/>
                <w:b/>
                <w:color w:val="000000" w:themeColor="text1"/>
                <w:kern w:val="2"/>
                <w:sz w:val="32"/>
                <w:szCs w:val="22"/>
                <w14:textFill>
                  <w14:solidFill>
                    <w14:schemeClr w14:val="tx1"/>
                  </w14:solidFill>
                </w14:textFill>
              </w:rPr>
              <w:t>评价项目负责人：</w:t>
            </w:r>
          </w:p>
          <w:p w14:paraId="0D4239B5">
            <w:pPr>
              <w:ind w:firstLine="1285" w:firstLineChars="400"/>
              <w:rPr>
                <w:b/>
                <w:color w:val="000000" w:themeColor="text1"/>
                <w:kern w:val="2"/>
                <w:sz w:val="32"/>
                <w:szCs w:val="22"/>
                <w14:textFill>
                  <w14:solidFill>
                    <w14:schemeClr w14:val="tx1"/>
                  </w14:solidFill>
                </w14:textFill>
              </w:rPr>
            </w:pPr>
            <w:r>
              <w:rPr>
                <w:rFonts w:hint="eastAsia"/>
                <w:b/>
                <w:color w:val="000000" w:themeColor="text1"/>
                <w:kern w:val="2"/>
                <w:sz w:val="32"/>
                <w:szCs w:val="22"/>
                <w14:textFill>
                  <w14:solidFill>
                    <w14:schemeClr w14:val="tx1"/>
                  </w14:solidFill>
                </w14:textFill>
              </w:rPr>
              <w:t>评价机构联系电话</w:t>
            </w:r>
            <w:r>
              <w:rPr>
                <w:b/>
                <w:color w:val="000000" w:themeColor="text1"/>
                <w:kern w:val="2"/>
                <w:sz w:val="32"/>
                <w:szCs w:val="22"/>
                <w14:textFill>
                  <w14:solidFill>
                    <w14:schemeClr w14:val="tx1"/>
                  </w14:solidFill>
                </w14:textFill>
              </w:rPr>
              <w:t>:</w:t>
            </w:r>
          </w:p>
          <w:p w14:paraId="40AC9771">
            <w:pPr>
              <w:rPr>
                <w:rFonts w:eastAsia="仿宋_GB2312"/>
                <w:color w:val="000000" w:themeColor="text1"/>
                <w:kern w:val="2"/>
                <w:sz w:val="32"/>
                <w:szCs w:val="22"/>
                <w14:textFill>
                  <w14:solidFill>
                    <w14:schemeClr w14:val="tx1"/>
                  </w14:solidFill>
                </w14:textFill>
              </w:rPr>
            </w:pPr>
            <w:r>
              <w:rPr>
                <w:rFonts w:hint="eastAsia"/>
                <w:color w:val="000000" w:themeColor="text1"/>
                <w:kern w:val="2"/>
                <w:sz w:val="24"/>
                <w:szCs w:val="22"/>
                <w14:textFill>
                  <w14:solidFill>
                    <w14:schemeClr w14:val="tx1"/>
                  </w14:solidFill>
                </w14:textFill>
              </w:rPr>
              <w:t>（以上为顶端缩进</w:t>
            </w:r>
            <w:r>
              <w:rPr>
                <w:color w:val="000000" w:themeColor="text1"/>
                <w:kern w:val="2"/>
                <w:sz w:val="24"/>
                <w:szCs w:val="22"/>
                <w14:textFill>
                  <w14:solidFill>
                    <w14:schemeClr w14:val="tx1"/>
                  </w14:solidFill>
                </w14:textFill>
              </w:rPr>
              <w:t>2</w:t>
            </w:r>
            <w:r>
              <w:rPr>
                <w:rFonts w:hint="eastAsia"/>
                <w:color w:val="000000" w:themeColor="text1"/>
                <w:kern w:val="2"/>
                <w:sz w:val="24"/>
                <w:szCs w:val="22"/>
                <w14:textFill>
                  <w14:solidFill>
                    <w14:schemeClr w14:val="tx1"/>
                  </w14:solidFill>
                </w14:textFill>
              </w:rPr>
              <w:t>个字符，三号宋体加粗）</w:t>
            </w:r>
          </w:p>
          <w:p w14:paraId="383A96DA">
            <w:pPr>
              <w:rPr>
                <w:rFonts w:eastAsia="仿宋_GB2312"/>
                <w:color w:val="000000" w:themeColor="text1"/>
                <w:kern w:val="2"/>
                <w:sz w:val="32"/>
                <w:szCs w:val="22"/>
                <w14:textFill>
                  <w14:solidFill>
                    <w14:schemeClr w14:val="tx1"/>
                  </w14:solidFill>
                </w14:textFill>
              </w:rPr>
            </w:pPr>
          </w:p>
          <w:p w14:paraId="3ABA0A01">
            <w:pPr>
              <w:rPr>
                <w:rFonts w:eastAsia="仿宋_GB2312"/>
                <w:color w:val="000000" w:themeColor="text1"/>
                <w:kern w:val="2"/>
                <w:sz w:val="32"/>
                <w:szCs w:val="22"/>
                <w14:textFill>
                  <w14:solidFill>
                    <w14:schemeClr w14:val="tx1"/>
                  </w14:solidFill>
                </w14:textFill>
              </w:rPr>
            </w:pPr>
          </w:p>
          <w:p w14:paraId="0E1E95EB">
            <w:pPr>
              <w:jc w:val="center"/>
              <w:rPr>
                <w:b/>
                <w:color w:val="000000" w:themeColor="text1"/>
                <w:kern w:val="2"/>
                <w:sz w:val="32"/>
                <w:szCs w:val="22"/>
                <w14:textFill>
                  <w14:solidFill>
                    <w14:schemeClr w14:val="tx1"/>
                  </w14:solidFill>
                </w14:textFill>
              </w:rPr>
            </w:pPr>
            <w:r>
              <w:rPr>
                <w:rFonts w:hint="eastAsia"/>
                <w:b/>
                <w:color w:val="000000" w:themeColor="text1"/>
                <w:kern w:val="2"/>
                <w:sz w:val="32"/>
                <w:szCs w:val="22"/>
                <w14:textFill>
                  <w14:solidFill>
                    <w14:schemeClr w14:val="tx1"/>
                  </w14:solidFill>
                </w14:textFill>
              </w:rPr>
              <w:t>（安全评价机构公章）</w:t>
            </w:r>
          </w:p>
          <w:p w14:paraId="466A0BC6">
            <w:pPr>
              <w:jc w:val="center"/>
              <w:rPr>
                <w:b/>
                <w:color w:val="000000" w:themeColor="text1"/>
                <w:kern w:val="2"/>
                <w:sz w:val="32"/>
                <w:szCs w:val="22"/>
                <w14:textFill>
                  <w14:solidFill>
                    <w14:schemeClr w14:val="tx1"/>
                  </w14:solidFill>
                </w14:textFill>
              </w:rPr>
            </w:pPr>
            <w:r>
              <w:rPr>
                <w:rFonts w:hint="eastAsia"/>
                <w:b/>
                <w:color w:val="000000" w:themeColor="text1"/>
                <w:kern w:val="2"/>
                <w:sz w:val="32"/>
                <w:szCs w:val="22"/>
                <w14:textFill>
                  <w14:solidFill>
                    <w14:schemeClr w14:val="tx1"/>
                  </w14:solidFill>
                </w14:textFill>
              </w:rPr>
              <w:t>年　　月　　日</w:t>
            </w:r>
          </w:p>
          <w:p w14:paraId="6D5275A1">
            <w:pPr>
              <w:jc w:val="center"/>
              <w:rPr>
                <w:rFonts w:eastAsia="黑体"/>
                <w:b/>
                <w:color w:val="000000" w:themeColor="text1"/>
                <w:kern w:val="2"/>
                <w:sz w:val="24"/>
                <w:szCs w:val="24"/>
                <w14:textFill>
                  <w14:solidFill>
                    <w14:schemeClr w14:val="tx1"/>
                  </w14:solidFill>
                </w14:textFill>
              </w:rPr>
            </w:pPr>
            <w:r>
              <w:rPr>
                <w:rFonts w:hint="eastAsia"/>
                <w:color w:val="000000" w:themeColor="text1"/>
                <w:kern w:val="2"/>
                <w:sz w:val="24"/>
                <w:szCs w:val="22"/>
                <w14:textFill>
                  <w14:solidFill>
                    <w14:schemeClr w14:val="tx1"/>
                  </w14:solidFill>
                </w14:textFill>
              </w:rPr>
              <w:t>（居中，三号宋体加粗）</w:t>
            </w:r>
          </w:p>
        </w:tc>
      </w:tr>
    </w:tbl>
    <w:p w14:paraId="7C0FAEA2">
      <w:pPr>
        <w:ind w:firstLine="3200" w:firstLineChars="1000"/>
        <w:rPr>
          <w:rFonts w:hint="eastAsia" w:ascii="仿宋_GB2312" w:hAnsi="宋体" w:eastAsia="仿宋_GB2312"/>
          <w:color w:val="000000" w:themeColor="text1"/>
          <w:sz w:val="32"/>
          <w14:textFill>
            <w14:solidFill>
              <w14:schemeClr w14:val="tx1"/>
            </w14:solidFill>
          </w14:textFill>
        </w:rPr>
      </w:pPr>
    </w:p>
    <w:p w14:paraId="00AB727E">
      <w:pPr>
        <w:pStyle w:val="109"/>
        <w:spacing w:before="360"/>
        <w:rPr>
          <w:rFonts w:ascii="Times New Roman"/>
          <w:color w:val="000000" w:themeColor="text1"/>
          <w:szCs w:val="21"/>
          <w14:textFill>
            <w14:solidFill>
              <w14:schemeClr w14:val="tx1"/>
            </w14:solidFill>
          </w14:textFill>
        </w:rPr>
      </w:pPr>
      <w:r>
        <w:rPr>
          <w:rFonts w:ascii="仿宋_GB2312" w:hAnsi="宋体" w:eastAsia="仿宋_GB2312"/>
          <w:color w:val="000000" w:themeColor="text1"/>
          <w:sz w:val="32"/>
          <w14:textFill>
            <w14:solidFill>
              <w14:schemeClr w14:val="tx1"/>
            </w14:solidFill>
          </w14:textFill>
        </w:rPr>
        <w:br w:type="page"/>
      </w:r>
      <w:r>
        <w:rPr>
          <w:rFonts w:ascii="Times New Roman"/>
          <w:color w:val="000000" w:themeColor="text1"/>
          <w:szCs w:val="21"/>
          <w14:textFill>
            <w14:solidFill>
              <w14:schemeClr w14:val="tx1"/>
            </w14:solidFill>
          </w14:textFill>
        </w:rPr>
        <w:br w:type="textWrapping"/>
      </w:r>
      <w:bookmarkStart w:id="286" w:name="_Toc180478644"/>
      <w:bookmarkStart w:id="287" w:name="_Toc174118016"/>
      <w:r>
        <w:rPr>
          <w:rFonts w:ascii="Times New Roman"/>
          <w:color w:val="000000" w:themeColor="text1"/>
          <w:szCs w:val="21"/>
          <w14:textFill>
            <w14:solidFill>
              <w14:schemeClr w14:val="tx1"/>
            </w14:solidFill>
          </w14:textFill>
        </w:rPr>
        <w:t>（</w:t>
      </w:r>
      <w:r>
        <w:rPr>
          <w:rFonts w:hint="eastAsia" w:ascii="Times New Roman"/>
          <w:color w:val="000000" w:themeColor="text1"/>
          <w:szCs w:val="21"/>
          <w14:textFill>
            <w14:solidFill>
              <w14:schemeClr w14:val="tx1"/>
            </w14:solidFill>
          </w14:textFill>
        </w:rPr>
        <w:t>规范性</w:t>
      </w:r>
      <w:r>
        <w:rPr>
          <w:rFonts w:ascii="Times New Roman"/>
          <w:color w:val="000000" w:themeColor="text1"/>
          <w:szCs w:val="21"/>
          <w14:textFill>
            <w14:solidFill>
              <w14:schemeClr w14:val="tx1"/>
            </w14:solidFill>
          </w14:textFill>
        </w:rPr>
        <w:t>）</w:t>
      </w:r>
      <w:r>
        <w:rPr>
          <w:rFonts w:ascii="Times New Roman"/>
          <w:color w:val="000000" w:themeColor="text1"/>
          <w:szCs w:val="21"/>
          <w14:textFill>
            <w14:solidFill>
              <w14:schemeClr w14:val="tx1"/>
            </w14:solidFill>
          </w14:textFill>
        </w:rPr>
        <w:br w:type="textWrapping"/>
      </w:r>
      <w:r>
        <w:rPr>
          <w:rFonts w:hint="eastAsia" w:ascii="Times New Roman"/>
          <w:color w:val="000000" w:themeColor="text1"/>
          <w:szCs w:val="21"/>
          <w14:textFill>
            <w14:solidFill>
              <w14:schemeClr w14:val="tx1"/>
            </w14:solidFill>
          </w14:textFill>
        </w:rPr>
        <w:t>安全预评价报告评价人员名单格式</w:t>
      </w:r>
      <w:bookmarkEnd w:id="286"/>
      <w:bookmarkEnd w:id="287"/>
    </w:p>
    <w:tbl>
      <w:tblPr>
        <w:tblStyle w:val="3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699E5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6" w:hRule="atLeast"/>
        </w:trPr>
        <w:tc>
          <w:tcPr>
            <w:tcW w:w="9571" w:type="dxa"/>
          </w:tcPr>
          <w:p w14:paraId="4C540624">
            <w:pPr>
              <w:spacing w:after="120" w:line="360" w:lineRule="auto"/>
              <w:jc w:val="center"/>
              <w:rPr>
                <w:b/>
                <w:bCs/>
                <w:color w:val="000000" w:themeColor="text1"/>
                <w:kern w:val="2"/>
                <w:sz w:val="32"/>
                <w:szCs w:val="32"/>
                <w14:textFill>
                  <w14:solidFill>
                    <w14:schemeClr w14:val="tx1"/>
                  </w14:solidFill>
                </w14:textFill>
              </w:rPr>
            </w:pPr>
            <w:r>
              <w:rPr>
                <w:rFonts w:hint="eastAsia"/>
                <w:b/>
                <w:bCs/>
                <w:color w:val="000000" w:themeColor="text1"/>
                <w:kern w:val="2"/>
                <w:sz w:val="32"/>
                <w:szCs w:val="32"/>
                <w14:textFill>
                  <w14:solidFill>
                    <w14:schemeClr w14:val="tx1"/>
                  </w14:solidFill>
                </w14:textFill>
              </w:rPr>
              <w:t>（建设项目名称）安全预评价报告评价人员</w:t>
            </w:r>
          </w:p>
          <w:p w14:paraId="4E7C8006">
            <w:pPr>
              <w:spacing w:after="120" w:line="360" w:lineRule="auto"/>
              <w:jc w:val="center"/>
              <w:rPr>
                <w:b/>
                <w:color w:val="000000" w:themeColor="text1"/>
                <w:kern w:val="2"/>
                <w:szCs w:val="21"/>
                <w14:textFill>
                  <w14:solidFill>
                    <w14:schemeClr w14:val="tx1"/>
                  </w14:solidFill>
                </w14:textFill>
              </w:rPr>
            </w:pPr>
            <w:r>
              <w:rPr>
                <w:rFonts w:hint="eastAsia"/>
                <w:color w:val="000000" w:themeColor="text1"/>
                <w:kern w:val="2"/>
                <w:szCs w:val="21"/>
                <w14:textFill>
                  <w14:solidFill>
                    <w14:schemeClr w14:val="tx1"/>
                  </w14:solidFill>
                </w14:textFill>
              </w:rPr>
              <w:t>（三号宋体加粗）</w:t>
            </w:r>
          </w:p>
          <w:tbl>
            <w:tblPr>
              <w:tblStyle w:val="36"/>
              <w:tblW w:w="0" w:type="auto"/>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7"/>
              <w:gridCol w:w="1362"/>
              <w:gridCol w:w="1180"/>
              <w:gridCol w:w="1624"/>
              <w:gridCol w:w="1757"/>
              <w:gridCol w:w="1226"/>
            </w:tblGrid>
            <w:tr w14:paraId="1C4B7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470" w:type="dxa"/>
                  <w:vAlign w:val="center"/>
                </w:tcPr>
                <w:p w14:paraId="19484F88">
                  <w:pPr>
                    <w:spacing w:line="360" w:lineRule="auto"/>
                    <w:jc w:val="center"/>
                    <w:rPr>
                      <w:b/>
                      <w:color w:val="000000" w:themeColor="text1"/>
                      <w:sz w:val="24"/>
                      <w:szCs w:val="24"/>
                      <w14:textFill>
                        <w14:solidFill>
                          <w14:schemeClr w14:val="tx1"/>
                        </w14:solidFill>
                      </w14:textFill>
                    </w:rPr>
                  </w:pPr>
                </w:p>
              </w:tc>
              <w:tc>
                <w:tcPr>
                  <w:tcW w:w="1422" w:type="dxa"/>
                  <w:vAlign w:val="center"/>
                </w:tcPr>
                <w:p w14:paraId="061FD6B9">
                  <w:pPr>
                    <w:spacing w:line="360" w:lineRule="auto"/>
                    <w:jc w:val="center"/>
                    <w:rPr>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姓名</w:t>
                  </w:r>
                </w:p>
              </w:tc>
              <w:tc>
                <w:tcPr>
                  <w:tcW w:w="1228" w:type="dxa"/>
                </w:tcPr>
                <w:p w14:paraId="0E7D212C">
                  <w:pPr>
                    <w:spacing w:line="360" w:lineRule="auto"/>
                    <w:jc w:val="center"/>
                    <w:rPr>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专业</w:t>
                  </w:r>
                </w:p>
              </w:tc>
              <w:tc>
                <w:tcPr>
                  <w:tcW w:w="1701" w:type="dxa"/>
                  <w:vAlign w:val="center"/>
                </w:tcPr>
                <w:p w14:paraId="716E3DAB">
                  <w:pPr>
                    <w:spacing w:line="360" w:lineRule="auto"/>
                    <w:jc w:val="center"/>
                    <w:rPr>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资格证书号</w:t>
                  </w:r>
                </w:p>
              </w:tc>
              <w:tc>
                <w:tcPr>
                  <w:tcW w:w="1842" w:type="dxa"/>
                  <w:vAlign w:val="center"/>
                </w:tcPr>
                <w:p w14:paraId="2D40BB2A">
                  <w:pPr>
                    <w:spacing w:line="360" w:lineRule="auto"/>
                    <w:jc w:val="center"/>
                    <w:rPr>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从业登记编号</w:t>
                  </w:r>
                </w:p>
              </w:tc>
              <w:tc>
                <w:tcPr>
                  <w:tcW w:w="1276" w:type="dxa"/>
                  <w:vAlign w:val="center"/>
                </w:tcPr>
                <w:p w14:paraId="2758FF6B">
                  <w:pPr>
                    <w:spacing w:line="360" w:lineRule="auto"/>
                    <w:jc w:val="center"/>
                    <w:rPr>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签字</w:t>
                  </w:r>
                </w:p>
              </w:tc>
            </w:tr>
            <w:tr w14:paraId="158EB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470" w:type="dxa"/>
                  <w:vMerge w:val="restart"/>
                  <w:vAlign w:val="center"/>
                </w:tcPr>
                <w:p w14:paraId="16589FAF">
                  <w:pPr>
                    <w:spacing w:line="360" w:lineRule="auto"/>
                    <w:jc w:val="center"/>
                    <w:rPr>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项目负责人</w:t>
                  </w:r>
                </w:p>
              </w:tc>
              <w:tc>
                <w:tcPr>
                  <w:tcW w:w="1422" w:type="dxa"/>
                </w:tcPr>
                <w:p w14:paraId="60F2B020">
                  <w:pPr>
                    <w:spacing w:line="360" w:lineRule="auto"/>
                    <w:jc w:val="center"/>
                    <w:rPr>
                      <w:b/>
                      <w:color w:val="000000" w:themeColor="text1"/>
                      <w:sz w:val="24"/>
                      <w:szCs w:val="24"/>
                      <w14:textFill>
                        <w14:solidFill>
                          <w14:schemeClr w14:val="tx1"/>
                        </w14:solidFill>
                      </w14:textFill>
                    </w:rPr>
                  </w:pPr>
                </w:p>
              </w:tc>
              <w:tc>
                <w:tcPr>
                  <w:tcW w:w="1228" w:type="dxa"/>
                </w:tcPr>
                <w:p w14:paraId="595B9444">
                  <w:pPr>
                    <w:spacing w:line="360" w:lineRule="auto"/>
                    <w:jc w:val="center"/>
                    <w:rPr>
                      <w:b/>
                      <w:color w:val="000000" w:themeColor="text1"/>
                      <w:sz w:val="24"/>
                      <w:szCs w:val="24"/>
                      <w14:textFill>
                        <w14:solidFill>
                          <w14:schemeClr w14:val="tx1"/>
                        </w14:solidFill>
                      </w14:textFill>
                    </w:rPr>
                  </w:pPr>
                </w:p>
              </w:tc>
              <w:tc>
                <w:tcPr>
                  <w:tcW w:w="1701" w:type="dxa"/>
                </w:tcPr>
                <w:p w14:paraId="2953C9F9">
                  <w:pPr>
                    <w:spacing w:line="360" w:lineRule="auto"/>
                    <w:jc w:val="center"/>
                    <w:rPr>
                      <w:b/>
                      <w:color w:val="000000" w:themeColor="text1"/>
                      <w:sz w:val="24"/>
                      <w:szCs w:val="24"/>
                      <w14:textFill>
                        <w14:solidFill>
                          <w14:schemeClr w14:val="tx1"/>
                        </w14:solidFill>
                      </w14:textFill>
                    </w:rPr>
                  </w:pPr>
                </w:p>
              </w:tc>
              <w:tc>
                <w:tcPr>
                  <w:tcW w:w="1842" w:type="dxa"/>
                </w:tcPr>
                <w:p w14:paraId="0E78240F">
                  <w:pPr>
                    <w:spacing w:line="360" w:lineRule="auto"/>
                    <w:jc w:val="center"/>
                    <w:rPr>
                      <w:b/>
                      <w:color w:val="000000" w:themeColor="text1"/>
                      <w:sz w:val="24"/>
                      <w:szCs w:val="24"/>
                      <w14:textFill>
                        <w14:solidFill>
                          <w14:schemeClr w14:val="tx1"/>
                        </w14:solidFill>
                      </w14:textFill>
                    </w:rPr>
                  </w:pPr>
                </w:p>
              </w:tc>
              <w:tc>
                <w:tcPr>
                  <w:tcW w:w="1276" w:type="dxa"/>
                </w:tcPr>
                <w:p w14:paraId="320C1BAE">
                  <w:pPr>
                    <w:spacing w:line="360" w:lineRule="auto"/>
                    <w:jc w:val="center"/>
                    <w:rPr>
                      <w:b/>
                      <w:color w:val="000000" w:themeColor="text1"/>
                      <w:sz w:val="24"/>
                      <w:szCs w:val="24"/>
                      <w14:textFill>
                        <w14:solidFill>
                          <w14:schemeClr w14:val="tx1"/>
                        </w14:solidFill>
                      </w14:textFill>
                    </w:rPr>
                  </w:pPr>
                </w:p>
              </w:tc>
            </w:tr>
            <w:tr w14:paraId="055CB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trPr>
              <w:tc>
                <w:tcPr>
                  <w:tcW w:w="1470" w:type="dxa"/>
                  <w:vMerge w:val="restart"/>
                  <w:vAlign w:val="center"/>
                </w:tcPr>
                <w:p w14:paraId="206689AC">
                  <w:pPr>
                    <w:spacing w:line="360" w:lineRule="auto"/>
                    <w:jc w:val="center"/>
                    <w:rPr>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项目组成员</w:t>
                  </w:r>
                </w:p>
              </w:tc>
              <w:tc>
                <w:tcPr>
                  <w:tcW w:w="1422" w:type="dxa"/>
                </w:tcPr>
                <w:p w14:paraId="18BC4E66">
                  <w:pPr>
                    <w:spacing w:line="360" w:lineRule="auto"/>
                    <w:jc w:val="center"/>
                    <w:rPr>
                      <w:b/>
                      <w:color w:val="000000" w:themeColor="text1"/>
                      <w:sz w:val="24"/>
                      <w:szCs w:val="24"/>
                      <w14:textFill>
                        <w14:solidFill>
                          <w14:schemeClr w14:val="tx1"/>
                        </w14:solidFill>
                      </w14:textFill>
                    </w:rPr>
                  </w:pPr>
                </w:p>
              </w:tc>
              <w:tc>
                <w:tcPr>
                  <w:tcW w:w="1228" w:type="dxa"/>
                </w:tcPr>
                <w:p w14:paraId="0B185A67">
                  <w:pPr>
                    <w:spacing w:line="360" w:lineRule="auto"/>
                    <w:jc w:val="center"/>
                    <w:rPr>
                      <w:b/>
                      <w:color w:val="000000" w:themeColor="text1"/>
                      <w:sz w:val="24"/>
                      <w:szCs w:val="24"/>
                      <w14:textFill>
                        <w14:solidFill>
                          <w14:schemeClr w14:val="tx1"/>
                        </w14:solidFill>
                      </w14:textFill>
                    </w:rPr>
                  </w:pPr>
                </w:p>
              </w:tc>
              <w:tc>
                <w:tcPr>
                  <w:tcW w:w="1701" w:type="dxa"/>
                </w:tcPr>
                <w:p w14:paraId="4050CF80">
                  <w:pPr>
                    <w:spacing w:line="360" w:lineRule="auto"/>
                    <w:jc w:val="center"/>
                    <w:rPr>
                      <w:b/>
                      <w:color w:val="000000" w:themeColor="text1"/>
                      <w:sz w:val="24"/>
                      <w:szCs w:val="24"/>
                      <w14:textFill>
                        <w14:solidFill>
                          <w14:schemeClr w14:val="tx1"/>
                        </w14:solidFill>
                      </w14:textFill>
                    </w:rPr>
                  </w:pPr>
                </w:p>
              </w:tc>
              <w:tc>
                <w:tcPr>
                  <w:tcW w:w="1842" w:type="dxa"/>
                </w:tcPr>
                <w:p w14:paraId="7735302C">
                  <w:pPr>
                    <w:spacing w:line="360" w:lineRule="auto"/>
                    <w:jc w:val="center"/>
                    <w:rPr>
                      <w:b/>
                      <w:color w:val="000000" w:themeColor="text1"/>
                      <w:sz w:val="24"/>
                      <w:szCs w:val="24"/>
                      <w14:textFill>
                        <w14:solidFill>
                          <w14:schemeClr w14:val="tx1"/>
                        </w14:solidFill>
                      </w14:textFill>
                    </w:rPr>
                  </w:pPr>
                </w:p>
              </w:tc>
              <w:tc>
                <w:tcPr>
                  <w:tcW w:w="1276" w:type="dxa"/>
                </w:tcPr>
                <w:p w14:paraId="4E85FD8C">
                  <w:pPr>
                    <w:spacing w:line="360" w:lineRule="auto"/>
                    <w:jc w:val="center"/>
                    <w:rPr>
                      <w:b/>
                      <w:color w:val="000000" w:themeColor="text1"/>
                      <w:sz w:val="24"/>
                      <w:szCs w:val="24"/>
                      <w14:textFill>
                        <w14:solidFill>
                          <w14:schemeClr w14:val="tx1"/>
                        </w14:solidFill>
                      </w14:textFill>
                    </w:rPr>
                  </w:pPr>
                </w:p>
              </w:tc>
            </w:tr>
            <w:tr w14:paraId="5776A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trPr>
              <w:tc>
                <w:tcPr>
                  <w:tcW w:w="1470" w:type="dxa"/>
                  <w:vMerge w:val="continue"/>
                  <w:vAlign w:val="center"/>
                </w:tcPr>
                <w:p w14:paraId="51E08DF5">
                  <w:pPr>
                    <w:spacing w:line="360" w:lineRule="auto"/>
                    <w:jc w:val="center"/>
                    <w:rPr>
                      <w:b/>
                      <w:color w:val="000000" w:themeColor="text1"/>
                      <w:sz w:val="24"/>
                      <w:szCs w:val="24"/>
                      <w14:textFill>
                        <w14:solidFill>
                          <w14:schemeClr w14:val="tx1"/>
                        </w14:solidFill>
                      </w14:textFill>
                    </w:rPr>
                  </w:pPr>
                </w:p>
              </w:tc>
              <w:tc>
                <w:tcPr>
                  <w:tcW w:w="1422" w:type="dxa"/>
                </w:tcPr>
                <w:p w14:paraId="2EB2D1A3">
                  <w:pPr>
                    <w:spacing w:line="360" w:lineRule="auto"/>
                    <w:jc w:val="center"/>
                    <w:rPr>
                      <w:b/>
                      <w:color w:val="000000" w:themeColor="text1"/>
                      <w:sz w:val="24"/>
                      <w:szCs w:val="24"/>
                      <w14:textFill>
                        <w14:solidFill>
                          <w14:schemeClr w14:val="tx1"/>
                        </w14:solidFill>
                      </w14:textFill>
                    </w:rPr>
                  </w:pPr>
                </w:p>
              </w:tc>
              <w:tc>
                <w:tcPr>
                  <w:tcW w:w="1228" w:type="dxa"/>
                </w:tcPr>
                <w:p w14:paraId="1D2127B1">
                  <w:pPr>
                    <w:spacing w:line="360" w:lineRule="auto"/>
                    <w:jc w:val="center"/>
                    <w:rPr>
                      <w:b/>
                      <w:color w:val="000000" w:themeColor="text1"/>
                      <w:sz w:val="24"/>
                      <w:szCs w:val="24"/>
                      <w14:textFill>
                        <w14:solidFill>
                          <w14:schemeClr w14:val="tx1"/>
                        </w14:solidFill>
                      </w14:textFill>
                    </w:rPr>
                  </w:pPr>
                </w:p>
              </w:tc>
              <w:tc>
                <w:tcPr>
                  <w:tcW w:w="1701" w:type="dxa"/>
                </w:tcPr>
                <w:p w14:paraId="1BFC8419">
                  <w:pPr>
                    <w:spacing w:line="360" w:lineRule="auto"/>
                    <w:jc w:val="center"/>
                    <w:rPr>
                      <w:b/>
                      <w:color w:val="000000" w:themeColor="text1"/>
                      <w:sz w:val="24"/>
                      <w:szCs w:val="24"/>
                      <w14:textFill>
                        <w14:solidFill>
                          <w14:schemeClr w14:val="tx1"/>
                        </w14:solidFill>
                      </w14:textFill>
                    </w:rPr>
                  </w:pPr>
                </w:p>
              </w:tc>
              <w:tc>
                <w:tcPr>
                  <w:tcW w:w="1842" w:type="dxa"/>
                </w:tcPr>
                <w:p w14:paraId="416481E8">
                  <w:pPr>
                    <w:spacing w:line="360" w:lineRule="auto"/>
                    <w:jc w:val="center"/>
                    <w:rPr>
                      <w:b/>
                      <w:color w:val="000000" w:themeColor="text1"/>
                      <w:sz w:val="24"/>
                      <w:szCs w:val="24"/>
                      <w14:textFill>
                        <w14:solidFill>
                          <w14:schemeClr w14:val="tx1"/>
                        </w14:solidFill>
                      </w14:textFill>
                    </w:rPr>
                  </w:pPr>
                </w:p>
              </w:tc>
              <w:tc>
                <w:tcPr>
                  <w:tcW w:w="1276" w:type="dxa"/>
                </w:tcPr>
                <w:p w14:paraId="47D87E6B">
                  <w:pPr>
                    <w:spacing w:line="360" w:lineRule="auto"/>
                    <w:jc w:val="center"/>
                    <w:rPr>
                      <w:b/>
                      <w:color w:val="000000" w:themeColor="text1"/>
                      <w:sz w:val="24"/>
                      <w:szCs w:val="24"/>
                      <w14:textFill>
                        <w14:solidFill>
                          <w14:schemeClr w14:val="tx1"/>
                        </w14:solidFill>
                      </w14:textFill>
                    </w:rPr>
                  </w:pPr>
                </w:p>
              </w:tc>
            </w:tr>
            <w:tr w14:paraId="03D0D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trPr>
              <w:tc>
                <w:tcPr>
                  <w:tcW w:w="1470" w:type="dxa"/>
                  <w:vMerge w:val="continue"/>
                  <w:vAlign w:val="center"/>
                </w:tcPr>
                <w:p w14:paraId="7CEE4E66">
                  <w:pPr>
                    <w:spacing w:line="360" w:lineRule="auto"/>
                    <w:jc w:val="center"/>
                    <w:rPr>
                      <w:b/>
                      <w:color w:val="000000" w:themeColor="text1"/>
                      <w:sz w:val="24"/>
                      <w:szCs w:val="24"/>
                      <w14:textFill>
                        <w14:solidFill>
                          <w14:schemeClr w14:val="tx1"/>
                        </w14:solidFill>
                      </w14:textFill>
                    </w:rPr>
                  </w:pPr>
                </w:p>
              </w:tc>
              <w:tc>
                <w:tcPr>
                  <w:tcW w:w="1422" w:type="dxa"/>
                </w:tcPr>
                <w:p w14:paraId="5D42A420">
                  <w:pPr>
                    <w:spacing w:line="360" w:lineRule="auto"/>
                    <w:jc w:val="center"/>
                    <w:rPr>
                      <w:b/>
                      <w:color w:val="000000" w:themeColor="text1"/>
                      <w:sz w:val="24"/>
                      <w:szCs w:val="24"/>
                      <w14:textFill>
                        <w14:solidFill>
                          <w14:schemeClr w14:val="tx1"/>
                        </w14:solidFill>
                      </w14:textFill>
                    </w:rPr>
                  </w:pPr>
                </w:p>
              </w:tc>
              <w:tc>
                <w:tcPr>
                  <w:tcW w:w="1228" w:type="dxa"/>
                </w:tcPr>
                <w:p w14:paraId="609F503E">
                  <w:pPr>
                    <w:spacing w:line="360" w:lineRule="auto"/>
                    <w:jc w:val="center"/>
                    <w:rPr>
                      <w:b/>
                      <w:color w:val="000000" w:themeColor="text1"/>
                      <w:sz w:val="24"/>
                      <w:szCs w:val="24"/>
                      <w14:textFill>
                        <w14:solidFill>
                          <w14:schemeClr w14:val="tx1"/>
                        </w14:solidFill>
                      </w14:textFill>
                    </w:rPr>
                  </w:pPr>
                </w:p>
              </w:tc>
              <w:tc>
                <w:tcPr>
                  <w:tcW w:w="1701" w:type="dxa"/>
                </w:tcPr>
                <w:p w14:paraId="5AD63496">
                  <w:pPr>
                    <w:spacing w:line="360" w:lineRule="auto"/>
                    <w:jc w:val="center"/>
                    <w:rPr>
                      <w:b/>
                      <w:color w:val="000000" w:themeColor="text1"/>
                      <w:sz w:val="24"/>
                      <w:szCs w:val="24"/>
                      <w14:textFill>
                        <w14:solidFill>
                          <w14:schemeClr w14:val="tx1"/>
                        </w14:solidFill>
                      </w14:textFill>
                    </w:rPr>
                  </w:pPr>
                </w:p>
              </w:tc>
              <w:tc>
                <w:tcPr>
                  <w:tcW w:w="1842" w:type="dxa"/>
                </w:tcPr>
                <w:p w14:paraId="66AC4511">
                  <w:pPr>
                    <w:spacing w:line="360" w:lineRule="auto"/>
                    <w:jc w:val="center"/>
                    <w:rPr>
                      <w:b/>
                      <w:color w:val="000000" w:themeColor="text1"/>
                      <w:sz w:val="24"/>
                      <w:szCs w:val="24"/>
                      <w14:textFill>
                        <w14:solidFill>
                          <w14:schemeClr w14:val="tx1"/>
                        </w14:solidFill>
                      </w14:textFill>
                    </w:rPr>
                  </w:pPr>
                </w:p>
              </w:tc>
              <w:tc>
                <w:tcPr>
                  <w:tcW w:w="1276" w:type="dxa"/>
                </w:tcPr>
                <w:p w14:paraId="79E29090">
                  <w:pPr>
                    <w:spacing w:line="360" w:lineRule="auto"/>
                    <w:jc w:val="center"/>
                    <w:rPr>
                      <w:b/>
                      <w:color w:val="000000" w:themeColor="text1"/>
                      <w:sz w:val="24"/>
                      <w:szCs w:val="24"/>
                      <w14:textFill>
                        <w14:solidFill>
                          <w14:schemeClr w14:val="tx1"/>
                        </w14:solidFill>
                      </w14:textFill>
                    </w:rPr>
                  </w:pPr>
                </w:p>
              </w:tc>
            </w:tr>
            <w:tr w14:paraId="025B8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trPr>
              <w:tc>
                <w:tcPr>
                  <w:tcW w:w="1470" w:type="dxa"/>
                  <w:vMerge w:val="continue"/>
                  <w:vAlign w:val="center"/>
                </w:tcPr>
                <w:p w14:paraId="7E48FFCD">
                  <w:pPr>
                    <w:spacing w:line="360" w:lineRule="auto"/>
                    <w:jc w:val="center"/>
                    <w:rPr>
                      <w:b/>
                      <w:color w:val="000000" w:themeColor="text1"/>
                      <w:sz w:val="24"/>
                      <w:szCs w:val="24"/>
                      <w14:textFill>
                        <w14:solidFill>
                          <w14:schemeClr w14:val="tx1"/>
                        </w14:solidFill>
                      </w14:textFill>
                    </w:rPr>
                  </w:pPr>
                </w:p>
              </w:tc>
              <w:tc>
                <w:tcPr>
                  <w:tcW w:w="1422" w:type="dxa"/>
                </w:tcPr>
                <w:p w14:paraId="518A63B1">
                  <w:pPr>
                    <w:spacing w:line="360" w:lineRule="auto"/>
                    <w:jc w:val="center"/>
                    <w:rPr>
                      <w:b/>
                      <w:color w:val="000000" w:themeColor="text1"/>
                      <w:sz w:val="24"/>
                      <w:szCs w:val="24"/>
                      <w14:textFill>
                        <w14:solidFill>
                          <w14:schemeClr w14:val="tx1"/>
                        </w14:solidFill>
                      </w14:textFill>
                    </w:rPr>
                  </w:pPr>
                </w:p>
              </w:tc>
              <w:tc>
                <w:tcPr>
                  <w:tcW w:w="1228" w:type="dxa"/>
                </w:tcPr>
                <w:p w14:paraId="451F5FD5">
                  <w:pPr>
                    <w:spacing w:line="360" w:lineRule="auto"/>
                    <w:jc w:val="center"/>
                    <w:rPr>
                      <w:b/>
                      <w:color w:val="000000" w:themeColor="text1"/>
                      <w:sz w:val="24"/>
                      <w:szCs w:val="24"/>
                      <w14:textFill>
                        <w14:solidFill>
                          <w14:schemeClr w14:val="tx1"/>
                        </w14:solidFill>
                      </w14:textFill>
                    </w:rPr>
                  </w:pPr>
                </w:p>
              </w:tc>
              <w:tc>
                <w:tcPr>
                  <w:tcW w:w="1701" w:type="dxa"/>
                </w:tcPr>
                <w:p w14:paraId="5FAC42BF">
                  <w:pPr>
                    <w:spacing w:line="360" w:lineRule="auto"/>
                    <w:jc w:val="center"/>
                    <w:rPr>
                      <w:b/>
                      <w:color w:val="000000" w:themeColor="text1"/>
                      <w:sz w:val="24"/>
                      <w:szCs w:val="24"/>
                      <w14:textFill>
                        <w14:solidFill>
                          <w14:schemeClr w14:val="tx1"/>
                        </w14:solidFill>
                      </w14:textFill>
                    </w:rPr>
                  </w:pPr>
                </w:p>
              </w:tc>
              <w:tc>
                <w:tcPr>
                  <w:tcW w:w="1842" w:type="dxa"/>
                </w:tcPr>
                <w:p w14:paraId="6E898774">
                  <w:pPr>
                    <w:spacing w:line="360" w:lineRule="auto"/>
                    <w:jc w:val="center"/>
                    <w:rPr>
                      <w:b/>
                      <w:color w:val="000000" w:themeColor="text1"/>
                      <w:sz w:val="24"/>
                      <w:szCs w:val="24"/>
                      <w14:textFill>
                        <w14:solidFill>
                          <w14:schemeClr w14:val="tx1"/>
                        </w14:solidFill>
                      </w14:textFill>
                    </w:rPr>
                  </w:pPr>
                </w:p>
              </w:tc>
              <w:tc>
                <w:tcPr>
                  <w:tcW w:w="1276" w:type="dxa"/>
                </w:tcPr>
                <w:p w14:paraId="2D1E66D3">
                  <w:pPr>
                    <w:spacing w:line="360" w:lineRule="auto"/>
                    <w:jc w:val="center"/>
                    <w:rPr>
                      <w:b/>
                      <w:color w:val="000000" w:themeColor="text1"/>
                      <w:sz w:val="24"/>
                      <w:szCs w:val="24"/>
                      <w14:textFill>
                        <w14:solidFill>
                          <w14:schemeClr w14:val="tx1"/>
                        </w14:solidFill>
                      </w14:textFill>
                    </w:rPr>
                  </w:pPr>
                </w:p>
              </w:tc>
            </w:tr>
            <w:tr w14:paraId="40ED6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470" w:type="dxa"/>
                  <w:vMerge w:val="restart"/>
                  <w:vAlign w:val="center"/>
                </w:tcPr>
                <w:p w14:paraId="0C2C627C">
                  <w:pPr>
                    <w:spacing w:line="360" w:lineRule="auto"/>
                    <w:jc w:val="center"/>
                    <w:rPr>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报告编制人</w:t>
                  </w:r>
                </w:p>
              </w:tc>
              <w:tc>
                <w:tcPr>
                  <w:tcW w:w="1422" w:type="dxa"/>
                </w:tcPr>
                <w:p w14:paraId="1DCADCAF">
                  <w:pPr>
                    <w:spacing w:line="360" w:lineRule="auto"/>
                    <w:jc w:val="center"/>
                    <w:rPr>
                      <w:b/>
                      <w:color w:val="000000" w:themeColor="text1"/>
                      <w:sz w:val="24"/>
                      <w:szCs w:val="24"/>
                      <w14:textFill>
                        <w14:solidFill>
                          <w14:schemeClr w14:val="tx1"/>
                        </w14:solidFill>
                      </w14:textFill>
                    </w:rPr>
                  </w:pPr>
                </w:p>
              </w:tc>
              <w:tc>
                <w:tcPr>
                  <w:tcW w:w="1228" w:type="dxa"/>
                </w:tcPr>
                <w:p w14:paraId="0A80E170">
                  <w:pPr>
                    <w:spacing w:line="360" w:lineRule="auto"/>
                    <w:jc w:val="center"/>
                    <w:rPr>
                      <w:b/>
                      <w:color w:val="000000" w:themeColor="text1"/>
                      <w:sz w:val="24"/>
                      <w:szCs w:val="24"/>
                      <w14:textFill>
                        <w14:solidFill>
                          <w14:schemeClr w14:val="tx1"/>
                        </w14:solidFill>
                      </w14:textFill>
                    </w:rPr>
                  </w:pPr>
                </w:p>
              </w:tc>
              <w:tc>
                <w:tcPr>
                  <w:tcW w:w="1701" w:type="dxa"/>
                </w:tcPr>
                <w:p w14:paraId="0D552EF0">
                  <w:pPr>
                    <w:spacing w:line="360" w:lineRule="auto"/>
                    <w:jc w:val="center"/>
                    <w:rPr>
                      <w:b/>
                      <w:color w:val="000000" w:themeColor="text1"/>
                      <w:sz w:val="24"/>
                      <w:szCs w:val="24"/>
                      <w14:textFill>
                        <w14:solidFill>
                          <w14:schemeClr w14:val="tx1"/>
                        </w14:solidFill>
                      </w14:textFill>
                    </w:rPr>
                  </w:pPr>
                </w:p>
              </w:tc>
              <w:tc>
                <w:tcPr>
                  <w:tcW w:w="1842" w:type="dxa"/>
                </w:tcPr>
                <w:p w14:paraId="17F67396">
                  <w:pPr>
                    <w:spacing w:line="360" w:lineRule="auto"/>
                    <w:jc w:val="center"/>
                    <w:rPr>
                      <w:b/>
                      <w:color w:val="000000" w:themeColor="text1"/>
                      <w:sz w:val="24"/>
                      <w:szCs w:val="24"/>
                      <w14:textFill>
                        <w14:solidFill>
                          <w14:schemeClr w14:val="tx1"/>
                        </w14:solidFill>
                      </w14:textFill>
                    </w:rPr>
                  </w:pPr>
                </w:p>
              </w:tc>
              <w:tc>
                <w:tcPr>
                  <w:tcW w:w="1276" w:type="dxa"/>
                </w:tcPr>
                <w:p w14:paraId="64BCFAC6">
                  <w:pPr>
                    <w:spacing w:line="360" w:lineRule="auto"/>
                    <w:jc w:val="center"/>
                    <w:rPr>
                      <w:b/>
                      <w:color w:val="000000" w:themeColor="text1"/>
                      <w:sz w:val="24"/>
                      <w:szCs w:val="24"/>
                      <w14:textFill>
                        <w14:solidFill>
                          <w14:schemeClr w14:val="tx1"/>
                        </w14:solidFill>
                      </w14:textFill>
                    </w:rPr>
                  </w:pPr>
                </w:p>
              </w:tc>
            </w:tr>
            <w:tr w14:paraId="13001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1470" w:type="dxa"/>
                  <w:vMerge w:val="continue"/>
                  <w:vAlign w:val="center"/>
                </w:tcPr>
                <w:p w14:paraId="6E650A14">
                  <w:pPr>
                    <w:spacing w:line="360" w:lineRule="auto"/>
                    <w:jc w:val="center"/>
                    <w:rPr>
                      <w:b/>
                      <w:color w:val="000000" w:themeColor="text1"/>
                      <w:sz w:val="24"/>
                      <w:szCs w:val="24"/>
                      <w14:textFill>
                        <w14:solidFill>
                          <w14:schemeClr w14:val="tx1"/>
                        </w14:solidFill>
                      </w14:textFill>
                    </w:rPr>
                  </w:pPr>
                </w:p>
              </w:tc>
              <w:tc>
                <w:tcPr>
                  <w:tcW w:w="1422" w:type="dxa"/>
                </w:tcPr>
                <w:p w14:paraId="35409C39">
                  <w:pPr>
                    <w:spacing w:line="360" w:lineRule="auto"/>
                    <w:jc w:val="center"/>
                    <w:rPr>
                      <w:b/>
                      <w:color w:val="000000" w:themeColor="text1"/>
                      <w:sz w:val="24"/>
                      <w:szCs w:val="24"/>
                      <w14:textFill>
                        <w14:solidFill>
                          <w14:schemeClr w14:val="tx1"/>
                        </w14:solidFill>
                      </w14:textFill>
                    </w:rPr>
                  </w:pPr>
                </w:p>
              </w:tc>
              <w:tc>
                <w:tcPr>
                  <w:tcW w:w="1228" w:type="dxa"/>
                </w:tcPr>
                <w:p w14:paraId="0AB61366">
                  <w:pPr>
                    <w:spacing w:line="360" w:lineRule="auto"/>
                    <w:jc w:val="center"/>
                    <w:rPr>
                      <w:b/>
                      <w:color w:val="000000" w:themeColor="text1"/>
                      <w:sz w:val="24"/>
                      <w:szCs w:val="24"/>
                      <w14:textFill>
                        <w14:solidFill>
                          <w14:schemeClr w14:val="tx1"/>
                        </w14:solidFill>
                      </w14:textFill>
                    </w:rPr>
                  </w:pPr>
                </w:p>
              </w:tc>
              <w:tc>
                <w:tcPr>
                  <w:tcW w:w="1701" w:type="dxa"/>
                </w:tcPr>
                <w:p w14:paraId="0612D79F">
                  <w:pPr>
                    <w:spacing w:line="360" w:lineRule="auto"/>
                    <w:jc w:val="center"/>
                    <w:rPr>
                      <w:b/>
                      <w:color w:val="000000" w:themeColor="text1"/>
                      <w:sz w:val="24"/>
                      <w:szCs w:val="24"/>
                      <w14:textFill>
                        <w14:solidFill>
                          <w14:schemeClr w14:val="tx1"/>
                        </w14:solidFill>
                      </w14:textFill>
                    </w:rPr>
                  </w:pPr>
                </w:p>
              </w:tc>
              <w:tc>
                <w:tcPr>
                  <w:tcW w:w="1842" w:type="dxa"/>
                </w:tcPr>
                <w:p w14:paraId="1BE69EA5">
                  <w:pPr>
                    <w:spacing w:line="360" w:lineRule="auto"/>
                    <w:jc w:val="center"/>
                    <w:rPr>
                      <w:b/>
                      <w:color w:val="000000" w:themeColor="text1"/>
                      <w:sz w:val="24"/>
                      <w:szCs w:val="24"/>
                      <w14:textFill>
                        <w14:solidFill>
                          <w14:schemeClr w14:val="tx1"/>
                        </w14:solidFill>
                      </w14:textFill>
                    </w:rPr>
                  </w:pPr>
                </w:p>
              </w:tc>
              <w:tc>
                <w:tcPr>
                  <w:tcW w:w="1276" w:type="dxa"/>
                </w:tcPr>
                <w:p w14:paraId="7960D609">
                  <w:pPr>
                    <w:spacing w:line="360" w:lineRule="auto"/>
                    <w:jc w:val="center"/>
                    <w:rPr>
                      <w:b/>
                      <w:color w:val="000000" w:themeColor="text1"/>
                      <w:sz w:val="24"/>
                      <w:szCs w:val="24"/>
                      <w14:textFill>
                        <w14:solidFill>
                          <w14:schemeClr w14:val="tx1"/>
                        </w14:solidFill>
                      </w14:textFill>
                    </w:rPr>
                  </w:pPr>
                </w:p>
              </w:tc>
            </w:tr>
            <w:tr w14:paraId="3B4D2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470" w:type="dxa"/>
                  <w:vMerge w:val="restart"/>
                  <w:vAlign w:val="center"/>
                </w:tcPr>
                <w:p w14:paraId="06660523">
                  <w:pPr>
                    <w:jc w:val="center"/>
                    <w:rPr>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报告审核人</w:t>
                  </w:r>
                </w:p>
              </w:tc>
              <w:tc>
                <w:tcPr>
                  <w:tcW w:w="1422" w:type="dxa"/>
                </w:tcPr>
                <w:p w14:paraId="12DFCBA9">
                  <w:pPr>
                    <w:spacing w:line="360" w:lineRule="auto"/>
                    <w:jc w:val="center"/>
                    <w:rPr>
                      <w:b/>
                      <w:color w:val="000000" w:themeColor="text1"/>
                      <w:sz w:val="24"/>
                      <w:szCs w:val="24"/>
                      <w14:textFill>
                        <w14:solidFill>
                          <w14:schemeClr w14:val="tx1"/>
                        </w14:solidFill>
                      </w14:textFill>
                    </w:rPr>
                  </w:pPr>
                </w:p>
              </w:tc>
              <w:tc>
                <w:tcPr>
                  <w:tcW w:w="1228" w:type="dxa"/>
                </w:tcPr>
                <w:p w14:paraId="2E94D1DC">
                  <w:pPr>
                    <w:spacing w:line="360" w:lineRule="auto"/>
                    <w:jc w:val="center"/>
                    <w:rPr>
                      <w:b/>
                      <w:color w:val="000000" w:themeColor="text1"/>
                      <w:sz w:val="24"/>
                      <w:szCs w:val="24"/>
                      <w14:textFill>
                        <w14:solidFill>
                          <w14:schemeClr w14:val="tx1"/>
                        </w14:solidFill>
                      </w14:textFill>
                    </w:rPr>
                  </w:pPr>
                </w:p>
              </w:tc>
              <w:tc>
                <w:tcPr>
                  <w:tcW w:w="1701" w:type="dxa"/>
                </w:tcPr>
                <w:p w14:paraId="1E43B8FE">
                  <w:pPr>
                    <w:spacing w:line="360" w:lineRule="auto"/>
                    <w:jc w:val="center"/>
                    <w:rPr>
                      <w:b/>
                      <w:color w:val="000000" w:themeColor="text1"/>
                      <w:sz w:val="24"/>
                      <w:szCs w:val="24"/>
                      <w14:textFill>
                        <w14:solidFill>
                          <w14:schemeClr w14:val="tx1"/>
                        </w14:solidFill>
                      </w14:textFill>
                    </w:rPr>
                  </w:pPr>
                </w:p>
              </w:tc>
              <w:tc>
                <w:tcPr>
                  <w:tcW w:w="1842" w:type="dxa"/>
                </w:tcPr>
                <w:p w14:paraId="271CBA79">
                  <w:pPr>
                    <w:spacing w:line="360" w:lineRule="auto"/>
                    <w:jc w:val="center"/>
                    <w:rPr>
                      <w:b/>
                      <w:color w:val="000000" w:themeColor="text1"/>
                      <w:sz w:val="24"/>
                      <w:szCs w:val="24"/>
                      <w14:textFill>
                        <w14:solidFill>
                          <w14:schemeClr w14:val="tx1"/>
                        </w14:solidFill>
                      </w14:textFill>
                    </w:rPr>
                  </w:pPr>
                </w:p>
              </w:tc>
              <w:tc>
                <w:tcPr>
                  <w:tcW w:w="1276" w:type="dxa"/>
                </w:tcPr>
                <w:p w14:paraId="142A7167">
                  <w:pPr>
                    <w:spacing w:line="360" w:lineRule="auto"/>
                    <w:jc w:val="center"/>
                    <w:rPr>
                      <w:b/>
                      <w:color w:val="000000" w:themeColor="text1"/>
                      <w:sz w:val="24"/>
                      <w:szCs w:val="24"/>
                      <w14:textFill>
                        <w14:solidFill>
                          <w14:schemeClr w14:val="tx1"/>
                        </w14:solidFill>
                      </w14:textFill>
                    </w:rPr>
                  </w:pPr>
                </w:p>
              </w:tc>
            </w:tr>
            <w:tr w14:paraId="72D5D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8" w:hRule="atLeast"/>
              </w:trPr>
              <w:tc>
                <w:tcPr>
                  <w:tcW w:w="1470" w:type="dxa"/>
                  <w:vMerge w:val="continue"/>
                  <w:vAlign w:val="center"/>
                </w:tcPr>
                <w:p w14:paraId="1AE2B97D">
                  <w:pPr>
                    <w:spacing w:line="360" w:lineRule="auto"/>
                    <w:jc w:val="center"/>
                    <w:rPr>
                      <w:b/>
                      <w:color w:val="000000" w:themeColor="text1"/>
                      <w:sz w:val="24"/>
                      <w:szCs w:val="24"/>
                      <w14:textFill>
                        <w14:solidFill>
                          <w14:schemeClr w14:val="tx1"/>
                        </w14:solidFill>
                      </w14:textFill>
                    </w:rPr>
                  </w:pPr>
                </w:p>
              </w:tc>
              <w:tc>
                <w:tcPr>
                  <w:tcW w:w="1422" w:type="dxa"/>
                </w:tcPr>
                <w:p w14:paraId="06F2A3BD">
                  <w:pPr>
                    <w:spacing w:line="360" w:lineRule="auto"/>
                    <w:jc w:val="center"/>
                    <w:rPr>
                      <w:b/>
                      <w:color w:val="000000" w:themeColor="text1"/>
                      <w:sz w:val="24"/>
                      <w:szCs w:val="24"/>
                      <w14:textFill>
                        <w14:solidFill>
                          <w14:schemeClr w14:val="tx1"/>
                        </w14:solidFill>
                      </w14:textFill>
                    </w:rPr>
                  </w:pPr>
                </w:p>
              </w:tc>
              <w:tc>
                <w:tcPr>
                  <w:tcW w:w="1228" w:type="dxa"/>
                </w:tcPr>
                <w:p w14:paraId="25804D66">
                  <w:pPr>
                    <w:spacing w:line="360" w:lineRule="auto"/>
                    <w:jc w:val="center"/>
                    <w:rPr>
                      <w:b/>
                      <w:color w:val="000000" w:themeColor="text1"/>
                      <w:sz w:val="24"/>
                      <w:szCs w:val="24"/>
                      <w14:textFill>
                        <w14:solidFill>
                          <w14:schemeClr w14:val="tx1"/>
                        </w14:solidFill>
                      </w14:textFill>
                    </w:rPr>
                  </w:pPr>
                </w:p>
              </w:tc>
              <w:tc>
                <w:tcPr>
                  <w:tcW w:w="1701" w:type="dxa"/>
                </w:tcPr>
                <w:p w14:paraId="4625FD53">
                  <w:pPr>
                    <w:spacing w:line="360" w:lineRule="auto"/>
                    <w:jc w:val="center"/>
                    <w:rPr>
                      <w:b/>
                      <w:color w:val="000000" w:themeColor="text1"/>
                      <w:sz w:val="24"/>
                      <w:szCs w:val="24"/>
                      <w14:textFill>
                        <w14:solidFill>
                          <w14:schemeClr w14:val="tx1"/>
                        </w14:solidFill>
                      </w14:textFill>
                    </w:rPr>
                  </w:pPr>
                </w:p>
              </w:tc>
              <w:tc>
                <w:tcPr>
                  <w:tcW w:w="1842" w:type="dxa"/>
                </w:tcPr>
                <w:p w14:paraId="3A7426A1">
                  <w:pPr>
                    <w:spacing w:line="360" w:lineRule="auto"/>
                    <w:jc w:val="center"/>
                    <w:rPr>
                      <w:b/>
                      <w:color w:val="000000" w:themeColor="text1"/>
                      <w:sz w:val="24"/>
                      <w:szCs w:val="24"/>
                      <w14:textFill>
                        <w14:solidFill>
                          <w14:schemeClr w14:val="tx1"/>
                        </w14:solidFill>
                      </w14:textFill>
                    </w:rPr>
                  </w:pPr>
                </w:p>
              </w:tc>
              <w:tc>
                <w:tcPr>
                  <w:tcW w:w="1276" w:type="dxa"/>
                </w:tcPr>
                <w:p w14:paraId="14FAC149">
                  <w:pPr>
                    <w:spacing w:line="360" w:lineRule="auto"/>
                    <w:jc w:val="center"/>
                    <w:rPr>
                      <w:b/>
                      <w:color w:val="000000" w:themeColor="text1"/>
                      <w:sz w:val="24"/>
                      <w:szCs w:val="24"/>
                      <w14:textFill>
                        <w14:solidFill>
                          <w14:schemeClr w14:val="tx1"/>
                        </w14:solidFill>
                      </w14:textFill>
                    </w:rPr>
                  </w:pPr>
                </w:p>
              </w:tc>
            </w:tr>
            <w:tr w14:paraId="2703D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trPr>
              <w:tc>
                <w:tcPr>
                  <w:tcW w:w="1470" w:type="dxa"/>
                  <w:vAlign w:val="center"/>
                </w:tcPr>
                <w:p w14:paraId="1172F91C">
                  <w:pPr>
                    <w:spacing w:line="240" w:lineRule="auto"/>
                    <w:jc w:val="center"/>
                    <w:rPr>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过程控制</w:t>
                  </w:r>
                </w:p>
                <w:p w14:paraId="02CB5242">
                  <w:pPr>
                    <w:spacing w:line="240" w:lineRule="auto"/>
                    <w:jc w:val="center"/>
                    <w:rPr>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负责人</w:t>
                  </w:r>
                </w:p>
              </w:tc>
              <w:tc>
                <w:tcPr>
                  <w:tcW w:w="1422" w:type="dxa"/>
                </w:tcPr>
                <w:p w14:paraId="4D1F7276">
                  <w:pPr>
                    <w:spacing w:line="360" w:lineRule="auto"/>
                    <w:jc w:val="center"/>
                    <w:rPr>
                      <w:b/>
                      <w:color w:val="000000" w:themeColor="text1"/>
                      <w:sz w:val="24"/>
                      <w:szCs w:val="24"/>
                      <w14:textFill>
                        <w14:solidFill>
                          <w14:schemeClr w14:val="tx1"/>
                        </w14:solidFill>
                      </w14:textFill>
                    </w:rPr>
                  </w:pPr>
                </w:p>
              </w:tc>
              <w:tc>
                <w:tcPr>
                  <w:tcW w:w="1228" w:type="dxa"/>
                </w:tcPr>
                <w:p w14:paraId="4A76F375">
                  <w:pPr>
                    <w:spacing w:line="360" w:lineRule="auto"/>
                    <w:jc w:val="center"/>
                    <w:rPr>
                      <w:b/>
                      <w:color w:val="000000" w:themeColor="text1"/>
                      <w:sz w:val="24"/>
                      <w:szCs w:val="24"/>
                      <w14:textFill>
                        <w14:solidFill>
                          <w14:schemeClr w14:val="tx1"/>
                        </w14:solidFill>
                      </w14:textFill>
                    </w:rPr>
                  </w:pPr>
                </w:p>
              </w:tc>
              <w:tc>
                <w:tcPr>
                  <w:tcW w:w="1701" w:type="dxa"/>
                </w:tcPr>
                <w:p w14:paraId="5066B123">
                  <w:pPr>
                    <w:spacing w:line="360" w:lineRule="auto"/>
                    <w:jc w:val="center"/>
                    <w:rPr>
                      <w:b/>
                      <w:color w:val="000000" w:themeColor="text1"/>
                      <w:sz w:val="24"/>
                      <w:szCs w:val="24"/>
                      <w14:textFill>
                        <w14:solidFill>
                          <w14:schemeClr w14:val="tx1"/>
                        </w14:solidFill>
                      </w14:textFill>
                    </w:rPr>
                  </w:pPr>
                </w:p>
              </w:tc>
              <w:tc>
                <w:tcPr>
                  <w:tcW w:w="1842" w:type="dxa"/>
                </w:tcPr>
                <w:p w14:paraId="0EA65932">
                  <w:pPr>
                    <w:spacing w:line="360" w:lineRule="auto"/>
                    <w:jc w:val="center"/>
                    <w:rPr>
                      <w:b/>
                      <w:color w:val="000000" w:themeColor="text1"/>
                      <w:sz w:val="24"/>
                      <w:szCs w:val="24"/>
                      <w14:textFill>
                        <w14:solidFill>
                          <w14:schemeClr w14:val="tx1"/>
                        </w14:solidFill>
                      </w14:textFill>
                    </w:rPr>
                  </w:pPr>
                </w:p>
              </w:tc>
              <w:tc>
                <w:tcPr>
                  <w:tcW w:w="1276" w:type="dxa"/>
                </w:tcPr>
                <w:p w14:paraId="1EB87F99">
                  <w:pPr>
                    <w:spacing w:line="360" w:lineRule="auto"/>
                    <w:jc w:val="center"/>
                    <w:rPr>
                      <w:b/>
                      <w:color w:val="000000" w:themeColor="text1"/>
                      <w:sz w:val="24"/>
                      <w:szCs w:val="24"/>
                      <w14:textFill>
                        <w14:solidFill>
                          <w14:schemeClr w14:val="tx1"/>
                        </w14:solidFill>
                      </w14:textFill>
                    </w:rPr>
                  </w:pPr>
                </w:p>
              </w:tc>
            </w:tr>
            <w:tr w14:paraId="2A997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470" w:type="dxa"/>
                  <w:vMerge w:val="restart"/>
                  <w:vAlign w:val="center"/>
                </w:tcPr>
                <w:p w14:paraId="5A9E75EA">
                  <w:pPr>
                    <w:jc w:val="center"/>
                    <w:rPr>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技术负责人</w:t>
                  </w:r>
                </w:p>
              </w:tc>
              <w:tc>
                <w:tcPr>
                  <w:tcW w:w="1422" w:type="dxa"/>
                </w:tcPr>
                <w:p w14:paraId="0C1E89BF">
                  <w:pPr>
                    <w:spacing w:line="360" w:lineRule="auto"/>
                    <w:jc w:val="center"/>
                    <w:rPr>
                      <w:b/>
                      <w:color w:val="000000" w:themeColor="text1"/>
                      <w:sz w:val="24"/>
                      <w:szCs w:val="24"/>
                      <w14:textFill>
                        <w14:solidFill>
                          <w14:schemeClr w14:val="tx1"/>
                        </w14:solidFill>
                      </w14:textFill>
                    </w:rPr>
                  </w:pPr>
                </w:p>
              </w:tc>
              <w:tc>
                <w:tcPr>
                  <w:tcW w:w="1228" w:type="dxa"/>
                </w:tcPr>
                <w:p w14:paraId="0A9721E8">
                  <w:pPr>
                    <w:spacing w:line="360" w:lineRule="auto"/>
                    <w:jc w:val="center"/>
                    <w:rPr>
                      <w:b/>
                      <w:color w:val="000000" w:themeColor="text1"/>
                      <w:sz w:val="24"/>
                      <w:szCs w:val="24"/>
                      <w14:textFill>
                        <w14:solidFill>
                          <w14:schemeClr w14:val="tx1"/>
                        </w14:solidFill>
                      </w14:textFill>
                    </w:rPr>
                  </w:pPr>
                </w:p>
              </w:tc>
              <w:tc>
                <w:tcPr>
                  <w:tcW w:w="1701" w:type="dxa"/>
                </w:tcPr>
                <w:p w14:paraId="62FC79A0">
                  <w:pPr>
                    <w:spacing w:line="360" w:lineRule="auto"/>
                    <w:jc w:val="center"/>
                    <w:rPr>
                      <w:b/>
                      <w:color w:val="000000" w:themeColor="text1"/>
                      <w:sz w:val="24"/>
                      <w:szCs w:val="24"/>
                      <w14:textFill>
                        <w14:solidFill>
                          <w14:schemeClr w14:val="tx1"/>
                        </w14:solidFill>
                      </w14:textFill>
                    </w:rPr>
                  </w:pPr>
                </w:p>
              </w:tc>
              <w:tc>
                <w:tcPr>
                  <w:tcW w:w="1842" w:type="dxa"/>
                </w:tcPr>
                <w:p w14:paraId="0AD2DFBF">
                  <w:pPr>
                    <w:spacing w:line="360" w:lineRule="auto"/>
                    <w:jc w:val="center"/>
                    <w:rPr>
                      <w:b/>
                      <w:color w:val="000000" w:themeColor="text1"/>
                      <w:sz w:val="24"/>
                      <w:szCs w:val="24"/>
                      <w14:textFill>
                        <w14:solidFill>
                          <w14:schemeClr w14:val="tx1"/>
                        </w14:solidFill>
                      </w14:textFill>
                    </w:rPr>
                  </w:pPr>
                </w:p>
              </w:tc>
              <w:tc>
                <w:tcPr>
                  <w:tcW w:w="1276" w:type="dxa"/>
                </w:tcPr>
                <w:p w14:paraId="56DE5616">
                  <w:pPr>
                    <w:spacing w:line="360" w:lineRule="auto"/>
                    <w:jc w:val="center"/>
                    <w:rPr>
                      <w:b/>
                      <w:color w:val="000000" w:themeColor="text1"/>
                      <w:sz w:val="24"/>
                      <w:szCs w:val="24"/>
                      <w14:textFill>
                        <w14:solidFill>
                          <w14:schemeClr w14:val="tx1"/>
                        </w14:solidFill>
                      </w14:textFill>
                    </w:rPr>
                  </w:pPr>
                </w:p>
              </w:tc>
            </w:tr>
            <w:tr w14:paraId="7C835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trPr>
              <w:tc>
                <w:tcPr>
                  <w:tcW w:w="1470" w:type="dxa"/>
                  <w:vMerge w:val="restart"/>
                  <w:vAlign w:val="center"/>
                </w:tcPr>
                <w:p w14:paraId="5B805E10">
                  <w:pPr>
                    <w:spacing w:line="360" w:lineRule="auto"/>
                    <w:jc w:val="center"/>
                    <w:rPr>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技术专家</w:t>
                  </w:r>
                </w:p>
              </w:tc>
              <w:tc>
                <w:tcPr>
                  <w:tcW w:w="1422" w:type="dxa"/>
                </w:tcPr>
                <w:p w14:paraId="66A58186">
                  <w:pPr>
                    <w:spacing w:line="360" w:lineRule="auto"/>
                    <w:jc w:val="center"/>
                    <w:rPr>
                      <w:b/>
                      <w:color w:val="000000" w:themeColor="text1"/>
                      <w:sz w:val="24"/>
                      <w:szCs w:val="24"/>
                      <w14:textFill>
                        <w14:solidFill>
                          <w14:schemeClr w14:val="tx1"/>
                        </w14:solidFill>
                      </w14:textFill>
                    </w:rPr>
                  </w:pPr>
                </w:p>
              </w:tc>
              <w:tc>
                <w:tcPr>
                  <w:tcW w:w="1228" w:type="dxa"/>
                </w:tcPr>
                <w:p w14:paraId="7666D93A">
                  <w:pPr>
                    <w:spacing w:line="360" w:lineRule="auto"/>
                    <w:jc w:val="center"/>
                    <w:rPr>
                      <w:b/>
                      <w:color w:val="000000" w:themeColor="text1"/>
                      <w:sz w:val="24"/>
                      <w:szCs w:val="24"/>
                      <w14:textFill>
                        <w14:solidFill>
                          <w14:schemeClr w14:val="tx1"/>
                        </w14:solidFill>
                      </w14:textFill>
                    </w:rPr>
                  </w:pPr>
                </w:p>
              </w:tc>
              <w:tc>
                <w:tcPr>
                  <w:tcW w:w="1701" w:type="dxa"/>
                </w:tcPr>
                <w:p w14:paraId="62A88752">
                  <w:pPr>
                    <w:spacing w:line="360" w:lineRule="auto"/>
                    <w:jc w:val="center"/>
                    <w:rPr>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w:t>
                  </w:r>
                </w:p>
              </w:tc>
              <w:tc>
                <w:tcPr>
                  <w:tcW w:w="1842" w:type="dxa"/>
                </w:tcPr>
                <w:p w14:paraId="765C3B5D">
                  <w:pPr>
                    <w:spacing w:line="360" w:lineRule="auto"/>
                    <w:jc w:val="center"/>
                    <w:rPr>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w:t>
                  </w:r>
                </w:p>
              </w:tc>
              <w:tc>
                <w:tcPr>
                  <w:tcW w:w="1276" w:type="dxa"/>
                </w:tcPr>
                <w:p w14:paraId="4B5E522D">
                  <w:pPr>
                    <w:spacing w:line="360" w:lineRule="auto"/>
                    <w:jc w:val="center"/>
                    <w:rPr>
                      <w:b/>
                      <w:color w:val="000000" w:themeColor="text1"/>
                      <w:sz w:val="24"/>
                      <w:szCs w:val="24"/>
                      <w14:textFill>
                        <w14:solidFill>
                          <w14:schemeClr w14:val="tx1"/>
                        </w14:solidFill>
                      </w14:textFill>
                    </w:rPr>
                  </w:pPr>
                </w:p>
              </w:tc>
            </w:tr>
            <w:tr w14:paraId="6ED6A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trPr>
              <w:tc>
                <w:tcPr>
                  <w:tcW w:w="1470" w:type="dxa"/>
                  <w:vMerge w:val="continue"/>
                </w:tcPr>
                <w:p w14:paraId="55C82F37">
                  <w:pPr>
                    <w:spacing w:line="360" w:lineRule="auto"/>
                    <w:jc w:val="center"/>
                    <w:rPr>
                      <w:b/>
                      <w:color w:val="000000" w:themeColor="text1"/>
                      <w:sz w:val="24"/>
                      <w:szCs w:val="24"/>
                      <w14:textFill>
                        <w14:solidFill>
                          <w14:schemeClr w14:val="tx1"/>
                        </w14:solidFill>
                      </w14:textFill>
                    </w:rPr>
                  </w:pPr>
                </w:p>
              </w:tc>
              <w:tc>
                <w:tcPr>
                  <w:tcW w:w="1422" w:type="dxa"/>
                </w:tcPr>
                <w:p w14:paraId="7BC82C04">
                  <w:pPr>
                    <w:spacing w:line="360" w:lineRule="auto"/>
                    <w:jc w:val="center"/>
                    <w:rPr>
                      <w:b/>
                      <w:color w:val="000000" w:themeColor="text1"/>
                      <w:sz w:val="24"/>
                      <w:szCs w:val="24"/>
                      <w14:textFill>
                        <w14:solidFill>
                          <w14:schemeClr w14:val="tx1"/>
                        </w14:solidFill>
                      </w14:textFill>
                    </w:rPr>
                  </w:pPr>
                </w:p>
              </w:tc>
              <w:tc>
                <w:tcPr>
                  <w:tcW w:w="1228" w:type="dxa"/>
                </w:tcPr>
                <w:p w14:paraId="494D89E4">
                  <w:pPr>
                    <w:spacing w:line="360" w:lineRule="auto"/>
                    <w:jc w:val="center"/>
                    <w:rPr>
                      <w:b/>
                      <w:color w:val="000000" w:themeColor="text1"/>
                      <w:sz w:val="24"/>
                      <w:szCs w:val="24"/>
                      <w14:textFill>
                        <w14:solidFill>
                          <w14:schemeClr w14:val="tx1"/>
                        </w14:solidFill>
                      </w14:textFill>
                    </w:rPr>
                  </w:pPr>
                </w:p>
              </w:tc>
              <w:tc>
                <w:tcPr>
                  <w:tcW w:w="1701" w:type="dxa"/>
                </w:tcPr>
                <w:p w14:paraId="3EAFD428">
                  <w:pPr>
                    <w:spacing w:line="360" w:lineRule="auto"/>
                    <w:jc w:val="center"/>
                    <w:rPr>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w:t>
                  </w:r>
                </w:p>
              </w:tc>
              <w:tc>
                <w:tcPr>
                  <w:tcW w:w="1842" w:type="dxa"/>
                </w:tcPr>
                <w:p w14:paraId="7A6AE4AF">
                  <w:pPr>
                    <w:spacing w:line="360" w:lineRule="auto"/>
                    <w:jc w:val="center"/>
                    <w:rPr>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w:t>
                  </w:r>
                </w:p>
              </w:tc>
              <w:tc>
                <w:tcPr>
                  <w:tcW w:w="1276" w:type="dxa"/>
                </w:tcPr>
                <w:p w14:paraId="71D40BD3">
                  <w:pPr>
                    <w:spacing w:line="360" w:lineRule="auto"/>
                    <w:jc w:val="center"/>
                    <w:rPr>
                      <w:b/>
                      <w:color w:val="000000" w:themeColor="text1"/>
                      <w:sz w:val="24"/>
                      <w:szCs w:val="24"/>
                      <w14:textFill>
                        <w14:solidFill>
                          <w14:schemeClr w14:val="tx1"/>
                        </w14:solidFill>
                      </w14:textFill>
                    </w:rPr>
                  </w:pPr>
                </w:p>
              </w:tc>
            </w:tr>
          </w:tbl>
          <w:p w14:paraId="3AD467E9">
            <w:pPr>
              <w:spacing w:after="120" w:line="276" w:lineRule="auto"/>
              <w:jc w:val="center"/>
              <w:rPr>
                <w:color w:val="000000" w:themeColor="text1"/>
                <w:kern w:val="2"/>
                <w:szCs w:val="21"/>
                <w14:textFill>
                  <w14:solidFill>
                    <w14:schemeClr w14:val="tx1"/>
                  </w14:solidFill>
                </w14:textFill>
              </w:rPr>
            </w:pPr>
            <w:r>
              <w:rPr>
                <w:color w:val="000000" w:themeColor="text1"/>
                <w:kern w:val="2"/>
                <w:szCs w:val="21"/>
                <w14:textFill>
                  <w14:solidFill>
                    <w14:schemeClr w14:val="tx1"/>
                  </w14:solidFill>
                </w14:textFill>
              </w:rPr>
              <w:t>（</w:t>
            </w:r>
            <w:r>
              <w:rPr>
                <w:rFonts w:hint="eastAsia"/>
                <w:color w:val="000000" w:themeColor="text1"/>
                <w:kern w:val="2"/>
                <w:szCs w:val="21"/>
                <w14:textFill>
                  <w14:solidFill>
                    <w14:schemeClr w14:val="tx1"/>
                  </w14:solidFill>
                </w14:textFill>
              </w:rPr>
              <w:t>此表应根据具体项目实际参与人数编制，评价人员签字应为原件</w:t>
            </w:r>
            <w:r>
              <w:rPr>
                <w:color w:val="000000" w:themeColor="text1"/>
                <w:kern w:val="2"/>
                <w:szCs w:val="21"/>
                <w14:textFill>
                  <w14:solidFill>
                    <w14:schemeClr w14:val="tx1"/>
                  </w14:solidFill>
                </w14:textFill>
              </w:rPr>
              <w:t>）</w:t>
            </w:r>
          </w:p>
          <w:p w14:paraId="01A31D0E">
            <w:pPr>
              <w:spacing w:after="120" w:line="276" w:lineRule="auto"/>
              <w:jc w:val="center"/>
              <w:rPr>
                <w:rFonts w:eastAsia="黑体"/>
                <w:b/>
                <w:color w:val="000000" w:themeColor="text1"/>
                <w:kern w:val="2"/>
                <w:sz w:val="24"/>
                <w:szCs w:val="24"/>
                <w14:textFill>
                  <w14:solidFill>
                    <w14:schemeClr w14:val="tx1"/>
                  </w14:solidFill>
                </w14:textFill>
              </w:rPr>
            </w:pPr>
            <w:r>
              <w:rPr>
                <w:rFonts w:hint="eastAsia"/>
                <w:color w:val="000000" w:themeColor="text1"/>
                <w:kern w:val="2"/>
                <w:szCs w:val="21"/>
                <w14:textFill>
                  <w14:solidFill>
                    <w14:schemeClr w14:val="tx1"/>
                  </w14:solidFill>
                </w14:textFill>
              </w:rPr>
              <w:t>（表格内文字为小四号宋体）</w:t>
            </w:r>
          </w:p>
        </w:tc>
      </w:tr>
    </w:tbl>
    <w:p w14:paraId="7ADDA021">
      <w:pPr>
        <w:spacing w:line="240" w:lineRule="auto"/>
        <w:rPr>
          <w:rFonts w:ascii="黑体" w:eastAsia="黑体"/>
          <w:color w:val="000000" w:themeColor="text1"/>
          <w:sz w:val="32"/>
          <w14:textFill>
            <w14:solidFill>
              <w14:schemeClr w14:val="tx1"/>
            </w14:solidFill>
          </w14:textFill>
        </w:rPr>
      </w:pPr>
      <w:r>
        <w:rPr>
          <w:rFonts w:ascii="黑体" w:eastAsia="黑体"/>
          <w:color w:val="000000" w:themeColor="text1"/>
          <w:sz w:val="32"/>
          <w14:textFill>
            <w14:solidFill>
              <w14:schemeClr w14:val="tx1"/>
            </w14:solidFill>
          </w14:textFill>
        </w:rPr>
        <w:br w:type="page"/>
      </w:r>
    </w:p>
    <w:p w14:paraId="2355029C">
      <w:pPr>
        <w:pStyle w:val="65"/>
        <w:tabs>
          <w:tab w:val="center" w:pos="4201"/>
          <w:tab w:val="right" w:leader="dot" w:pos="9298"/>
        </w:tabs>
        <w:spacing w:before="851" w:after="284"/>
        <w:ind w:firstLine="0" w:firstLineChars="0"/>
        <w:jc w:val="center"/>
        <w:outlineLvl w:val="0"/>
        <w:rPr>
          <w:rFonts w:hint="eastAsia" w:ascii="黑体" w:hAnsi="黑体" w:eastAsia="黑体" w:cs="黑体"/>
          <w:szCs w:val="21"/>
        </w:rPr>
      </w:pPr>
      <w:bookmarkStart w:id="288" w:name="_Toc180478645"/>
      <w:r>
        <w:rPr>
          <w:rFonts w:hint="eastAsia" w:ascii="黑体" w:hAnsi="黑体" w:eastAsia="黑体" w:cs="黑体"/>
          <w:lang w:val="de-DE"/>
        </w:rPr>
        <w:t>参 考 文 献</w:t>
      </w:r>
      <w:bookmarkEnd w:id="288"/>
    </w:p>
    <w:p w14:paraId="0F51CE73">
      <w:pPr>
        <w:ind w:firstLine="420" w:firstLineChars="200"/>
        <w:rPr>
          <w:rFonts w:cs="宋体"/>
          <w:szCs w:val="21"/>
        </w:rPr>
      </w:pPr>
      <w:r>
        <w:rPr>
          <w:rFonts w:hint="eastAsia" w:cs="宋体"/>
          <w:szCs w:val="21"/>
        </w:rPr>
        <w:t>[1</w:t>
      </w:r>
      <w:r>
        <w:rPr>
          <w:rFonts w:cs="宋体"/>
          <w:szCs w:val="21"/>
        </w:rPr>
        <w:t xml:space="preserve">] </w:t>
      </w:r>
      <w:r>
        <w:rPr>
          <w:rFonts w:hint="eastAsia" w:cs="宋体"/>
          <w:szCs w:val="21"/>
        </w:rPr>
        <w:t>《铁路安全管理条例》 （中华人民共和国国务院令第639号），2013年7月24日国务院第18次常务会议通过，2014年1月1日起施行</w:t>
      </w:r>
    </w:p>
    <w:p w14:paraId="5069D8F5">
      <w:pPr>
        <w:ind w:firstLine="420" w:firstLineChars="200"/>
        <w:rPr>
          <w:rFonts w:cs="宋体"/>
          <w:szCs w:val="21"/>
        </w:rPr>
      </w:pPr>
      <w:r>
        <w:rPr>
          <w:rFonts w:hint="eastAsia" w:cs="宋体"/>
          <w:szCs w:val="21"/>
        </w:rPr>
        <w:t>[2</w:t>
      </w:r>
      <w:r>
        <w:rPr>
          <w:rFonts w:cs="宋体"/>
          <w:szCs w:val="21"/>
        </w:rPr>
        <w:t xml:space="preserve">] </w:t>
      </w:r>
      <w:r>
        <w:rPr>
          <w:rFonts w:hint="eastAsia" w:cs="宋体"/>
          <w:szCs w:val="21"/>
        </w:rPr>
        <w:t>《公路安全保护条例》 （中华人民共和国国务院令第593号），2011年2月16日国务院第144次常务会议通过，2011年7月1日起施行</w:t>
      </w:r>
    </w:p>
    <w:p w14:paraId="07B51E47">
      <w:pPr>
        <w:ind w:firstLine="420" w:firstLineChars="200"/>
        <w:rPr>
          <w:rFonts w:cs="宋体"/>
          <w:szCs w:val="21"/>
        </w:rPr>
      </w:pPr>
      <w:r>
        <w:rPr>
          <w:rFonts w:hint="eastAsia" w:cs="宋体"/>
          <w:szCs w:val="21"/>
        </w:rPr>
        <w:t>[3</w:t>
      </w:r>
      <w:r>
        <w:rPr>
          <w:rFonts w:cs="宋体"/>
          <w:szCs w:val="21"/>
        </w:rPr>
        <w:t>]</w:t>
      </w:r>
      <w:r>
        <w:rPr>
          <w:rFonts w:hint="eastAsia" w:cs="宋体"/>
          <w:szCs w:val="21"/>
        </w:rPr>
        <w:t xml:space="preserve"> </w:t>
      </w:r>
      <w:r>
        <w:rPr>
          <w:rFonts w:cs="宋体"/>
          <w:szCs w:val="21"/>
        </w:rPr>
        <w:t xml:space="preserve"> </w:t>
      </w:r>
      <w:r>
        <w:rPr>
          <w:rFonts w:hint="eastAsia" w:cs="宋体"/>
          <w:szCs w:val="21"/>
        </w:rPr>
        <w:t>GB 36894  危险化学品生产装置和储存设施风险基准</w:t>
      </w:r>
    </w:p>
    <w:p w14:paraId="4A573327">
      <w:pPr>
        <w:ind w:firstLine="420" w:firstLineChars="200"/>
        <w:rPr>
          <w:rFonts w:cs="宋体"/>
          <w:szCs w:val="21"/>
        </w:rPr>
      </w:pPr>
      <w:r>
        <w:rPr>
          <w:rFonts w:hint="eastAsia" w:cs="宋体"/>
          <w:szCs w:val="21"/>
        </w:rPr>
        <w:t>[4</w:t>
      </w:r>
      <w:r>
        <w:rPr>
          <w:rFonts w:cs="宋体"/>
          <w:szCs w:val="21"/>
        </w:rPr>
        <w:t xml:space="preserve">] </w:t>
      </w:r>
      <w:r>
        <w:rPr>
          <w:rFonts w:hint="eastAsia" w:cs="宋体"/>
          <w:szCs w:val="21"/>
        </w:rPr>
        <w:t xml:space="preserve"> GB/T 37243  危险化学品生产装置和储存设施外部安全防护距离确定方法</w:t>
      </w:r>
    </w:p>
    <w:p w14:paraId="0E524333">
      <w:pPr>
        <w:ind w:firstLine="420" w:firstLineChars="200"/>
        <w:rPr>
          <w:color w:val="auto"/>
        </w:rPr>
      </w:pPr>
    </w:p>
    <w:p w14:paraId="04E8C1D0">
      <w:pPr>
        <w:spacing w:line="240" w:lineRule="auto"/>
        <w:rPr>
          <w:rFonts w:ascii="黑体" w:eastAsia="黑体"/>
          <w:color w:val="000000" w:themeColor="text1"/>
          <w:sz w:val="32"/>
          <w14:textFill>
            <w14:solidFill>
              <w14:schemeClr w14:val="tx1"/>
            </w14:solidFill>
          </w14:textFill>
        </w:rPr>
      </w:pPr>
      <w:r>
        <w:rPr>
          <w:rFonts w:ascii="黑体" w:eastAsia="黑体"/>
          <w:color w:val="000000" w:themeColor="text1"/>
          <w:sz w:val="32"/>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2200275</wp:posOffset>
                </wp:positionH>
                <wp:positionV relativeFrom="paragraph">
                  <wp:posOffset>246380</wp:posOffset>
                </wp:positionV>
                <wp:extent cx="1266825" cy="0"/>
                <wp:effectExtent l="5080" t="10160" r="13970" b="8890"/>
                <wp:wrapNone/>
                <wp:docPr id="1" name="直线 7"/>
                <wp:cNvGraphicFramePr/>
                <a:graphic xmlns:a="http://schemas.openxmlformats.org/drawingml/2006/main">
                  <a:graphicData uri="http://schemas.microsoft.com/office/word/2010/wordprocessingShape">
                    <wps:wsp>
                      <wps:cNvCnPr>
                        <a:cxnSpLocks noChangeShapeType="1"/>
                      </wps:cNvCnPr>
                      <wps:spPr bwMode="auto">
                        <a:xfrm>
                          <a:off x="0" y="0"/>
                          <a:ext cx="1266825" cy="0"/>
                        </a:xfrm>
                        <a:prstGeom prst="line">
                          <a:avLst/>
                        </a:prstGeom>
                        <a:noFill/>
                        <a:ln w="9525">
                          <a:solidFill>
                            <a:srgbClr val="000000"/>
                          </a:solidFill>
                          <a:round/>
                        </a:ln>
                      </wps:spPr>
                      <wps:bodyPr/>
                    </wps:wsp>
                  </a:graphicData>
                </a:graphic>
              </wp:anchor>
            </w:drawing>
          </mc:Choice>
          <mc:Fallback>
            <w:pict>
              <v:line id="直线 7" o:spid="_x0000_s1026" o:spt="20" style="position:absolute;left:0pt;margin-left:173.25pt;margin-top:19.4pt;height:0pt;width:99.75pt;z-index:251663360;mso-width-relative:page;mso-height-relative:page;" filled="f" stroked="t" coordsize="21600,21600" o:gfxdata="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EWRVrnWAAAACQEAAA8AAAAAAAAAAQAgAAAA&#10;IgAAAGRycy9kb3ducmV2LnhtbFBLAQIUABQAAAAIAIdO4kBiZdMX1AEAAKEDAAAOAAAAAAAAAAEA&#10;IAAAACUBAABkcnMvZTJvRG9jLnhtbFBLBQYAAAAABgAGAFkBAABrBQAAAAA=&#10;">
                <v:fill on="f" focussize="0,0"/>
                <v:stroke color="#000000" joinstyle="round"/>
                <v:imagedata o:title=""/>
                <o:lock v:ext="edit" aspectratio="f"/>
              </v:line>
            </w:pict>
          </mc:Fallback>
        </mc:AlternateContent>
      </w:r>
    </w:p>
    <w:p w14:paraId="70600A92">
      <w:pPr>
        <w:spacing w:line="240" w:lineRule="auto"/>
        <w:jc w:val="left"/>
        <w:textAlignment w:val="auto"/>
      </w:pPr>
      <w:r>
        <w:br w:type="page"/>
      </w:r>
    </w:p>
    <w:p w14:paraId="3870F810">
      <w:pPr>
        <w:rPr>
          <w:rFonts w:eastAsia="仿宋"/>
          <w:sz w:val="30"/>
          <w:szCs w:val="30"/>
        </w:rPr>
      </w:pPr>
    </w:p>
    <w:p w14:paraId="60E94631">
      <w:pPr>
        <w:rPr>
          <w:rFonts w:eastAsia="仿宋"/>
          <w:sz w:val="30"/>
          <w:szCs w:val="30"/>
        </w:rPr>
      </w:pPr>
    </w:p>
    <w:p w14:paraId="7036B178">
      <w:pPr>
        <w:rPr>
          <w:rFonts w:eastAsia="仿宋"/>
          <w:sz w:val="44"/>
          <w:szCs w:val="44"/>
        </w:rPr>
      </w:pPr>
    </w:p>
    <w:p w14:paraId="7D434978">
      <w:pPr>
        <w:rPr>
          <w:rFonts w:eastAsia="仿宋"/>
          <w:sz w:val="44"/>
          <w:szCs w:val="44"/>
        </w:rPr>
      </w:pPr>
    </w:p>
    <w:p w14:paraId="19666A9F">
      <w:pPr>
        <w:rPr>
          <w:rFonts w:eastAsia="仿宋"/>
          <w:sz w:val="44"/>
          <w:szCs w:val="44"/>
        </w:rPr>
      </w:pPr>
    </w:p>
    <w:p w14:paraId="09150A24">
      <w:pPr>
        <w:jc w:val="center"/>
        <w:rPr>
          <w:rFonts w:eastAsia="方正小标宋简体"/>
          <w:sz w:val="44"/>
          <w:szCs w:val="44"/>
        </w:rPr>
      </w:pPr>
      <w:bookmarkStart w:id="289" w:name="_Toc2085077807_WPSOffice_Level2"/>
      <w:r>
        <w:rPr>
          <w:rFonts w:eastAsia="方正小标宋简体"/>
          <w:sz w:val="44"/>
          <w:szCs w:val="44"/>
        </w:rPr>
        <w:t>《陆上油气长输管道建设项目</w:t>
      </w:r>
    </w:p>
    <w:p w14:paraId="0732B949">
      <w:pPr>
        <w:jc w:val="center"/>
        <w:rPr>
          <w:rFonts w:eastAsia="方正小标宋简体"/>
          <w:sz w:val="44"/>
          <w:szCs w:val="44"/>
        </w:rPr>
      </w:pPr>
      <w:r>
        <w:rPr>
          <w:rFonts w:eastAsia="方正小标宋简体"/>
          <w:sz w:val="44"/>
          <w:szCs w:val="44"/>
        </w:rPr>
        <w:t>安全预评价导则》</w:t>
      </w:r>
    </w:p>
    <w:p w14:paraId="3FFACD75">
      <w:pPr>
        <w:jc w:val="center"/>
        <w:rPr>
          <w:rFonts w:eastAsia="仿宋_GB2312"/>
          <w:sz w:val="32"/>
          <w:szCs w:val="32"/>
        </w:rPr>
      </w:pPr>
      <w:r>
        <w:rPr>
          <w:rFonts w:eastAsia="仿宋_GB2312"/>
          <w:sz w:val="32"/>
          <w:szCs w:val="32"/>
        </w:rPr>
        <w:t>（■征求意见稿  □送审稿  □报批稿）</w:t>
      </w:r>
    </w:p>
    <w:p w14:paraId="13A8D43A">
      <w:pPr>
        <w:jc w:val="center"/>
        <w:rPr>
          <w:rFonts w:eastAsia="方正小标宋简体"/>
          <w:sz w:val="44"/>
          <w:szCs w:val="44"/>
        </w:rPr>
      </w:pPr>
    </w:p>
    <w:p w14:paraId="4EE27CED">
      <w:pPr>
        <w:jc w:val="center"/>
        <w:rPr>
          <w:rFonts w:eastAsia="黑体"/>
          <w:sz w:val="44"/>
          <w:szCs w:val="44"/>
        </w:rPr>
      </w:pPr>
      <w:r>
        <w:rPr>
          <w:rFonts w:eastAsia="黑体"/>
          <w:sz w:val="44"/>
          <w:szCs w:val="44"/>
        </w:rPr>
        <w:t>编制说明</w:t>
      </w:r>
      <w:bookmarkEnd w:id="289"/>
    </w:p>
    <w:p w14:paraId="61DF715A">
      <w:pPr>
        <w:jc w:val="center"/>
        <w:rPr>
          <w:rFonts w:eastAsia="仿宋_GB2312"/>
          <w:i/>
          <w:iCs/>
          <w:sz w:val="28"/>
          <w:szCs w:val="28"/>
        </w:rPr>
      </w:pPr>
      <w:r>
        <w:rPr>
          <w:rFonts w:eastAsia="仿宋"/>
          <w:i/>
          <w:iCs/>
          <w:sz w:val="28"/>
          <w:szCs w:val="28"/>
        </w:rPr>
        <w:br w:type="textWrapping"/>
      </w:r>
    </w:p>
    <w:p w14:paraId="540C810E">
      <w:pPr>
        <w:jc w:val="center"/>
        <w:rPr>
          <w:rFonts w:eastAsia="仿宋_GB2312"/>
          <w:sz w:val="28"/>
          <w:szCs w:val="28"/>
        </w:rPr>
      </w:pPr>
    </w:p>
    <w:p w14:paraId="7EBFDD7C">
      <w:pPr>
        <w:jc w:val="center"/>
        <w:rPr>
          <w:rFonts w:eastAsia="仿宋_GB2312"/>
          <w:i/>
          <w:iCs/>
          <w:sz w:val="28"/>
          <w:szCs w:val="28"/>
        </w:rPr>
      </w:pPr>
    </w:p>
    <w:p w14:paraId="21A0D15D">
      <w:pPr>
        <w:jc w:val="center"/>
        <w:rPr>
          <w:rFonts w:eastAsia="仿宋_GB2312"/>
          <w:i/>
          <w:iCs/>
          <w:sz w:val="28"/>
          <w:szCs w:val="28"/>
        </w:rPr>
      </w:pPr>
    </w:p>
    <w:p w14:paraId="318CA53E">
      <w:pPr>
        <w:jc w:val="center"/>
        <w:rPr>
          <w:rFonts w:eastAsia="仿宋_GB2312"/>
          <w:i/>
          <w:iCs/>
          <w:sz w:val="28"/>
          <w:szCs w:val="28"/>
        </w:rPr>
      </w:pPr>
    </w:p>
    <w:p w14:paraId="7BAC07CC">
      <w:pPr>
        <w:jc w:val="center"/>
        <w:rPr>
          <w:rFonts w:eastAsia="仿宋_GB2312"/>
          <w:i/>
          <w:iCs/>
          <w:sz w:val="28"/>
          <w:szCs w:val="28"/>
        </w:rPr>
      </w:pPr>
    </w:p>
    <w:p w14:paraId="11B419DE">
      <w:pPr>
        <w:rPr>
          <w:rFonts w:eastAsia="仿宋_GB2312"/>
          <w:sz w:val="28"/>
          <w:szCs w:val="28"/>
        </w:rPr>
      </w:pPr>
    </w:p>
    <w:p w14:paraId="45511DC2">
      <w:pPr>
        <w:jc w:val="center"/>
        <w:rPr>
          <w:rFonts w:eastAsia="仿宋_GB2312"/>
          <w:sz w:val="32"/>
          <w:szCs w:val="32"/>
        </w:rPr>
      </w:pPr>
      <w:r>
        <w:rPr>
          <w:rFonts w:eastAsia="仿宋_GB2312"/>
          <w:sz w:val="32"/>
          <w:szCs w:val="32"/>
        </w:rPr>
        <w:t>标准编制组</w:t>
      </w:r>
    </w:p>
    <w:p w14:paraId="53EF7996">
      <w:pPr>
        <w:jc w:val="center"/>
        <w:rPr>
          <w:b/>
          <w:sz w:val="32"/>
          <w:szCs w:val="32"/>
        </w:rPr>
      </w:pPr>
      <w:r>
        <w:rPr>
          <w:rFonts w:eastAsia="仿宋_GB2312"/>
          <w:sz w:val="32"/>
          <w:szCs w:val="32"/>
        </w:rPr>
        <w:t>202</w:t>
      </w:r>
      <w:r>
        <w:rPr>
          <w:rFonts w:hint="eastAsia" w:eastAsia="仿宋_GB2312"/>
          <w:sz w:val="32"/>
          <w:szCs w:val="32"/>
          <w:lang w:val="en-US" w:eastAsia="zh-CN"/>
        </w:rPr>
        <w:t>5</w:t>
      </w:r>
      <w:r>
        <w:rPr>
          <w:rFonts w:eastAsia="仿宋_GB2312"/>
          <w:sz w:val="32"/>
          <w:szCs w:val="32"/>
        </w:rPr>
        <w:t>年</w:t>
      </w:r>
      <w:r>
        <w:rPr>
          <w:rFonts w:hint="eastAsia" w:eastAsia="仿宋_GB2312"/>
          <w:sz w:val="32"/>
          <w:szCs w:val="32"/>
        </w:rPr>
        <w:t>1</w:t>
      </w:r>
      <w:r>
        <w:rPr>
          <w:rFonts w:eastAsia="仿宋_GB2312"/>
          <w:sz w:val="32"/>
          <w:szCs w:val="32"/>
        </w:rPr>
        <w:t>月</w:t>
      </w:r>
    </w:p>
    <w:p w14:paraId="4867DC56">
      <w:pPr>
        <w:ind w:firstLine="880" w:firstLineChars="200"/>
        <w:jc w:val="center"/>
        <w:rPr>
          <w:rFonts w:eastAsia="方正小标宋_GBK"/>
          <w:sz w:val="44"/>
          <w:szCs w:val="44"/>
        </w:rPr>
        <w:sectPr>
          <w:pgSz w:w="11906" w:h="16838"/>
          <w:pgMar w:top="1701" w:right="1474" w:bottom="1474" w:left="1587" w:header="851" w:footer="992" w:gutter="0"/>
          <w:pgNumType w:fmt="numberInDash"/>
          <w:cols w:space="720" w:num="1"/>
          <w:docGrid w:type="lines" w:linePitch="312" w:charSpace="0"/>
        </w:sectPr>
      </w:pPr>
    </w:p>
    <w:p w14:paraId="30910A3E">
      <w:pPr>
        <w:ind w:firstLine="880" w:firstLineChars="200"/>
        <w:jc w:val="center"/>
        <w:rPr>
          <w:rFonts w:eastAsia="方正小标宋_GBK"/>
          <w:sz w:val="44"/>
          <w:szCs w:val="44"/>
        </w:rPr>
      </w:pPr>
      <w:r>
        <w:rPr>
          <w:rFonts w:eastAsia="方正小标宋_GBK"/>
          <w:sz w:val="44"/>
          <w:szCs w:val="44"/>
        </w:rPr>
        <w:t>说 明</w:t>
      </w:r>
    </w:p>
    <w:p w14:paraId="4742A9BD">
      <w:pPr>
        <w:spacing w:line="360" w:lineRule="auto"/>
        <w:rPr>
          <w:rFonts w:eastAsia="仿宋_GB2312"/>
          <w:sz w:val="24"/>
          <w:szCs w:val="21"/>
        </w:rPr>
      </w:pPr>
      <w:r>
        <w:rPr>
          <w:rFonts w:eastAsia="仿宋_GB2312"/>
          <w:sz w:val="24"/>
          <w:szCs w:val="21"/>
        </w:rPr>
        <w:t xml:space="preserve">    1．标准编制说明的封面</w:t>
      </w:r>
    </w:p>
    <w:p w14:paraId="6376A0DC">
      <w:pPr>
        <w:spacing w:line="360" w:lineRule="auto"/>
        <w:ind w:firstLine="480" w:firstLineChars="200"/>
        <w:rPr>
          <w:rFonts w:eastAsia="仿宋_GB2312"/>
          <w:sz w:val="24"/>
          <w:szCs w:val="21"/>
        </w:rPr>
      </w:pPr>
      <w:r>
        <w:rPr>
          <w:rFonts w:eastAsia="仿宋_GB2312"/>
          <w:sz w:val="24"/>
          <w:szCs w:val="21"/>
        </w:rPr>
        <w:t>（1）标准名称。应在封面靠上居中位置，与标准稿名称保持一致。字体字号为方正小标宋二号。</w:t>
      </w:r>
    </w:p>
    <w:p w14:paraId="5905F2A9">
      <w:pPr>
        <w:spacing w:line="360" w:lineRule="auto"/>
        <w:ind w:firstLine="480" w:firstLineChars="200"/>
        <w:rPr>
          <w:rFonts w:eastAsia="仿宋_GB2312"/>
          <w:sz w:val="24"/>
          <w:szCs w:val="21"/>
        </w:rPr>
      </w:pPr>
      <w:r>
        <w:rPr>
          <w:rFonts w:eastAsia="仿宋_GB2312"/>
          <w:sz w:val="24"/>
          <w:szCs w:val="21"/>
        </w:rPr>
        <w:t>（2）标准文稿版次。在标准名称下方“征求意见稿、送审稿、报批稿”前的方框凃选其一，例如“</w:t>
      </w:r>
      <w:r>
        <w:rPr>
          <w:rFonts w:eastAsia="华文宋体"/>
          <w:sz w:val="24"/>
          <w:szCs w:val="21"/>
        </w:rPr>
        <w:t>■</w:t>
      </w:r>
      <w:r>
        <w:rPr>
          <w:rFonts w:eastAsia="仿宋_GB2312"/>
          <w:sz w:val="24"/>
          <w:szCs w:val="21"/>
        </w:rPr>
        <w:t>征求意见稿”。字体字号为仿宋三号。</w:t>
      </w:r>
    </w:p>
    <w:p w14:paraId="543B15F5">
      <w:pPr>
        <w:spacing w:line="360" w:lineRule="auto"/>
        <w:ind w:firstLine="480" w:firstLineChars="200"/>
        <w:rPr>
          <w:rFonts w:eastAsia="仿宋_GB2312"/>
          <w:sz w:val="24"/>
          <w:szCs w:val="21"/>
        </w:rPr>
      </w:pPr>
      <w:r>
        <w:rPr>
          <w:rFonts w:eastAsia="仿宋_GB2312"/>
          <w:sz w:val="24"/>
          <w:szCs w:val="21"/>
        </w:rPr>
        <w:t>（3）标准编制组。在封面靠下居中位置。字体字号为仿宋三号。</w:t>
      </w:r>
    </w:p>
    <w:p w14:paraId="79C64CAA">
      <w:pPr>
        <w:spacing w:line="360" w:lineRule="auto"/>
        <w:ind w:firstLine="480" w:firstLineChars="200"/>
        <w:rPr>
          <w:rFonts w:eastAsia="仿宋_GB2312"/>
          <w:sz w:val="24"/>
          <w:szCs w:val="21"/>
        </w:rPr>
      </w:pPr>
      <w:r>
        <w:rPr>
          <w:rFonts w:eastAsia="仿宋_GB2312"/>
          <w:sz w:val="24"/>
          <w:szCs w:val="21"/>
        </w:rPr>
        <w:t>（4）编制日期。编制日期为本阶段完成的日期，以数字格式书写，字体为宋体，字号为三号。如：“2020年3月30日”。</w:t>
      </w:r>
    </w:p>
    <w:p w14:paraId="47780ED8">
      <w:pPr>
        <w:spacing w:line="360" w:lineRule="auto"/>
        <w:rPr>
          <w:rFonts w:eastAsia="仿宋_GB2312"/>
          <w:sz w:val="24"/>
          <w:szCs w:val="21"/>
        </w:rPr>
      </w:pPr>
      <w:r>
        <w:rPr>
          <w:rFonts w:eastAsia="仿宋_GB2312"/>
          <w:sz w:val="24"/>
          <w:szCs w:val="21"/>
        </w:rPr>
        <w:t xml:space="preserve">    2．标准编制说明的正文</w:t>
      </w:r>
    </w:p>
    <w:p w14:paraId="63DE3C53">
      <w:pPr>
        <w:spacing w:line="360" w:lineRule="auto"/>
        <w:ind w:firstLine="480" w:firstLineChars="200"/>
        <w:rPr>
          <w:rFonts w:eastAsia="仿宋_GB2312"/>
          <w:sz w:val="24"/>
          <w:szCs w:val="21"/>
        </w:rPr>
      </w:pPr>
      <w:r>
        <w:rPr>
          <w:rFonts w:eastAsia="仿宋_GB2312"/>
          <w:sz w:val="24"/>
          <w:szCs w:val="21"/>
        </w:rPr>
        <w:t>（1）正文页边距为上3cm、下2.6cm、左2.8cm、右2.6cm。</w:t>
      </w:r>
    </w:p>
    <w:p w14:paraId="5FBD1D68">
      <w:pPr>
        <w:spacing w:line="360" w:lineRule="auto"/>
        <w:ind w:firstLine="480" w:firstLineChars="200"/>
        <w:rPr>
          <w:rFonts w:eastAsia="仿宋_GB2312"/>
          <w:sz w:val="24"/>
          <w:szCs w:val="21"/>
        </w:rPr>
      </w:pPr>
      <w:r>
        <w:rPr>
          <w:rFonts w:eastAsia="仿宋_GB2312"/>
          <w:sz w:val="24"/>
          <w:szCs w:val="21"/>
        </w:rPr>
        <w:t>（2）正文标题，一级标题用黑体三号字，二级标题用楷体三号字不加粗。三级、四级标题用仿宋GB-2312三号字不加粗。文中结构层次序数为“一、”“（一）”“1.”“（1）”标注。</w:t>
      </w:r>
    </w:p>
    <w:p w14:paraId="751E1624">
      <w:pPr>
        <w:spacing w:line="360" w:lineRule="auto"/>
        <w:ind w:firstLine="480" w:firstLineChars="200"/>
        <w:rPr>
          <w:rFonts w:eastAsia="仿宋_GB2312"/>
          <w:sz w:val="24"/>
          <w:szCs w:val="21"/>
        </w:rPr>
      </w:pPr>
      <w:r>
        <w:rPr>
          <w:rFonts w:eastAsia="仿宋_GB2312"/>
          <w:sz w:val="24"/>
          <w:szCs w:val="21"/>
        </w:rPr>
        <w:t>（3）正文中文字体字号为仿宋GB-2312三号字，数字、字母等西文字体为宋体三号字，段落行距为28磅，首行缩进2字符。</w:t>
      </w:r>
    </w:p>
    <w:p w14:paraId="1E444A7B">
      <w:pPr>
        <w:spacing w:line="360" w:lineRule="auto"/>
        <w:rPr>
          <w:rFonts w:eastAsia="仿宋_GB2312"/>
          <w:sz w:val="24"/>
          <w:szCs w:val="21"/>
        </w:rPr>
      </w:pPr>
      <w:r>
        <w:rPr>
          <w:rFonts w:eastAsia="仿宋_GB2312"/>
          <w:sz w:val="24"/>
          <w:szCs w:val="21"/>
        </w:rPr>
        <w:t xml:space="preserve">    3.编制说明的内容</w:t>
      </w:r>
    </w:p>
    <w:p w14:paraId="3CEA1DA3">
      <w:pPr>
        <w:spacing w:line="360" w:lineRule="auto"/>
        <w:ind w:firstLine="480"/>
        <w:rPr>
          <w:rFonts w:eastAsia="仿宋_GB2312"/>
          <w:sz w:val="24"/>
          <w:szCs w:val="21"/>
        </w:rPr>
      </w:pPr>
      <w:r>
        <w:rPr>
          <w:rFonts w:eastAsia="仿宋_GB2312"/>
          <w:sz w:val="24"/>
          <w:szCs w:val="21"/>
        </w:rPr>
        <w:t>（1）应按照格式要求逐条说明，不涉及的填“无”。</w:t>
      </w:r>
    </w:p>
    <w:p w14:paraId="7C7FBE98">
      <w:pPr>
        <w:spacing w:line="360" w:lineRule="auto"/>
        <w:ind w:firstLine="480"/>
        <w:rPr>
          <w:rFonts w:eastAsia="仿宋_GB2312"/>
          <w:sz w:val="24"/>
          <w:szCs w:val="21"/>
        </w:rPr>
      </w:pPr>
      <w:r>
        <w:rPr>
          <w:rFonts w:eastAsia="仿宋_GB2312"/>
          <w:sz w:val="24"/>
          <w:szCs w:val="21"/>
        </w:rPr>
        <w:t>（2）应根据工作进度不断补充完善，工作过程有连续性。</w:t>
      </w:r>
    </w:p>
    <w:p w14:paraId="4BBFB8E4">
      <w:pPr>
        <w:spacing w:line="360" w:lineRule="auto"/>
        <w:ind w:firstLine="480"/>
        <w:rPr>
          <w:rFonts w:eastAsia="仿宋_GB2312"/>
          <w:sz w:val="24"/>
          <w:szCs w:val="21"/>
        </w:rPr>
      </w:pPr>
      <w:r>
        <w:rPr>
          <w:rFonts w:eastAsia="仿宋_GB2312"/>
          <w:sz w:val="24"/>
          <w:szCs w:val="21"/>
        </w:rPr>
        <w:t>（3）编制说明不是对标准内容的复制。</w:t>
      </w:r>
    </w:p>
    <w:p w14:paraId="1524DD6B">
      <w:pPr>
        <w:spacing w:line="360" w:lineRule="auto"/>
        <w:ind w:firstLine="480" w:firstLineChars="200"/>
        <w:rPr>
          <w:rFonts w:eastAsia="仿宋_GB2312"/>
          <w:sz w:val="24"/>
          <w:szCs w:val="21"/>
        </w:rPr>
      </w:pPr>
      <w:r>
        <w:rPr>
          <w:rFonts w:eastAsia="仿宋_GB2312"/>
          <w:sz w:val="24"/>
          <w:szCs w:val="21"/>
        </w:rPr>
        <w:t>（4）应关注强制性标准的依据、修订标准的主要技术内容比对、标准实施过渡期、强制性标准实施政策等重要内容的编写，详见下文模板。</w:t>
      </w:r>
    </w:p>
    <w:p w14:paraId="424F1C80">
      <w:pPr>
        <w:spacing w:line="360" w:lineRule="auto"/>
        <w:rPr>
          <w:rFonts w:eastAsia="仿宋_GB2312"/>
          <w:sz w:val="24"/>
          <w:szCs w:val="21"/>
        </w:rPr>
      </w:pPr>
      <w:r>
        <w:rPr>
          <w:rFonts w:eastAsia="仿宋_GB2312"/>
          <w:sz w:val="24"/>
          <w:szCs w:val="21"/>
        </w:rPr>
        <w:t xml:space="preserve">    4.其他</w:t>
      </w:r>
    </w:p>
    <w:p w14:paraId="7005310A">
      <w:pPr>
        <w:spacing w:line="360" w:lineRule="auto"/>
        <w:ind w:firstLine="480"/>
        <w:rPr>
          <w:rFonts w:eastAsia="仿宋_GB2312"/>
          <w:sz w:val="24"/>
          <w:szCs w:val="21"/>
        </w:rPr>
      </w:pPr>
      <w:r>
        <w:rPr>
          <w:rFonts w:eastAsia="仿宋_GB2312"/>
          <w:sz w:val="24"/>
          <w:szCs w:val="21"/>
        </w:rPr>
        <w:t>（1）编制说明内容模板中的斜体文字内容为参考，正式提交后应删除。</w:t>
      </w:r>
    </w:p>
    <w:p w14:paraId="123744F9">
      <w:pPr>
        <w:spacing w:line="360" w:lineRule="auto"/>
        <w:ind w:firstLine="480"/>
        <w:rPr>
          <w:rFonts w:eastAsia="仿宋_GB2312"/>
          <w:sz w:val="24"/>
          <w:szCs w:val="21"/>
        </w:rPr>
      </w:pPr>
      <w:r>
        <w:rPr>
          <w:rFonts w:eastAsia="仿宋_GB2312"/>
          <w:sz w:val="24"/>
          <w:szCs w:val="21"/>
        </w:rPr>
        <w:t>（2）编制说明应正反面打印。本说明保留，打印首页反面。</w:t>
      </w:r>
    </w:p>
    <w:p w14:paraId="6D5DAD24">
      <w:pPr>
        <w:spacing w:line="360" w:lineRule="auto"/>
        <w:ind w:firstLine="480"/>
        <w:rPr>
          <w:rFonts w:eastAsia="仿宋_GB2312"/>
          <w:sz w:val="24"/>
          <w:szCs w:val="21"/>
        </w:rPr>
      </w:pPr>
      <w:r>
        <w:rPr>
          <w:rFonts w:eastAsia="仿宋_GB2312"/>
          <w:sz w:val="24"/>
          <w:szCs w:val="21"/>
        </w:rPr>
        <w:t>（3）页码从第三页开始编，起始页码为“1”，页码为五号宋体。</w:t>
      </w:r>
    </w:p>
    <w:p w14:paraId="3DC8301F">
      <w:pPr>
        <w:ind w:firstLine="1076" w:firstLineChars="336"/>
        <w:rPr>
          <w:rFonts w:eastAsia="等线"/>
          <w:b/>
          <w:sz w:val="32"/>
          <w:szCs w:val="32"/>
        </w:rPr>
      </w:pPr>
    </w:p>
    <w:p w14:paraId="6A6AF76B">
      <w:pPr>
        <w:snapToGrid w:val="0"/>
        <w:spacing w:line="360" w:lineRule="auto"/>
        <w:ind w:firstLine="560" w:firstLineChars="200"/>
        <w:rPr>
          <w:rFonts w:eastAsia="仿宋"/>
          <w:sz w:val="28"/>
          <w:szCs w:val="28"/>
        </w:rPr>
        <w:sectPr>
          <w:footerReference r:id="rId13" w:type="default"/>
          <w:pgSz w:w="11906" w:h="16838"/>
          <w:pgMar w:top="1701" w:right="1474" w:bottom="1474" w:left="1587" w:header="851" w:footer="992" w:gutter="0"/>
          <w:pgNumType w:fmt="numberInDash" w:start="1"/>
          <w:cols w:space="720" w:num="1"/>
          <w:docGrid w:type="lines" w:linePitch="312" w:charSpace="0"/>
        </w:sectPr>
      </w:pPr>
    </w:p>
    <w:p w14:paraId="23CA2DD0">
      <w:pPr>
        <w:spacing w:line="560" w:lineRule="exact"/>
        <w:ind w:firstLine="640" w:firstLineChars="200"/>
        <w:outlineLvl w:val="0"/>
        <w:rPr>
          <w:rFonts w:eastAsia="黑体"/>
          <w:sz w:val="32"/>
          <w:szCs w:val="32"/>
        </w:rPr>
      </w:pPr>
      <w:r>
        <w:rPr>
          <w:rFonts w:eastAsia="黑体"/>
          <w:sz w:val="32"/>
          <w:szCs w:val="32"/>
        </w:rPr>
        <w:t>一、工作简况</w:t>
      </w:r>
    </w:p>
    <w:p w14:paraId="1E4C5078">
      <w:pPr>
        <w:spacing w:line="560" w:lineRule="exact"/>
        <w:ind w:firstLine="640" w:firstLineChars="200"/>
        <w:rPr>
          <w:rFonts w:eastAsia="楷体"/>
          <w:sz w:val="32"/>
          <w:szCs w:val="32"/>
          <w:shd w:val="clear" w:color="auto" w:fill="FFFFFF"/>
        </w:rPr>
      </w:pPr>
      <w:r>
        <w:rPr>
          <w:rFonts w:eastAsia="楷体"/>
          <w:sz w:val="32"/>
          <w:szCs w:val="32"/>
          <w:shd w:val="clear" w:color="auto" w:fill="FFFFFF"/>
        </w:rPr>
        <w:t>（一）任务来源</w:t>
      </w:r>
    </w:p>
    <w:p w14:paraId="70B7BF24">
      <w:pPr>
        <w:spacing w:line="560" w:lineRule="exact"/>
        <w:ind w:firstLine="640" w:firstLineChars="200"/>
        <w:rPr>
          <w:rFonts w:eastAsia="仿宋_GB2312"/>
          <w:sz w:val="32"/>
          <w:szCs w:val="32"/>
          <w:shd w:val="clear" w:color="auto" w:fill="FFFFFF"/>
        </w:rPr>
      </w:pPr>
      <w:r>
        <w:rPr>
          <w:rFonts w:eastAsia="仿宋_GB2312"/>
          <w:sz w:val="32"/>
          <w:szCs w:val="32"/>
          <w:shd w:val="clear" w:color="auto" w:fill="FFFFFF"/>
        </w:rPr>
        <w:t>根据应急管理部办公厅《关于印发</w:t>
      </w:r>
      <w:r>
        <w:rPr>
          <w:rFonts w:hint="eastAsia" w:ascii="宋体" w:hAnsi="宋体" w:cs="宋体"/>
          <w:sz w:val="32"/>
          <w:szCs w:val="32"/>
          <w:shd w:val="clear" w:color="auto" w:fill="FFFFFF"/>
        </w:rPr>
        <w:t>9</w:t>
      </w:r>
      <w:r>
        <w:rPr>
          <w:rFonts w:eastAsia="仿宋_GB2312"/>
          <w:sz w:val="32"/>
          <w:szCs w:val="32"/>
          <w:shd w:val="clear" w:color="auto" w:fill="FFFFFF"/>
        </w:rPr>
        <w:t>项安全生产强制性行业标准制修订计划的通知》（应急厅函〔</w:t>
      </w:r>
      <w:r>
        <w:rPr>
          <w:rFonts w:hint="eastAsia" w:ascii="宋体" w:hAnsi="宋体" w:cs="宋体"/>
          <w:sz w:val="32"/>
          <w:szCs w:val="32"/>
          <w:shd w:val="clear" w:color="auto" w:fill="FFFFFF"/>
        </w:rPr>
        <w:t>2024</w:t>
      </w:r>
      <w:r>
        <w:rPr>
          <w:rFonts w:eastAsia="仿宋_GB2312"/>
          <w:sz w:val="32"/>
          <w:szCs w:val="32"/>
          <w:shd w:val="clear" w:color="auto" w:fill="FFFFFF"/>
        </w:rPr>
        <w:t>〕</w:t>
      </w:r>
      <w:r>
        <w:rPr>
          <w:rFonts w:hint="eastAsia" w:ascii="宋体" w:hAnsi="宋体" w:cs="宋体"/>
          <w:sz w:val="32"/>
          <w:szCs w:val="32"/>
          <w:shd w:val="clear" w:color="auto" w:fill="FFFFFF"/>
        </w:rPr>
        <w:t>193</w:t>
      </w:r>
      <w:r>
        <w:rPr>
          <w:rFonts w:eastAsia="仿宋_GB2312"/>
          <w:sz w:val="32"/>
          <w:szCs w:val="32"/>
          <w:shd w:val="clear" w:color="auto" w:fill="FFFFFF"/>
        </w:rPr>
        <w:t>号），《陆上油气长输管道建设项目安全预评价导则》的修订计划编号为</w:t>
      </w:r>
      <w:r>
        <w:rPr>
          <w:rFonts w:hint="eastAsia" w:ascii="宋体" w:hAnsi="宋体" w:cs="宋体"/>
          <w:sz w:val="32"/>
          <w:szCs w:val="32"/>
          <w:shd w:val="clear" w:color="auto" w:fill="FFFFFF"/>
        </w:rPr>
        <w:t>2024-AQ-06</w:t>
      </w:r>
      <w:r>
        <w:rPr>
          <w:rFonts w:eastAsia="仿宋_GB2312"/>
          <w:sz w:val="32"/>
          <w:szCs w:val="32"/>
          <w:shd w:val="clear" w:color="auto" w:fill="FFFFFF"/>
        </w:rPr>
        <w:t>，项目周期</w:t>
      </w:r>
      <w:r>
        <w:rPr>
          <w:rFonts w:hint="eastAsia" w:ascii="宋体" w:hAnsi="宋体" w:cs="宋体"/>
          <w:sz w:val="32"/>
          <w:szCs w:val="32"/>
          <w:shd w:val="clear" w:color="auto" w:fill="FFFFFF"/>
        </w:rPr>
        <w:t>12</w:t>
      </w:r>
      <w:r>
        <w:rPr>
          <w:rFonts w:eastAsia="仿宋_GB2312"/>
          <w:sz w:val="32"/>
          <w:szCs w:val="32"/>
          <w:shd w:val="clear" w:color="auto" w:fill="FFFFFF"/>
        </w:rPr>
        <w:t>个月，由</w:t>
      </w:r>
      <w:r>
        <w:rPr>
          <w:rFonts w:hint="eastAsia" w:ascii="宋体" w:hAnsi="宋体" w:cs="宋体"/>
          <w:sz w:val="32"/>
          <w:szCs w:val="32"/>
          <w:shd w:val="clear" w:color="auto" w:fill="FFFFFF"/>
        </w:rPr>
        <w:t>TC288/SC10</w:t>
      </w:r>
      <w:r>
        <w:rPr>
          <w:rFonts w:eastAsia="仿宋_GB2312"/>
          <w:sz w:val="32"/>
          <w:szCs w:val="32"/>
          <w:shd w:val="clear" w:color="auto" w:fill="FFFFFF"/>
        </w:rPr>
        <w:t xml:space="preserve"> 全国安全生产标准化技术委员会石油天然气开采分技术委员会组织起草和审查。</w:t>
      </w:r>
    </w:p>
    <w:p w14:paraId="542CC715">
      <w:pPr>
        <w:spacing w:line="560" w:lineRule="exact"/>
        <w:ind w:firstLine="640" w:firstLineChars="200"/>
        <w:rPr>
          <w:rFonts w:eastAsia="楷体"/>
          <w:sz w:val="32"/>
          <w:szCs w:val="32"/>
          <w:shd w:val="clear" w:color="auto" w:fill="FFFFFF"/>
        </w:rPr>
      </w:pPr>
      <w:r>
        <w:rPr>
          <w:rFonts w:eastAsia="楷体"/>
          <w:sz w:val="32"/>
          <w:szCs w:val="32"/>
          <w:shd w:val="clear" w:color="auto" w:fill="FFFFFF"/>
        </w:rPr>
        <w:t>（二）制定背景</w:t>
      </w:r>
    </w:p>
    <w:p w14:paraId="54DE45F9">
      <w:pPr>
        <w:spacing w:line="560" w:lineRule="exact"/>
        <w:ind w:firstLine="640" w:firstLineChars="200"/>
        <w:rPr>
          <w:rFonts w:eastAsia="仿宋_GB2312"/>
          <w:sz w:val="32"/>
          <w:szCs w:val="32"/>
          <w:shd w:val="clear" w:color="auto" w:fill="FFFFFF"/>
        </w:rPr>
      </w:pPr>
      <w:r>
        <w:rPr>
          <w:rFonts w:eastAsia="仿宋_GB2312"/>
          <w:sz w:val="32"/>
          <w:szCs w:val="32"/>
          <w:shd w:val="clear" w:color="auto" w:fill="FFFFFF"/>
        </w:rPr>
        <w:t>陆上油气长输管道是油气运输的重要方式，由于管道具有管径大、运距长、压力高和输量大的特点，包括管线、站场、通信、防腐设施等系统，是一项复杂的工程。而且管道输送的介质又是易燃、易爆、易挥发的，其一旦因各种原因造成管道泄漏、破坏，则可能引发火灾、爆炸事故，进而造成生命、财产的巨大损失，与此同时，也会给环境保护带来负面影响。</w:t>
      </w:r>
    </w:p>
    <w:p w14:paraId="6E2F3706">
      <w:pPr>
        <w:spacing w:line="560" w:lineRule="exact"/>
        <w:ind w:firstLine="640" w:firstLineChars="200"/>
        <w:rPr>
          <w:rFonts w:eastAsia="仿宋_GB2312"/>
          <w:sz w:val="32"/>
          <w:szCs w:val="32"/>
          <w:shd w:val="clear" w:color="auto" w:fill="FFFFFF"/>
        </w:rPr>
      </w:pPr>
      <w:r>
        <w:rPr>
          <w:rFonts w:eastAsia="仿宋_GB2312"/>
          <w:sz w:val="32"/>
          <w:szCs w:val="32"/>
          <w:shd w:val="clear" w:color="auto" w:fill="FFFFFF"/>
        </w:rPr>
        <w:t>陆上油气长输管道安全监管纳入危险化学品安全监管范畴后，陆上油气长输管道建设项目按照《危险化学品建设项目安全监督管理办法》开展安全审查，油气管道建设项目安全评价报告先后按照《危险化学品建设项目安全评价细则》(安监总危化</w:t>
      </w:r>
      <w:r>
        <w:rPr>
          <w:rFonts w:hint="eastAsia" w:ascii="宋体" w:hAnsi="宋体" w:cs="宋体"/>
          <w:sz w:val="32"/>
          <w:szCs w:val="32"/>
          <w:shd w:val="clear" w:color="auto" w:fill="FFFFFF"/>
        </w:rPr>
        <w:t>〔2007〕255</w:t>
      </w:r>
      <w:r>
        <w:rPr>
          <w:rFonts w:eastAsia="仿宋_GB2312"/>
          <w:sz w:val="32"/>
          <w:szCs w:val="32"/>
          <w:shd w:val="clear" w:color="auto" w:fill="FFFFFF"/>
        </w:rPr>
        <w:t>号）《陆上油气管道建设项目安全评价导则》（</w:t>
      </w:r>
      <w:r>
        <w:rPr>
          <w:rFonts w:hint="eastAsia" w:ascii="宋体" w:hAnsi="宋体" w:cs="宋体"/>
          <w:sz w:val="32"/>
          <w:szCs w:val="32"/>
          <w:shd w:val="clear" w:color="auto" w:fill="FFFFFF"/>
        </w:rPr>
        <w:t>AQ/T 3057-2019</w:t>
      </w:r>
      <w:r>
        <w:rPr>
          <w:rFonts w:eastAsia="仿宋_GB2312"/>
          <w:sz w:val="32"/>
          <w:szCs w:val="32"/>
          <w:shd w:val="clear" w:color="auto" w:fill="FFFFFF"/>
        </w:rPr>
        <w:t>）进行编制。目前</w:t>
      </w:r>
      <w:r>
        <w:rPr>
          <w:rFonts w:hint="eastAsia" w:ascii="宋体" w:hAnsi="宋体" w:cs="宋体"/>
          <w:sz w:val="32"/>
          <w:szCs w:val="32"/>
          <w:shd w:val="clear" w:color="auto" w:fill="FFFFFF"/>
        </w:rPr>
        <w:t>AQ/T 3057</w:t>
      </w:r>
      <w:r>
        <w:rPr>
          <w:rFonts w:eastAsia="仿宋_GB2312"/>
          <w:sz w:val="32"/>
          <w:szCs w:val="32"/>
          <w:shd w:val="clear" w:color="auto" w:fill="FFFFFF"/>
        </w:rPr>
        <w:t>已颁布并实施</w:t>
      </w:r>
      <w:r>
        <w:rPr>
          <w:rFonts w:hint="eastAsia" w:ascii="宋体" w:hAnsi="宋体" w:cs="宋体"/>
          <w:sz w:val="32"/>
          <w:szCs w:val="32"/>
          <w:shd w:val="clear" w:color="auto" w:fill="FFFFFF"/>
        </w:rPr>
        <w:t>4</w:t>
      </w:r>
      <w:r>
        <w:rPr>
          <w:rFonts w:eastAsia="仿宋_GB2312"/>
          <w:sz w:val="32"/>
          <w:szCs w:val="32"/>
          <w:shd w:val="clear" w:color="auto" w:fill="FFFFFF"/>
        </w:rPr>
        <w:t>年余，标准也在实施过程中暴露出了部分问题，体反应出对油气管道建设项目安全评价工作要求不够细致具体，且存在标准执行过程中条款遵循不一致等问题。此外，油气长输管道建设项目适用的主要标准如《油气输送管道完整性管理规范》（</w:t>
      </w:r>
      <w:r>
        <w:rPr>
          <w:rFonts w:hint="eastAsia" w:ascii="宋体" w:hAnsi="宋体" w:cs="宋体"/>
          <w:sz w:val="32"/>
          <w:szCs w:val="32"/>
          <w:shd w:val="clear" w:color="auto" w:fill="FFFFFF"/>
        </w:rPr>
        <w:t>GB 32167</w:t>
      </w:r>
      <w:r>
        <w:rPr>
          <w:rFonts w:eastAsia="仿宋_GB2312"/>
          <w:sz w:val="32"/>
          <w:szCs w:val="32"/>
          <w:shd w:val="clear" w:color="auto" w:fill="FFFFFF"/>
        </w:rPr>
        <w:t>）也有了更新完善。按照建设项目安全设施“三同时”要求，从源头保证管道安全，以防范和化解重大风险为目标导向，在原</w:t>
      </w:r>
      <w:r>
        <w:rPr>
          <w:rFonts w:hint="eastAsia" w:ascii="宋体" w:hAnsi="宋体" w:cs="宋体"/>
          <w:sz w:val="32"/>
          <w:szCs w:val="32"/>
          <w:shd w:val="clear" w:color="auto" w:fill="FFFFFF"/>
        </w:rPr>
        <w:t>AQ/T 3057-2019</w:t>
      </w:r>
      <w:r>
        <w:rPr>
          <w:rFonts w:eastAsia="仿宋_GB2312"/>
          <w:sz w:val="32"/>
          <w:szCs w:val="32"/>
          <w:shd w:val="clear" w:color="auto" w:fill="FFFFFF"/>
        </w:rPr>
        <w:t>的基础上进行补充、细化和完善的同时将其转化为强制性标准，为法规、规章实施提供更有力的技术支撑和补充，进一步健全油气管道安全标准体系，对保障人民生命财产安全和管道运行安全是非常必要的。</w:t>
      </w:r>
    </w:p>
    <w:p w14:paraId="245ECBA8">
      <w:pPr>
        <w:spacing w:line="560" w:lineRule="exact"/>
        <w:ind w:firstLine="640" w:firstLineChars="200"/>
        <w:rPr>
          <w:rFonts w:eastAsia="仿宋_GB2312"/>
          <w:sz w:val="32"/>
          <w:szCs w:val="32"/>
          <w:shd w:val="clear" w:color="auto" w:fill="FFFFFF"/>
        </w:rPr>
      </w:pPr>
      <w:r>
        <w:rPr>
          <w:rFonts w:eastAsia="仿宋_GB2312"/>
          <w:sz w:val="32"/>
          <w:szCs w:val="32"/>
          <w:shd w:val="clear" w:color="auto" w:fill="FFFFFF"/>
        </w:rPr>
        <w:t>为进一步做好陆上油气长输管道安全监管工作，根据《中华人民共和国安全生产法》、《中华人民共和国石油天然气管道保护法》、《危险化学品建设项目安全监督管理办法》等法律、法规、规章相关要求，</w:t>
      </w:r>
      <w:r>
        <w:rPr>
          <w:rFonts w:hint="eastAsia" w:ascii="宋体" w:hAnsi="宋体" w:cs="宋体"/>
          <w:sz w:val="32"/>
          <w:szCs w:val="32"/>
          <w:shd w:val="clear" w:color="auto" w:fill="FFFFFF"/>
        </w:rPr>
        <w:t>2024</w:t>
      </w:r>
      <w:r>
        <w:rPr>
          <w:rFonts w:eastAsia="仿宋_GB2312"/>
          <w:sz w:val="32"/>
          <w:szCs w:val="32"/>
          <w:shd w:val="clear" w:color="auto" w:fill="FFFFFF"/>
        </w:rPr>
        <w:t>年</w:t>
      </w:r>
      <w:r>
        <w:rPr>
          <w:rFonts w:hint="eastAsia" w:ascii="宋体" w:hAnsi="宋体" w:cs="宋体"/>
          <w:sz w:val="32"/>
          <w:szCs w:val="32"/>
          <w:shd w:val="clear" w:color="auto" w:fill="FFFFFF"/>
        </w:rPr>
        <w:t>6</w:t>
      </w:r>
      <w:r>
        <w:rPr>
          <w:rFonts w:eastAsia="仿宋_GB2312"/>
          <w:sz w:val="32"/>
          <w:szCs w:val="32"/>
          <w:shd w:val="clear" w:color="auto" w:fill="FFFFFF"/>
        </w:rPr>
        <w:t>月，应急管理部危化监管二司组织修订了《陆上油气管道建设项目安全评价导则》，以进一步规范油气长输管道建设项目安全预评价工作。</w:t>
      </w:r>
    </w:p>
    <w:p w14:paraId="63B7A3DA">
      <w:pPr>
        <w:spacing w:line="560" w:lineRule="exact"/>
        <w:ind w:firstLine="640" w:firstLineChars="200"/>
        <w:rPr>
          <w:rFonts w:eastAsia="楷体"/>
          <w:sz w:val="32"/>
          <w:szCs w:val="32"/>
          <w:shd w:val="clear" w:color="auto" w:fill="FFFFFF"/>
        </w:rPr>
      </w:pPr>
      <w:r>
        <w:rPr>
          <w:rFonts w:eastAsia="楷体"/>
          <w:sz w:val="32"/>
          <w:szCs w:val="32"/>
          <w:shd w:val="clear" w:color="auto" w:fill="FFFFFF"/>
        </w:rPr>
        <w:t>（三）起草小组人员组成及所在单位</w:t>
      </w:r>
    </w:p>
    <w:p w14:paraId="1715C866">
      <w:pPr>
        <w:spacing w:line="560" w:lineRule="exact"/>
        <w:ind w:firstLine="640" w:firstLineChars="200"/>
        <w:rPr>
          <w:rFonts w:eastAsia="仿宋_GB2312"/>
          <w:sz w:val="32"/>
          <w:szCs w:val="32"/>
          <w:shd w:val="clear" w:color="auto" w:fill="FFFFFF"/>
        </w:rPr>
      </w:pPr>
      <w:r>
        <w:rPr>
          <w:rFonts w:eastAsia="仿宋_GB2312"/>
          <w:sz w:val="32"/>
          <w:szCs w:val="32"/>
          <w:shd w:val="clear" w:color="auto" w:fill="FFFFFF"/>
        </w:rPr>
        <w:t>根据立项计划，</w:t>
      </w:r>
      <w:r>
        <w:rPr>
          <w:rFonts w:hint="eastAsia" w:ascii="宋体" w:hAnsi="宋体" w:cs="宋体"/>
          <w:sz w:val="32"/>
          <w:szCs w:val="32"/>
          <w:shd w:val="clear" w:color="auto" w:fill="FFFFFF"/>
        </w:rPr>
        <w:t>2023</w:t>
      </w:r>
      <w:r>
        <w:rPr>
          <w:rFonts w:eastAsia="仿宋_GB2312"/>
          <w:sz w:val="32"/>
          <w:szCs w:val="32"/>
          <w:shd w:val="clear" w:color="auto" w:fill="FFFFFF"/>
        </w:rPr>
        <w:t>年</w:t>
      </w:r>
      <w:r>
        <w:rPr>
          <w:rFonts w:hint="eastAsia" w:ascii="宋体" w:hAnsi="宋体" w:cs="宋体"/>
          <w:sz w:val="32"/>
          <w:szCs w:val="32"/>
          <w:shd w:val="clear" w:color="auto" w:fill="FFFFFF"/>
        </w:rPr>
        <w:t>11</w:t>
      </w:r>
      <w:r>
        <w:rPr>
          <w:rFonts w:eastAsia="仿宋_GB2312"/>
          <w:sz w:val="32"/>
          <w:szCs w:val="32"/>
          <w:shd w:val="clear" w:color="auto" w:fill="FFFFFF"/>
        </w:rPr>
        <w:t>月成立标准起草工作组，中国安全生产科学研究院牵头负责本文件的修订工作。</w:t>
      </w:r>
    </w:p>
    <w:p w14:paraId="39B5C19A">
      <w:pPr>
        <w:spacing w:line="560" w:lineRule="exact"/>
        <w:ind w:firstLine="640" w:firstLineChars="200"/>
        <w:rPr>
          <w:rFonts w:eastAsia="楷体"/>
          <w:sz w:val="32"/>
          <w:szCs w:val="32"/>
          <w:shd w:val="clear" w:color="auto" w:fill="FFFFFF"/>
        </w:rPr>
      </w:pPr>
      <w:r>
        <w:rPr>
          <w:rFonts w:eastAsia="楷体"/>
          <w:sz w:val="32"/>
          <w:szCs w:val="32"/>
          <w:shd w:val="clear" w:color="auto" w:fill="FFFFFF"/>
        </w:rPr>
        <w:t>（四）主要起草过程</w:t>
      </w:r>
    </w:p>
    <w:p w14:paraId="0CD114E7">
      <w:pPr>
        <w:spacing w:line="560" w:lineRule="exact"/>
        <w:ind w:firstLine="640" w:firstLineChars="200"/>
        <w:rPr>
          <w:rFonts w:eastAsia="仿宋_GB2312"/>
          <w:sz w:val="32"/>
          <w:szCs w:val="32"/>
          <w:shd w:val="clear" w:color="auto" w:fill="FFFFFF"/>
        </w:rPr>
      </w:pPr>
      <w:r>
        <w:rPr>
          <w:rFonts w:hint="eastAsia" w:eastAsia="仿宋_GB2312"/>
          <w:sz w:val="32"/>
          <w:szCs w:val="32"/>
          <w:shd w:val="clear" w:color="auto" w:fill="FFFFFF"/>
        </w:rPr>
        <w:t>2023年10月12日-13日</w:t>
      </w:r>
      <w:r>
        <w:rPr>
          <w:rFonts w:eastAsia="仿宋_GB2312"/>
          <w:sz w:val="32"/>
          <w:szCs w:val="32"/>
          <w:shd w:val="clear" w:color="auto" w:fill="FFFFFF"/>
        </w:rPr>
        <w:t>，按照应急管理部《安全生产标准优化评估工作方案》（应急</w:t>
      </w:r>
      <w:r>
        <w:rPr>
          <w:rFonts w:hint="eastAsia" w:eastAsia="仿宋_GB2312"/>
          <w:sz w:val="32"/>
          <w:szCs w:val="32"/>
          <w:shd w:val="clear" w:color="auto" w:fill="FFFFFF"/>
        </w:rPr>
        <w:t>〔2023〕80</w:t>
      </w:r>
      <w:r>
        <w:rPr>
          <w:rFonts w:eastAsia="仿宋_GB2312"/>
          <w:sz w:val="32"/>
          <w:szCs w:val="32"/>
          <w:shd w:val="clear" w:color="auto" w:fill="FFFFFF"/>
        </w:rPr>
        <w:t>号）的通知要求，全国安全生产标准化技术委员会石油天然气开采安全分技术委员会（以下简称“分标委”）在成都市组织召开了“石油天然气开采安全标准优化评估工作会”，《陆上油气管道建设项目安全预评价导则》标准起草组在评估会上结合近几年标准实施情况和有关企业、单位和个人意见反馈，对标准的使用情况充分研讨论证后做出了修订必要性的汇报。</w:t>
      </w:r>
    </w:p>
    <w:p w14:paraId="4C1BA13B">
      <w:pPr>
        <w:spacing w:line="560" w:lineRule="exact"/>
        <w:ind w:firstLine="640" w:firstLineChars="200"/>
        <w:rPr>
          <w:rFonts w:eastAsia="仿宋_GB2312"/>
          <w:sz w:val="32"/>
          <w:szCs w:val="32"/>
          <w:shd w:val="clear" w:color="auto" w:fill="FFFFFF"/>
        </w:rPr>
      </w:pPr>
      <w:r>
        <w:rPr>
          <w:rFonts w:hint="eastAsia" w:eastAsia="仿宋_GB2312"/>
          <w:sz w:val="32"/>
          <w:szCs w:val="32"/>
          <w:shd w:val="clear" w:color="auto" w:fill="FFFFFF"/>
        </w:rPr>
        <w:t>2023</w:t>
      </w:r>
      <w:r>
        <w:rPr>
          <w:rFonts w:eastAsia="仿宋_GB2312"/>
          <w:sz w:val="32"/>
          <w:szCs w:val="32"/>
          <w:shd w:val="clear" w:color="auto" w:fill="FFFFFF"/>
        </w:rPr>
        <w:t>年</w:t>
      </w:r>
      <w:r>
        <w:rPr>
          <w:rFonts w:hint="eastAsia" w:eastAsia="仿宋_GB2312"/>
          <w:sz w:val="32"/>
          <w:szCs w:val="32"/>
          <w:shd w:val="clear" w:color="auto" w:fill="FFFFFF"/>
        </w:rPr>
        <w:t>11</w:t>
      </w:r>
      <w:r>
        <w:rPr>
          <w:rFonts w:eastAsia="仿宋_GB2312"/>
          <w:sz w:val="32"/>
          <w:szCs w:val="32"/>
          <w:shd w:val="clear" w:color="auto" w:fill="FFFFFF"/>
        </w:rPr>
        <w:t>月</w:t>
      </w:r>
      <w:r>
        <w:rPr>
          <w:rFonts w:hint="eastAsia" w:eastAsia="仿宋_GB2312"/>
          <w:sz w:val="32"/>
          <w:szCs w:val="32"/>
          <w:shd w:val="clear" w:color="auto" w:fill="FFFFFF"/>
        </w:rPr>
        <w:t>2</w:t>
      </w:r>
      <w:r>
        <w:rPr>
          <w:rFonts w:eastAsia="仿宋_GB2312"/>
          <w:sz w:val="32"/>
          <w:szCs w:val="32"/>
          <w:shd w:val="clear" w:color="auto" w:fill="FFFFFF"/>
        </w:rPr>
        <w:t>日，分标委在北京组织召开了《陆上油气管道建设项目安全预评价导则》等标准修订启动会，组建修订立项工作组开展标准的修订草案编制工作。</w:t>
      </w:r>
    </w:p>
    <w:p w14:paraId="5B0540EE">
      <w:pPr>
        <w:spacing w:line="560" w:lineRule="exact"/>
        <w:ind w:firstLine="640" w:firstLineChars="200"/>
        <w:rPr>
          <w:rFonts w:eastAsia="仿宋_GB2312"/>
          <w:sz w:val="32"/>
          <w:szCs w:val="32"/>
          <w:shd w:val="clear" w:color="auto" w:fill="FFFFFF"/>
        </w:rPr>
      </w:pPr>
      <w:r>
        <w:rPr>
          <w:rFonts w:hint="eastAsia" w:eastAsia="仿宋_GB2312"/>
          <w:sz w:val="32"/>
          <w:szCs w:val="32"/>
          <w:shd w:val="clear" w:color="auto" w:fill="FFFFFF"/>
        </w:rPr>
        <w:t>2024</w:t>
      </w:r>
      <w:r>
        <w:rPr>
          <w:rFonts w:eastAsia="仿宋_GB2312"/>
          <w:sz w:val="32"/>
          <w:szCs w:val="32"/>
          <w:shd w:val="clear" w:color="auto" w:fill="FFFFFF"/>
        </w:rPr>
        <w:t>年</w:t>
      </w:r>
      <w:r>
        <w:rPr>
          <w:rFonts w:hint="eastAsia" w:eastAsia="仿宋_GB2312"/>
          <w:sz w:val="32"/>
          <w:szCs w:val="32"/>
          <w:shd w:val="clear" w:color="auto" w:fill="FFFFFF"/>
        </w:rPr>
        <w:t>3</w:t>
      </w:r>
      <w:r>
        <w:rPr>
          <w:rFonts w:eastAsia="仿宋_GB2312"/>
          <w:sz w:val="32"/>
          <w:szCs w:val="32"/>
          <w:shd w:val="clear" w:color="auto" w:fill="FFFFFF"/>
        </w:rPr>
        <w:t>月</w:t>
      </w:r>
      <w:r>
        <w:rPr>
          <w:rFonts w:hint="eastAsia" w:eastAsia="仿宋_GB2312"/>
          <w:sz w:val="32"/>
          <w:szCs w:val="32"/>
          <w:shd w:val="clear" w:color="auto" w:fill="FFFFFF"/>
        </w:rPr>
        <w:t>13</w:t>
      </w:r>
      <w:r>
        <w:rPr>
          <w:rFonts w:eastAsia="仿宋_GB2312"/>
          <w:sz w:val="32"/>
          <w:szCs w:val="32"/>
          <w:shd w:val="clear" w:color="auto" w:fill="FFFFFF"/>
        </w:rPr>
        <w:t>日，分标委在北京组织召开了</w:t>
      </w:r>
      <w:r>
        <w:rPr>
          <w:rFonts w:hint="eastAsia" w:eastAsia="仿宋_GB2312"/>
          <w:sz w:val="32"/>
          <w:szCs w:val="32"/>
          <w:shd w:val="clear" w:color="auto" w:fill="FFFFFF"/>
        </w:rPr>
        <w:t>2024</w:t>
      </w:r>
      <w:r>
        <w:rPr>
          <w:rFonts w:eastAsia="仿宋_GB2312"/>
          <w:sz w:val="32"/>
          <w:szCs w:val="32"/>
          <w:shd w:val="clear" w:color="auto" w:fill="FFFFFF"/>
        </w:rPr>
        <w:t>年石油天然气开采安全生产标准立项协调会会议，会上工作组汇报了标准的修订背景、立项必要性、基本定位、可行性和大纲思路，经过充分研讨分标委部署了下一步立项工作。</w:t>
      </w:r>
    </w:p>
    <w:p w14:paraId="7398C4E6">
      <w:pPr>
        <w:spacing w:line="560" w:lineRule="exact"/>
        <w:ind w:firstLine="640" w:firstLineChars="200"/>
        <w:rPr>
          <w:rFonts w:eastAsia="仿宋_GB2312"/>
          <w:sz w:val="32"/>
          <w:szCs w:val="32"/>
          <w:shd w:val="clear" w:color="auto" w:fill="FFFFFF"/>
        </w:rPr>
      </w:pPr>
      <w:r>
        <w:rPr>
          <w:rFonts w:hint="eastAsia" w:eastAsia="仿宋_GB2312"/>
          <w:sz w:val="32"/>
          <w:szCs w:val="32"/>
          <w:shd w:val="clear" w:color="auto" w:fill="FFFFFF"/>
        </w:rPr>
        <w:t>2024</w:t>
      </w:r>
      <w:r>
        <w:rPr>
          <w:rFonts w:eastAsia="仿宋_GB2312"/>
          <w:sz w:val="32"/>
          <w:szCs w:val="32"/>
          <w:shd w:val="clear" w:color="auto" w:fill="FFFFFF"/>
        </w:rPr>
        <w:t>年</w:t>
      </w:r>
      <w:r>
        <w:rPr>
          <w:rFonts w:hint="eastAsia" w:eastAsia="仿宋_GB2312"/>
          <w:sz w:val="32"/>
          <w:szCs w:val="32"/>
          <w:shd w:val="clear" w:color="auto" w:fill="FFFFFF"/>
        </w:rPr>
        <w:t>3</w:t>
      </w:r>
      <w:r>
        <w:rPr>
          <w:rFonts w:eastAsia="仿宋_GB2312"/>
          <w:sz w:val="32"/>
          <w:szCs w:val="32"/>
          <w:shd w:val="clear" w:color="auto" w:fill="FFFFFF"/>
        </w:rPr>
        <w:t>月</w:t>
      </w:r>
      <w:r>
        <w:rPr>
          <w:rFonts w:hint="eastAsia" w:eastAsia="仿宋_GB2312"/>
          <w:sz w:val="32"/>
          <w:szCs w:val="32"/>
          <w:shd w:val="clear" w:color="auto" w:fill="FFFFFF"/>
        </w:rPr>
        <w:t>19</w:t>
      </w:r>
      <w:r>
        <w:rPr>
          <w:rFonts w:eastAsia="仿宋_GB2312"/>
          <w:sz w:val="32"/>
          <w:szCs w:val="32"/>
          <w:shd w:val="clear" w:color="auto" w:fill="FFFFFF"/>
        </w:rPr>
        <w:t>日，应急管理部政策法规司发布《关于组织申报</w:t>
      </w:r>
      <w:r>
        <w:rPr>
          <w:rFonts w:hint="eastAsia" w:eastAsia="仿宋_GB2312"/>
          <w:sz w:val="32"/>
          <w:szCs w:val="32"/>
          <w:shd w:val="clear" w:color="auto" w:fill="FFFFFF"/>
        </w:rPr>
        <w:t>2024</w:t>
      </w:r>
      <w:r>
        <w:rPr>
          <w:rFonts w:eastAsia="仿宋_GB2312"/>
          <w:sz w:val="32"/>
          <w:szCs w:val="32"/>
          <w:shd w:val="clear" w:color="auto" w:fill="FFFFFF"/>
        </w:rPr>
        <w:t>年应急管理标准计划项目的通知》，组织</w:t>
      </w:r>
      <w:r>
        <w:rPr>
          <w:rFonts w:hint="eastAsia" w:eastAsia="仿宋_GB2312"/>
          <w:sz w:val="32"/>
          <w:szCs w:val="32"/>
          <w:shd w:val="clear" w:color="auto" w:fill="FFFFFF"/>
        </w:rPr>
        <w:t>2024</w:t>
      </w:r>
      <w:r>
        <w:rPr>
          <w:rFonts w:eastAsia="仿宋_GB2312"/>
          <w:sz w:val="32"/>
          <w:szCs w:val="32"/>
          <w:shd w:val="clear" w:color="auto" w:fill="FFFFFF"/>
        </w:rPr>
        <w:t>年应急管理国家标准、行业标准制修订计划项目申报工作。</w:t>
      </w:r>
    </w:p>
    <w:p w14:paraId="46C68E9C">
      <w:pPr>
        <w:spacing w:line="560" w:lineRule="exact"/>
        <w:ind w:firstLine="640" w:firstLineChars="200"/>
        <w:rPr>
          <w:rFonts w:eastAsia="仿宋_GB2312"/>
          <w:sz w:val="32"/>
          <w:szCs w:val="32"/>
          <w:shd w:val="clear" w:color="auto" w:fill="FFFFFF"/>
        </w:rPr>
      </w:pPr>
      <w:r>
        <w:rPr>
          <w:rFonts w:hint="eastAsia" w:eastAsia="仿宋_GB2312"/>
          <w:sz w:val="32"/>
          <w:szCs w:val="32"/>
          <w:shd w:val="clear" w:color="auto" w:fill="FFFFFF"/>
        </w:rPr>
        <w:t>2024</w:t>
      </w:r>
      <w:r>
        <w:rPr>
          <w:rFonts w:eastAsia="仿宋_GB2312"/>
          <w:sz w:val="32"/>
          <w:szCs w:val="32"/>
          <w:shd w:val="clear" w:color="auto" w:fill="FFFFFF"/>
        </w:rPr>
        <w:t>年</w:t>
      </w:r>
      <w:r>
        <w:rPr>
          <w:rFonts w:hint="eastAsia" w:eastAsia="仿宋_GB2312"/>
          <w:sz w:val="32"/>
          <w:szCs w:val="32"/>
          <w:shd w:val="clear" w:color="auto" w:fill="FFFFFF"/>
        </w:rPr>
        <w:t>4</w:t>
      </w:r>
      <w:r>
        <w:rPr>
          <w:rFonts w:eastAsia="仿宋_GB2312"/>
          <w:sz w:val="32"/>
          <w:szCs w:val="32"/>
          <w:shd w:val="clear" w:color="auto" w:fill="FFFFFF"/>
        </w:rPr>
        <w:t>月</w:t>
      </w:r>
      <w:r>
        <w:rPr>
          <w:rFonts w:hint="eastAsia" w:eastAsia="仿宋_GB2312"/>
          <w:sz w:val="32"/>
          <w:szCs w:val="32"/>
          <w:shd w:val="clear" w:color="auto" w:fill="FFFFFF"/>
        </w:rPr>
        <w:t>11</w:t>
      </w:r>
      <w:r>
        <w:rPr>
          <w:rFonts w:eastAsia="仿宋_GB2312"/>
          <w:sz w:val="32"/>
          <w:szCs w:val="32"/>
          <w:shd w:val="clear" w:color="auto" w:fill="FFFFFF"/>
        </w:rPr>
        <w:t>日，分标委组织在北京召开标准立项专家论证会。专家组听取了中国安全生产科学研究院关于标准立项依据、强制必要性、标准核心内容、现有国内外标准情况、预期效果等方面的汇报，专家组审阅了相关材料，进行了质询与讨论，并最终全部同意该标准计划项目立项。</w:t>
      </w:r>
    </w:p>
    <w:p w14:paraId="4A59D59B">
      <w:pPr>
        <w:spacing w:line="560" w:lineRule="exact"/>
        <w:ind w:firstLine="640" w:firstLineChars="200"/>
        <w:rPr>
          <w:rFonts w:eastAsia="仿宋_GB2312"/>
          <w:sz w:val="32"/>
          <w:szCs w:val="32"/>
          <w:shd w:val="clear" w:color="auto" w:fill="FFFFFF"/>
        </w:rPr>
      </w:pPr>
      <w:r>
        <w:rPr>
          <w:rFonts w:hint="eastAsia" w:eastAsia="仿宋_GB2312"/>
          <w:sz w:val="32"/>
          <w:szCs w:val="32"/>
          <w:shd w:val="clear" w:color="auto" w:fill="FFFFFF"/>
        </w:rPr>
        <w:t>2024</w:t>
      </w:r>
      <w:r>
        <w:rPr>
          <w:rFonts w:eastAsia="仿宋_GB2312"/>
          <w:sz w:val="32"/>
          <w:szCs w:val="32"/>
          <w:shd w:val="clear" w:color="auto" w:fill="FFFFFF"/>
        </w:rPr>
        <w:t>年</w:t>
      </w:r>
      <w:r>
        <w:rPr>
          <w:rFonts w:hint="eastAsia" w:eastAsia="仿宋_GB2312"/>
          <w:sz w:val="32"/>
          <w:szCs w:val="32"/>
          <w:shd w:val="clear" w:color="auto" w:fill="FFFFFF"/>
        </w:rPr>
        <w:t>4</w:t>
      </w:r>
      <w:r>
        <w:rPr>
          <w:rFonts w:eastAsia="仿宋_GB2312"/>
          <w:sz w:val="32"/>
          <w:szCs w:val="32"/>
          <w:shd w:val="clear" w:color="auto" w:fill="FFFFFF"/>
        </w:rPr>
        <w:t>月</w:t>
      </w:r>
      <w:r>
        <w:rPr>
          <w:rFonts w:hint="eastAsia" w:eastAsia="仿宋_GB2312"/>
          <w:sz w:val="32"/>
          <w:szCs w:val="32"/>
          <w:shd w:val="clear" w:color="auto" w:fill="FFFFFF"/>
        </w:rPr>
        <w:t>22</w:t>
      </w:r>
      <w:r>
        <w:rPr>
          <w:rFonts w:eastAsia="仿宋_GB2312"/>
          <w:sz w:val="32"/>
          <w:szCs w:val="32"/>
          <w:shd w:val="clear" w:color="auto" w:fill="FFFFFF"/>
        </w:rPr>
        <w:t>日，牵头单位中国安全生产科学研究院组织主要参编单位共同商讨标准编制思路，制定《陆上油气管道建设项目安全预评价导则》总体框架，并成立了由20余名不同专业、管理经验丰富的人员组成的标准</w:t>
      </w:r>
      <w:bookmarkStart w:id="290" w:name="_Hlk161663564"/>
      <w:r>
        <w:rPr>
          <w:rFonts w:eastAsia="仿宋_GB2312"/>
          <w:sz w:val="32"/>
          <w:szCs w:val="32"/>
          <w:shd w:val="clear" w:color="auto" w:fill="FFFFFF"/>
        </w:rPr>
        <w:t>工作组</w:t>
      </w:r>
      <w:bookmarkEnd w:id="290"/>
      <w:r>
        <w:rPr>
          <w:rFonts w:eastAsia="仿宋_GB2312"/>
          <w:sz w:val="32"/>
          <w:szCs w:val="32"/>
          <w:shd w:val="clear" w:color="auto" w:fill="FFFFFF"/>
        </w:rPr>
        <w:t>。</w:t>
      </w:r>
    </w:p>
    <w:p w14:paraId="73647A77">
      <w:pPr>
        <w:spacing w:line="560" w:lineRule="exact"/>
        <w:ind w:firstLine="640" w:firstLineChars="200"/>
        <w:rPr>
          <w:rFonts w:eastAsia="仿宋_GB2312"/>
          <w:sz w:val="32"/>
          <w:szCs w:val="32"/>
          <w:shd w:val="clear" w:color="auto" w:fill="FFFFFF"/>
        </w:rPr>
      </w:pPr>
      <w:r>
        <w:rPr>
          <w:rFonts w:hint="eastAsia" w:eastAsia="仿宋_GB2312"/>
          <w:sz w:val="32"/>
          <w:szCs w:val="32"/>
          <w:shd w:val="clear" w:color="auto" w:fill="FFFFFF"/>
        </w:rPr>
        <w:t>2024</w:t>
      </w:r>
      <w:r>
        <w:rPr>
          <w:rFonts w:eastAsia="仿宋_GB2312"/>
          <w:sz w:val="32"/>
          <w:szCs w:val="32"/>
          <w:shd w:val="clear" w:color="auto" w:fill="FFFFFF"/>
        </w:rPr>
        <w:t>年</w:t>
      </w:r>
      <w:r>
        <w:rPr>
          <w:rFonts w:hint="eastAsia" w:eastAsia="仿宋_GB2312"/>
          <w:sz w:val="32"/>
          <w:szCs w:val="32"/>
          <w:shd w:val="clear" w:color="auto" w:fill="FFFFFF"/>
        </w:rPr>
        <w:t>5</w:t>
      </w:r>
      <w:r>
        <w:rPr>
          <w:rFonts w:eastAsia="仿宋_GB2312"/>
          <w:sz w:val="32"/>
          <w:szCs w:val="32"/>
          <w:shd w:val="clear" w:color="auto" w:fill="FFFFFF"/>
        </w:rPr>
        <w:t>月</w:t>
      </w:r>
      <w:r>
        <w:rPr>
          <w:rFonts w:hint="eastAsia" w:eastAsia="仿宋_GB2312"/>
          <w:sz w:val="32"/>
          <w:szCs w:val="32"/>
          <w:shd w:val="clear" w:color="auto" w:fill="FFFFFF"/>
        </w:rPr>
        <w:t>17-21</w:t>
      </w:r>
      <w:r>
        <w:rPr>
          <w:rFonts w:eastAsia="仿宋_GB2312"/>
          <w:sz w:val="32"/>
          <w:szCs w:val="32"/>
          <w:shd w:val="clear" w:color="auto" w:fill="FFFFFF"/>
        </w:rPr>
        <w:t>日，牵头单位中国安全生产科学研究院组织对近年来应急管理部审查的安全评价和安全设施设计进行问题库梳理，形成主要问题总结报告，并就共性问题制定修订方案。</w:t>
      </w:r>
    </w:p>
    <w:p w14:paraId="70BB1B4B">
      <w:pPr>
        <w:spacing w:line="560" w:lineRule="exact"/>
        <w:ind w:firstLine="640" w:firstLineChars="200"/>
        <w:rPr>
          <w:rFonts w:eastAsia="仿宋_GB2312"/>
          <w:sz w:val="32"/>
          <w:szCs w:val="32"/>
          <w:shd w:val="clear" w:color="auto" w:fill="FFFFFF"/>
        </w:rPr>
      </w:pPr>
      <w:r>
        <w:rPr>
          <w:rFonts w:hint="eastAsia" w:eastAsia="仿宋_GB2312"/>
          <w:sz w:val="32"/>
          <w:szCs w:val="32"/>
          <w:shd w:val="clear" w:color="auto" w:fill="FFFFFF"/>
        </w:rPr>
        <w:t>2024</w:t>
      </w:r>
      <w:r>
        <w:rPr>
          <w:rFonts w:eastAsia="仿宋_GB2312"/>
          <w:sz w:val="32"/>
          <w:szCs w:val="32"/>
          <w:shd w:val="clear" w:color="auto" w:fill="FFFFFF"/>
        </w:rPr>
        <w:t>年</w:t>
      </w:r>
      <w:r>
        <w:rPr>
          <w:rFonts w:hint="eastAsia" w:eastAsia="仿宋_GB2312"/>
          <w:sz w:val="32"/>
          <w:szCs w:val="32"/>
          <w:shd w:val="clear" w:color="auto" w:fill="FFFFFF"/>
        </w:rPr>
        <w:t>6</w:t>
      </w:r>
      <w:r>
        <w:rPr>
          <w:rFonts w:eastAsia="仿宋_GB2312"/>
          <w:sz w:val="32"/>
          <w:szCs w:val="32"/>
          <w:shd w:val="clear" w:color="auto" w:fill="FFFFFF"/>
        </w:rPr>
        <w:t>月</w:t>
      </w:r>
      <w:r>
        <w:rPr>
          <w:rFonts w:hint="eastAsia" w:eastAsia="仿宋_GB2312"/>
          <w:sz w:val="32"/>
          <w:szCs w:val="32"/>
          <w:shd w:val="clear" w:color="auto" w:fill="FFFFFF"/>
        </w:rPr>
        <w:t>28</w:t>
      </w:r>
      <w:r>
        <w:rPr>
          <w:rFonts w:eastAsia="仿宋_GB2312"/>
          <w:sz w:val="32"/>
          <w:szCs w:val="32"/>
          <w:shd w:val="clear" w:color="auto" w:fill="FFFFFF"/>
        </w:rPr>
        <w:t>日，应急管理部办公厅下发《应急管理部办公厅关于印发</w:t>
      </w:r>
      <w:r>
        <w:rPr>
          <w:rFonts w:hint="eastAsia" w:eastAsia="仿宋_GB2312"/>
          <w:sz w:val="32"/>
          <w:szCs w:val="32"/>
          <w:shd w:val="clear" w:color="auto" w:fill="FFFFFF"/>
        </w:rPr>
        <w:t>9</w:t>
      </w:r>
      <w:r>
        <w:rPr>
          <w:rFonts w:eastAsia="仿宋_GB2312"/>
          <w:sz w:val="32"/>
          <w:szCs w:val="32"/>
          <w:shd w:val="clear" w:color="auto" w:fill="FFFFFF"/>
        </w:rPr>
        <w:t>项安全生产强制性行业标准制修订计划的通知》，本标准项目正式立项。</w:t>
      </w:r>
    </w:p>
    <w:p w14:paraId="5512F405">
      <w:pPr>
        <w:spacing w:line="560" w:lineRule="exact"/>
        <w:ind w:firstLine="640" w:firstLineChars="200"/>
        <w:rPr>
          <w:rFonts w:eastAsia="仿宋_GB2312"/>
          <w:sz w:val="32"/>
          <w:szCs w:val="32"/>
          <w:shd w:val="clear" w:color="auto" w:fill="FFFFFF"/>
        </w:rPr>
      </w:pPr>
      <w:r>
        <w:rPr>
          <w:rFonts w:hint="eastAsia" w:eastAsia="仿宋_GB2312"/>
          <w:sz w:val="32"/>
          <w:szCs w:val="32"/>
          <w:shd w:val="clear" w:color="auto" w:fill="FFFFFF"/>
        </w:rPr>
        <w:t>2024</w:t>
      </w:r>
      <w:r>
        <w:rPr>
          <w:rFonts w:eastAsia="仿宋_GB2312"/>
          <w:sz w:val="32"/>
          <w:szCs w:val="32"/>
          <w:shd w:val="clear" w:color="auto" w:fill="FFFFFF"/>
        </w:rPr>
        <w:t>年</w:t>
      </w:r>
      <w:r>
        <w:rPr>
          <w:rFonts w:hint="eastAsia" w:eastAsia="仿宋_GB2312"/>
          <w:sz w:val="32"/>
          <w:szCs w:val="32"/>
          <w:shd w:val="clear" w:color="auto" w:fill="FFFFFF"/>
        </w:rPr>
        <w:t>8</w:t>
      </w:r>
      <w:r>
        <w:rPr>
          <w:rFonts w:eastAsia="仿宋_GB2312"/>
          <w:sz w:val="32"/>
          <w:szCs w:val="32"/>
          <w:shd w:val="clear" w:color="auto" w:fill="FFFFFF"/>
        </w:rPr>
        <w:t>月</w:t>
      </w:r>
      <w:r>
        <w:rPr>
          <w:rFonts w:hint="eastAsia" w:eastAsia="仿宋_GB2312"/>
          <w:sz w:val="32"/>
          <w:szCs w:val="32"/>
          <w:shd w:val="clear" w:color="auto" w:fill="FFFFFF"/>
        </w:rPr>
        <w:t>5</w:t>
      </w:r>
      <w:r>
        <w:rPr>
          <w:rFonts w:eastAsia="仿宋_GB2312"/>
          <w:sz w:val="32"/>
          <w:szCs w:val="32"/>
          <w:shd w:val="clear" w:color="auto" w:fill="FFFFFF"/>
        </w:rPr>
        <w:t>日-</w:t>
      </w:r>
      <w:r>
        <w:rPr>
          <w:rFonts w:hint="eastAsia" w:eastAsia="仿宋_GB2312"/>
          <w:sz w:val="32"/>
          <w:szCs w:val="32"/>
          <w:shd w:val="clear" w:color="auto" w:fill="FFFFFF"/>
        </w:rPr>
        <w:t>8</w:t>
      </w:r>
      <w:r>
        <w:rPr>
          <w:rFonts w:eastAsia="仿宋_GB2312"/>
          <w:sz w:val="32"/>
          <w:szCs w:val="32"/>
          <w:shd w:val="clear" w:color="auto" w:fill="FFFFFF"/>
        </w:rPr>
        <w:t>日，标准工作组与</w:t>
      </w:r>
      <w:r>
        <w:rPr>
          <w:rFonts w:hint="eastAsia" w:eastAsia="仿宋_GB2312"/>
          <w:sz w:val="32"/>
          <w:szCs w:val="32"/>
          <w:shd w:val="clear" w:color="auto" w:fill="FFFFFF"/>
        </w:rPr>
        <w:t>AQ 3055</w:t>
      </w:r>
      <w:r>
        <w:rPr>
          <w:rFonts w:eastAsia="仿宋_GB2312"/>
          <w:sz w:val="32"/>
          <w:szCs w:val="32"/>
          <w:shd w:val="clear" w:color="auto" w:fill="FFFFFF"/>
        </w:rPr>
        <w:t>和</w:t>
      </w:r>
      <w:r>
        <w:rPr>
          <w:rFonts w:hint="eastAsia" w:eastAsia="仿宋_GB2312"/>
          <w:sz w:val="32"/>
          <w:szCs w:val="32"/>
          <w:shd w:val="clear" w:color="auto" w:fill="FFFFFF"/>
        </w:rPr>
        <w:t>AQ 3056</w:t>
      </w:r>
      <w:r>
        <w:rPr>
          <w:rFonts w:eastAsia="仿宋_GB2312"/>
          <w:sz w:val="32"/>
          <w:szCs w:val="32"/>
          <w:shd w:val="clear" w:color="auto" w:fill="FFFFFF"/>
        </w:rPr>
        <w:t>标准工作组共同研讨集中办公，就安全预评价、安全设施设计、安全验收评价等内容进行了讨论，进一步完善整理标准文稿。</w:t>
      </w:r>
    </w:p>
    <w:p w14:paraId="532853AF">
      <w:pPr>
        <w:spacing w:line="560" w:lineRule="exact"/>
        <w:ind w:firstLine="640" w:firstLineChars="200"/>
        <w:rPr>
          <w:rFonts w:eastAsia="仿宋_GB2312"/>
          <w:sz w:val="32"/>
          <w:szCs w:val="32"/>
          <w:shd w:val="clear" w:color="auto" w:fill="FFFFFF"/>
        </w:rPr>
      </w:pPr>
      <w:r>
        <w:rPr>
          <w:rFonts w:hint="eastAsia" w:eastAsia="仿宋_GB2312"/>
          <w:sz w:val="32"/>
          <w:szCs w:val="32"/>
          <w:shd w:val="clear" w:color="auto" w:fill="FFFFFF"/>
        </w:rPr>
        <w:t>2024</w:t>
      </w:r>
      <w:r>
        <w:rPr>
          <w:rFonts w:eastAsia="仿宋_GB2312"/>
          <w:sz w:val="32"/>
          <w:szCs w:val="32"/>
          <w:shd w:val="clear" w:color="auto" w:fill="FFFFFF"/>
        </w:rPr>
        <w:t>年</w:t>
      </w:r>
      <w:r>
        <w:rPr>
          <w:rFonts w:hint="eastAsia" w:eastAsia="仿宋_GB2312"/>
          <w:sz w:val="32"/>
          <w:szCs w:val="32"/>
          <w:shd w:val="clear" w:color="auto" w:fill="FFFFFF"/>
        </w:rPr>
        <w:t>9</w:t>
      </w:r>
      <w:r>
        <w:rPr>
          <w:rFonts w:eastAsia="仿宋_GB2312"/>
          <w:sz w:val="32"/>
          <w:szCs w:val="32"/>
          <w:shd w:val="clear" w:color="auto" w:fill="FFFFFF"/>
        </w:rPr>
        <w:t>月</w:t>
      </w:r>
      <w:r>
        <w:rPr>
          <w:rFonts w:hint="eastAsia" w:eastAsia="仿宋_GB2312"/>
          <w:sz w:val="32"/>
          <w:szCs w:val="32"/>
          <w:shd w:val="clear" w:color="auto" w:fill="FFFFFF"/>
        </w:rPr>
        <w:t>2</w:t>
      </w:r>
      <w:r>
        <w:rPr>
          <w:rFonts w:eastAsia="仿宋_GB2312"/>
          <w:sz w:val="32"/>
          <w:szCs w:val="32"/>
          <w:shd w:val="clear" w:color="auto" w:fill="FFFFFF"/>
        </w:rPr>
        <w:t>日-</w:t>
      </w:r>
      <w:r>
        <w:rPr>
          <w:rFonts w:hint="eastAsia" w:eastAsia="仿宋_GB2312"/>
          <w:sz w:val="32"/>
          <w:szCs w:val="32"/>
          <w:shd w:val="clear" w:color="auto" w:fill="FFFFFF"/>
        </w:rPr>
        <w:t>3</w:t>
      </w:r>
      <w:r>
        <w:rPr>
          <w:rFonts w:eastAsia="仿宋_GB2312"/>
          <w:sz w:val="32"/>
          <w:szCs w:val="32"/>
          <w:shd w:val="clear" w:color="auto" w:fill="FFFFFF"/>
        </w:rPr>
        <w:t>日，分标委在京组织召开《陆上油气长输管道建设项目安全预评价导则》、《陆上油气长输管道建设项目安全设施设计导则》和《陆上油气长输管道建设项目安全验收评价导则》三项安全行业标准的标准研讨会。研讨会邀请了应急管理部专家、中石油、中石化、国家管网、设计单位、安评单位的代表参会，与会专家、代表对标准修订工作予以充分肯定，主要针对三项标准的修订部分从标准的适用范围、实践的可操作性、与其他标准体系的相关性等问题进行了讨论，与会专家一致认为本标准在总结原标准的经验基础上，进一步明确了陆上油气长输管道建设项目安全预评价的技术要求和风险防控措施，对规范预评价工作具有重要意义。同时对标准具体内容提出了进一步修改完善的意见建议</w:t>
      </w:r>
      <w:r>
        <w:rPr>
          <w:rFonts w:hint="eastAsia" w:eastAsia="仿宋_GB2312"/>
          <w:sz w:val="32"/>
          <w:szCs w:val="32"/>
          <w:shd w:val="clear" w:color="auto" w:fill="FFFFFF"/>
        </w:rPr>
        <w:t>50</w:t>
      </w:r>
      <w:r>
        <w:rPr>
          <w:rFonts w:eastAsia="仿宋_GB2312"/>
          <w:sz w:val="32"/>
          <w:szCs w:val="32"/>
          <w:shd w:val="clear" w:color="auto" w:fill="FFFFFF"/>
        </w:rPr>
        <w:t>余条，工作组按照相关意见建议进一步修订完善标准文稿。</w:t>
      </w:r>
    </w:p>
    <w:p w14:paraId="4D1F41AE">
      <w:pPr>
        <w:spacing w:line="560" w:lineRule="exact"/>
        <w:ind w:firstLine="640" w:firstLineChars="200"/>
        <w:rPr>
          <w:rFonts w:eastAsia="仿宋_GB2312"/>
          <w:sz w:val="32"/>
          <w:szCs w:val="32"/>
          <w:shd w:val="clear" w:color="auto" w:fill="FFFFFF"/>
        </w:rPr>
      </w:pPr>
      <w:r>
        <w:rPr>
          <w:rFonts w:hint="eastAsia" w:eastAsia="仿宋_GB2312"/>
          <w:sz w:val="32"/>
          <w:szCs w:val="32"/>
          <w:shd w:val="clear" w:color="auto" w:fill="FFFFFF"/>
        </w:rPr>
        <w:t>2024年9月20日，分标委在北京邀请标准化专家对标准文稿进行形式审查。会后，工作组按照标准化专家的意见进一步完善文稿</w:t>
      </w:r>
      <w:r>
        <w:rPr>
          <w:rFonts w:eastAsia="仿宋_GB2312"/>
          <w:sz w:val="32"/>
          <w:szCs w:val="32"/>
          <w:shd w:val="clear" w:color="auto" w:fill="FFFFFF"/>
        </w:rPr>
        <w:t>。</w:t>
      </w:r>
    </w:p>
    <w:p w14:paraId="432799A3">
      <w:pPr>
        <w:spacing w:line="560" w:lineRule="exact"/>
        <w:ind w:firstLine="640" w:firstLineChars="200"/>
        <w:rPr>
          <w:rFonts w:eastAsia="仿宋_GB2312"/>
          <w:sz w:val="32"/>
          <w:szCs w:val="32"/>
          <w:shd w:val="clear" w:color="auto" w:fill="FFFFFF"/>
        </w:rPr>
      </w:pPr>
      <w:r>
        <w:rPr>
          <w:rFonts w:hint="eastAsia" w:eastAsia="仿宋_GB2312"/>
          <w:sz w:val="32"/>
          <w:szCs w:val="32"/>
          <w:shd w:val="clear" w:color="auto" w:fill="FFFFFF"/>
        </w:rPr>
        <w:t>2024年11月1日，全国安标委石油安全分标委在北京组织《陆上油气长输管道建设项目安全设施设计导则》《陆上油气长输管道建设项目安全验收评价导则》《陆上油气长输管道建设项目安全预评价导则》《陆上油气长输管道人员密集型高后果区辨识与管理》等四项标准草案审核研讨会，应急管理部危化监管二司有关业务负责人，石油安全分标委有关委员，河北省、福建省、湖北省、广东省、四川省、甘肃省应急管理厅有关处室负责人，中国石油、中国石化及国家管网有关业务负责人和专家，对标准草案进行审查研讨。会后，工作组按照专家的意见进一步完善文稿。至此，本标准初稿经过多轮评审、修改，最终形成征求意见稿。</w:t>
      </w:r>
    </w:p>
    <w:p w14:paraId="613DCB7E">
      <w:pPr>
        <w:numPr>
          <w:ilvl w:val="0"/>
          <w:numId w:val="17"/>
        </w:numPr>
        <w:spacing w:line="560" w:lineRule="exact"/>
        <w:ind w:firstLine="640" w:firstLineChars="200"/>
        <w:textAlignment w:val="auto"/>
        <w:outlineLvl w:val="0"/>
        <w:rPr>
          <w:rFonts w:eastAsia="黑体"/>
          <w:sz w:val="32"/>
          <w:szCs w:val="32"/>
        </w:rPr>
      </w:pPr>
      <w:r>
        <w:rPr>
          <w:rFonts w:eastAsia="黑体"/>
          <w:sz w:val="32"/>
          <w:szCs w:val="32"/>
        </w:rPr>
        <w:t>标准编制原则、主要技术内容及其确定依据</w:t>
      </w:r>
    </w:p>
    <w:p w14:paraId="1AB49357">
      <w:pPr>
        <w:spacing w:line="560" w:lineRule="exact"/>
        <w:ind w:firstLine="640" w:firstLineChars="200"/>
        <w:rPr>
          <w:rFonts w:eastAsia="楷体"/>
          <w:sz w:val="32"/>
          <w:szCs w:val="32"/>
          <w:shd w:val="clear" w:color="auto" w:fill="FFFFFF"/>
        </w:rPr>
      </w:pPr>
      <w:r>
        <w:rPr>
          <w:rFonts w:eastAsia="楷体"/>
          <w:sz w:val="32"/>
          <w:szCs w:val="32"/>
          <w:shd w:val="clear" w:color="auto" w:fill="FFFFFF"/>
        </w:rPr>
        <w:t>（一）标准编制原则</w:t>
      </w:r>
    </w:p>
    <w:p w14:paraId="1C854008">
      <w:pPr>
        <w:spacing w:line="560" w:lineRule="exact"/>
        <w:ind w:firstLine="640" w:firstLineChars="200"/>
        <w:rPr>
          <w:rFonts w:eastAsia="仿宋_GB2312"/>
          <w:sz w:val="32"/>
          <w:szCs w:val="32"/>
        </w:rPr>
      </w:pPr>
      <w:r>
        <w:rPr>
          <w:rFonts w:eastAsia="仿宋_GB2312"/>
          <w:sz w:val="32"/>
          <w:szCs w:val="32"/>
        </w:rPr>
        <w:t>本次标准的修订进行修订时，总的原则是，按照近几年实施过程中遇到的问题及《油气输送管道完整性管理规范》（</w:t>
      </w:r>
      <w:r>
        <w:rPr>
          <w:rFonts w:hint="eastAsia" w:ascii="宋体" w:hAnsi="宋体" w:cs="宋体"/>
          <w:sz w:val="32"/>
          <w:szCs w:val="32"/>
        </w:rPr>
        <w:t>GB 32167</w:t>
      </w:r>
      <w:r>
        <w:rPr>
          <w:rFonts w:eastAsia="仿宋_GB2312"/>
          <w:sz w:val="32"/>
          <w:szCs w:val="32"/>
        </w:rPr>
        <w:t>）等文件要求进一步明确规范要求，完善安全评价的目的和内容，以及评价过程中依据的各种资料。</w:t>
      </w:r>
    </w:p>
    <w:p w14:paraId="3EF63B10">
      <w:pPr>
        <w:spacing w:line="560" w:lineRule="exact"/>
        <w:ind w:firstLine="640" w:firstLineChars="200"/>
        <w:rPr>
          <w:rFonts w:eastAsia="仿宋_GB2312"/>
          <w:sz w:val="32"/>
          <w:szCs w:val="32"/>
        </w:rPr>
      </w:pPr>
      <w:r>
        <w:rPr>
          <w:rFonts w:eastAsia="仿宋_GB2312"/>
          <w:sz w:val="32"/>
          <w:szCs w:val="32"/>
        </w:rPr>
        <w:t>本标准在制定的过程中严格执行《标准化工作导则 第</w:t>
      </w:r>
      <w:r>
        <w:rPr>
          <w:rFonts w:hint="eastAsia" w:ascii="宋体" w:hAnsi="宋体" w:cs="宋体"/>
          <w:sz w:val="32"/>
          <w:szCs w:val="32"/>
        </w:rPr>
        <w:t>1</w:t>
      </w:r>
      <w:r>
        <w:rPr>
          <w:rFonts w:eastAsia="仿宋_GB2312"/>
          <w:sz w:val="32"/>
          <w:szCs w:val="32"/>
        </w:rPr>
        <w:t>部分：标准化文件的结构和起草规则》（</w:t>
      </w:r>
      <w:r>
        <w:rPr>
          <w:rFonts w:hint="eastAsia" w:ascii="宋体" w:hAnsi="宋体" w:cs="宋体"/>
          <w:sz w:val="32"/>
          <w:szCs w:val="32"/>
        </w:rPr>
        <w:t>GB/T 1.1-2020</w:t>
      </w:r>
      <w:r>
        <w:rPr>
          <w:rFonts w:eastAsia="仿宋_GB2312"/>
          <w:sz w:val="32"/>
          <w:szCs w:val="32"/>
        </w:rPr>
        <w:t>）的要求，对标准进行认真的策划和编排，确保标准层次清楚、逻辑严谨、条理通顺，便于操作。</w:t>
      </w:r>
    </w:p>
    <w:p w14:paraId="0744AB95">
      <w:pPr>
        <w:tabs>
          <w:tab w:val="left" w:pos="1083"/>
        </w:tabs>
        <w:autoSpaceDE w:val="0"/>
        <w:autoSpaceDN w:val="0"/>
        <w:spacing w:line="560" w:lineRule="exact"/>
        <w:ind w:firstLine="612" w:firstLineChars="200"/>
        <w:jc w:val="left"/>
        <w:rPr>
          <w:rFonts w:eastAsia="仿宋_GB2312"/>
          <w:spacing w:val="-7"/>
          <w:sz w:val="32"/>
          <w:szCs w:val="22"/>
        </w:rPr>
      </w:pPr>
      <w:r>
        <w:rPr>
          <w:rFonts w:hint="eastAsia" w:ascii="宋体" w:hAnsi="宋体" w:cs="宋体"/>
          <w:spacing w:val="-7"/>
          <w:sz w:val="32"/>
          <w:szCs w:val="22"/>
        </w:rPr>
        <w:t>1.</w:t>
      </w:r>
      <w:r>
        <w:rPr>
          <w:rFonts w:eastAsia="仿宋_GB2312"/>
          <w:spacing w:val="-7"/>
          <w:sz w:val="32"/>
          <w:szCs w:val="22"/>
        </w:rPr>
        <w:t>协调性</w:t>
      </w:r>
    </w:p>
    <w:p w14:paraId="707733A4">
      <w:pPr>
        <w:spacing w:line="560" w:lineRule="exact"/>
        <w:ind w:firstLine="640" w:firstLineChars="200"/>
        <w:rPr>
          <w:rFonts w:eastAsia="仿宋_GB2312"/>
          <w:sz w:val="32"/>
          <w:szCs w:val="32"/>
          <w:shd w:val="clear" w:color="auto" w:fill="FFFFFF"/>
        </w:rPr>
      </w:pPr>
      <w:r>
        <w:rPr>
          <w:rFonts w:eastAsia="仿宋_GB2312"/>
          <w:sz w:val="32"/>
          <w:szCs w:val="32"/>
          <w:shd w:val="clear" w:color="auto" w:fill="FFFFFF"/>
        </w:rPr>
        <w:t>标准编制保证与现行法律法规、规章规范的协调性，同时具体条款不能与上一级法规要求相冲突。</w:t>
      </w:r>
    </w:p>
    <w:p w14:paraId="2805037B">
      <w:pPr>
        <w:spacing w:line="560" w:lineRule="exact"/>
        <w:ind w:firstLine="640" w:firstLineChars="200"/>
        <w:rPr>
          <w:rFonts w:eastAsia="仿宋_GB2312"/>
          <w:sz w:val="32"/>
          <w:szCs w:val="32"/>
          <w:shd w:val="clear" w:color="auto" w:fill="FFFFFF"/>
        </w:rPr>
      </w:pPr>
      <w:r>
        <w:rPr>
          <w:rFonts w:hint="eastAsia" w:eastAsia="仿宋_GB2312"/>
          <w:sz w:val="32"/>
          <w:szCs w:val="32"/>
          <w:shd w:val="clear" w:color="auto" w:fill="FFFFFF"/>
        </w:rPr>
        <w:t>2.</w:t>
      </w:r>
      <w:r>
        <w:rPr>
          <w:rFonts w:eastAsia="仿宋_GB2312"/>
          <w:sz w:val="32"/>
          <w:szCs w:val="32"/>
          <w:shd w:val="clear" w:color="auto" w:fill="FFFFFF"/>
        </w:rPr>
        <w:t>适用性</w:t>
      </w:r>
    </w:p>
    <w:p w14:paraId="6363448C">
      <w:pPr>
        <w:spacing w:line="560" w:lineRule="exact"/>
        <w:ind w:firstLine="640" w:firstLineChars="200"/>
        <w:rPr>
          <w:rFonts w:eastAsia="仿宋_GB2312"/>
          <w:sz w:val="32"/>
          <w:szCs w:val="32"/>
          <w:shd w:val="clear" w:color="auto" w:fill="FFFFFF"/>
        </w:rPr>
      </w:pPr>
      <w:r>
        <w:rPr>
          <w:rFonts w:eastAsia="仿宋_GB2312"/>
          <w:sz w:val="32"/>
          <w:szCs w:val="32"/>
          <w:shd w:val="clear" w:color="auto" w:fill="FFFFFF"/>
        </w:rPr>
        <w:t>广泛收集目前现行法律、法规、标准、规范中的相关要求，充分调研了解陆上油气长输管道行业发展现状，确保标准条款与行业发展实际相结合，确保标准的适用性。</w:t>
      </w:r>
    </w:p>
    <w:p w14:paraId="724997E8">
      <w:pPr>
        <w:spacing w:line="560" w:lineRule="exact"/>
        <w:ind w:firstLine="640" w:firstLineChars="200"/>
        <w:rPr>
          <w:rFonts w:eastAsia="仿宋_GB2312"/>
          <w:sz w:val="32"/>
          <w:szCs w:val="32"/>
          <w:shd w:val="clear" w:color="auto" w:fill="FFFFFF"/>
        </w:rPr>
      </w:pPr>
      <w:r>
        <w:rPr>
          <w:rFonts w:hint="eastAsia" w:eastAsia="仿宋_GB2312"/>
          <w:sz w:val="32"/>
          <w:szCs w:val="32"/>
          <w:shd w:val="clear" w:color="auto" w:fill="FFFFFF"/>
        </w:rPr>
        <w:t>3.</w:t>
      </w:r>
      <w:r>
        <w:rPr>
          <w:rFonts w:eastAsia="仿宋_GB2312"/>
          <w:sz w:val="32"/>
          <w:szCs w:val="32"/>
          <w:shd w:val="clear" w:color="auto" w:fill="FFFFFF"/>
        </w:rPr>
        <w:t>科学性</w:t>
      </w:r>
    </w:p>
    <w:p w14:paraId="0C559273">
      <w:pPr>
        <w:spacing w:line="560" w:lineRule="exact"/>
        <w:ind w:firstLine="640" w:firstLineChars="200"/>
        <w:rPr>
          <w:rFonts w:eastAsia="仿宋_GB2312"/>
          <w:sz w:val="32"/>
          <w:szCs w:val="32"/>
          <w:shd w:val="clear" w:color="auto" w:fill="FFFFFF"/>
        </w:rPr>
      </w:pPr>
      <w:r>
        <w:rPr>
          <w:rFonts w:eastAsia="仿宋_GB2312"/>
          <w:sz w:val="32"/>
          <w:szCs w:val="32"/>
          <w:shd w:val="clear" w:color="auto" w:fill="FFFFFF"/>
        </w:rPr>
        <w:t>借鉴了国家标准和行业标准。标准编制由中国安全生产科学研究院牵头，中国石油天然气管道工程有限公司、中国石油集团安全环保技术研究院有限公司、中国石油大学（北京）、国家石油天然气管网集团有限公司等企业及部分石油类高等院校、科研院所共同参与，充分吸收、总结陆上油气长输管道行业现行做法，保证标准的科学性。</w:t>
      </w:r>
    </w:p>
    <w:p w14:paraId="49E0004C">
      <w:pPr>
        <w:spacing w:line="560" w:lineRule="exact"/>
        <w:ind w:firstLine="640" w:firstLineChars="200"/>
        <w:rPr>
          <w:rFonts w:eastAsia="仿宋_GB2312"/>
          <w:sz w:val="32"/>
          <w:szCs w:val="32"/>
          <w:shd w:val="clear" w:color="auto" w:fill="FFFFFF"/>
        </w:rPr>
      </w:pPr>
      <w:r>
        <w:rPr>
          <w:rFonts w:hint="eastAsia" w:eastAsia="仿宋_GB2312"/>
          <w:sz w:val="32"/>
          <w:szCs w:val="32"/>
          <w:shd w:val="clear" w:color="auto" w:fill="FFFFFF"/>
        </w:rPr>
        <w:t>4.</w:t>
      </w:r>
      <w:r>
        <w:rPr>
          <w:rFonts w:eastAsia="仿宋_GB2312"/>
          <w:sz w:val="32"/>
          <w:szCs w:val="32"/>
          <w:shd w:val="clear" w:color="auto" w:fill="FFFFFF"/>
        </w:rPr>
        <w:t>可执行性</w:t>
      </w:r>
    </w:p>
    <w:p w14:paraId="31783821">
      <w:pPr>
        <w:spacing w:line="560" w:lineRule="exact"/>
        <w:ind w:firstLine="640" w:firstLineChars="200"/>
        <w:rPr>
          <w:rFonts w:eastAsia="仿宋_GB2312"/>
          <w:sz w:val="32"/>
          <w:szCs w:val="32"/>
          <w:shd w:val="clear" w:color="auto" w:fill="FFFFFF"/>
        </w:rPr>
      </w:pPr>
      <w:r>
        <w:rPr>
          <w:rFonts w:eastAsia="仿宋_GB2312"/>
          <w:sz w:val="32"/>
          <w:szCs w:val="32"/>
          <w:shd w:val="clear" w:color="auto" w:fill="FFFFFF"/>
        </w:rPr>
        <w:t>标准条款内容将广泛征求相关单位的意见建议，对于反馈的意见建议组织工作组专题讨论，采纳吸收科学合理的意见建议，确保标准内容贴近行业实际需求，兼顾标准的可执行性。</w:t>
      </w:r>
    </w:p>
    <w:p w14:paraId="6C0E1FA1">
      <w:pPr>
        <w:spacing w:line="560" w:lineRule="exact"/>
        <w:ind w:firstLine="640" w:firstLineChars="200"/>
        <w:rPr>
          <w:rFonts w:eastAsia="楷体"/>
          <w:sz w:val="32"/>
          <w:szCs w:val="32"/>
          <w:shd w:val="clear" w:color="auto" w:fill="FFFFFF"/>
        </w:rPr>
      </w:pPr>
      <w:r>
        <w:rPr>
          <w:rFonts w:eastAsia="楷体"/>
          <w:sz w:val="32"/>
          <w:szCs w:val="32"/>
          <w:shd w:val="clear" w:color="auto" w:fill="FFFFFF"/>
        </w:rPr>
        <w:t>（二）标准主要技术内容及确定依据</w:t>
      </w:r>
    </w:p>
    <w:p w14:paraId="74E054ED">
      <w:pPr>
        <w:spacing w:line="560" w:lineRule="exact"/>
        <w:ind w:firstLine="640" w:firstLineChars="200"/>
        <w:rPr>
          <w:rFonts w:eastAsia="仿宋_GB2312"/>
          <w:sz w:val="32"/>
          <w:szCs w:val="32"/>
          <w:shd w:val="clear" w:color="auto" w:fill="FFFFFF"/>
        </w:rPr>
      </w:pPr>
      <w:r>
        <w:rPr>
          <w:rFonts w:hint="eastAsia" w:ascii="宋体" w:hAnsi="宋体" w:cs="宋体"/>
          <w:sz w:val="32"/>
          <w:szCs w:val="32"/>
          <w:shd w:val="clear" w:color="auto" w:fill="FFFFFF"/>
        </w:rPr>
        <w:t>1.</w:t>
      </w:r>
      <w:r>
        <w:rPr>
          <w:rFonts w:eastAsia="仿宋_GB2312"/>
          <w:sz w:val="32"/>
          <w:szCs w:val="32"/>
          <w:shd w:val="clear" w:color="auto" w:fill="FFFFFF"/>
        </w:rPr>
        <w:t>修订标准的主要技术内容</w:t>
      </w:r>
    </w:p>
    <w:p w14:paraId="5D270899">
      <w:pPr>
        <w:widowControl w:val="0"/>
        <w:numPr>
          <w:ilvl w:val="0"/>
          <w:numId w:val="18"/>
        </w:numPr>
        <w:spacing w:line="560" w:lineRule="exact"/>
        <w:ind w:firstLine="640" w:firstLineChars="200"/>
        <w:textAlignment w:val="auto"/>
        <w:rPr>
          <w:rFonts w:eastAsia="仿宋_GB2312"/>
          <w:sz w:val="32"/>
          <w:szCs w:val="32"/>
          <w:shd w:val="clear" w:color="auto" w:fill="FFFFFF"/>
        </w:rPr>
      </w:pPr>
      <w:r>
        <w:rPr>
          <w:rFonts w:eastAsia="仿宋_GB2312"/>
          <w:sz w:val="32"/>
          <w:szCs w:val="32"/>
          <w:shd w:val="clear" w:color="auto" w:fill="FFFFFF"/>
        </w:rPr>
        <w:t>适用范围</w:t>
      </w:r>
    </w:p>
    <w:p w14:paraId="3D81C334">
      <w:pPr>
        <w:spacing w:line="560" w:lineRule="exact"/>
        <w:ind w:firstLine="640" w:firstLineChars="200"/>
        <w:rPr>
          <w:rFonts w:eastAsia="仿宋_GB2312"/>
          <w:sz w:val="32"/>
          <w:szCs w:val="32"/>
          <w:shd w:val="clear" w:color="auto" w:fill="FFFFFF"/>
        </w:rPr>
      </w:pPr>
      <w:r>
        <w:rPr>
          <w:rFonts w:eastAsia="仿宋_GB2312"/>
          <w:sz w:val="32"/>
          <w:szCs w:val="32"/>
          <w:shd w:val="clear" w:color="auto" w:fill="FFFFFF"/>
        </w:rPr>
        <w:t>明确本标准适用于陆上油气长输管道建设项目可行性研究阶段安全预评价内容及其报告编制的要求。适用于新建、改建、扩建的陆上油气长输管道。不适用于城镇燃气管道、油气田集输管道、机场内的航油管道、石油化工企业及石油库的厂际和厂内油气管道。</w:t>
      </w:r>
    </w:p>
    <w:p w14:paraId="362A71C4">
      <w:pPr>
        <w:widowControl w:val="0"/>
        <w:numPr>
          <w:ilvl w:val="0"/>
          <w:numId w:val="18"/>
        </w:numPr>
        <w:spacing w:line="560" w:lineRule="exact"/>
        <w:ind w:firstLine="640" w:firstLineChars="200"/>
        <w:textAlignment w:val="auto"/>
        <w:rPr>
          <w:rFonts w:eastAsia="仿宋_GB2312"/>
          <w:sz w:val="32"/>
          <w:szCs w:val="32"/>
          <w:shd w:val="clear" w:color="auto" w:fill="FFFFFF"/>
        </w:rPr>
      </w:pPr>
      <w:r>
        <w:rPr>
          <w:rFonts w:eastAsia="仿宋_GB2312"/>
          <w:sz w:val="32"/>
          <w:szCs w:val="32"/>
          <w:shd w:val="clear" w:color="auto" w:fill="FFFFFF"/>
        </w:rPr>
        <w:t>规范性引用文件</w:t>
      </w:r>
    </w:p>
    <w:p w14:paraId="155B37CF">
      <w:pPr>
        <w:spacing w:line="560" w:lineRule="exact"/>
        <w:ind w:firstLine="640" w:firstLineChars="200"/>
        <w:rPr>
          <w:rFonts w:eastAsia="仿宋_GB2312"/>
          <w:sz w:val="32"/>
          <w:szCs w:val="32"/>
          <w:shd w:val="clear" w:color="auto" w:fill="FFFFFF"/>
        </w:rPr>
      </w:pPr>
      <w:r>
        <w:rPr>
          <w:rFonts w:eastAsia="仿宋_GB2312"/>
          <w:sz w:val="32"/>
          <w:szCs w:val="32"/>
          <w:shd w:val="clear" w:color="auto" w:fill="FFFFFF"/>
        </w:rPr>
        <w:t>列出了本标准引用和相衔接的相关标准，如《输气管道工程设计规范》（</w:t>
      </w:r>
      <w:r>
        <w:rPr>
          <w:rFonts w:hint="eastAsia" w:ascii="宋体" w:hAnsi="宋体" w:cs="宋体"/>
          <w:sz w:val="32"/>
          <w:szCs w:val="32"/>
          <w:shd w:val="clear" w:color="auto" w:fill="FFFFFF"/>
        </w:rPr>
        <w:t>GB 50251</w:t>
      </w:r>
      <w:r>
        <w:rPr>
          <w:rFonts w:eastAsia="仿宋_GB2312"/>
          <w:sz w:val="32"/>
          <w:szCs w:val="32"/>
          <w:shd w:val="clear" w:color="auto" w:fill="FFFFFF"/>
        </w:rPr>
        <w:t>）、《输油管道工程设计规范》（</w:t>
      </w:r>
      <w:r>
        <w:rPr>
          <w:rFonts w:hint="eastAsia" w:ascii="宋体" w:hAnsi="宋体" w:cs="宋体"/>
          <w:sz w:val="32"/>
          <w:szCs w:val="32"/>
          <w:shd w:val="clear" w:color="auto" w:fill="FFFFFF"/>
        </w:rPr>
        <w:t>GB 50253</w:t>
      </w:r>
      <w:r>
        <w:rPr>
          <w:rFonts w:eastAsia="仿宋_GB2312"/>
          <w:sz w:val="32"/>
          <w:szCs w:val="32"/>
          <w:shd w:val="clear" w:color="auto" w:fill="FFFFFF"/>
        </w:rPr>
        <w:t>）、《油气输送管道完整性管理规范》（</w:t>
      </w:r>
      <w:r>
        <w:rPr>
          <w:rFonts w:hint="eastAsia" w:ascii="宋体" w:hAnsi="宋体" w:cs="宋体"/>
          <w:sz w:val="32"/>
          <w:szCs w:val="32"/>
          <w:shd w:val="clear" w:color="auto" w:fill="FFFFFF"/>
        </w:rPr>
        <w:t>GB 32167</w:t>
      </w:r>
      <w:r>
        <w:rPr>
          <w:rFonts w:eastAsia="仿宋_GB2312"/>
          <w:sz w:val="32"/>
          <w:szCs w:val="32"/>
          <w:shd w:val="clear" w:color="auto" w:fill="FFFFFF"/>
        </w:rPr>
        <w:t>）、《石油天然气工程设计防火规范》（</w:t>
      </w:r>
      <w:r>
        <w:rPr>
          <w:rFonts w:hint="eastAsia" w:ascii="宋体" w:hAnsi="宋体" w:cs="宋体"/>
          <w:sz w:val="32"/>
          <w:szCs w:val="32"/>
          <w:shd w:val="clear" w:color="auto" w:fill="FFFFFF"/>
        </w:rPr>
        <w:t>GB 50183</w:t>
      </w:r>
      <w:r>
        <w:rPr>
          <w:rFonts w:eastAsia="仿宋_GB2312"/>
          <w:sz w:val="32"/>
          <w:szCs w:val="32"/>
          <w:shd w:val="clear" w:color="auto" w:fill="FFFFFF"/>
        </w:rPr>
        <w:t>）等。</w:t>
      </w:r>
    </w:p>
    <w:p w14:paraId="6778BE3D">
      <w:pPr>
        <w:widowControl w:val="0"/>
        <w:numPr>
          <w:ilvl w:val="0"/>
          <w:numId w:val="18"/>
        </w:numPr>
        <w:spacing w:line="560" w:lineRule="exact"/>
        <w:ind w:firstLine="640" w:firstLineChars="200"/>
        <w:textAlignment w:val="auto"/>
        <w:rPr>
          <w:rFonts w:eastAsia="仿宋_GB2312"/>
          <w:sz w:val="32"/>
          <w:szCs w:val="32"/>
          <w:shd w:val="clear" w:color="auto" w:fill="FFFFFF"/>
        </w:rPr>
      </w:pPr>
      <w:r>
        <w:rPr>
          <w:rFonts w:eastAsia="仿宋_GB2312"/>
          <w:sz w:val="32"/>
          <w:szCs w:val="32"/>
          <w:shd w:val="clear" w:color="auto" w:fill="FFFFFF"/>
        </w:rPr>
        <w:t>术语和定义</w:t>
      </w:r>
    </w:p>
    <w:p w14:paraId="1E271349">
      <w:pPr>
        <w:spacing w:line="560" w:lineRule="exact"/>
        <w:ind w:firstLine="640" w:firstLineChars="200"/>
        <w:rPr>
          <w:rFonts w:eastAsia="仿宋_GB2312"/>
          <w:sz w:val="32"/>
          <w:szCs w:val="32"/>
          <w:shd w:val="clear" w:color="auto" w:fill="FFFFFF"/>
        </w:rPr>
      </w:pPr>
      <w:r>
        <w:rPr>
          <w:rFonts w:eastAsia="仿宋_GB2312"/>
          <w:sz w:val="32"/>
          <w:szCs w:val="32"/>
          <w:shd w:val="clear" w:color="auto" w:fill="FFFFFF"/>
        </w:rPr>
        <w:t>为了统一和明确行业相关用语表述，本标准列出了</w:t>
      </w:r>
      <w:r>
        <w:rPr>
          <w:rFonts w:hint="eastAsia" w:ascii="宋体" w:hAnsi="宋体" w:cs="宋体"/>
          <w:sz w:val="32"/>
          <w:szCs w:val="32"/>
          <w:shd w:val="clear" w:color="auto" w:fill="FFFFFF"/>
        </w:rPr>
        <w:t>3</w:t>
      </w:r>
      <w:r>
        <w:rPr>
          <w:rFonts w:eastAsia="仿宋_GB2312"/>
          <w:sz w:val="32"/>
          <w:szCs w:val="32"/>
          <w:shd w:val="clear" w:color="auto" w:fill="FFFFFF"/>
        </w:rPr>
        <w:t>项文中涉及的行业术语和定义，包括“油气长输管道”、“安全设施”及“人员密集型高后果区”。术语和定义的描述部分根据行业内统一认识，结合原标准实施过程中的实际情况，以及评审会和公开征求意见建议，修改相关行业用语的表述。</w:t>
      </w:r>
    </w:p>
    <w:p w14:paraId="5C1BAB4A">
      <w:pPr>
        <w:widowControl w:val="0"/>
        <w:numPr>
          <w:ilvl w:val="0"/>
          <w:numId w:val="18"/>
        </w:numPr>
        <w:spacing w:line="560" w:lineRule="exact"/>
        <w:ind w:firstLine="640" w:firstLineChars="200"/>
        <w:textAlignment w:val="auto"/>
        <w:rPr>
          <w:rFonts w:eastAsia="仿宋_GB2312"/>
          <w:sz w:val="32"/>
          <w:szCs w:val="32"/>
          <w:shd w:val="clear" w:color="auto" w:fill="FFFFFF"/>
        </w:rPr>
      </w:pPr>
      <w:r>
        <w:rPr>
          <w:rFonts w:eastAsia="仿宋_GB2312"/>
          <w:sz w:val="32"/>
          <w:szCs w:val="32"/>
          <w:shd w:val="clear" w:color="auto" w:fill="FFFFFF"/>
        </w:rPr>
        <w:t>评价依据和评价范围</w:t>
      </w:r>
    </w:p>
    <w:p w14:paraId="2C871292">
      <w:pPr>
        <w:spacing w:line="560" w:lineRule="exact"/>
        <w:ind w:firstLine="640" w:firstLineChars="200"/>
        <w:rPr>
          <w:rFonts w:eastAsia="仿宋_GB2312"/>
          <w:sz w:val="32"/>
          <w:szCs w:val="32"/>
          <w:shd w:val="clear" w:color="auto" w:fill="FFFFFF"/>
        </w:rPr>
      </w:pPr>
      <w:r>
        <w:rPr>
          <w:rFonts w:eastAsia="仿宋_GB2312"/>
          <w:sz w:val="32"/>
          <w:szCs w:val="32"/>
          <w:shd w:val="clear" w:color="auto" w:fill="FFFFFF"/>
        </w:rPr>
        <w:t>列出建设项目的有关行政许可、建设单位批复等支持性文件，如</w:t>
      </w:r>
      <w:r>
        <w:rPr>
          <w:rFonts w:eastAsia="仿宋_GB2312"/>
          <w:sz w:val="32"/>
          <w:szCs w:val="32"/>
          <w:shd w:val="clear" w:color="auto" w:fill="FFFFFF"/>
          <w:lang w:val="zh-CN"/>
        </w:rPr>
        <w:t>审批（核准、备案）文件、可行性研究报告批复文件、</w:t>
      </w:r>
      <w:r>
        <w:rPr>
          <w:rFonts w:eastAsia="仿宋_GB2312"/>
          <w:sz w:val="32"/>
          <w:szCs w:val="32"/>
          <w:shd w:val="clear" w:color="auto" w:fill="FFFFFF"/>
        </w:rPr>
        <w:t>沿线路由相关主管部门的批复文件，以说明行政审批的合法性；进一步梳理明确了适用于油气长输管道建设项目的现行国家法律、法规、部门规章、地方法规和规范性文件，以及现行国家和行业标准，避免评价过程中其他行业规定的过度引申应用；提出了说明新建项目与上下游衔接的工程界面和评价界面，按照审批（核准、备案）文件确定评价范围，不应对项目进行拆分，以保证合规性。</w:t>
      </w:r>
    </w:p>
    <w:p w14:paraId="54E038F7">
      <w:pPr>
        <w:widowControl w:val="0"/>
        <w:numPr>
          <w:ilvl w:val="0"/>
          <w:numId w:val="18"/>
        </w:numPr>
        <w:spacing w:line="560" w:lineRule="exact"/>
        <w:ind w:firstLine="640" w:firstLineChars="200"/>
        <w:textAlignment w:val="auto"/>
        <w:rPr>
          <w:rFonts w:eastAsia="仿宋_GB2312"/>
          <w:sz w:val="32"/>
          <w:szCs w:val="32"/>
          <w:shd w:val="clear" w:color="auto" w:fill="FFFFFF"/>
        </w:rPr>
      </w:pPr>
      <w:r>
        <w:rPr>
          <w:rFonts w:eastAsia="仿宋_GB2312"/>
          <w:sz w:val="32"/>
          <w:szCs w:val="32"/>
          <w:shd w:val="clear" w:color="auto" w:fill="FFFFFF"/>
        </w:rPr>
        <w:t>建设项目概况</w:t>
      </w:r>
    </w:p>
    <w:p w14:paraId="38F631F9">
      <w:pPr>
        <w:tabs>
          <w:tab w:val="left" w:pos="0"/>
        </w:tabs>
        <w:spacing w:line="560" w:lineRule="exact"/>
        <w:ind w:firstLine="640" w:firstLineChars="200"/>
        <w:rPr>
          <w:rFonts w:eastAsia="仿宋_GB2312"/>
          <w:sz w:val="32"/>
          <w:szCs w:val="32"/>
          <w:shd w:val="clear" w:color="auto" w:fill="FFFFFF"/>
        </w:rPr>
      </w:pPr>
      <w:r>
        <w:rPr>
          <w:rFonts w:eastAsia="仿宋_GB2312"/>
          <w:sz w:val="32"/>
          <w:szCs w:val="32"/>
          <w:shd w:val="clear" w:color="auto" w:fill="FFFFFF"/>
        </w:rPr>
        <w:t>说明建设项目的基本情况、自然及社会环境概况</w:t>
      </w:r>
      <w:bookmarkStart w:id="291" w:name="_Toc17897009"/>
      <w:bookmarkStart w:id="292" w:name="_Toc523342851"/>
      <w:bookmarkStart w:id="293" w:name="_Toc516995045"/>
      <w:bookmarkStart w:id="294" w:name="_Toc42674404"/>
      <w:bookmarkStart w:id="295" w:name="_Toc44344928"/>
      <w:bookmarkStart w:id="296" w:name="_Toc174058449"/>
      <w:r>
        <w:rPr>
          <w:rFonts w:eastAsia="仿宋_GB2312"/>
          <w:sz w:val="32"/>
          <w:szCs w:val="32"/>
          <w:shd w:val="clear" w:color="auto" w:fill="FFFFFF"/>
        </w:rPr>
        <w:t>、线路工程、站场工程及公用工程</w:t>
      </w:r>
      <w:bookmarkEnd w:id="291"/>
      <w:bookmarkEnd w:id="292"/>
      <w:bookmarkEnd w:id="293"/>
      <w:bookmarkEnd w:id="294"/>
      <w:bookmarkEnd w:id="295"/>
      <w:bookmarkEnd w:id="296"/>
      <w:r>
        <w:rPr>
          <w:rFonts w:eastAsia="仿宋_GB2312"/>
          <w:sz w:val="32"/>
          <w:szCs w:val="32"/>
          <w:shd w:val="clear" w:color="auto" w:fill="FFFFFF"/>
        </w:rPr>
        <w:t>等情况。说明建设单位的经营范围，评价单位的业务范围和资质，明确工作开展的合法、合规性；说明管道输送介质组分及物性；说明管道本体强度设计系数、管材及主要技术、焊接与无损检测、清管、测径、试压等内容；描述建设项目沿线地质灾害、地震和压覆矿产的情况；描述山岭穿越、水域大、中型穿（跨）越等情况；说明管道与架空输电线路并行交叉、与铁路并行交叉、与公路并行交叉、与其他管道并行交叉等情况；说明标识与伴行道路的设置要求；说明站场区域布置、平面及竖向布置、输送工艺、站场工艺及储运设备等内容；说明建设项目公用工程等内容。</w:t>
      </w:r>
    </w:p>
    <w:p w14:paraId="57E7F9EB">
      <w:pPr>
        <w:widowControl w:val="0"/>
        <w:numPr>
          <w:ilvl w:val="0"/>
          <w:numId w:val="18"/>
        </w:numPr>
        <w:spacing w:line="560" w:lineRule="exact"/>
        <w:ind w:firstLine="640" w:firstLineChars="200"/>
        <w:textAlignment w:val="auto"/>
        <w:rPr>
          <w:rFonts w:eastAsia="仿宋_GB2312"/>
          <w:sz w:val="32"/>
          <w:szCs w:val="32"/>
          <w:shd w:val="clear" w:color="auto" w:fill="FFFFFF"/>
        </w:rPr>
      </w:pPr>
      <w:r>
        <w:rPr>
          <w:rFonts w:eastAsia="仿宋_GB2312"/>
          <w:sz w:val="32"/>
          <w:szCs w:val="32"/>
          <w:shd w:val="clear" w:color="auto" w:fill="FFFFFF"/>
        </w:rPr>
        <w:t>评价单元划分与评价方法选择</w:t>
      </w:r>
    </w:p>
    <w:p w14:paraId="796B8BC0">
      <w:pPr>
        <w:tabs>
          <w:tab w:val="left" w:pos="0"/>
        </w:tabs>
        <w:spacing w:line="560" w:lineRule="exact"/>
        <w:ind w:firstLine="640" w:firstLineChars="200"/>
        <w:rPr>
          <w:rFonts w:eastAsia="仿宋_GB2312"/>
          <w:sz w:val="32"/>
          <w:szCs w:val="32"/>
          <w:shd w:val="clear" w:color="auto" w:fill="FFFFFF"/>
        </w:rPr>
      </w:pPr>
      <w:r>
        <w:rPr>
          <w:rFonts w:eastAsia="仿宋_GB2312"/>
          <w:sz w:val="32"/>
          <w:szCs w:val="32"/>
          <w:shd w:val="clear" w:color="auto" w:fill="FFFFFF"/>
        </w:rPr>
        <w:t>针对陆上油气长输管道建设项目风险特点，将评价单元划分为基本安全条件、线路、站场、公用工程和安全管理等单元；列出了常用的安全评价方法。</w:t>
      </w:r>
    </w:p>
    <w:p w14:paraId="2DDD4DB8">
      <w:pPr>
        <w:widowControl w:val="0"/>
        <w:numPr>
          <w:ilvl w:val="0"/>
          <w:numId w:val="18"/>
        </w:numPr>
        <w:spacing w:line="560" w:lineRule="exact"/>
        <w:ind w:firstLine="640" w:firstLineChars="200"/>
        <w:textAlignment w:val="auto"/>
        <w:rPr>
          <w:rFonts w:eastAsia="仿宋_GB2312"/>
          <w:sz w:val="32"/>
          <w:szCs w:val="32"/>
          <w:shd w:val="clear" w:color="auto" w:fill="FFFFFF"/>
        </w:rPr>
      </w:pPr>
      <w:r>
        <w:rPr>
          <w:rFonts w:eastAsia="仿宋_GB2312"/>
          <w:sz w:val="32"/>
          <w:szCs w:val="32"/>
          <w:shd w:val="clear" w:color="auto" w:fill="FFFFFF"/>
        </w:rPr>
        <w:t>危险有害因素辨识</w:t>
      </w:r>
    </w:p>
    <w:p w14:paraId="1DFB672F">
      <w:pPr>
        <w:tabs>
          <w:tab w:val="left" w:pos="0"/>
        </w:tabs>
        <w:spacing w:line="560" w:lineRule="exact"/>
        <w:ind w:firstLine="640" w:firstLineChars="200"/>
        <w:rPr>
          <w:rFonts w:eastAsia="仿宋_GB2312"/>
          <w:sz w:val="32"/>
          <w:szCs w:val="32"/>
          <w:shd w:val="clear" w:color="auto" w:fill="FFFFFF"/>
        </w:rPr>
      </w:pPr>
      <w:r>
        <w:rPr>
          <w:rFonts w:eastAsia="仿宋_GB2312"/>
          <w:sz w:val="32"/>
          <w:szCs w:val="32"/>
          <w:shd w:val="clear" w:color="auto" w:fill="FFFFFF"/>
        </w:rPr>
        <w:t>分别对建设项目输送介质、自然及社会环境、线路工程、站场工程、公用工程等方面进行危险有害因素辨识；分析建设项目与已有项目相互影响及可能产生的危险和有害因素；按照《危险化学品重大危险源辨识》（</w:t>
      </w:r>
      <w:r>
        <w:rPr>
          <w:rFonts w:hint="eastAsia" w:ascii="宋体" w:hAnsi="宋体" w:cs="宋体"/>
          <w:sz w:val="32"/>
          <w:szCs w:val="32"/>
          <w:shd w:val="clear" w:color="auto" w:fill="FFFFFF"/>
        </w:rPr>
        <w:t>GB 18218-2018</w:t>
      </w:r>
      <w:r>
        <w:rPr>
          <w:rFonts w:eastAsia="仿宋_GB2312"/>
          <w:sz w:val="32"/>
          <w:szCs w:val="32"/>
          <w:shd w:val="clear" w:color="auto" w:fill="FFFFFF"/>
        </w:rPr>
        <w:t>）对油品站场进行危险化学品重大危险源辨识。</w:t>
      </w:r>
    </w:p>
    <w:p w14:paraId="50B239A9">
      <w:pPr>
        <w:widowControl w:val="0"/>
        <w:numPr>
          <w:ilvl w:val="0"/>
          <w:numId w:val="18"/>
        </w:numPr>
        <w:spacing w:line="560" w:lineRule="exact"/>
        <w:ind w:firstLine="640" w:firstLineChars="200"/>
        <w:textAlignment w:val="auto"/>
        <w:rPr>
          <w:rFonts w:eastAsia="仿宋_GB2312"/>
          <w:sz w:val="32"/>
          <w:szCs w:val="32"/>
          <w:shd w:val="clear" w:color="auto" w:fill="FFFFFF"/>
        </w:rPr>
      </w:pPr>
      <w:r>
        <w:rPr>
          <w:rFonts w:eastAsia="仿宋_GB2312"/>
          <w:sz w:val="32"/>
          <w:szCs w:val="32"/>
          <w:shd w:val="clear" w:color="auto" w:fill="FFFFFF"/>
        </w:rPr>
        <w:t>单元安全评价</w:t>
      </w:r>
    </w:p>
    <w:p w14:paraId="605ADC16">
      <w:pPr>
        <w:tabs>
          <w:tab w:val="left" w:pos="0"/>
        </w:tabs>
        <w:spacing w:line="560" w:lineRule="exact"/>
        <w:ind w:firstLine="640" w:firstLineChars="200"/>
        <w:rPr>
          <w:rFonts w:eastAsia="仿宋_GB2312"/>
          <w:sz w:val="32"/>
          <w:szCs w:val="32"/>
          <w:shd w:val="clear" w:color="auto" w:fill="FFFFFF"/>
        </w:rPr>
      </w:pPr>
      <w:r>
        <w:rPr>
          <w:rFonts w:eastAsia="仿宋_GB2312"/>
          <w:sz w:val="32"/>
          <w:szCs w:val="32"/>
          <w:shd w:val="clear" w:color="auto" w:fill="FFFFFF"/>
        </w:rPr>
        <w:t>提出安全评价的通用要求，针对不同评价对象分别选用适用的评价方法；按照《输气管道工程设计规范》（</w:t>
      </w:r>
      <w:r>
        <w:rPr>
          <w:rFonts w:hint="eastAsia" w:ascii="宋体" w:hAnsi="宋体" w:cs="宋体"/>
          <w:sz w:val="32"/>
          <w:szCs w:val="32"/>
          <w:shd w:val="clear" w:color="auto" w:fill="FFFFFF"/>
        </w:rPr>
        <w:t>GB 50251-2015</w:t>
      </w:r>
      <w:r>
        <w:rPr>
          <w:rFonts w:eastAsia="仿宋_GB2312"/>
          <w:sz w:val="32"/>
          <w:szCs w:val="32"/>
          <w:shd w:val="clear" w:color="auto" w:fill="FFFFFF"/>
        </w:rPr>
        <w:t>）、《输油管道工程设计规范》（</w:t>
      </w:r>
      <w:r>
        <w:rPr>
          <w:rFonts w:hint="eastAsia" w:ascii="宋体" w:hAnsi="宋体" w:cs="宋体"/>
          <w:sz w:val="32"/>
          <w:szCs w:val="32"/>
          <w:shd w:val="clear" w:color="auto" w:fill="FFFFFF"/>
        </w:rPr>
        <w:t>GB 50253-2015</w:t>
      </w:r>
      <w:r>
        <w:rPr>
          <w:rFonts w:eastAsia="仿宋_GB2312"/>
          <w:sz w:val="32"/>
          <w:szCs w:val="32"/>
          <w:shd w:val="clear" w:color="auto" w:fill="FFFFFF"/>
        </w:rPr>
        <w:t>）等标准，对管道本体管材选取、强度设计系数、输送温度与输送介质进行合规性评价；按照《黄土地区油气输送管道线路设计规范》（</w:t>
      </w:r>
      <w:r>
        <w:rPr>
          <w:rFonts w:hint="eastAsia" w:ascii="宋体" w:hAnsi="宋体" w:cs="宋体"/>
          <w:sz w:val="32"/>
          <w:szCs w:val="32"/>
          <w:shd w:val="clear" w:color="auto" w:fill="FFFFFF"/>
        </w:rPr>
        <w:t>SY/T 7363-2017</w:t>
      </w:r>
      <w:r>
        <w:rPr>
          <w:rFonts w:eastAsia="仿宋_GB2312"/>
          <w:sz w:val="32"/>
          <w:szCs w:val="32"/>
          <w:shd w:val="clear" w:color="auto" w:fill="FFFFFF"/>
        </w:rPr>
        <w:t>）、《多年冻土地区油气输送管道工程设计规范》（</w:t>
      </w:r>
      <w:r>
        <w:rPr>
          <w:rFonts w:hint="eastAsia" w:ascii="宋体" w:hAnsi="宋体" w:cs="宋体"/>
          <w:sz w:val="32"/>
          <w:szCs w:val="32"/>
          <w:shd w:val="clear" w:color="auto" w:fill="FFFFFF"/>
        </w:rPr>
        <w:t>SY/T 7364-2017</w:t>
      </w:r>
      <w:r>
        <w:rPr>
          <w:rFonts w:eastAsia="仿宋_GB2312"/>
          <w:sz w:val="32"/>
          <w:szCs w:val="32"/>
          <w:shd w:val="clear" w:color="auto" w:fill="FFFFFF"/>
        </w:rPr>
        <w:t>）等标准，对管道在一般和特殊地段敷设方式、管道埋深、管沟开挖、管道下沟及回填等进行合规性评价；</w:t>
      </w:r>
      <w:bookmarkStart w:id="297" w:name="_Toc174058455"/>
      <w:r>
        <w:rPr>
          <w:rFonts w:eastAsia="仿宋_GB2312"/>
          <w:sz w:val="32"/>
          <w:szCs w:val="32"/>
          <w:shd w:val="clear" w:color="auto" w:fill="FFFFFF"/>
        </w:rPr>
        <w:t>结合地质灾害危险性评估报告、地质勘察报告、地震安全性评价报告和压覆矿产资源评估报告的结论，评价建设项目沿线地质灾害、地震和压覆矿产的情况，并提出采取的安全措施要求；结合防洪影响评价和通航条件影响评价的结论，</w:t>
      </w:r>
      <w:bookmarkEnd w:id="297"/>
      <w:bookmarkStart w:id="298" w:name="_Toc174058457"/>
      <w:r>
        <w:rPr>
          <w:rFonts w:eastAsia="仿宋_GB2312"/>
          <w:sz w:val="32"/>
          <w:szCs w:val="32"/>
          <w:shd w:val="clear" w:color="auto" w:fill="FFFFFF"/>
        </w:rPr>
        <w:t>提出山岭穿越</w:t>
      </w:r>
      <w:bookmarkEnd w:id="298"/>
      <w:r>
        <w:rPr>
          <w:rFonts w:eastAsia="仿宋_GB2312"/>
          <w:sz w:val="32"/>
          <w:szCs w:val="32"/>
          <w:shd w:val="clear" w:color="auto" w:fill="FFFFFF"/>
        </w:rPr>
        <w:t>、</w:t>
      </w:r>
      <w:bookmarkStart w:id="299" w:name="_Toc174058459"/>
      <w:bookmarkStart w:id="300" w:name="_Toc17897020"/>
      <w:bookmarkStart w:id="301" w:name="_Toc534982580"/>
      <w:bookmarkStart w:id="302" w:name="_Toc42674415"/>
      <w:bookmarkStart w:id="303" w:name="_Toc44344939"/>
      <w:r>
        <w:rPr>
          <w:rFonts w:eastAsia="仿宋_GB2312"/>
          <w:sz w:val="32"/>
          <w:szCs w:val="32"/>
          <w:shd w:val="clear" w:color="auto" w:fill="FFFFFF"/>
        </w:rPr>
        <w:t>水域大、中型穿（跨）越</w:t>
      </w:r>
      <w:bookmarkEnd w:id="299"/>
      <w:bookmarkEnd w:id="300"/>
      <w:bookmarkEnd w:id="301"/>
      <w:bookmarkEnd w:id="302"/>
      <w:bookmarkEnd w:id="303"/>
      <w:r>
        <w:rPr>
          <w:rFonts w:eastAsia="仿宋_GB2312"/>
          <w:sz w:val="32"/>
          <w:szCs w:val="32"/>
          <w:shd w:val="clear" w:color="auto" w:fill="FFFFFF"/>
        </w:rPr>
        <w:t>的安全措施要求；</w:t>
      </w:r>
      <w:bookmarkStart w:id="304" w:name="_Toc42674416"/>
      <w:bookmarkStart w:id="305" w:name="_Toc534982582"/>
      <w:bookmarkStart w:id="306" w:name="_Toc44344940"/>
      <w:bookmarkStart w:id="307" w:name="_Toc174058460"/>
      <w:bookmarkStart w:id="308" w:name="_Toc17897021"/>
      <w:r>
        <w:rPr>
          <w:rFonts w:eastAsia="仿宋_GB2312"/>
          <w:sz w:val="32"/>
          <w:szCs w:val="32"/>
          <w:shd w:val="clear" w:color="auto" w:fill="FFFFFF"/>
        </w:rPr>
        <w:t>按照《油气输送管道与铁路交汇工程技术及管理规定》《关于规范公路桥梁与石油天然气管道交叉工程管理的通知》等规定，评价管道与架空输电线路并行交叉</w:t>
      </w:r>
      <w:bookmarkEnd w:id="304"/>
      <w:bookmarkEnd w:id="305"/>
      <w:bookmarkEnd w:id="306"/>
      <w:bookmarkEnd w:id="307"/>
      <w:bookmarkEnd w:id="308"/>
      <w:r>
        <w:rPr>
          <w:rFonts w:eastAsia="仿宋_GB2312"/>
          <w:sz w:val="32"/>
          <w:szCs w:val="32"/>
          <w:shd w:val="clear" w:color="auto" w:fill="FFFFFF"/>
        </w:rPr>
        <w:t>、</w:t>
      </w:r>
      <w:bookmarkStart w:id="309" w:name="_Toc44344941"/>
      <w:bookmarkStart w:id="310" w:name="_Toc534982584"/>
      <w:bookmarkStart w:id="311" w:name="_Toc17897022"/>
      <w:bookmarkStart w:id="312" w:name="_Toc174058461"/>
      <w:bookmarkStart w:id="313" w:name="_Toc42674417"/>
      <w:r>
        <w:rPr>
          <w:rFonts w:eastAsia="仿宋_GB2312"/>
          <w:sz w:val="32"/>
          <w:szCs w:val="32"/>
          <w:shd w:val="clear" w:color="auto" w:fill="FFFFFF"/>
        </w:rPr>
        <w:t>与铁路并行交叉</w:t>
      </w:r>
      <w:bookmarkEnd w:id="309"/>
      <w:bookmarkEnd w:id="310"/>
      <w:bookmarkEnd w:id="311"/>
      <w:bookmarkEnd w:id="312"/>
      <w:bookmarkEnd w:id="313"/>
      <w:r>
        <w:rPr>
          <w:rFonts w:eastAsia="仿宋_GB2312"/>
          <w:sz w:val="32"/>
          <w:szCs w:val="32"/>
          <w:shd w:val="clear" w:color="auto" w:fill="FFFFFF"/>
        </w:rPr>
        <w:t>、与公路并行交叉、</w:t>
      </w:r>
      <w:bookmarkStart w:id="314" w:name="_Toc42674419"/>
      <w:bookmarkStart w:id="315" w:name="_Toc44344943"/>
      <w:bookmarkStart w:id="316" w:name="_Toc174058463"/>
      <w:bookmarkStart w:id="317" w:name="_Toc17897024"/>
      <w:bookmarkStart w:id="318" w:name="_Toc534982587"/>
      <w:r>
        <w:rPr>
          <w:rFonts w:eastAsia="仿宋_GB2312"/>
          <w:sz w:val="32"/>
          <w:szCs w:val="32"/>
          <w:shd w:val="clear" w:color="auto" w:fill="FFFFFF"/>
        </w:rPr>
        <w:t>与其他管道并行交叉</w:t>
      </w:r>
      <w:bookmarkEnd w:id="314"/>
      <w:bookmarkEnd w:id="315"/>
      <w:bookmarkEnd w:id="316"/>
      <w:bookmarkEnd w:id="317"/>
      <w:bookmarkEnd w:id="318"/>
      <w:bookmarkStart w:id="319" w:name="_Toc174058464"/>
      <w:r>
        <w:rPr>
          <w:rFonts w:eastAsia="仿宋_GB2312"/>
          <w:sz w:val="32"/>
          <w:szCs w:val="32"/>
          <w:shd w:val="clear" w:color="auto" w:fill="FFFFFF"/>
        </w:rPr>
        <w:t>的合规性；</w:t>
      </w:r>
      <w:bookmarkEnd w:id="319"/>
      <w:r>
        <w:rPr>
          <w:rFonts w:eastAsia="仿宋_GB2312"/>
          <w:sz w:val="32"/>
          <w:szCs w:val="32"/>
          <w:shd w:val="clear" w:color="auto" w:fill="FFFFFF"/>
        </w:rPr>
        <w:t>按照《输气管道工程设计规范》（</w:t>
      </w:r>
      <w:r>
        <w:rPr>
          <w:rFonts w:hint="eastAsia" w:ascii="宋体" w:hAnsi="宋体" w:cs="宋体"/>
          <w:sz w:val="32"/>
          <w:szCs w:val="32"/>
          <w:shd w:val="clear" w:color="auto" w:fill="FFFFFF"/>
        </w:rPr>
        <w:t>GB 50251-2015</w:t>
      </w:r>
      <w:r>
        <w:rPr>
          <w:rFonts w:eastAsia="仿宋_GB2312"/>
          <w:sz w:val="32"/>
          <w:szCs w:val="32"/>
          <w:shd w:val="clear" w:color="auto" w:fill="FFFFFF"/>
        </w:rPr>
        <w:t>）、《石油天然气工程设计防火规范》（</w:t>
      </w:r>
      <w:r>
        <w:rPr>
          <w:rFonts w:hint="eastAsia" w:ascii="宋体" w:hAnsi="宋体" w:cs="宋体"/>
          <w:sz w:val="32"/>
          <w:szCs w:val="32"/>
          <w:shd w:val="clear" w:color="auto" w:fill="FFFFFF"/>
        </w:rPr>
        <w:t>GB 50183-2004</w:t>
      </w:r>
      <w:r>
        <w:rPr>
          <w:rFonts w:eastAsia="仿宋_GB2312"/>
          <w:sz w:val="32"/>
          <w:szCs w:val="32"/>
          <w:shd w:val="clear" w:color="auto" w:fill="FFFFFF"/>
        </w:rPr>
        <w:t>）等标准，评价站场区域布置、平面布置的防火间距合规性；结合实际安全需要，对改建、扩建站场，分析建设项目间的安全影响及可能产生的风险，并提出需采取的安全措施；新增了按照《危险化学品生产装置和储存设施风险基准》（</w:t>
      </w:r>
      <w:r>
        <w:rPr>
          <w:rFonts w:hint="eastAsia" w:ascii="宋体" w:hAnsi="宋体" w:cs="宋体"/>
          <w:sz w:val="32"/>
          <w:szCs w:val="32"/>
          <w:shd w:val="clear" w:color="auto" w:fill="FFFFFF"/>
        </w:rPr>
        <w:t>GB 36894-2018</w:t>
      </w:r>
      <w:r>
        <w:rPr>
          <w:rFonts w:eastAsia="仿宋_GB2312"/>
          <w:sz w:val="32"/>
          <w:szCs w:val="32"/>
          <w:shd w:val="clear" w:color="auto" w:fill="FFFFFF"/>
        </w:rPr>
        <w:t>）对四级及以上站场进行定量风险评价，确定个人风险和社会风险的要求；按照《安全防范工程技术标准》（</w:t>
      </w:r>
      <w:r>
        <w:rPr>
          <w:rFonts w:hint="eastAsia" w:ascii="宋体" w:hAnsi="宋体" w:cs="宋体"/>
          <w:sz w:val="32"/>
          <w:szCs w:val="32"/>
          <w:shd w:val="clear" w:color="auto" w:fill="FFFFFF"/>
        </w:rPr>
        <w:t>GB 50348-2018</w:t>
      </w:r>
      <w:r>
        <w:rPr>
          <w:rFonts w:eastAsia="仿宋_GB2312"/>
          <w:sz w:val="32"/>
          <w:szCs w:val="32"/>
          <w:shd w:val="clear" w:color="auto" w:fill="FFFFFF"/>
        </w:rPr>
        <w:t>）、《石油天然气工程可燃气体和有毒气体检测报警系统安全规范》（</w:t>
      </w:r>
      <w:r>
        <w:rPr>
          <w:rFonts w:hint="eastAsia" w:ascii="宋体" w:hAnsi="宋体" w:cs="宋体"/>
          <w:sz w:val="32"/>
          <w:szCs w:val="32"/>
          <w:shd w:val="clear" w:color="auto" w:fill="FFFFFF"/>
        </w:rPr>
        <w:t>SY/T 6503-2022</w:t>
      </w:r>
      <w:r>
        <w:rPr>
          <w:rFonts w:eastAsia="仿宋_GB2312"/>
          <w:sz w:val="32"/>
          <w:szCs w:val="32"/>
          <w:shd w:val="clear" w:color="auto" w:fill="FFFFFF"/>
        </w:rPr>
        <w:t>）等标准，分别分析自控、通信、供配电、防腐与保温、采暖通风等合规性情况。</w:t>
      </w:r>
    </w:p>
    <w:p w14:paraId="18BA3413">
      <w:pPr>
        <w:spacing w:line="560" w:lineRule="exact"/>
        <w:ind w:firstLine="640" w:firstLineChars="200"/>
        <w:rPr>
          <w:rFonts w:eastAsia="仿宋_GB2312"/>
          <w:color w:val="FF0000"/>
          <w:sz w:val="32"/>
          <w:szCs w:val="32"/>
          <w:shd w:val="clear" w:color="auto" w:fill="FFFFFF"/>
        </w:rPr>
      </w:pPr>
      <w:r>
        <w:rPr>
          <w:rFonts w:eastAsia="仿宋_GB2312"/>
          <w:sz w:val="32"/>
          <w:szCs w:val="32"/>
          <w:shd w:val="clear" w:color="auto" w:fill="FFFFFF"/>
        </w:rPr>
        <w:t>根据《国家安全监管总局等八部门关于加强油气输送管道途经人员密集场所高后果区安全管理工作的通知》（安监总管三</w:t>
      </w:r>
      <w:r>
        <w:rPr>
          <w:rFonts w:hint="eastAsia" w:ascii="宋体" w:hAnsi="宋体" w:cs="宋体"/>
          <w:sz w:val="32"/>
          <w:szCs w:val="32"/>
          <w:shd w:val="clear" w:color="auto" w:fill="FFFFFF"/>
        </w:rPr>
        <w:t>〔2017〕138</w:t>
      </w:r>
      <w:r>
        <w:rPr>
          <w:rFonts w:eastAsia="仿宋_GB2312"/>
          <w:sz w:val="32"/>
          <w:szCs w:val="32"/>
          <w:shd w:val="clear" w:color="auto" w:fill="FFFFFF"/>
        </w:rPr>
        <w:t>号）和《油气输送管道完整性管理规范》（</w:t>
      </w:r>
      <w:r>
        <w:rPr>
          <w:rFonts w:hint="eastAsia" w:ascii="宋体" w:hAnsi="宋体" w:cs="宋体"/>
          <w:sz w:val="32"/>
          <w:szCs w:val="32"/>
          <w:shd w:val="clear" w:color="auto" w:fill="FFFFFF"/>
        </w:rPr>
        <w:t>GB 32167-2015</w:t>
      </w:r>
      <w:r>
        <w:rPr>
          <w:rFonts w:eastAsia="仿宋_GB2312"/>
          <w:sz w:val="32"/>
          <w:szCs w:val="32"/>
          <w:shd w:val="clear" w:color="auto" w:fill="FFFFFF"/>
        </w:rPr>
        <w:t>）等规定，加强途经人员密集型高后果区管道的安全防控措施，保障人身生命安全。标准提出建设项目要对</w:t>
      </w:r>
      <w:r>
        <w:rPr>
          <w:rFonts w:hint="eastAsia" w:ascii="宋体" w:hAnsi="宋体" w:cs="宋体"/>
          <w:sz w:val="32"/>
          <w:szCs w:val="32"/>
          <w:shd w:val="clear" w:color="auto" w:fill="FFFFFF"/>
        </w:rPr>
        <w:t>Ⅲ</w:t>
      </w:r>
      <w:r>
        <w:rPr>
          <w:rFonts w:eastAsia="仿宋_GB2312"/>
          <w:sz w:val="32"/>
          <w:szCs w:val="32"/>
          <w:shd w:val="clear" w:color="auto" w:fill="FFFFFF"/>
        </w:rPr>
        <w:t>级人员密集型高后果区管段开展定量风险评价，确保个人风险满足要求。</w:t>
      </w:r>
    </w:p>
    <w:p w14:paraId="3A6C8EF3">
      <w:pPr>
        <w:widowControl w:val="0"/>
        <w:numPr>
          <w:ilvl w:val="0"/>
          <w:numId w:val="18"/>
        </w:numPr>
        <w:spacing w:line="560" w:lineRule="exact"/>
        <w:ind w:firstLine="640" w:firstLineChars="200"/>
        <w:textAlignment w:val="auto"/>
        <w:rPr>
          <w:rFonts w:eastAsia="仿宋_GB2312"/>
          <w:sz w:val="32"/>
          <w:szCs w:val="32"/>
          <w:shd w:val="clear" w:color="auto" w:fill="FFFFFF"/>
        </w:rPr>
      </w:pPr>
      <w:r>
        <w:rPr>
          <w:rFonts w:eastAsia="仿宋_GB2312"/>
          <w:sz w:val="32"/>
          <w:szCs w:val="32"/>
          <w:shd w:val="clear" w:color="auto" w:fill="FFFFFF"/>
        </w:rPr>
        <w:t>安全管理</w:t>
      </w:r>
    </w:p>
    <w:p w14:paraId="71B4D624">
      <w:pPr>
        <w:spacing w:line="560" w:lineRule="exact"/>
        <w:ind w:firstLine="640" w:firstLineChars="200"/>
        <w:rPr>
          <w:rFonts w:eastAsia="仿宋_GB2312"/>
          <w:sz w:val="32"/>
          <w:szCs w:val="32"/>
          <w:shd w:val="clear" w:color="auto" w:fill="FFFFFF"/>
        </w:rPr>
      </w:pPr>
      <w:r>
        <w:rPr>
          <w:rFonts w:eastAsia="仿宋_GB2312"/>
          <w:sz w:val="32"/>
          <w:szCs w:val="32"/>
          <w:shd w:val="clear" w:color="auto" w:fill="FFFFFF"/>
        </w:rPr>
        <w:t>参照《安全生产法》关于安全管理的相关要求，对</w:t>
      </w:r>
      <w:bookmarkStart w:id="320" w:name="_Toc44344962"/>
      <w:bookmarkStart w:id="321" w:name="_Toc523342886"/>
      <w:bookmarkStart w:id="322" w:name="_Toc516995080"/>
      <w:bookmarkStart w:id="323" w:name="_Toc174058486"/>
      <w:bookmarkStart w:id="324" w:name="_Toc17897043"/>
      <w:bookmarkStart w:id="325" w:name="_Toc42674438"/>
      <w:r>
        <w:rPr>
          <w:rFonts w:eastAsia="仿宋_GB2312"/>
          <w:sz w:val="32"/>
          <w:szCs w:val="32"/>
          <w:shd w:val="clear" w:color="auto" w:fill="FFFFFF"/>
        </w:rPr>
        <w:t>安全管理机构设置</w:t>
      </w:r>
      <w:bookmarkEnd w:id="320"/>
      <w:bookmarkEnd w:id="321"/>
      <w:bookmarkEnd w:id="322"/>
      <w:bookmarkEnd w:id="323"/>
      <w:bookmarkEnd w:id="324"/>
      <w:bookmarkEnd w:id="325"/>
      <w:r>
        <w:rPr>
          <w:rFonts w:eastAsia="仿宋_GB2312"/>
          <w:sz w:val="32"/>
          <w:szCs w:val="32"/>
          <w:shd w:val="clear" w:color="auto" w:fill="FFFFFF"/>
        </w:rPr>
        <w:t>、人员编制与安全管理人员设置、个体安全防护用品配备、抢修机构设置及设备配备、外部依托力量、安全投入等提出了具体的要求。</w:t>
      </w:r>
    </w:p>
    <w:p w14:paraId="4188296D">
      <w:pPr>
        <w:widowControl w:val="0"/>
        <w:numPr>
          <w:ilvl w:val="0"/>
          <w:numId w:val="18"/>
        </w:numPr>
        <w:spacing w:line="560" w:lineRule="exact"/>
        <w:ind w:firstLine="640" w:firstLineChars="200"/>
        <w:textAlignment w:val="auto"/>
        <w:rPr>
          <w:rFonts w:eastAsia="仿宋_GB2312"/>
          <w:sz w:val="32"/>
          <w:szCs w:val="32"/>
          <w:shd w:val="clear" w:color="auto" w:fill="FFFFFF"/>
        </w:rPr>
      </w:pPr>
      <w:r>
        <w:rPr>
          <w:rFonts w:eastAsia="仿宋_GB2312"/>
          <w:sz w:val="32"/>
          <w:szCs w:val="32"/>
          <w:shd w:val="clear" w:color="auto" w:fill="FFFFFF"/>
        </w:rPr>
        <w:t>结论与建议</w:t>
      </w:r>
    </w:p>
    <w:p w14:paraId="1FAA084D">
      <w:pPr>
        <w:spacing w:line="560" w:lineRule="exact"/>
        <w:ind w:firstLine="640" w:firstLineChars="200"/>
        <w:rPr>
          <w:rFonts w:eastAsia="仿宋_GB2312"/>
          <w:sz w:val="32"/>
          <w:szCs w:val="32"/>
          <w:shd w:val="clear" w:color="auto" w:fill="FFFFFF"/>
        </w:rPr>
      </w:pPr>
      <w:r>
        <w:rPr>
          <w:rFonts w:eastAsia="仿宋_GB2312"/>
          <w:sz w:val="32"/>
          <w:szCs w:val="32"/>
          <w:shd w:val="clear" w:color="auto" w:fill="FFFFFF"/>
        </w:rPr>
        <w:t>规定了安全预评价报告结论的内容，并针对安全设施设计、施工、生产运行等阶段提出针对性建议。</w:t>
      </w:r>
    </w:p>
    <w:p w14:paraId="590D334F">
      <w:pPr>
        <w:widowControl w:val="0"/>
        <w:numPr>
          <w:ilvl w:val="0"/>
          <w:numId w:val="18"/>
        </w:numPr>
        <w:spacing w:line="560" w:lineRule="exact"/>
        <w:ind w:firstLine="640" w:firstLineChars="200"/>
        <w:textAlignment w:val="auto"/>
        <w:rPr>
          <w:rFonts w:eastAsia="仿宋_GB2312"/>
          <w:sz w:val="32"/>
          <w:szCs w:val="32"/>
          <w:shd w:val="clear" w:color="auto" w:fill="FFFFFF"/>
        </w:rPr>
      </w:pPr>
      <w:r>
        <w:rPr>
          <w:rFonts w:eastAsia="仿宋_GB2312"/>
          <w:sz w:val="32"/>
          <w:szCs w:val="32"/>
          <w:shd w:val="clear" w:color="auto" w:fill="FFFFFF"/>
        </w:rPr>
        <w:t>与建设单位交换意见</w:t>
      </w:r>
    </w:p>
    <w:p w14:paraId="6A764686">
      <w:pPr>
        <w:spacing w:line="560" w:lineRule="exact"/>
        <w:ind w:firstLine="640" w:firstLineChars="200"/>
        <w:rPr>
          <w:rFonts w:eastAsia="仿宋_GB2312"/>
          <w:sz w:val="32"/>
          <w:szCs w:val="32"/>
          <w:shd w:val="clear" w:color="auto" w:fill="FFFFFF"/>
        </w:rPr>
      </w:pPr>
      <w:r>
        <w:rPr>
          <w:rFonts w:eastAsia="仿宋_GB2312"/>
          <w:sz w:val="32"/>
          <w:szCs w:val="32"/>
          <w:shd w:val="clear" w:color="auto" w:fill="FFFFFF"/>
        </w:rPr>
        <w:t>规定了建设单位应对安全预评价报告组织内审，并明确相互交换意见的情况。</w:t>
      </w:r>
    </w:p>
    <w:p w14:paraId="567C60F0">
      <w:pPr>
        <w:widowControl w:val="0"/>
        <w:numPr>
          <w:ilvl w:val="0"/>
          <w:numId w:val="18"/>
        </w:numPr>
        <w:spacing w:line="560" w:lineRule="exact"/>
        <w:ind w:firstLine="640" w:firstLineChars="200"/>
        <w:textAlignment w:val="auto"/>
        <w:rPr>
          <w:rFonts w:eastAsia="仿宋_GB2312"/>
          <w:sz w:val="32"/>
          <w:szCs w:val="32"/>
          <w:shd w:val="clear" w:color="auto" w:fill="FFFFFF"/>
        </w:rPr>
      </w:pPr>
      <w:r>
        <w:rPr>
          <w:rFonts w:eastAsia="仿宋_GB2312"/>
          <w:sz w:val="32"/>
          <w:szCs w:val="32"/>
          <w:shd w:val="clear" w:color="auto" w:fill="FFFFFF"/>
        </w:rPr>
        <w:t>附件与附图</w:t>
      </w:r>
    </w:p>
    <w:p w14:paraId="7C9FC45B">
      <w:pPr>
        <w:spacing w:line="560" w:lineRule="exact"/>
        <w:ind w:firstLine="640" w:firstLineChars="200"/>
        <w:rPr>
          <w:rFonts w:eastAsia="仿宋_GB2312"/>
          <w:sz w:val="32"/>
          <w:szCs w:val="32"/>
          <w:shd w:val="clear" w:color="auto" w:fill="FFFFFF"/>
        </w:rPr>
      </w:pPr>
      <w:r>
        <w:rPr>
          <w:rFonts w:eastAsia="仿宋_GB2312"/>
          <w:sz w:val="32"/>
          <w:szCs w:val="32"/>
          <w:shd w:val="clear" w:color="auto" w:fill="FFFFFF"/>
        </w:rPr>
        <w:t>规定了安全预评价工作要求的附件和附图要求。</w:t>
      </w:r>
    </w:p>
    <w:p w14:paraId="183CC9DA">
      <w:pPr>
        <w:widowControl w:val="0"/>
        <w:numPr>
          <w:ilvl w:val="0"/>
          <w:numId w:val="18"/>
        </w:numPr>
        <w:spacing w:line="560" w:lineRule="exact"/>
        <w:ind w:firstLine="640" w:firstLineChars="200"/>
        <w:textAlignment w:val="auto"/>
        <w:rPr>
          <w:rFonts w:eastAsia="仿宋_GB2312"/>
          <w:sz w:val="32"/>
          <w:szCs w:val="32"/>
          <w:shd w:val="clear" w:color="auto" w:fill="FFFFFF"/>
        </w:rPr>
      </w:pPr>
      <w:r>
        <w:rPr>
          <w:rFonts w:eastAsia="仿宋_GB2312"/>
          <w:sz w:val="32"/>
          <w:szCs w:val="32"/>
          <w:shd w:val="clear" w:color="auto" w:fill="FFFFFF"/>
        </w:rPr>
        <w:t>报告编制要求</w:t>
      </w:r>
    </w:p>
    <w:p w14:paraId="6F186E29">
      <w:pPr>
        <w:spacing w:line="560" w:lineRule="exact"/>
        <w:ind w:firstLine="640" w:firstLineChars="200"/>
        <w:rPr>
          <w:rFonts w:eastAsia="仿宋_GB2312"/>
          <w:sz w:val="32"/>
          <w:szCs w:val="32"/>
          <w:shd w:val="clear" w:color="auto" w:fill="FFFFFF"/>
        </w:rPr>
      </w:pPr>
      <w:r>
        <w:rPr>
          <w:rFonts w:eastAsia="仿宋_GB2312"/>
          <w:sz w:val="32"/>
          <w:szCs w:val="32"/>
          <w:shd w:val="clear" w:color="auto" w:fill="FFFFFF"/>
        </w:rPr>
        <w:t>规定了安全预评价报告结构、字号和字体、纸张、排版、印刷、封装的要求。</w:t>
      </w:r>
    </w:p>
    <w:p w14:paraId="1746FD0E">
      <w:pPr>
        <w:spacing w:line="560" w:lineRule="exact"/>
        <w:ind w:firstLine="640" w:firstLineChars="200"/>
        <w:rPr>
          <w:rFonts w:eastAsia="楷体"/>
          <w:sz w:val="32"/>
          <w:szCs w:val="32"/>
          <w:shd w:val="clear" w:color="auto" w:fill="FFFFFF"/>
        </w:rPr>
      </w:pPr>
      <w:r>
        <w:rPr>
          <w:rFonts w:eastAsia="楷体"/>
          <w:sz w:val="32"/>
          <w:szCs w:val="32"/>
          <w:shd w:val="clear" w:color="auto" w:fill="FFFFFF"/>
        </w:rPr>
        <w:t>（三）标准修订变化及依据</w:t>
      </w:r>
    </w:p>
    <w:p w14:paraId="1966B3C4">
      <w:pPr>
        <w:spacing w:line="560" w:lineRule="exact"/>
        <w:ind w:firstLine="640" w:firstLineChars="200"/>
        <w:rPr>
          <w:rFonts w:eastAsia="仿宋_GB2312"/>
          <w:sz w:val="32"/>
          <w:szCs w:val="32"/>
          <w:shd w:val="clear" w:color="auto" w:fill="FFFFFF"/>
        </w:rPr>
      </w:pPr>
      <w:r>
        <w:rPr>
          <w:rFonts w:eastAsia="仿宋_GB2312"/>
          <w:sz w:val="32"/>
          <w:szCs w:val="32"/>
          <w:shd w:val="clear" w:color="auto" w:fill="FFFFFF"/>
        </w:rPr>
        <w:t>本文件代替《陆上油气管道建设项目安全预评价报告》（</w:t>
      </w:r>
      <w:r>
        <w:rPr>
          <w:rFonts w:hint="eastAsia" w:ascii="宋体" w:hAnsi="宋体" w:cs="宋体"/>
          <w:sz w:val="32"/>
          <w:szCs w:val="32"/>
          <w:shd w:val="clear" w:color="auto" w:fill="FFFFFF"/>
        </w:rPr>
        <w:t>AQ/T 3057-2019</w:t>
      </w:r>
      <w:r>
        <w:rPr>
          <w:rFonts w:eastAsia="仿宋_GB2312"/>
          <w:sz w:val="32"/>
          <w:szCs w:val="32"/>
          <w:shd w:val="clear" w:color="auto" w:fill="FFFFFF"/>
        </w:rPr>
        <w:t>），与</w:t>
      </w:r>
      <w:r>
        <w:rPr>
          <w:rFonts w:hint="eastAsia" w:ascii="宋体" w:hAnsi="宋体" w:cs="宋体"/>
          <w:sz w:val="32"/>
          <w:szCs w:val="32"/>
          <w:shd w:val="clear" w:color="auto" w:fill="FFFFFF"/>
        </w:rPr>
        <w:t>AQ/T 3058-2019</w:t>
      </w:r>
      <w:r>
        <w:rPr>
          <w:rFonts w:eastAsia="仿宋_GB2312"/>
          <w:sz w:val="32"/>
          <w:szCs w:val="32"/>
          <w:shd w:val="clear" w:color="auto" w:fill="FFFFFF"/>
        </w:rPr>
        <w:t>相比，主要技术变化如下：</w:t>
      </w:r>
    </w:p>
    <w:p w14:paraId="140B2A17">
      <w:pPr>
        <w:widowControl w:val="0"/>
        <w:numPr>
          <w:ilvl w:val="0"/>
          <w:numId w:val="19"/>
        </w:numPr>
        <w:spacing w:line="360" w:lineRule="auto"/>
        <w:ind w:firstLine="640" w:firstLineChars="200"/>
        <w:textAlignment w:val="auto"/>
        <w:rPr>
          <w:rFonts w:eastAsia="仿宋_GB2312"/>
          <w:sz w:val="32"/>
          <w:szCs w:val="32"/>
          <w:shd w:val="clear" w:color="auto" w:fill="FFFFFF"/>
        </w:rPr>
      </w:pPr>
      <w:r>
        <w:rPr>
          <w:rFonts w:eastAsia="仿宋_GB2312"/>
          <w:sz w:val="32"/>
          <w:szCs w:val="32"/>
          <w:shd w:val="clear" w:color="auto" w:fill="FFFFFF"/>
        </w:rPr>
        <w:t>参照《油气长输管道人员密集型高后果区安全风险排查评估指南（试行）》（应急危化</w:t>
      </w:r>
      <w:r>
        <w:rPr>
          <w:rFonts w:hint="eastAsia" w:ascii="宋体" w:hAnsi="宋体" w:cs="宋体"/>
          <w:sz w:val="32"/>
          <w:szCs w:val="32"/>
          <w:shd w:val="clear" w:color="auto" w:fill="FFFFFF"/>
        </w:rPr>
        <w:t>〔2024〕5</w:t>
      </w:r>
      <w:r>
        <w:rPr>
          <w:rFonts w:eastAsia="仿宋_GB2312"/>
          <w:sz w:val="32"/>
          <w:szCs w:val="32"/>
          <w:shd w:val="clear" w:color="auto" w:fill="FFFFFF"/>
        </w:rPr>
        <w:t>号）的适用范围，删除了本标准不适用于海底油气管道，增加了不适用于石油库的厂际和厂内油气管道（见第</w:t>
      </w:r>
      <w:r>
        <w:rPr>
          <w:rFonts w:hint="eastAsia" w:ascii="宋体" w:hAnsi="宋体" w:cs="宋体"/>
          <w:sz w:val="32"/>
          <w:szCs w:val="32"/>
          <w:shd w:val="clear" w:color="auto" w:fill="FFFFFF"/>
        </w:rPr>
        <w:t>1</w:t>
      </w:r>
      <w:r>
        <w:rPr>
          <w:rFonts w:eastAsia="仿宋_GB2312"/>
          <w:sz w:val="32"/>
          <w:szCs w:val="32"/>
          <w:shd w:val="clear" w:color="auto" w:fill="FFFFFF"/>
        </w:rPr>
        <w:t>章，</w:t>
      </w:r>
      <w:r>
        <w:rPr>
          <w:rFonts w:hint="eastAsia" w:ascii="宋体" w:hAnsi="宋体" w:cs="宋体"/>
          <w:sz w:val="32"/>
          <w:szCs w:val="32"/>
          <w:shd w:val="clear" w:color="auto" w:fill="FFFFFF"/>
        </w:rPr>
        <w:t>2019</w:t>
      </w:r>
      <w:r>
        <w:rPr>
          <w:rFonts w:eastAsia="仿宋_GB2312"/>
          <w:sz w:val="32"/>
          <w:szCs w:val="32"/>
          <w:shd w:val="clear" w:color="auto" w:fill="FFFFFF"/>
        </w:rPr>
        <w:t>年版的第</w:t>
      </w:r>
      <w:r>
        <w:rPr>
          <w:rFonts w:hint="eastAsia" w:ascii="宋体" w:hAnsi="宋体" w:cs="宋体"/>
          <w:sz w:val="32"/>
          <w:szCs w:val="32"/>
          <w:shd w:val="clear" w:color="auto" w:fill="FFFFFF"/>
        </w:rPr>
        <w:t>1</w:t>
      </w:r>
      <w:r>
        <w:rPr>
          <w:rFonts w:eastAsia="仿宋_GB2312"/>
          <w:sz w:val="32"/>
          <w:szCs w:val="32"/>
          <w:shd w:val="clear" w:color="auto" w:fill="FFFFFF"/>
        </w:rPr>
        <w:t>章）；</w:t>
      </w:r>
    </w:p>
    <w:p w14:paraId="0B5A7D90">
      <w:pPr>
        <w:widowControl w:val="0"/>
        <w:numPr>
          <w:ilvl w:val="0"/>
          <w:numId w:val="19"/>
        </w:numPr>
        <w:spacing w:line="360" w:lineRule="auto"/>
        <w:ind w:firstLine="640" w:firstLineChars="200"/>
        <w:textAlignment w:val="auto"/>
        <w:rPr>
          <w:rFonts w:eastAsia="仿宋_GB2312"/>
          <w:sz w:val="32"/>
          <w:szCs w:val="32"/>
          <w:shd w:val="clear" w:color="auto" w:fill="FFFFFF"/>
        </w:rPr>
      </w:pPr>
      <w:r>
        <w:rPr>
          <w:rFonts w:eastAsia="仿宋_GB2312"/>
          <w:sz w:val="32"/>
          <w:szCs w:val="32"/>
          <w:shd w:val="clear" w:color="auto" w:fill="FFFFFF"/>
        </w:rPr>
        <w:t>删除了可行性研究报告编制单位资质要求（见</w:t>
      </w:r>
      <w:r>
        <w:rPr>
          <w:rFonts w:hint="eastAsia" w:ascii="宋体" w:hAnsi="宋体" w:cs="宋体"/>
          <w:sz w:val="32"/>
          <w:szCs w:val="32"/>
          <w:shd w:val="clear" w:color="auto" w:fill="FFFFFF"/>
        </w:rPr>
        <w:t>2019</w:t>
      </w:r>
      <w:r>
        <w:rPr>
          <w:rFonts w:eastAsia="仿宋_GB2312"/>
          <w:sz w:val="32"/>
          <w:szCs w:val="32"/>
          <w:shd w:val="clear" w:color="auto" w:fill="FFFFFF"/>
        </w:rPr>
        <w:t>年版的</w:t>
      </w:r>
      <w:r>
        <w:rPr>
          <w:rFonts w:hint="eastAsia" w:ascii="宋体" w:hAnsi="宋体" w:cs="宋体"/>
          <w:sz w:val="32"/>
          <w:szCs w:val="32"/>
          <w:shd w:val="clear" w:color="auto" w:fill="FFFFFF"/>
        </w:rPr>
        <w:t>5.1.2</w:t>
      </w:r>
      <w:r>
        <w:rPr>
          <w:rFonts w:eastAsia="仿宋_GB2312"/>
          <w:sz w:val="32"/>
          <w:szCs w:val="32"/>
          <w:shd w:val="clear" w:color="auto" w:fill="FFFFFF"/>
        </w:rPr>
        <w:t>）；</w:t>
      </w:r>
    </w:p>
    <w:p w14:paraId="298FC28C">
      <w:pPr>
        <w:widowControl w:val="0"/>
        <w:numPr>
          <w:ilvl w:val="0"/>
          <w:numId w:val="19"/>
        </w:numPr>
        <w:spacing w:line="360" w:lineRule="auto"/>
        <w:ind w:firstLine="640" w:firstLineChars="200"/>
        <w:textAlignment w:val="auto"/>
        <w:rPr>
          <w:rFonts w:eastAsia="仿宋_GB2312"/>
          <w:sz w:val="32"/>
          <w:szCs w:val="32"/>
          <w:shd w:val="clear" w:color="auto" w:fill="FFFFFF"/>
        </w:rPr>
      </w:pPr>
      <w:r>
        <w:rPr>
          <w:rFonts w:eastAsia="仿宋_GB2312"/>
          <w:sz w:val="32"/>
          <w:szCs w:val="32"/>
          <w:shd w:val="clear" w:color="auto" w:fill="FFFFFF"/>
        </w:rPr>
        <w:t>参照《安全评价检测检验机构管理办法》（中华人民共和国应急管理部令 第</w:t>
      </w:r>
      <w:r>
        <w:rPr>
          <w:rFonts w:hint="eastAsia" w:ascii="宋体" w:hAnsi="宋体" w:cs="宋体"/>
          <w:sz w:val="32"/>
          <w:szCs w:val="32"/>
          <w:shd w:val="clear" w:color="auto" w:fill="FFFFFF"/>
        </w:rPr>
        <w:t>1</w:t>
      </w:r>
      <w:r>
        <w:rPr>
          <w:rFonts w:eastAsia="仿宋_GB2312"/>
          <w:sz w:val="32"/>
          <w:szCs w:val="32"/>
          <w:shd w:val="clear" w:color="auto" w:fill="FFFFFF"/>
        </w:rPr>
        <w:t>号）有关要求，增加了安全评价机构业务范围要求（见</w:t>
      </w:r>
      <w:r>
        <w:rPr>
          <w:rFonts w:hint="eastAsia" w:ascii="宋体" w:hAnsi="宋体" w:cs="宋体"/>
          <w:sz w:val="32"/>
          <w:szCs w:val="32"/>
          <w:shd w:val="clear" w:color="auto" w:fill="FFFFFF"/>
        </w:rPr>
        <w:t>5.1.3</w:t>
      </w:r>
      <w:r>
        <w:rPr>
          <w:rFonts w:eastAsia="仿宋_GB2312"/>
          <w:sz w:val="32"/>
          <w:szCs w:val="32"/>
          <w:shd w:val="clear" w:color="auto" w:fill="FFFFFF"/>
        </w:rPr>
        <w:t>和</w:t>
      </w:r>
      <w:r>
        <w:rPr>
          <w:rFonts w:hint="eastAsia" w:ascii="宋体" w:hAnsi="宋体" w:cs="宋体"/>
          <w:sz w:val="32"/>
          <w:szCs w:val="32"/>
          <w:shd w:val="clear" w:color="auto" w:fill="FFFFFF"/>
        </w:rPr>
        <w:t>8.2.1</w:t>
      </w:r>
      <w:r>
        <w:rPr>
          <w:rFonts w:eastAsia="仿宋_GB2312"/>
          <w:sz w:val="32"/>
          <w:szCs w:val="32"/>
          <w:shd w:val="clear" w:color="auto" w:fill="FFFFFF"/>
        </w:rPr>
        <w:t>）；</w:t>
      </w:r>
    </w:p>
    <w:p w14:paraId="0B274868">
      <w:pPr>
        <w:widowControl w:val="0"/>
        <w:numPr>
          <w:ilvl w:val="0"/>
          <w:numId w:val="19"/>
        </w:numPr>
        <w:spacing w:line="360" w:lineRule="auto"/>
        <w:ind w:firstLine="640" w:firstLineChars="200"/>
        <w:textAlignment w:val="auto"/>
        <w:rPr>
          <w:rFonts w:eastAsia="仿宋_GB2312"/>
          <w:sz w:val="32"/>
          <w:szCs w:val="32"/>
          <w:shd w:val="clear" w:color="auto" w:fill="FFFFFF"/>
        </w:rPr>
      </w:pPr>
      <w:r>
        <w:rPr>
          <w:rFonts w:eastAsia="仿宋_GB2312"/>
          <w:sz w:val="32"/>
          <w:szCs w:val="32"/>
          <w:shd w:val="clear" w:color="auto" w:fill="FFFFFF"/>
        </w:rPr>
        <w:t>根据《国家安全监管总局等八部门关于加强油气输送管道途经人员密集场所高后果区安全管理工作的通知》（安监总管三</w:t>
      </w:r>
      <w:r>
        <w:rPr>
          <w:rFonts w:hint="eastAsia" w:ascii="宋体" w:hAnsi="宋体" w:cs="宋体"/>
          <w:sz w:val="32"/>
          <w:szCs w:val="32"/>
          <w:shd w:val="clear" w:color="auto" w:fill="FFFFFF"/>
        </w:rPr>
        <w:t>〔2017〕138</w:t>
      </w:r>
      <w:r>
        <w:rPr>
          <w:rFonts w:eastAsia="仿宋_GB2312"/>
          <w:sz w:val="32"/>
          <w:szCs w:val="32"/>
          <w:shd w:val="clear" w:color="auto" w:fill="FFFFFF"/>
        </w:rPr>
        <w:t>号）和《油气输送管道完整性管理规范》（</w:t>
      </w:r>
      <w:r>
        <w:rPr>
          <w:rFonts w:hint="eastAsia" w:ascii="宋体" w:hAnsi="宋体" w:cs="宋体"/>
          <w:sz w:val="32"/>
          <w:szCs w:val="32"/>
          <w:shd w:val="clear" w:color="auto" w:fill="FFFFFF"/>
        </w:rPr>
        <w:t>GB 32167-2015</w:t>
      </w:r>
      <w:r>
        <w:rPr>
          <w:rFonts w:eastAsia="仿宋_GB2312"/>
          <w:sz w:val="32"/>
          <w:szCs w:val="32"/>
          <w:shd w:val="clear" w:color="auto" w:fill="FFFFFF"/>
        </w:rPr>
        <w:t>）等规定，增加了对</w:t>
      </w:r>
      <w:r>
        <w:rPr>
          <w:rFonts w:hint="eastAsia" w:ascii="宋体" w:hAnsi="宋体" w:cs="宋体"/>
          <w:sz w:val="32"/>
          <w:szCs w:val="32"/>
          <w:shd w:val="clear" w:color="auto" w:fill="FFFFFF"/>
        </w:rPr>
        <w:t>Ⅲ</w:t>
      </w:r>
      <w:r>
        <w:rPr>
          <w:rFonts w:eastAsia="仿宋_GB2312"/>
          <w:sz w:val="32"/>
          <w:szCs w:val="32"/>
          <w:shd w:val="clear" w:color="auto" w:fill="FFFFFF"/>
        </w:rPr>
        <w:t>级人员密集型高后果区管段开展定量风险评价的要求（见</w:t>
      </w:r>
      <w:r>
        <w:rPr>
          <w:rFonts w:hint="eastAsia" w:ascii="宋体" w:hAnsi="宋体" w:cs="宋体"/>
          <w:sz w:val="32"/>
          <w:szCs w:val="32"/>
          <w:shd w:val="clear" w:color="auto" w:fill="FFFFFF"/>
        </w:rPr>
        <w:t>8.3.3</w:t>
      </w:r>
      <w:r>
        <w:rPr>
          <w:rFonts w:eastAsia="仿宋_GB2312"/>
          <w:sz w:val="32"/>
          <w:szCs w:val="32"/>
          <w:shd w:val="clear" w:color="auto" w:fill="FFFFFF"/>
        </w:rPr>
        <w:t>）；</w:t>
      </w:r>
    </w:p>
    <w:p w14:paraId="7D11858F">
      <w:pPr>
        <w:widowControl w:val="0"/>
        <w:numPr>
          <w:ilvl w:val="0"/>
          <w:numId w:val="19"/>
        </w:numPr>
        <w:spacing w:line="360" w:lineRule="auto"/>
        <w:ind w:firstLine="640" w:firstLineChars="200"/>
        <w:textAlignment w:val="auto"/>
        <w:rPr>
          <w:rFonts w:eastAsia="仿宋_GB2312"/>
          <w:sz w:val="32"/>
          <w:szCs w:val="32"/>
          <w:shd w:val="clear" w:color="auto" w:fill="FFFFFF"/>
        </w:rPr>
      </w:pPr>
      <w:r>
        <w:rPr>
          <w:rFonts w:eastAsia="仿宋_GB2312"/>
          <w:sz w:val="32"/>
          <w:szCs w:val="32"/>
          <w:shd w:val="clear" w:color="auto" w:fill="FFFFFF"/>
        </w:rPr>
        <w:t>新增了按照《危险化学品生产装置和储存设施外部安全防护距离确定方法》（</w:t>
      </w:r>
      <w:r>
        <w:rPr>
          <w:rFonts w:hint="eastAsia" w:ascii="宋体" w:hAnsi="宋体" w:cs="宋体"/>
          <w:sz w:val="32"/>
          <w:szCs w:val="32"/>
          <w:shd w:val="clear" w:color="auto" w:fill="FFFFFF"/>
        </w:rPr>
        <w:t>GB/T 37243-2018</w:t>
      </w:r>
      <w:r>
        <w:rPr>
          <w:rFonts w:eastAsia="仿宋_GB2312"/>
          <w:sz w:val="32"/>
          <w:szCs w:val="32"/>
          <w:shd w:val="clear" w:color="auto" w:fill="FFFFFF"/>
        </w:rPr>
        <w:t>）和《危险化学品生产装置和储存设施风险基准》（</w:t>
      </w:r>
      <w:r>
        <w:rPr>
          <w:rFonts w:hint="eastAsia" w:ascii="宋体" w:hAnsi="宋体" w:cs="宋体"/>
          <w:sz w:val="32"/>
          <w:szCs w:val="32"/>
          <w:shd w:val="clear" w:color="auto" w:fill="FFFFFF"/>
        </w:rPr>
        <w:t>GB 36894-2018</w:t>
      </w:r>
      <w:r>
        <w:rPr>
          <w:rFonts w:eastAsia="仿宋_GB2312"/>
          <w:sz w:val="32"/>
          <w:szCs w:val="32"/>
          <w:shd w:val="clear" w:color="auto" w:fill="FFFFFF"/>
        </w:rPr>
        <w:t>）对四级及以上站场进行定量风险评价，确定个人风险和社会风险的要求（见</w:t>
      </w:r>
      <w:r>
        <w:rPr>
          <w:rFonts w:hint="eastAsia" w:ascii="宋体" w:hAnsi="宋体" w:cs="宋体"/>
          <w:sz w:val="32"/>
          <w:szCs w:val="32"/>
          <w:shd w:val="clear" w:color="auto" w:fill="FFFFFF"/>
        </w:rPr>
        <w:t>8.4.7</w:t>
      </w:r>
      <w:r>
        <w:rPr>
          <w:rFonts w:eastAsia="仿宋_GB2312"/>
          <w:sz w:val="32"/>
          <w:szCs w:val="32"/>
          <w:shd w:val="clear" w:color="auto" w:fill="FFFFFF"/>
        </w:rPr>
        <w:t>，</w:t>
      </w:r>
      <w:r>
        <w:rPr>
          <w:rFonts w:hint="eastAsia" w:ascii="宋体" w:hAnsi="宋体" w:cs="宋体"/>
          <w:sz w:val="32"/>
          <w:szCs w:val="32"/>
          <w:shd w:val="clear" w:color="auto" w:fill="FFFFFF"/>
        </w:rPr>
        <w:t>2019</w:t>
      </w:r>
      <w:r>
        <w:rPr>
          <w:rFonts w:eastAsia="仿宋_GB2312"/>
          <w:sz w:val="32"/>
          <w:szCs w:val="32"/>
          <w:shd w:val="clear" w:color="auto" w:fill="FFFFFF"/>
        </w:rPr>
        <w:t>年版的</w:t>
      </w:r>
      <w:r>
        <w:rPr>
          <w:rFonts w:hint="eastAsia" w:ascii="宋体" w:hAnsi="宋体" w:cs="宋体"/>
          <w:sz w:val="32"/>
          <w:szCs w:val="32"/>
          <w:shd w:val="clear" w:color="auto" w:fill="FFFFFF"/>
        </w:rPr>
        <w:t>8.3.7</w:t>
      </w:r>
      <w:r>
        <w:rPr>
          <w:rFonts w:eastAsia="仿宋_GB2312"/>
          <w:sz w:val="32"/>
          <w:szCs w:val="32"/>
          <w:shd w:val="clear" w:color="auto" w:fill="FFFFFF"/>
        </w:rPr>
        <w:t>）</w:t>
      </w:r>
    </w:p>
    <w:p w14:paraId="243DBF9A">
      <w:pPr>
        <w:widowControl w:val="0"/>
        <w:numPr>
          <w:ilvl w:val="0"/>
          <w:numId w:val="19"/>
        </w:numPr>
        <w:spacing w:line="360" w:lineRule="auto"/>
        <w:ind w:firstLine="640" w:firstLineChars="200"/>
        <w:textAlignment w:val="auto"/>
        <w:rPr>
          <w:rFonts w:eastAsia="仿宋_GB2312"/>
          <w:sz w:val="32"/>
          <w:szCs w:val="32"/>
          <w:shd w:val="clear" w:color="auto" w:fill="FFFFFF"/>
        </w:rPr>
      </w:pPr>
      <w:r>
        <w:rPr>
          <w:rFonts w:eastAsia="仿宋_GB2312"/>
          <w:sz w:val="32"/>
          <w:szCs w:val="32"/>
          <w:shd w:val="clear" w:color="auto" w:fill="FFFFFF"/>
        </w:rPr>
        <w:t>为进一步明确建设项目的合规性要求，增加了基本安全条件评价单元（见</w:t>
      </w:r>
      <w:r>
        <w:rPr>
          <w:rFonts w:hint="eastAsia" w:ascii="宋体" w:hAnsi="宋体" w:cs="宋体"/>
          <w:sz w:val="32"/>
          <w:szCs w:val="32"/>
          <w:shd w:val="clear" w:color="auto" w:fill="FFFFFF"/>
        </w:rPr>
        <w:t>8.2</w:t>
      </w:r>
      <w:r>
        <w:rPr>
          <w:rFonts w:eastAsia="仿宋_GB2312"/>
          <w:sz w:val="32"/>
          <w:szCs w:val="32"/>
          <w:shd w:val="clear" w:color="auto" w:fill="FFFFFF"/>
        </w:rPr>
        <w:t>）；</w:t>
      </w:r>
    </w:p>
    <w:p w14:paraId="6FEC4C23">
      <w:pPr>
        <w:widowControl w:val="0"/>
        <w:numPr>
          <w:ilvl w:val="0"/>
          <w:numId w:val="19"/>
        </w:numPr>
        <w:spacing w:line="360" w:lineRule="auto"/>
        <w:ind w:firstLine="640" w:firstLineChars="200"/>
        <w:textAlignment w:val="auto"/>
        <w:rPr>
          <w:rFonts w:eastAsia="仿宋_GB2312"/>
          <w:sz w:val="32"/>
          <w:szCs w:val="32"/>
          <w:shd w:val="clear" w:color="auto" w:fill="FFFFFF"/>
        </w:rPr>
      </w:pPr>
      <w:r>
        <w:rPr>
          <w:rFonts w:eastAsia="仿宋_GB2312"/>
          <w:sz w:val="32"/>
          <w:szCs w:val="32"/>
          <w:shd w:val="clear" w:color="auto" w:fill="FFFFFF"/>
        </w:rPr>
        <w:t>修改了重大危险源辨识及评价要求（见</w:t>
      </w:r>
      <w:r>
        <w:rPr>
          <w:rFonts w:hint="eastAsia" w:ascii="宋体" w:hAnsi="宋体" w:cs="宋体"/>
          <w:sz w:val="32"/>
          <w:szCs w:val="32"/>
          <w:shd w:val="clear" w:color="auto" w:fill="FFFFFF"/>
        </w:rPr>
        <w:t>7.7</w:t>
      </w:r>
      <w:r>
        <w:rPr>
          <w:rFonts w:eastAsia="仿宋_GB2312"/>
          <w:sz w:val="32"/>
          <w:szCs w:val="32"/>
          <w:shd w:val="clear" w:color="auto" w:fill="FFFFFF"/>
        </w:rPr>
        <w:t>，</w:t>
      </w:r>
      <w:r>
        <w:rPr>
          <w:rFonts w:hint="eastAsia" w:ascii="宋体" w:hAnsi="宋体" w:cs="宋体"/>
          <w:sz w:val="32"/>
          <w:szCs w:val="32"/>
          <w:shd w:val="clear" w:color="auto" w:fill="FFFFFF"/>
        </w:rPr>
        <w:t>2019</w:t>
      </w:r>
      <w:r>
        <w:rPr>
          <w:rFonts w:eastAsia="仿宋_GB2312"/>
          <w:sz w:val="32"/>
          <w:szCs w:val="32"/>
          <w:shd w:val="clear" w:color="auto" w:fill="FFFFFF"/>
        </w:rPr>
        <w:t>年版的</w:t>
      </w:r>
      <w:r>
        <w:rPr>
          <w:rFonts w:hint="eastAsia" w:ascii="宋体" w:hAnsi="宋体" w:cs="宋体"/>
          <w:sz w:val="32"/>
          <w:szCs w:val="32"/>
          <w:shd w:val="clear" w:color="auto" w:fill="FFFFFF"/>
        </w:rPr>
        <w:t>7.7</w:t>
      </w:r>
      <w:r>
        <w:rPr>
          <w:rFonts w:eastAsia="仿宋_GB2312"/>
          <w:sz w:val="32"/>
          <w:szCs w:val="32"/>
          <w:shd w:val="clear" w:color="auto" w:fill="FFFFFF"/>
        </w:rPr>
        <w:t>）；</w:t>
      </w:r>
    </w:p>
    <w:p w14:paraId="5731C8B5">
      <w:pPr>
        <w:widowControl w:val="0"/>
        <w:numPr>
          <w:ilvl w:val="0"/>
          <w:numId w:val="19"/>
        </w:numPr>
        <w:spacing w:line="360" w:lineRule="auto"/>
        <w:ind w:firstLine="640" w:firstLineChars="200"/>
        <w:textAlignment w:val="auto"/>
        <w:rPr>
          <w:rFonts w:eastAsia="仿宋_GB2312"/>
          <w:sz w:val="32"/>
          <w:szCs w:val="32"/>
          <w:shd w:val="clear" w:color="auto" w:fill="FFFFFF"/>
        </w:rPr>
      </w:pPr>
      <w:r>
        <w:rPr>
          <w:rFonts w:eastAsia="仿宋_GB2312"/>
          <w:sz w:val="32"/>
          <w:szCs w:val="32"/>
          <w:shd w:val="clear" w:color="auto" w:fill="FFFFFF"/>
        </w:rPr>
        <w:t>按照《输气管道工程设计规范》（</w:t>
      </w:r>
      <w:r>
        <w:rPr>
          <w:rFonts w:hint="eastAsia" w:ascii="宋体" w:hAnsi="宋体" w:cs="宋体"/>
          <w:sz w:val="32"/>
          <w:szCs w:val="32"/>
          <w:shd w:val="clear" w:color="auto" w:fill="FFFFFF"/>
        </w:rPr>
        <w:t>GB 50251-2015</w:t>
      </w:r>
      <w:r>
        <w:rPr>
          <w:rFonts w:eastAsia="仿宋_GB2312"/>
          <w:sz w:val="32"/>
          <w:szCs w:val="32"/>
          <w:shd w:val="clear" w:color="auto" w:fill="FFFFFF"/>
        </w:rPr>
        <w:t>）、《石油天然气工程设计防火规范》（</w:t>
      </w:r>
      <w:r>
        <w:rPr>
          <w:rFonts w:hint="eastAsia" w:ascii="宋体" w:hAnsi="宋体" w:cs="宋体"/>
          <w:sz w:val="32"/>
          <w:szCs w:val="32"/>
          <w:shd w:val="clear" w:color="auto" w:fill="FFFFFF"/>
        </w:rPr>
        <w:t>GB 50183-2004</w:t>
      </w:r>
      <w:r>
        <w:rPr>
          <w:rFonts w:eastAsia="仿宋_GB2312"/>
          <w:sz w:val="32"/>
          <w:szCs w:val="32"/>
          <w:shd w:val="clear" w:color="auto" w:fill="FFFFFF"/>
        </w:rPr>
        <w:t>）等标准，增加了站场区域布置、平面及竖向布置防火间距检查等要求（见</w:t>
      </w:r>
      <w:r>
        <w:rPr>
          <w:rFonts w:hint="eastAsia" w:ascii="宋体" w:hAnsi="宋体" w:cs="宋体"/>
          <w:sz w:val="32"/>
          <w:szCs w:val="32"/>
          <w:shd w:val="clear" w:color="auto" w:fill="FFFFFF"/>
        </w:rPr>
        <w:t>8.4.1</w:t>
      </w:r>
      <w:r>
        <w:rPr>
          <w:rFonts w:eastAsia="仿宋_GB2312"/>
          <w:sz w:val="32"/>
          <w:szCs w:val="32"/>
          <w:shd w:val="clear" w:color="auto" w:fill="FFFFFF"/>
        </w:rPr>
        <w:t>和</w:t>
      </w:r>
      <w:r>
        <w:rPr>
          <w:rFonts w:hint="eastAsia" w:ascii="宋体" w:hAnsi="宋体" w:cs="宋体"/>
          <w:sz w:val="32"/>
          <w:szCs w:val="32"/>
          <w:shd w:val="clear" w:color="auto" w:fill="FFFFFF"/>
        </w:rPr>
        <w:t>8.4.2</w:t>
      </w:r>
      <w:r>
        <w:rPr>
          <w:rFonts w:eastAsia="仿宋_GB2312"/>
          <w:sz w:val="32"/>
          <w:szCs w:val="32"/>
          <w:shd w:val="clear" w:color="auto" w:fill="FFFFFF"/>
        </w:rPr>
        <w:t>）；</w:t>
      </w:r>
    </w:p>
    <w:p w14:paraId="2BEDBA78">
      <w:pPr>
        <w:widowControl w:val="0"/>
        <w:numPr>
          <w:ilvl w:val="0"/>
          <w:numId w:val="19"/>
        </w:numPr>
        <w:spacing w:line="360" w:lineRule="auto"/>
        <w:ind w:firstLine="640" w:firstLineChars="200"/>
        <w:textAlignment w:val="auto"/>
        <w:rPr>
          <w:rFonts w:eastAsia="仿宋_GB2312"/>
          <w:sz w:val="32"/>
          <w:szCs w:val="32"/>
          <w:shd w:val="clear" w:color="auto" w:fill="FFFFFF"/>
        </w:rPr>
      </w:pPr>
      <w:r>
        <w:rPr>
          <w:rFonts w:eastAsia="仿宋_GB2312"/>
          <w:sz w:val="32"/>
          <w:szCs w:val="32"/>
          <w:shd w:val="clear" w:color="auto" w:fill="FFFFFF"/>
        </w:rPr>
        <w:t>根据《国家安全监管总局等八部门关于加强油气输送管道途经人员密集场所高后果区安全管理工作的通知》（安监总管三</w:t>
      </w:r>
      <w:r>
        <w:rPr>
          <w:rFonts w:hint="eastAsia" w:ascii="宋体" w:hAnsi="宋体" w:cs="宋体"/>
          <w:sz w:val="32"/>
          <w:szCs w:val="32"/>
          <w:shd w:val="clear" w:color="auto" w:fill="FFFFFF"/>
        </w:rPr>
        <w:t>〔2017〕138</w:t>
      </w:r>
      <w:r>
        <w:rPr>
          <w:rFonts w:eastAsia="仿宋_GB2312"/>
          <w:sz w:val="32"/>
          <w:szCs w:val="32"/>
          <w:shd w:val="clear" w:color="auto" w:fill="FFFFFF"/>
        </w:rPr>
        <w:t>号）和《油气输送管道完整性管理规范》（</w:t>
      </w:r>
      <w:r>
        <w:rPr>
          <w:rFonts w:hint="eastAsia" w:ascii="宋体" w:hAnsi="宋体" w:cs="宋体"/>
          <w:sz w:val="32"/>
          <w:szCs w:val="32"/>
          <w:shd w:val="clear" w:color="auto" w:fill="FFFFFF"/>
        </w:rPr>
        <w:t>GB 32167-2015</w:t>
      </w:r>
      <w:r>
        <w:rPr>
          <w:rFonts w:eastAsia="仿宋_GB2312"/>
          <w:sz w:val="32"/>
          <w:szCs w:val="32"/>
          <w:shd w:val="clear" w:color="auto" w:fill="FFFFFF"/>
        </w:rPr>
        <w:t>）等规定，增加了人员密集型高后果区附图要求（见</w:t>
      </w:r>
      <w:r>
        <w:rPr>
          <w:rFonts w:hint="eastAsia" w:ascii="宋体" w:hAnsi="宋体" w:cs="宋体"/>
          <w:sz w:val="32"/>
          <w:szCs w:val="32"/>
          <w:shd w:val="clear" w:color="auto" w:fill="FFFFFF"/>
        </w:rPr>
        <w:t>12.1</w:t>
      </w:r>
      <w:r>
        <w:rPr>
          <w:rFonts w:eastAsia="仿宋_GB2312"/>
          <w:sz w:val="32"/>
          <w:szCs w:val="32"/>
          <w:shd w:val="clear" w:color="auto" w:fill="FFFFFF"/>
        </w:rPr>
        <w:t>）</w:t>
      </w:r>
      <w:r>
        <w:rPr>
          <w:rFonts w:hint="eastAsia" w:eastAsia="仿宋_GB2312"/>
          <w:sz w:val="32"/>
          <w:szCs w:val="32"/>
          <w:shd w:val="clear" w:color="auto" w:fill="FFFFFF"/>
        </w:rPr>
        <w:t>。</w:t>
      </w:r>
    </w:p>
    <w:p w14:paraId="5A176AF4">
      <w:pPr>
        <w:spacing w:line="360" w:lineRule="auto"/>
        <w:ind w:firstLine="640" w:firstLineChars="200"/>
        <w:rPr>
          <w:rFonts w:ascii="仿宋_GB2312" w:eastAsia="仿宋_GB2312"/>
          <w:sz w:val="32"/>
          <w:szCs w:val="32"/>
          <w:shd w:val="clear" w:color="auto" w:fill="FFFFFF"/>
        </w:rPr>
      </w:pPr>
      <w:r>
        <w:rPr>
          <w:rFonts w:hint="eastAsia" w:ascii="仿宋_GB2312" w:eastAsia="仿宋_GB2312"/>
          <w:color w:val="auto"/>
          <w:sz w:val="32"/>
          <w:szCs w:val="32"/>
          <w:shd w:val="clear" w:color="auto" w:fill="FFFFFF"/>
        </w:rPr>
        <w:t>其他与原</w:t>
      </w:r>
      <w:r>
        <w:rPr>
          <w:rFonts w:hint="eastAsia" w:ascii="宋体" w:hAnsi="宋体" w:cs="宋体"/>
          <w:color w:val="auto"/>
          <w:sz w:val="32"/>
          <w:szCs w:val="32"/>
          <w:shd w:val="clear" w:color="auto" w:fill="FFFFFF"/>
        </w:rPr>
        <w:t>AQ/T 3057-2019</w:t>
      </w:r>
      <w:r>
        <w:rPr>
          <w:rFonts w:hint="eastAsia" w:ascii="仿宋_GB2312" w:eastAsia="仿宋_GB2312"/>
          <w:color w:val="auto"/>
          <w:sz w:val="32"/>
          <w:szCs w:val="32"/>
          <w:shd w:val="clear" w:color="auto" w:fill="FFFFFF"/>
        </w:rPr>
        <w:t>的具体变化分析，见附件</w:t>
      </w:r>
      <w:bookmarkStart w:id="326" w:name="_Toc30241"/>
      <w:bookmarkStart w:id="327" w:name="_Toc4779"/>
      <w:bookmarkStart w:id="328" w:name="_Toc22827"/>
      <w:bookmarkStart w:id="329" w:name="_Toc174058431"/>
      <w:bookmarkStart w:id="330" w:name="_Toc174058392"/>
      <w:bookmarkStart w:id="331" w:name="_Toc173487497"/>
      <w:r>
        <w:rPr>
          <w:rFonts w:hint="eastAsia" w:ascii="仿宋_GB2312" w:eastAsia="仿宋_GB2312"/>
          <w:color w:val="auto"/>
          <w:sz w:val="32"/>
          <w:szCs w:val="32"/>
          <w:shd w:val="clear" w:color="auto" w:fill="FFFFFF"/>
        </w:rPr>
        <w:t>：《陆上油气长输管道建设项目安全预评价导则</w:t>
      </w:r>
      <w:bookmarkEnd w:id="326"/>
      <w:bookmarkEnd w:id="327"/>
      <w:bookmarkEnd w:id="328"/>
      <w:bookmarkEnd w:id="329"/>
      <w:bookmarkEnd w:id="330"/>
      <w:bookmarkEnd w:id="331"/>
      <w:r>
        <w:rPr>
          <w:rFonts w:hint="eastAsia" w:ascii="仿宋_GB2312" w:eastAsia="仿宋_GB2312"/>
          <w:color w:val="auto"/>
          <w:sz w:val="32"/>
          <w:szCs w:val="32"/>
          <w:shd w:val="clear" w:color="auto" w:fill="FFFFFF"/>
        </w:rPr>
        <w:t>》（</w:t>
      </w:r>
      <w:r>
        <w:rPr>
          <w:rFonts w:hint="eastAsia" w:ascii="宋体" w:hAnsi="宋体" w:cs="宋体"/>
          <w:color w:val="auto"/>
          <w:sz w:val="32"/>
          <w:szCs w:val="32"/>
          <w:shd w:val="clear" w:color="auto" w:fill="FFFFFF"/>
        </w:rPr>
        <w:t>AQ 3057</w:t>
      </w:r>
      <w:r>
        <w:rPr>
          <w:rFonts w:hint="eastAsia" w:ascii="仿宋_GB2312" w:eastAsia="仿宋_GB2312"/>
          <w:color w:val="auto"/>
          <w:sz w:val="32"/>
          <w:szCs w:val="32"/>
          <w:shd w:val="clear" w:color="auto" w:fill="FFFFFF"/>
        </w:rPr>
        <w:t>）修订对照表。</w:t>
      </w:r>
    </w:p>
    <w:p w14:paraId="4F6EF8EB">
      <w:pPr>
        <w:spacing w:line="360" w:lineRule="auto"/>
        <w:ind w:firstLine="640" w:firstLineChars="200"/>
        <w:rPr>
          <w:rFonts w:ascii="仿宋_GB2312" w:eastAsia="仿宋_GB2312"/>
          <w:sz w:val="32"/>
          <w:szCs w:val="32"/>
          <w:shd w:val="clear" w:color="auto" w:fill="FFFFFF"/>
        </w:rPr>
      </w:pPr>
    </w:p>
    <w:p w14:paraId="646E8632">
      <w:pPr>
        <w:spacing w:line="360" w:lineRule="auto"/>
        <w:ind w:firstLine="640" w:firstLineChars="200"/>
        <w:rPr>
          <w:rFonts w:ascii="仿宋_GB2312" w:eastAsia="仿宋_GB2312"/>
          <w:sz w:val="32"/>
          <w:szCs w:val="32"/>
          <w:shd w:val="clear" w:color="auto" w:fill="FFFFFF"/>
        </w:rPr>
        <w:sectPr>
          <w:footerReference r:id="rId14" w:type="default"/>
          <w:pgSz w:w="11906" w:h="16838"/>
          <w:pgMar w:top="1701" w:right="1474" w:bottom="1474" w:left="1587" w:header="851" w:footer="992" w:gutter="0"/>
          <w:pgNumType w:fmt="numberInDash" w:start="1"/>
          <w:cols w:space="720" w:num="1"/>
          <w:docGrid w:type="lines" w:linePitch="312" w:charSpace="0"/>
        </w:sectPr>
      </w:pPr>
    </w:p>
    <w:p w14:paraId="70F0B24C">
      <w:pPr>
        <w:jc w:val="center"/>
        <w:rPr>
          <w:rFonts w:hint="eastAsia" w:ascii="方正小标宋_GBK" w:eastAsia="方正小标宋_GBK" w:hAnsiTheme="minorEastAsia" w:cstheme="minorEastAsia"/>
          <w:b/>
          <w:bCs/>
          <w:sz w:val="36"/>
          <w:szCs w:val="36"/>
        </w:rPr>
      </w:pPr>
      <w:r>
        <w:rPr>
          <w:rFonts w:hint="eastAsia" w:ascii="方正小标宋_GBK" w:eastAsia="方正小标宋_GBK" w:hAnsiTheme="minorEastAsia" w:cstheme="minorEastAsia"/>
          <w:b/>
          <w:bCs/>
          <w:sz w:val="36"/>
          <w:szCs w:val="36"/>
        </w:rPr>
        <w:t>《陆上油气长输管道建设项目安全预评价导则》（AQ 3057）修订对照表</w:t>
      </w:r>
    </w:p>
    <w:tbl>
      <w:tblPr>
        <w:tblStyle w:val="36"/>
        <w:tblW w:w="4978"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57"/>
        <w:gridCol w:w="1478"/>
        <w:gridCol w:w="4091"/>
        <w:gridCol w:w="1597"/>
        <w:gridCol w:w="4073"/>
        <w:gridCol w:w="2122"/>
      </w:tblGrid>
      <w:tr w14:paraId="4334B0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blHeader/>
        </w:trPr>
        <w:tc>
          <w:tcPr>
            <w:tcW w:w="165" w:type="pct"/>
            <w:vMerge w:val="restart"/>
            <w:shd w:val="clear" w:color="auto" w:fill="FFFFFF" w:themeFill="background1"/>
            <w:noWrap/>
            <w:vAlign w:val="center"/>
          </w:tcPr>
          <w:p w14:paraId="2F44F092">
            <w:pPr>
              <w:jc w:val="center"/>
              <w:textAlignment w:val="center"/>
              <w:rPr>
                <w:rFonts w:hint="eastAsia" w:ascii="黑体" w:hAnsi="黑体" w:eastAsia="黑体" w:cs="微软雅黑"/>
                <w:sz w:val="28"/>
                <w:szCs w:val="28"/>
              </w:rPr>
            </w:pPr>
            <w:r>
              <w:rPr>
                <w:rFonts w:hint="eastAsia" w:ascii="黑体" w:hAnsi="黑体" w:eastAsia="黑体" w:cs="微软雅黑"/>
                <w:sz w:val="28"/>
                <w:szCs w:val="28"/>
              </w:rPr>
              <w:t>序号</w:t>
            </w:r>
          </w:p>
        </w:tc>
        <w:tc>
          <w:tcPr>
            <w:tcW w:w="2014" w:type="pct"/>
            <w:gridSpan w:val="2"/>
            <w:shd w:val="clear" w:color="auto" w:fill="FFFFFF" w:themeFill="background1"/>
            <w:noWrap/>
            <w:vAlign w:val="center"/>
          </w:tcPr>
          <w:p w14:paraId="02CDCCFC">
            <w:pPr>
              <w:jc w:val="center"/>
              <w:textAlignment w:val="center"/>
              <w:rPr>
                <w:rFonts w:hint="eastAsia" w:ascii="黑体" w:hAnsi="黑体" w:eastAsia="黑体" w:cs="微软雅黑"/>
                <w:sz w:val="28"/>
                <w:szCs w:val="28"/>
              </w:rPr>
            </w:pPr>
            <w:r>
              <w:rPr>
                <w:rFonts w:hint="eastAsia" w:ascii="黑体" w:hAnsi="黑体" w:eastAsia="黑体" w:cs="微软雅黑"/>
                <w:sz w:val="28"/>
                <w:szCs w:val="28"/>
                <w:lang w:bidi="ar"/>
              </w:rPr>
              <w:t>原AQ/T 3057-2019标准</w:t>
            </w:r>
          </w:p>
        </w:tc>
        <w:tc>
          <w:tcPr>
            <w:tcW w:w="2051" w:type="pct"/>
            <w:gridSpan w:val="2"/>
            <w:shd w:val="clear" w:color="auto" w:fill="FFFFFF" w:themeFill="background1"/>
            <w:noWrap/>
            <w:vAlign w:val="center"/>
          </w:tcPr>
          <w:p w14:paraId="2C3D9F03">
            <w:pPr>
              <w:jc w:val="center"/>
              <w:textAlignment w:val="center"/>
              <w:rPr>
                <w:rFonts w:hint="eastAsia" w:ascii="黑体" w:hAnsi="黑体" w:eastAsia="黑体" w:cs="微软雅黑"/>
                <w:sz w:val="28"/>
                <w:szCs w:val="28"/>
              </w:rPr>
            </w:pPr>
            <w:r>
              <w:rPr>
                <w:rFonts w:hint="eastAsia" w:ascii="黑体" w:hAnsi="黑体" w:eastAsia="黑体" w:cs="微软雅黑"/>
                <w:sz w:val="28"/>
                <w:szCs w:val="28"/>
                <w:lang w:bidi="ar"/>
              </w:rPr>
              <w:t>修订后的AQ 3057标准</w:t>
            </w:r>
          </w:p>
        </w:tc>
        <w:tc>
          <w:tcPr>
            <w:tcW w:w="768" w:type="pct"/>
            <w:vMerge w:val="restart"/>
            <w:shd w:val="clear" w:color="auto" w:fill="FFFFFF" w:themeFill="background1"/>
            <w:vAlign w:val="center"/>
          </w:tcPr>
          <w:p w14:paraId="530A0A29">
            <w:pPr>
              <w:jc w:val="center"/>
              <w:textAlignment w:val="center"/>
              <w:rPr>
                <w:rFonts w:hint="eastAsia" w:ascii="黑体" w:hAnsi="黑体" w:eastAsia="黑体" w:cs="微软雅黑"/>
                <w:sz w:val="28"/>
                <w:szCs w:val="28"/>
              </w:rPr>
            </w:pPr>
            <w:r>
              <w:rPr>
                <w:rFonts w:hint="eastAsia" w:ascii="黑体" w:hAnsi="黑体" w:eastAsia="黑体" w:cs="微软雅黑"/>
                <w:sz w:val="28"/>
                <w:szCs w:val="28"/>
                <w:lang w:bidi="ar"/>
              </w:rPr>
              <w:t>差异性</w:t>
            </w:r>
          </w:p>
        </w:tc>
      </w:tr>
      <w:tr w14:paraId="3068DA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blHeader/>
        </w:trPr>
        <w:tc>
          <w:tcPr>
            <w:tcW w:w="165" w:type="pct"/>
            <w:vMerge w:val="continue"/>
            <w:shd w:val="clear" w:color="auto" w:fill="FFFFFF" w:themeFill="background1"/>
            <w:noWrap/>
            <w:vAlign w:val="center"/>
          </w:tcPr>
          <w:p w14:paraId="57546375">
            <w:pPr>
              <w:jc w:val="center"/>
              <w:rPr>
                <w:rFonts w:hint="eastAsia" w:ascii="黑体" w:hAnsi="黑体" w:eastAsia="黑体" w:cs="微软雅黑"/>
                <w:sz w:val="28"/>
                <w:szCs w:val="28"/>
              </w:rPr>
            </w:pPr>
          </w:p>
        </w:tc>
        <w:tc>
          <w:tcPr>
            <w:tcW w:w="535" w:type="pct"/>
            <w:shd w:val="clear" w:color="auto" w:fill="FFFFFF" w:themeFill="background1"/>
            <w:noWrap/>
            <w:vAlign w:val="center"/>
          </w:tcPr>
          <w:p w14:paraId="5B785811">
            <w:pPr>
              <w:jc w:val="center"/>
              <w:textAlignment w:val="center"/>
              <w:rPr>
                <w:rFonts w:hint="eastAsia" w:ascii="黑体" w:hAnsi="黑体" w:eastAsia="黑体" w:cs="微软雅黑"/>
                <w:sz w:val="28"/>
                <w:szCs w:val="28"/>
              </w:rPr>
            </w:pPr>
            <w:r>
              <w:rPr>
                <w:rFonts w:hint="eastAsia" w:ascii="黑体" w:hAnsi="黑体" w:eastAsia="黑体" w:cs="微软雅黑"/>
                <w:sz w:val="28"/>
                <w:szCs w:val="28"/>
                <w:lang w:bidi="ar"/>
              </w:rPr>
              <w:t>条款号</w:t>
            </w:r>
          </w:p>
        </w:tc>
        <w:tc>
          <w:tcPr>
            <w:tcW w:w="1479" w:type="pct"/>
            <w:shd w:val="clear" w:color="auto" w:fill="FFFFFF" w:themeFill="background1"/>
            <w:vAlign w:val="center"/>
          </w:tcPr>
          <w:p w14:paraId="32D778D7">
            <w:pPr>
              <w:jc w:val="center"/>
              <w:textAlignment w:val="center"/>
              <w:rPr>
                <w:rFonts w:hint="eastAsia" w:ascii="黑体" w:hAnsi="黑体" w:eastAsia="黑体" w:cs="微软雅黑"/>
                <w:sz w:val="28"/>
                <w:szCs w:val="28"/>
              </w:rPr>
            </w:pPr>
            <w:r>
              <w:rPr>
                <w:rFonts w:hint="eastAsia" w:ascii="黑体" w:hAnsi="黑体" w:eastAsia="黑体" w:cs="微软雅黑"/>
                <w:sz w:val="28"/>
                <w:szCs w:val="28"/>
                <w:lang w:bidi="ar"/>
              </w:rPr>
              <w:t>内容</w:t>
            </w:r>
          </w:p>
        </w:tc>
        <w:tc>
          <w:tcPr>
            <w:tcW w:w="578" w:type="pct"/>
            <w:shd w:val="clear" w:color="auto" w:fill="FFFFFF" w:themeFill="background1"/>
            <w:noWrap/>
            <w:vAlign w:val="center"/>
          </w:tcPr>
          <w:p w14:paraId="0F43A2D4">
            <w:pPr>
              <w:jc w:val="center"/>
              <w:textAlignment w:val="center"/>
              <w:rPr>
                <w:rFonts w:hint="eastAsia" w:ascii="黑体" w:hAnsi="黑体" w:eastAsia="黑体" w:cs="微软雅黑"/>
                <w:sz w:val="28"/>
                <w:szCs w:val="28"/>
              </w:rPr>
            </w:pPr>
            <w:r>
              <w:rPr>
                <w:rFonts w:hint="eastAsia" w:ascii="黑体" w:hAnsi="黑体" w:eastAsia="黑体" w:cs="微软雅黑"/>
                <w:sz w:val="28"/>
                <w:szCs w:val="28"/>
                <w:lang w:bidi="ar"/>
              </w:rPr>
              <w:t>条款号</w:t>
            </w:r>
          </w:p>
        </w:tc>
        <w:tc>
          <w:tcPr>
            <w:tcW w:w="1473" w:type="pct"/>
            <w:shd w:val="clear" w:color="auto" w:fill="FFFFFF" w:themeFill="background1"/>
            <w:vAlign w:val="center"/>
          </w:tcPr>
          <w:p w14:paraId="30CA66E0">
            <w:pPr>
              <w:jc w:val="center"/>
              <w:textAlignment w:val="center"/>
              <w:rPr>
                <w:rFonts w:hint="eastAsia" w:ascii="黑体" w:hAnsi="黑体" w:eastAsia="黑体" w:cs="微软雅黑"/>
                <w:sz w:val="28"/>
                <w:szCs w:val="28"/>
              </w:rPr>
            </w:pPr>
            <w:r>
              <w:rPr>
                <w:rFonts w:hint="eastAsia" w:ascii="黑体" w:hAnsi="黑体" w:eastAsia="黑体" w:cs="微软雅黑"/>
                <w:sz w:val="28"/>
                <w:szCs w:val="28"/>
                <w:lang w:bidi="ar"/>
              </w:rPr>
              <w:t>内容</w:t>
            </w:r>
          </w:p>
        </w:tc>
        <w:tc>
          <w:tcPr>
            <w:tcW w:w="768" w:type="pct"/>
            <w:vMerge w:val="continue"/>
            <w:shd w:val="clear" w:color="auto" w:fill="FFFFFF" w:themeFill="background1"/>
            <w:vAlign w:val="center"/>
          </w:tcPr>
          <w:p w14:paraId="5FD95A44">
            <w:pPr>
              <w:jc w:val="center"/>
              <w:rPr>
                <w:rFonts w:hint="eastAsia" w:ascii="黑体" w:hAnsi="黑体" w:eastAsia="黑体" w:cs="微软雅黑"/>
                <w:sz w:val="28"/>
                <w:szCs w:val="28"/>
              </w:rPr>
            </w:pPr>
          </w:p>
        </w:tc>
      </w:tr>
      <w:tr w14:paraId="3356AD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41827F37">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46572DEF">
            <w:pPr>
              <w:jc w:val="center"/>
              <w:textAlignment w:val="center"/>
              <w:rPr>
                <w:rFonts w:hint="eastAsia" w:ascii="仿宋" w:hAnsi="仿宋" w:eastAsia="仿宋" w:cs="微软雅黑"/>
                <w:sz w:val="24"/>
              </w:rPr>
            </w:pPr>
            <w:r>
              <w:rPr>
                <w:rFonts w:hint="eastAsia" w:ascii="仿宋" w:hAnsi="仿宋" w:eastAsia="仿宋" w:cs="微软雅黑"/>
                <w:sz w:val="24"/>
                <w:lang w:bidi="ar"/>
              </w:rPr>
              <w:t>标准名称</w:t>
            </w:r>
          </w:p>
        </w:tc>
        <w:tc>
          <w:tcPr>
            <w:tcW w:w="1479" w:type="pct"/>
            <w:shd w:val="clear" w:color="auto" w:fill="FFFFFF" w:themeFill="background1"/>
            <w:noWrap/>
            <w:vAlign w:val="center"/>
          </w:tcPr>
          <w:p w14:paraId="1989F235">
            <w:pPr>
              <w:jc w:val="center"/>
              <w:textAlignment w:val="center"/>
              <w:rPr>
                <w:rFonts w:hint="eastAsia" w:ascii="仿宋" w:hAnsi="仿宋" w:eastAsia="仿宋" w:cs="微软雅黑"/>
                <w:sz w:val="24"/>
              </w:rPr>
            </w:pPr>
            <w:r>
              <w:rPr>
                <w:rFonts w:hint="eastAsia" w:ascii="仿宋" w:hAnsi="仿宋" w:eastAsia="仿宋" w:cs="微软雅黑"/>
                <w:sz w:val="24"/>
                <w:lang w:bidi="ar"/>
              </w:rPr>
              <w:t>陆上油气管道建设项目安全预评价导则</w:t>
            </w:r>
          </w:p>
        </w:tc>
        <w:tc>
          <w:tcPr>
            <w:tcW w:w="578" w:type="pct"/>
            <w:shd w:val="clear" w:color="auto" w:fill="FFFFFF" w:themeFill="background1"/>
            <w:noWrap/>
            <w:vAlign w:val="center"/>
          </w:tcPr>
          <w:p w14:paraId="5C1DA090">
            <w:pPr>
              <w:jc w:val="center"/>
              <w:textAlignment w:val="center"/>
              <w:rPr>
                <w:rFonts w:hint="eastAsia" w:ascii="仿宋" w:hAnsi="仿宋" w:eastAsia="仿宋" w:cs="微软雅黑"/>
                <w:sz w:val="24"/>
              </w:rPr>
            </w:pPr>
            <w:r>
              <w:rPr>
                <w:rFonts w:hint="eastAsia" w:ascii="仿宋" w:hAnsi="仿宋" w:eastAsia="仿宋" w:cs="微软雅黑"/>
                <w:sz w:val="24"/>
                <w:lang w:bidi="ar"/>
              </w:rPr>
              <w:t>标准名称</w:t>
            </w:r>
          </w:p>
        </w:tc>
        <w:tc>
          <w:tcPr>
            <w:tcW w:w="1473" w:type="pct"/>
            <w:shd w:val="clear" w:color="auto" w:fill="FFFFFF" w:themeFill="background1"/>
            <w:vAlign w:val="center"/>
          </w:tcPr>
          <w:p w14:paraId="77A58ED3">
            <w:pPr>
              <w:jc w:val="center"/>
              <w:textAlignment w:val="center"/>
              <w:rPr>
                <w:rFonts w:hint="eastAsia" w:ascii="仿宋" w:hAnsi="仿宋" w:eastAsia="仿宋" w:cs="微软雅黑"/>
                <w:sz w:val="24"/>
              </w:rPr>
            </w:pPr>
            <w:r>
              <w:rPr>
                <w:rFonts w:hint="eastAsia" w:ascii="仿宋" w:hAnsi="仿宋" w:eastAsia="仿宋" w:cs="微软雅黑"/>
                <w:sz w:val="24"/>
                <w:lang w:bidi="ar"/>
              </w:rPr>
              <w:t>陆上油气长输管道建设项目安全预评价导则</w:t>
            </w:r>
          </w:p>
        </w:tc>
        <w:tc>
          <w:tcPr>
            <w:tcW w:w="768" w:type="pct"/>
            <w:shd w:val="clear" w:color="auto" w:fill="FFFFFF" w:themeFill="background1"/>
            <w:vAlign w:val="center"/>
          </w:tcPr>
          <w:p w14:paraId="25651EAE">
            <w:pPr>
              <w:jc w:val="left"/>
              <w:textAlignment w:val="center"/>
              <w:rPr>
                <w:rFonts w:hint="eastAsia" w:ascii="仿宋" w:hAnsi="仿宋" w:eastAsia="仿宋" w:cs="微软雅黑"/>
                <w:sz w:val="24"/>
              </w:rPr>
            </w:pPr>
            <w:r>
              <w:rPr>
                <w:rFonts w:hint="eastAsia" w:ascii="仿宋" w:hAnsi="仿宋" w:eastAsia="仿宋" w:cs="微软雅黑"/>
                <w:sz w:val="24"/>
                <w:lang w:bidi="ar"/>
              </w:rPr>
              <w:t>增加了“长输”，明确标准的适用范围。</w:t>
            </w:r>
          </w:p>
        </w:tc>
      </w:tr>
      <w:tr w14:paraId="026B80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1F4E2C0F">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14FD09C1">
            <w:pPr>
              <w:jc w:val="center"/>
              <w:textAlignment w:val="center"/>
              <w:rPr>
                <w:rFonts w:hint="eastAsia" w:ascii="仿宋" w:hAnsi="仿宋" w:eastAsia="仿宋" w:cs="微软雅黑"/>
                <w:sz w:val="24"/>
                <w:lang w:bidi="ar"/>
              </w:rPr>
            </w:pPr>
            <w:r>
              <w:rPr>
                <w:rFonts w:hint="eastAsia" w:ascii="仿宋" w:hAnsi="仿宋" w:eastAsia="仿宋" w:cs="微软雅黑"/>
                <w:sz w:val="24"/>
                <w:lang w:bidi="ar"/>
              </w:rPr>
              <w:t xml:space="preserve">1 </w:t>
            </w:r>
            <w:r>
              <w:rPr>
                <w:rFonts w:hint="eastAsia" w:ascii="仿宋" w:hAnsi="仿宋" w:eastAsia="仿宋" w:cs="微软雅黑"/>
                <w:sz w:val="24"/>
                <w:lang w:val="zh-CN" w:bidi="ar"/>
              </w:rPr>
              <w:t>范围</w:t>
            </w:r>
          </w:p>
        </w:tc>
        <w:tc>
          <w:tcPr>
            <w:tcW w:w="1479" w:type="pct"/>
            <w:shd w:val="clear" w:color="auto" w:fill="FFFFFF" w:themeFill="background1"/>
            <w:vAlign w:val="center"/>
          </w:tcPr>
          <w:p w14:paraId="4A6BDD78">
            <w:pPr>
              <w:pStyle w:val="65"/>
              <w:tabs>
                <w:tab w:val="center" w:pos="4201"/>
                <w:tab w:val="right" w:leader="dot" w:pos="9298"/>
              </w:tabs>
              <w:ind w:firstLine="0" w:firstLineChars="0"/>
              <w:jc w:val="left"/>
              <w:rPr>
                <w:rFonts w:hint="eastAsia" w:ascii="仿宋" w:hAnsi="仿宋" w:eastAsia="仿宋" w:cs="微软雅黑"/>
                <w:color w:val="000000"/>
                <w:sz w:val="24"/>
                <w:szCs w:val="24"/>
                <w:lang w:bidi="ar"/>
              </w:rPr>
            </w:pPr>
            <w:r>
              <w:rPr>
                <w:rFonts w:hint="eastAsia" w:ascii="仿宋" w:hAnsi="仿宋" w:eastAsia="仿宋" w:cs="微软雅黑"/>
                <w:color w:val="000000"/>
                <w:sz w:val="24"/>
                <w:szCs w:val="24"/>
                <w:lang w:bidi="ar"/>
              </w:rPr>
              <w:t>本标准规定了陆上油气管道建设项目可行性研究阶段安全评价的内容及其报告编制的要求。</w:t>
            </w:r>
          </w:p>
          <w:p w14:paraId="271C32D1">
            <w:pPr>
              <w:pStyle w:val="65"/>
              <w:tabs>
                <w:tab w:val="center" w:pos="4201"/>
                <w:tab w:val="right" w:leader="dot" w:pos="9298"/>
              </w:tabs>
              <w:ind w:firstLine="0" w:firstLineChars="0"/>
              <w:jc w:val="left"/>
              <w:rPr>
                <w:rFonts w:hint="eastAsia" w:ascii="仿宋" w:hAnsi="仿宋" w:eastAsia="仿宋" w:cs="微软雅黑"/>
                <w:color w:val="000000"/>
                <w:sz w:val="24"/>
                <w:szCs w:val="24"/>
                <w:lang w:bidi="ar"/>
              </w:rPr>
            </w:pPr>
            <w:r>
              <w:rPr>
                <w:rFonts w:hint="eastAsia" w:ascii="仿宋" w:hAnsi="仿宋" w:eastAsia="仿宋" w:cs="微软雅黑"/>
                <w:color w:val="000000"/>
                <w:sz w:val="24"/>
                <w:szCs w:val="24"/>
                <w:lang w:bidi="ar"/>
              </w:rPr>
              <w:t>本标准适用于中华人民共和国境内新建、改建、扩建的陆上油气管道 。</w:t>
            </w:r>
          </w:p>
          <w:p w14:paraId="7FD636D1">
            <w:pPr>
              <w:pStyle w:val="65"/>
              <w:tabs>
                <w:tab w:val="center" w:pos="4201"/>
                <w:tab w:val="right" w:leader="dot" w:pos="9298"/>
              </w:tabs>
              <w:ind w:firstLine="0" w:firstLineChars="0"/>
              <w:jc w:val="left"/>
              <w:rPr>
                <w:rFonts w:hint="eastAsia" w:ascii="仿宋" w:hAnsi="仿宋" w:eastAsia="仿宋" w:cs="微软雅黑"/>
                <w:color w:val="000000"/>
                <w:sz w:val="24"/>
                <w:szCs w:val="24"/>
                <w:lang w:bidi="ar"/>
              </w:rPr>
            </w:pPr>
            <w:r>
              <w:rPr>
                <w:rFonts w:hint="eastAsia" w:ascii="仿宋" w:hAnsi="仿宋" w:eastAsia="仿宋" w:cs="微软雅黑"/>
                <w:color w:val="000000"/>
                <w:sz w:val="24"/>
                <w:szCs w:val="24"/>
                <w:lang w:bidi="ar"/>
              </w:rPr>
              <w:t>本标准不适用于海底油气管道、城镇燃气管道、油气田集输管道和机场内的航油管道、石油化工企业的厂际和厂内油气管道。</w:t>
            </w:r>
          </w:p>
        </w:tc>
        <w:tc>
          <w:tcPr>
            <w:tcW w:w="578" w:type="pct"/>
            <w:shd w:val="clear" w:color="auto" w:fill="FFFFFF" w:themeFill="background1"/>
            <w:noWrap/>
            <w:vAlign w:val="center"/>
          </w:tcPr>
          <w:p w14:paraId="5801E749">
            <w:pPr>
              <w:jc w:val="center"/>
              <w:textAlignment w:val="center"/>
              <w:rPr>
                <w:rFonts w:hint="eastAsia" w:ascii="仿宋" w:hAnsi="仿宋" w:eastAsia="仿宋" w:cs="微软雅黑"/>
                <w:sz w:val="24"/>
                <w:lang w:bidi="ar"/>
              </w:rPr>
            </w:pPr>
            <w:r>
              <w:rPr>
                <w:rFonts w:hint="eastAsia" w:ascii="仿宋" w:hAnsi="仿宋" w:eastAsia="仿宋" w:cs="微软雅黑"/>
                <w:sz w:val="24"/>
                <w:lang w:bidi="ar"/>
              </w:rPr>
              <w:t xml:space="preserve">1 </w:t>
            </w:r>
            <w:r>
              <w:rPr>
                <w:rFonts w:hint="eastAsia" w:ascii="仿宋" w:hAnsi="仿宋" w:eastAsia="仿宋" w:cs="微软雅黑"/>
                <w:sz w:val="24"/>
                <w:lang w:val="zh-CN" w:bidi="ar"/>
              </w:rPr>
              <w:t>范围</w:t>
            </w:r>
          </w:p>
        </w:tc>
        <w:tc>
          <w:tcPr>
            <w:tcW w:w="1473" w:type="pct"/>
            <w:shd w:val="clear" w:color="auto" w:fill="FFFFFF" w:themeFill="background1"/>
            <w:vAlign w:val="center"/>
          </w:tcPr>
          <w:p w14:paraId="5C12C2FE">
            <w:pPr>
              <w:pStyle w:val="65"/>
              <w:tabs>
                <w:tab w:val="center" w:pos="4201"/>
                <w:tab w:val="right" w:leader="dot" w:pos="9298"/>
              </w:tabs>
              <w:ind w:firstLine="0" w:firstLineChars="0"/>
              <w:jc w:val="left"/>
              <w:rPr>
                <w:rFonts w:hint="eastAsia" w:ascii="仿宋" w:hAnsi="仿宋" w:eastAsia="仿宋" w:cs="微软雅黑"/>
                <w:color w:val="000000"/>
                <w:sz w:val="24"/>
                <w:szCs w:val="24"/>
                <w:lang w:bidi="ar"/>
              </w:rPr>
            </w:pPr>
            <w:r>
              <w:rPr>
                <w:rFonts w:hint="eastAsia" w:ascii="仿宋" w:hAnsi="仿宋" w:eastAsia="仿宋" w:cs="微软雅黑"/>
                <w:color w:val="000000"/>
                <w:sz w:val="24"/>
                <w:szCs w:val="24"/>
                <w:lang w:bidi="ar"/>
              </w:rPr>
              <w:t>本文件规定了陆上油气长输管道建设项目可行性研究阶段安全评价的内容及其报告编制的要求。</w:t>
            </w:r>
          </w:p>
          <w:p w14:paraId="56CF848E">
            <w:pPr>
              <w:pStyle w:val="65"/>
              <w:tabs>
                <w:tab w:val="center" w:pos="4201"/>
                <w:tab w:val="right" w:leader="dot" w:pos="9298"/>
              </w:tabs>
              <w:ind w:firstLine="0" w:firstLineChars="0"/>
              <w:jc w:val="left"/>
              <w:rPr>
                <w:rFonts w:hint="eastAsia" w:ascii="仿宋" w:hAnsi="仿宋" w:eastAsia="仿宋" w:cs="微软雅黑"/>
                <w:color w:val="000000"/>
                <w:sz w:val="24"/>
                <w:szCs w:val="24"/>
                <w:lang w:bidi="ar"/>
              </w:rPr>
            </w:pPr>
            <w:r>
              <w:rPr>
                <w:rFonts w:hint="eastAsia" w:ascii="仿宋" w:hAnsi="仿宋" w:eastAsia="仿宋" w:cs="微软雅黑"/>
                <w:color w:val="000000"/>
                <w:sz w:val="24"/>
                <w:szCs w:val="24"/>
                <w:lang w:bidi="ar"/>
              </w:rPr>
              <w:t>本文件适用于新建、改建、扩建的陆上油气长输管道。</w:t>
            </w:r>
          </w:p>
          <w:p w14:paraId="721D2635">
            <w:pPr>
              <w:pStyle w:val="65"/>
              <w:tabs>
                <w:tab w:val="center" w:pos="4201"/>
                <w:tab w:val="right" w:leader="dot" w:pos="9298"/>
              </w:tabs>
              <w:ind w:firstLine="0" w:firstLineChars="0"/>
              <w:jc w:val="left"/>
              <w:rPr>
                <w:rFonts w:hint="eastAsia" w:ascii="仿宋" w:hAnsi="仿宋" w:eastAsia="仿宋" w:cs="微软雅黑"/>
                <w:color w:val="000000"/>
                <w:sz w:val="24"/>
                <w:szCs w:val="24"/>
                <w:lang w:bidi="ar"/>
              </w:rPr>
            </w:pPr>
            <w:r>
              <w:rPr>
                <w:rFonts w:hint="eastAsia" w:ascii="仿宋" w:hAnsi="仿宋" w:eastAsia="仿宋" w:cs="微软雅黑"/>
                <w:color w:val="000000"/>
                <w:sz w:val="24"/>
                <w:szCs w:val="24"/>
                <w:lang w:bidi="ar"/>
              </w:rPr>
              <w:t>本文件不适用于城镇燃气管道、油气田集输管道、机场内的航油管道、石油化工企业及石油库的厂际和厂内油气管道。</w:t>
            </w:r>
          </w:p>
        </w:tc>
        <w:tc>
          <w:tcPr>
            <w:tcW w:w="768" w:type="pct"/>
            <w:shd w:val="clear" w:color="auto" w:fill="FFFFFF" w:themeFill="background1"/>
            <w:vAlign w:val="center"/>
          </w:tcPr>
          <w:p w14:paraId="634FAB4C">
            <w:pPr>
              <w:jc w:val="left"/>
              <w:textAlignment w:val="center"/>
              <w:rPr>
                <w:rFonts w:hint="eastAsia" w:ascii="仿宋" w:hAnsi="仿宋" w:eastAsia="仿宋" w:cs="微软雅黑"/>
                <w:sz w:val="24"/>
                <w:lang w:bidi="ar"/>
              </w:rPr>
            </w:pPr>
            <w:r>
              <w:rPr>
                <w:rFonts w:hint="eastAsia" w:ascii="仿宋" w:hAnsi="仿宋" w:eastAsia="仿宋" w:cs="微软雅黑"/>
                <w:sz w:val="24"/>
                <w:lang w:bidi="ar"/>
              </w:rPr>
              <w:t>参照《油气长输管道人员密集型高后果区安全风险排查评估指南（试行）》（应急危化〔2024〕5号）的适用范围，删除了本标准不适用于海底油气管道，增加了不适用于石油库的厂际和厂内油气管道（见第1章，2019年版的第1章）。</w:t>
            </w:r>
          </w:p>
        </w:tc>
      </w:tr>
      <w:tr w14:paraId="335AE1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711EBBE3">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431AEE20">
            <w:pPr>
              <w:jc w:val="center"/>
              <w:textAlignment w:val="center"/>
              <w:rPr>
                <w:rFonts w:hint="eastAsia" w:ascii="仿宋" w:hAnsi="仿宋" w:eastAsia="仿宋" w:cs="微软雅黑"/>
                <w:sz w:val="24"/>
              </w:rPr>
            </w:pPr>
            <w:r>
              <w:rPr>
                <w:rFonts w:hint="eastAsia" w:ascii="仿宋" w:hAnsi="仿宋" w:eastAsia="仿宋" w:cs="微软雅黑"/>
                <w:sz w:val="24"/>
                <w:lang w:bidi="ar"/>
              </w:rPr>
              <w:t>2  规范性引用文件</w:t>
            </w:r>
          </w:p>
        </w:tc>
        <w:tc>
          <w:tcPr>
            <w:tcW w:w="1479" w:type="pct"/>
            <w:shd w:val="clear" w:color="auto" w:fill="FFFFFF" w:themeFill="background1"/>
            <w:vAlign w:val="center"/>
          </w:tcPr>
          <w:p w14:paraId="7B2E195D">
            <w:pPr>
              <w:jc w:val="left"/>
              <w:rPr>
                <w:rFonts w:hint="eastAsia" w:ascii="仿宋" w:hAnsi="仿宋" w:eastAsia="仿宋" w:cs="微软雅黑"/>
                <w:sz w:val="24"/>
              </w:rPr>
            </w:pPr>
          </w:p>
        </w:tc>
        <w:tc>
          <w:tcPr>
            <w:tcW w:w="578" w:type="pct"/>
            <w:shd w:val="clear" w:color="auto" w:fill="FFFFFF" w:themeFill="background1"/>
            <w:noWrap/>
            <w:vAlign w:val="center"/>
          </w:tcPr>
          <w:p w14:paraId="328FF986">
            <w:pPr>
              <w:jc w:val="center"/>
              <w:textAlignment w:val="center"/>
              <w:rPr>
                <w:rFonts w:hint="eastAsia" w:ascii="仿宋" w:hAnsi="仿宋" w:eastAsia="仿宋" w:cs="微软雅黑"/>
                <w:sz w:val="24"/>
              </w:rPr>
            </w:pPr>
            <w:r>
              <w:rPr>
                <w:rFonts w:hint="eastAsia" w:ascii="仿宋" w:hAnsi="仿宋" w:eastAsia="仿宋" w:cs="微软雅黑"/>
                <w:sz w:val="24"/>
                <w:lang w:bidi="ar"/>
              </w:rPr>
              <w:t>2  规范性引用文件</w:t>
            </w:r>
          </w:p>
        </w:tc>
        <w:tc>
          <w:tcPr>
            <w:tcW w:w="1473" w:type="pct"/>
            <w:shd w:val="clear" w:color="auto" w:fill="FFFFFF" w:themeFill="background1"/>
            <w:vAlign w:val="center"/>
          </w:tcPr>
          <w:p w14:paraId="58646384">
            <w:pPr>
              <w:jc w:val="left"/>
              <w:rPr>
                <w:rFonts w:hint="eastAsia" w:ascii="仿宋" w:hAnsi="仿宋" w:eastAsia="仿宋" w:cs="微软雅黑"/>
                <w:sz w:val="24"/>
              </w:rPr>
            </w:pPr>
          </w:p>
        </w:tc>
        <w:tc>
          <w:tcPr>
            <w:tcW w:w="768" w:type="pct"/>
            <w:shd w:val="clear" w:color="auto" w:fill="FFFFFF" w:themeFill="background1"/>
            <w:vAlign w:val="center"/>
          </w:tcPr>
          <w:p w14:paraId="1E4AB6FE">
            <w:pPr>
              <w:jc w:val="left"/>
              <w:textAlignment w:val="center"/>
              <w:rPr>
                <w:rFonts w:hint="eastAsia" w:ascii="仿宋" w:hAnsi="仿宋" w:eastAsia="仿宋" w:cs="微软雅黑"/>
                <w:sz w:val="24"/>
              </w:rPr>
            </w:pPr>
          </w:p>
        </w:tc>
      </w:tr>
      <w:tr w14:paraId="0FDB8C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40821533">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59741147">
            <w:pPr>
              <w:jc w:val="center"/>
              <w:textAlignment w:val="center"/>
              <w:rPr>
                <w:rFonts w:hint="eastAsia" w:ascii="仿宋" w:hAnsi="仿宋" w:eastAsia="仿宋" w:cs="微软雅黑"/>
                <w:sz w:val="24"/>
              </w:rPr>
            </w:pPr>
          </w:p>
        </w:tc>
        <w:tc>
          <w:tcPr>
            <w:tcW w:w="1479" w:type="pct"/>
            <w:shd w:val="clear" w:color="auto" w:fill="FFFFFF" w:themeFill="background1"/>
            <w:vAlign w:val="center"/>
          </w:tcPr>
          <w:p w14:paraId="54C7C322">
            <w:pPr>
              <w:jc w:val="left"/>
              <w:textAlignment w:val="center"/>
              <w:rPr>
                <w:rFonts w:hint="eastAsia" w:ascii="仿宋" w:hAnsi="仿宋" w:eastAsia="仿宋" w:cs="微软雅黑"/>
                <w:sz w:val="24"/>
              </w:rPr>
            </w:pPr>
            <w:r>
              <w:rPr>
                <w:rFonts w:hint="eastAsia" w:ascii="仿宋" w:hAnsi="仿宋" w:eastAsia="仿宋" w:cs="微软雅黑"/>
                <w:sz w:val="24"/>
              </w:rPr>
              <w:t>下列文件对于本文件的应用是必不可少的。凡是注日期的引用文件，仅注日期的版本适用于本文件。凡是不注日期的引用文件，其最新版本（包括所有的修改单）适用于本文件。</w:t>
            </w:r>
          </w:p>
          <w:p w14:paraId="0E95D03D">
            <w:pPr>
              <w:jc w:val="left"/>
              <w:textAlignment w:val="center"/>
              <w:rPr>
                <w:rFonts w:hint="eastAsia" w:ascii="仿宋" w:hAnsi="仿宋" w:eastAsia="仿宋" w:cs="微软雅黑"/>
                <w:sz w:val="24"/>
              </w:rPr>
            </w:pPr>
            <w:r>
              <w:rPr>
                <w:rFonts w:hint="eastAsia" w:ascii="仿宋" w:hAnsi="仿宋" w:eastAsia="仿宋" w:cs="微软雅黑"/>
                <w:sz w:val="24"/>
              </w:rPr>
              <w:t>GB 18218  危险化学品重大危险源辨识</w:t>
            </w:r>
          </w:p>
          <w:p w14:paraId="24626251">
            <w:pPr>
              <w:jc w:val="left"/>
              <w:textAlignment w:val="center"/>
              <w:rPr>
                <w:rFonts w:hint="eastAsia" w:ascii="仿宋" w:hAnsi="仿宋" w:eastAsia="仿宋" w:cs="微软雅黑"/>
                <w:sz w:val="24"/>
              </w:rPr>
            </w:pPr>
            <w:r>
              <w:rPr>
                <w:rFonts w:hint="eastAsia" w:ascii="仿宋" w:hAnsi="仿宋" w:eastAsia="仿宋" w:cs="微软雅黑"/>
                <w:sz w:val="24"/>
              </w:rPr>
              <w:t>GB 18306  中国地震动参数区划图</w:t>
            </w:r>
          </w:p>
          <w:p w14:paraId="6D629311">
            <w:pPr>
              <w:jc w:val="left"/>
              <w:textAlignment w:val="center"/>
              <w:rPr>
                <w:rFonts w:hint="eastAsia" w:ascii="仿宋" w:hAnsi="仿宋" w:eastAsia="仿宋" w:cs="微软雅黑"/>
                <w:sz w:val="24"/>
              </w:rPr>
            </w:pPr>
            <w:r>
              <w:rPr>
                <w:rFonts w:hint="eastAsia" w:ascii="仿宋" w:hAnsi="仿宋" w:eastAsia="仿宋" w:cs="微软雅黑"/>
                <w:sz w:val="24"/>
              </w:rPr>
              <w:t>GB 32167  油气输送管道完整性管理规范</w:t>
            </w:r>
          </w:p>
          <w:p w14:paraId="79B0E49D">
            <w:pPr>
              <w:jc w:val="left"/>
              <w:textAlignment w:val="center"/>
              <w:rPr>
                <w:rFonts w:hint="eastAsia" w:ascii="仿宋" w:hAnsi="仿宋" w:eastAsia="仿宋" w:cs="微软雅黑"/>
                <w:sz w:val="24"/>
              </w:rPr>
            </w:pPr>
            <w:r>
              <w:rPr>
                <w:rFonts w:hint="eastAsia" w:ascii="仿宋" w:hAnsi="仿宋" w:eastAsia="仿宋" w:cs="微软雅黑"/>
                <w:sz w:val="24"/>
              </w:rPr>
              <w:t>GB 50061  66kV及以下架空电力线路设计规范</w:t>
            </w:r>
          </w:p>
          <w:p w14:paraId="123F5B8A">
            <w:pPr>
              <w:jc w:val="left"/>
              <w:textAlignment w:val="center"/>
              <w:rPr>
                <w:rFonts w:hint="eastAsia" w:ascii="仿宋" w:hAnsi="仿宋" w:eastAsia="仿宋" w:cs="微软雅黑"/>
                <w:sz w:val="24"/>
              </w:rPr>
            </w:pPr>
            <w:r>
              <w:rPr>
                <w:rFonts w:hint="eastAsia" w:ascii="仿宋" w:hAnsi="仿宋" w:eastAsia="仿宋" w:cs="微软雅黑"/>
                <w:sz w:val="24"/>
              </w:rPr>
              <w:t>GB 50183  石油天然气工程设计防火规范</w:t>
            </w:r>
          </w:p>
          <w:p w14:paraId="23A78464">
            <w:pPr>
              <w:jc w:val="left"/>
              <w:textAlignment w:val="center"/>
              <w:rPr>
                <w:rFonts w:hint="eastAsia" w:ascii="仿宋" w:hAnsi="仿宋" w:eastAsia="仿宋" w:cs="微软雅黑"/>
                <w:sz w:val="24"/>
              </w:rPr>
            </w:pPr>
            <w:r>
              <w:rPr>
                <w:rFonts w:hint="eastAsia" w:ascii="仿宋" w:hAnsi="仿宋" w:eastAsia="仿宋" w:cs="微软雅黑"/>
                <w:sz w:val="24"/>
              </w:rPr>
              <w:t>GB 50251  输气管道工程设计规范</w:t>
            </w:r>
          </w:p>
          <w:p w14:paraId="6C8EC033">
            <w:pPr>
              <w:jc w:val="left"/>
              <w:textAlignment w:val="center"/>
              <w:rPr>
                <w:rFonts w:hint="eastAsia" w:ascii="仿宋" w:hAnsi="仿宋" w:eastAsia="仿宋" w:cs="微软雅黑"/>
                <w:sz w:val="24"/>
              </w:rPr>
            </w:pPr>
            <w:r>
              <w:rPr>
                <w:rFonts w:hint="eastAsia" w:ascii="仿宋" w:hAnsi="仿宋" w:eastAsia="仿宋" w:cs="微软雅黑"/>
                <w:sz w:val="24"/>
              </w:rPr>
              <w:t>GB 50253  输油管道工程设计规范</w:t>
            </w:r>
          </w:p>
          <w:p w14:paraId="3B70567E">
            <w:pPr>
              <w:jc w:val="left"/>
              <w:textAlignment w:val="center"/>
              <w:rPr>
                <w:rFonts w:hint="eastAsia" w:ascii="仿宋" w:hAnsi="仿宋" w:eastAsia="仿宋" w:cs="微软雅黑"/>
                <w:sz w:val="24"/>
              </w:rPr>
            </w:pPr>
            <w:r>
              <w:rPr>
                <w:rFonts w:hint="eastAsia" w:ascii="仿宋" w:hAnsi="仿宋" w:eastAsia="仿宋" w:cs="微软雅黑"/>
                <w:sz w:val="24"/>
              </w:rPr>
              <w:t>GB 50423  油气输送管道穿越工程设计规范</w:t>
            </w:r>
          </w:p>
          <w:p w14:paraId="5FB30440">
            <w:pPr>
              <w:jc w:val="left"/>
              <w:textAlignment w:val="center"/>
              <w:rPr>
                <w:rFonts w:hint="eastAsia" w:ascii="仿宋" w:hAnsi="仿宋" w:eastAsia="仿宋" w:cs="微软雅黑"/>
                <w:sz w:val="24"/>
              </w:rPr>
            </w:pPr>
            <w:r>
              <w:rPr>
                <w:rFonts w:hint="eastAsia" w:ascii="仿宋" w:hAnsi="仿宋" w:eastAsia="仿宋" w:cs="微软雅黑"/>
                <w:sz w:val="24"/>
              </w:rPr>
              <w:t>GB 50459  油气输送管道跨越工程设计规范</w:t>
            </w:r>
          </w:p>
          <w:p w14:paraId="71B6FB57">
            <w:pPr>
              <w:jc w:val="left"/>
              <w:textAlignment w:val="center"/>
              <w:rPr>
                <w:rFonts w:hint="eastAsia" w:ascii="仿宋" w:hAnsi="仿宋" w:eastAsia="仿宋" w:cs="微软雅黑"/>
                <w:sz w:val="24"/>
              </w:rPr>
            </w:pPr>
            <w:r>
              <w:rPr>
                <w:rFonts w:hint="eastAsia" w:ascii="仿宋" w:hAnsi="仿宋" w:eastAsia="仿宋" w:cs="微软雅黑"/>
                <w:sz w:val="24"/>
              </w:rPr>
              <w:t>GB 50460  油气输送管道跨越工程施工规范</w:t>
            </w:r>
          </w:p>
          <w:p w14:paraId="13D52E9F">
            <w:pPr>
              <w:jc w:val="left"/>
              <w:textAlignment w:val="center"/>
              <w:rPr>
                <w:rFonts w:hint="eastAsia" w:ascii="仿宋" w:hAnsi="仿宋" w:eastAsia="仿宋" w:cs="微软雅黑"/>
                <w:sz w:val="24"/>
              </w:rPr>
            </w:pPr>
            <w:r>
              <w:rPr>
                <w:rFonts w:hint="eastAsia" w:ascii="仿宋" w:hAnsi="仿宋" w:eastAsia="仿宋" w:cs="微软雅黑"/>
                <w:sz w:val="24"/>
              </w:rPr>
              <w:t>GB 50545  110kV~750kV架空输电线路设计规范</w:t>
            </w:r>
          </w:p>
          <w:p w14:paraId="746A4088">
            <w:pPr>
              <w:jc w:val="left"/>
              <w:textAlignment w:val="center"/>
              <w:rPr>
                <w:rFonts w:hint="eastAsia" w:ascii="仿宋" w:hAnsi="仿宋" w:eastAsia="仿宋" w:cs="微软雅黑"/>
                <w:sz w:val="24"/>
              </w:rPr>
            </w:pPr>
            <w:r>
              <w:rPr>
                <w:rFonts w:hint="eastAsia" w:ascii="仿宋" w:hAnsi="仿宋" w:eastAsia="仿宋" w:cs="微软雅黑"/>
                <w:sz w:val="24"/>
              </w:rPr>
              <w:t>GB/T 17742  中国地震烈度表</w:t>
            </w:r>
          </w:p>
          <w:p w14:paraId="2B3A9925">
            <w:pPr>
              <w:jc w:val="left"/>
              <w:textAlignment w:val="center"/>
              <w:rPr>
                <w:rFonts w:hint="eastAsia" w:ascii="仿宋" w:hAnsi="仿宋" w:eastAsia="仿宋" w:cs="微软雅黑"/>
                <w:sz w:val="24"/>
              </w:rPr>
            </w:pPr>
            <w:r>
              <w:rPr>
                <w:rFonts w:hint="eastAsia" w:ascii="仿宋" w:hAnsi="仿宋" w:eastAsia="仿宋" w:cs="微软雅黑"/>
                <w:sz w:val="24"/>
              </w:rPr>
              <w:t>GB/T 21447  钢质管道外腐蚀控制规范</w:t>
            </w:r>
          </w:p>
          <w:p w14:paraId="0211DE1D">
            <w:pPr>
              <w:jc w:val="left"/>
              <w:textAlignment w:val="center"/>
              <w:rPr>
                <w:rFonts w:hint="eastAsia" w:ascii="仿宋" w:hAnsi="仿宋" w:eastAsia="仿宋" w:cs="微软雅黑"/>
                <w:sz w:val="24"/>
              </w:rPr>
            </w:pPr>
            <w:r>
              <w:rPr>
                <w:rFonts w:hint="eastAsia" w:ascii="仿宋" w:hAnsi="仿宋" w:eastAsia="仿宋" w:cs="微软雅黑"/>
                <w:sz w:val="24"/>
              </w:rPr>
              <w:t>GB/T 50698  埋地钢质管道交流干扰防护技术标准</w:t>
            </w:r>
          </w:p>
          <w:p w14:paraId="02829E75">
            <w:pPr>
              <w:jc w:val="left"/>
              <w:textAlignment w:val="center"/>
              <w:rPr>
                <w:rFonts w:hint="eastAsia" w:ascii="仿宋" w:hAnsi="仿宋" w:eastAsia="仿宋" w:cs="微软雅黑"/>
                <w:sz w:val="24"/>
              </w:rPr>
            </w:pPr>
            <w:r>
              <w:rPr>
                <w:rFonts w:hint="eastAsia" w:ascii="仿宋" w:hAnsi="仿宋" w:eastAsia="仿宋" w:cs="微软雅黑"/>
                <w:sz w:val="24"/>
              </w:rPr>
              <w:t>SY/T 6064  管道干线标记设置技术规范</w:t>
            </w:r>
          </w:p>
        </w:tc>
        <w:tc>
          <w:tcPr>
            <w:tcW w:w="578" w:type="pct"/>
            <w:shd w:val="clear" w:color="auto" w:fill="FFFFFF" w:themeFill="background1"/>
            <w:noWrap/>
            <w:vAlign w:val="center"/>
          </w:tcPr>
          <w:p w14:paraId="6805B084">
            <w:pPr>
              <w:jc w:val="center"/>
              <w:textAlignment w:val="center"/>
              <w:rPr>
                <w:rFonts w:hint="eastAsia" w:ascii="仿宋" w:hAnsi="仿宋" w:eastAsia="仿宋" w:cs="微软雅黑"/>
                <w:sz w:val="24"/>
              </w:rPr>
            </w:pPr>
          </w:p>
        </w:tc>
        <w:tc>
          <w:tcPr>
            <w:tcW w:w="1473" w:type="pct"/>
            <w:shd w:val="clear" w:color="auto" w:fill="FFFFFF" w:themeFill="background1"/>
            <w:vAlign w:val="center"/>
          </w:tcPr>
          <w:p w14:paraId="3D51A9C4">
            <w:pPr>
              <w:jc w:val="left"/>
              <w:textAlignment w:val="center"/>
              <w:rPr>
                <w:rFonts w:hint="eastAsia" w:ascii="仿宋" w:hAnsi="仿宋" w:eastAsia="仿宋" w:cs="微软雅黑"/>
                <w:sz w:val="24"/>
              </w:rPr>
            </w:pPr>
            <w:r>
              <w:rPr>
                <w:rFonts w:hint="eastAsia" w:ascii="仿宋" w:hAnsi="仿宋" w:eastAsia="仿宋" w:cs="微软雅黑"/>
                <w:sz w:val="24"/>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00EA9308">
            <w:pPr>
              <w:jc w:val="left"/>
              <w:textAlignment w:val="center"/>
              <w:rPr>
                <w:rFonts w:hint="eastAsia" w:ascii="仿宋" w:hAnsi="仿宋" w:eastAsia="仿宋" w:cs="微软雅黑"/>
                <w:sz w:val="24"/>
              </w:rPr>
            </w:pPr>
            <w:r>
              <w:rPr>
                <w:rFonts w:hint="eastAsia" w:ascii="仿宋" w:hAnsi="仿宋" w:eastAsia="仿宋" w:cs="微软雅黑"/>
                <w:sz w:val="24"/>
              </w:rPr>
              <w:t>GB/T 17742  中国地震烈度表</w:t>
            </w:r>
          </w:p>
          <w:p w14:paraId="421750AE">
            <w:pPr>
              <w:jc w:val="left"/>
              <w:textAlignment w:val="center"/>
              <w:rPr>
                <w:rFonts w:hint="eastAsia" w:ascii="仿宋" w:hAnsi="仿宋" w:eastAsia="仿宋" w:cs="微软雅黑"/>
                <w:sz w:val="24"/>
              </w:rPr>
            </w:pPr>
            <w:r>
              <w:rPr>
                <w:rFonts w:hint="eastAsia" w:ascii="仿宋" w:hAnsi="仿宋" w:eastAsia="仿宋" w:cs="微软雅黑"/>
                <w:sz w:val="24"/>
              </w:rPr>
              <w:t>GB 18218  危险化学品重大危险源辨识</w:t>
            </w:r>
          </w:p>
          <w:p w14:paraId="137EF496">
            <w:pPr>
              <w:jc w:val="left"/>
              <w:textAlignment w:val="center"/>
              <w:rPr>
                <w:rFonts w:hint="eastAsia" w:ascii="仿宋" w:hAnsi="仿宋" w:eastAsia="仿宋" w:cs="微软雅黑"/>
                <w:sz w:val="24"/>
              </w:rPr>
            </w:pPr>
            <w:r>
              <w:rPr>
                <w:rFonts w:hint="eastAsia" w:ascii="仿宋" w:hAnsi="仿宋" w:eastAsia="仿宋" w:cs="微软雅黑"/>
                <w:sz w:val="24"/>
              </w:rPr>
              <w:t>GB 18306  中国地震动参数区划图</w:t>
            </w:r>
          </w:p>
          <w:p w14:paraId="0879E77A">
            <w:pPr>
              <w:jc w:val="left"/>
              <w:textAlignment w:val="center"/>
              <w:rPr>
                <w:rFonts w:hint="eastAsia" w:ascii="仿宋" w:hAnsi="仿宋" w:eastAsia="仿宋" w:cs="微软雅黑"/>
                <w:sz w:val="24"/>
              </w:rPr>
            </w:pPr>
            <w:r>
              <w:rPr>
                <w:rFonts w:hint="eastAsia" w:ascii="仿宋" w:hAnsi="仿宋" w:eastAsia="仿宋" w:cs="微软雅黑"/>
                <w:sz w:val="24"/>
              </w:rPr>
              <w:t>GB/T 21447  钢质管道外腐蚀控制规范</w:t>
            </w:r>
          </w:p>
          <w:p w14:paraId="47B1E3A6">
            <w:pPr>
              <w:jc w:val="left"/>
              <w:textAlignment w:val="center"/>
              <w:rPr>
                <w:rFonts w:hint="eastAsia" w:ascii="仿宋" w:hAnsi="仿宋" w:eastAsia="仿宋" w:cs="微软雅黑"/>
                <w:sz w:val="24"/>
              </w:rPr>
            </w:pPr>
            <w:r>
              <w:rPr>
                <w:rFonts w:hint="eastAsia" w:ascii="仿宋" w:hAnsi="仿宋" w:eastAsia="仿宋" w:cs="微软雅黑"/>
                <w:sz w:val="24"/>
              </w:rPr>
              <w:t>GB 32167  油气输送管道完整性管理规范</w:t>
            </w:r>
          </w:p>
          <w:p w14:paraId="0E773737">
            <w:pPr>
              <w:jc w:val="left"/>
              <w:textAlignment w:val="center"/>
              <w:rPr>
                <w:rFonts w:hint="eastAsia" w:ascii="仿宋" w:hAnsi="仿宋" w:eastAsia="仿宋" w:cs="微软雅黑"/>
                <w:sz w:val="24"/>
              </w:rPr>
            </w:pPr>
            <w:r>
              <w:rPr>
                <w:rFonts w:hint="eastAsia" w:ascii="仿宋" w:hAnsi="仿宋" w:eastAsia="仿宋" w:cs="微软雅黑"/>
                <w:sz w:val="24"/>
              </w:rPr>
              <w:t>GB 50061  66kV及以下架空电力线路设计规范</w:t>
            </w:r>
          </w:p>
          <w:p w14:paraId="0E8DFFA4">
            <w:pPr>
              <w:jc w:val="left"/>
              <w:textAlignment w:val="center"/>
              <w:rPr>
                <w:rFonts w:hint="eastAsia" w:ascii="仿宋" w:hAnsi="仿宋" w:eastAsia="仿宋" w:cs="微软雅黑"/>
                <w:sz w:val="24"/>
              </w:rPr>
            </w:pPr>
            <w:r>
              <w:rPr>
                <w:rFonts w:hint="eastAsia" w:ascii="仿宋" w:hAnsi="仿宋" w:eastAsia="仿宋" w:cs="微软雅黑"/>
                <w:sz w:val="24"/>
              </w:rPr>
              <w:t>GB 50183  石油天然气工程设计防火规范</w:t>
            </w:r>
          </w:p>
          <w:p w14:paraId="7894F511">
            <w:pPr>
              <w:jc w:val="left"/>
              <w:textAlignment w:val="center"/>
              <w:rPr>
                <w:rFonts w:hint="eastAsia" w:ascii="仿宋" w:hAnsi="仿宋" w:eastAsia="仿宋" w:cs="微软雅黑"/>
                <w:sz w:val="24"/>
              </w:rPr>
            </w:pPr>
            <w:r>
              <w:rPr>
                <w:rFonts w:hint="eastAsia" w:ascii="仿宋" w:hAnsi="仿宋" w:eastAsia="仿宋" w:cs="微软雅黑"/>
                <w:sz w:val="24"/>
              </w:rPr>
              <w:t>GB 50251  输气管道工程设计规范</w:t>
            </w:r>
          </w:p>
          <w:p w14:paraId="058A79C0">
            <w:pPr>
              <w:jc w:val="left"/>
              <w:textAlignment w:val="center"/>
              <w:rPr>
                <w:rFonts w:hint="eastAsia" w:ascii="仿宋" w:hAnsi="仿宋" w:eastAsia="仿宋" w:cs="微软雅黑"/>
                <w:sz w:val="24"/>
              </w:rPr>
            </w:pPr>
            <w:r>
              <w:rPr>
                <w:rFonts w:hint="eastAsia" w:ascii="仿宋" w:hAnsi="仿宋" w:eastAsia="仿宋" w:cs="微软雅黑"/>
                <w:sz w:val="24"/>
              </w:rPr>
              <w:t>GB 50253  输油管道工程设计规范</w:t>
            </w:r>
          </w:p>
          <w:p w14:paraId="2C6D75DF">
            <w:pPr>
              <w:jc w:val="left"/>
              <w:textAlignment w:val="center"/>
              <w:rPr>
                <w:rFonts w:hint="eastAsia" w:ascii="仿宋" w:hAnsi="仿宋" w:eastAsia="仿宋" w:cs="微软雅黑"/>
                <w:sz w:val="24"/>
              </w:rPr>
            </w:pPr>
            <w:r>
              <w:rPr>
                <w:rFonts w:hint="eastAsia" w:ascii="仿宋" w:hAnsi="仿宋" w:eastAsia="仿宋" w:cs="微软雅黑"/>
                <w:sz w:val="24"/>
              </w:rPr>
              <w:t>GB 50423  油气输送管道穿越工程设计规范</w:t>
            </w:r>
          </w:p>
          <w:p w14:paraId="7E4FAB8C">
            <w:pPr>
              <w:jc w:val="left"/>
              <w:textAlignment w:val="center"/>
              <w:rPr>
                <w:rFonts w:hint="eastAsia" w:ascii="仿宋" w:hAnsi="仿宋" w:eastAsia="仿宋" w:cs="微软雅黑"/>
                <w:sz w:val="24"/>
              </w:rPr>
            </w:pPr>
            <w:r>
              <w:rPr>
                <w:rFonts w:hint="eastAsia" w:ascii="仿宋" w:hAnsi="仿宋" w:eastAsia="仿宋" w:cs="微软雅黑"/>
                <w:sz w:val="24"/>
              </w:rPr>
              <w:t>GB 50459  油气输送管道跨越工程设计规范</w:t>
            </w:r>
          </w:p>
          <w:p w14:paraId="51751B43">
            <w:pPr>
              <w:jc w:val="left"/>
              <w:textAlignment w:val="center"/>
              <w:rPr>
                <w:rFonts w:hint="eastAsia" w:ascii="仿宋" w:hAnsi="仿宋" w:eastAsia="仿宋" w:cs="微软雅黑"/>
                <w:sz w:val="24"/>
              </w:rPr>
            </w:pPr>
            <w:r>
              <w:rPr>
                <w:rFonts w:hint="eastAsia" w:ascii="仿宋" w:hAnsi="仿宋" w:eastAsia="仿宋" w:cs="微软雅黑"/>
                <w:sz w:val="24"/>
              </w:rPr>
              <w:t>GB 50460  油气输送管道跨越工程施工规范</w:t>
            </w:r>
          </w:p>
          <w:p w14:paraId="14A3A77E">
            <w:pPr>
              <w:jc w:val="left"/>
              <w:textAlignment w:val="center"/>
              <w:rPr>
                <w:rFonts w:hint="eastAsia" w:ascii="仿宋" w:hAnsi="仿宋" w:eastAsia="仿宋" w:cs="微软雅黑"/>
                <w:sz w:val="24"/>
              </w:rPr>
            </w:pPr>
            <w:r>
              <w:rPr>
                <w:rFonts w:hint="eastAsia" w:ascii="仿宋" w:hAnsi="仿宋" w:eastAsia="仿宋" w:cs="微软雅黑"/>
                <w:sz w:val="24"/>
              </w:rPr>
              <w:t>GB 50545  110kV～750kV架空输电线路设计规范</w:t>
            </w:r>
          </w:p>
          <w:p w14:paraId="655D518E">
            <w:pPr>
              <w:jc w:val="left"/>
              <w:textAlignment w:val="center"/>
              <w:rPr>
                <w:rFonts w:hint="eastAsia" w:ascii="仿宋" w:hAnsi="仿宋" w:eastAsia="仿宋" w:cs="微软雅黑"/>
                <w:sz w:val="24"/>
              </w:rPr>
            </w:pPr>
            <w:r>
              <w:rPr>
                <w:rFonts w:hint="eastAsia" w:ascii="仿宋" w:hAnsi="仿宋" w:eastAsia="仿宋" w:cs="微软雅黑"/>
                <w:sz w:val="24"/>
              </w:rPr>
              <w:t>GB/T 50698  埋地钢质管道交流干扰防护技术标准</w:t>
            </w:r>
          </w:p>
          <w:p w14:paraId="480EAB0C">
            <w:pPr>
              <w:jc w:val="left"/>
              <w:textAlignment w:val="center"/>
              <w:rPr>
                <w:rFonts w:hint="eastAsia" w:ascii="仿宋" w:hAnsi="仿宋" w:eastAsia="仿宋" w:cs="微软雅黑"/>
                <w:sz w:val="24"/>
              </w:rPr>
            </w:pPr>
            <w:r>
              <w:rPr>
                <w:rFonts w:hint="eastAsia" w:ascii="仿宋" w:hAnsi="仿宋" w:eastAsia="仿宋" w:cs="微软雅黑"/>
                <w:sz w:val="24"/>
              </w:rPr>
              <w:t>SY/T 6064  管道干线标记设置技术规范</w:t>
            </w:r>
          </w:p>
          <w:p w14:paraId="75C4CBDD">
            <w:pPr>
              <w:jc w:val="left"/>
              <w:textAlignment w:val="center"/>
              <w:rPr>
                <w:rFonts w:hint="eastAsia" w:ascii="仿宋" w:hAnsi="仿宋" w:eastAsia="仿宋" w:cs="微软雅黑"/>
                <w:sz w:val="24"/>
              </w:rPr>
            </w:pPr>
            <w:r>
              <w:rPr>
                <w:rFonts w:hint="eastAsia" w:ascii="仿宋" w:hAnsi="仿宋" w:eastAsia="仿宋" w:cs="微软雅黑"/>
                <w:sz w:val="24"/>
              </w:rPr>
              <w:t>SY/T 7363  黄土地区油气输送管道线路设计规范</w:t>
            </w:r>
          </w:p>
          <w:p w14:paraId="19CDDBB1">
            <w:pPr>
              <w:jc w:val="left"/>
              <w:textAlignment w:val="center"/>
              <w:rPr>
                <w:rFonts w:hint="eastAsia" w:ascii="仿宋" w:hAnsi="仿宋" w:eastAsia="仿宋" w:cs="微软雅黑"/>
                <w:sz w:val="24"/>
              </w:rPr>
            </w:pPr>
            <w:r>
              <w:rPr>
                <w:rFonts w:hint="eastAsia" w:ascii="仿宋" w:hAnsi="仿宋" w:eastAsia="仿宋" w:cs="微软雅黑"/>
                <w:sz w:val="24"/>
              </w:rPr>
              <w:t>SY/T 7364  多年冻土地区油气输送管道工程设计规范</w:t>
            </w:r>
          </w:p>
          <w:p w14:paraId="0971D944">
            <w:pPr>
              <w:jc w:val="left"/>
              <w:textAlignment w:val="center"/>
              <w:rPr>
                <w:rFonts w:hint="eastAsia" w:ascii="仿宋" w:hAnsi="仿宋" w:eastAsia="仿宋" w:cs="微软雅黑"/>
                <w:sz w:val="24"/>
              </w:rPr>
            </w:pPr>
            <w:r>
              <w:rPr>
                <w:rFonts w:hint="eastAsia" w:ascii="仿宋" w:hAnsi="仿宋" w:eastAsia="仿宋" w:cs="微软雅黑"/>
                <w:sz w:val="24"/>
              </w:rPr>
              <w:t>《油气输送管道与铁路交汇工程技术及管理规定》 （国能油气〔2015〕392号）</w:t>
            </w:r>
          </w:p>
          <w:p w14:paraId="6FA8AF83">
            <w:pPr>
              <w:jc w:val="left"/>
              <w:textAlignment w:val="center"/>
              <w:rPr>
                <w:rFonts w:hint="eastAsia" w:ascii="仿宋" w:hAnsi="仿宋" w:eastAsia="仿宋" w:cs="微软雅黑"/>
                <w:sz w:val="24"/>
              </w:rPr>
            </w:pPr>
            <w:r>
              <w:rPr>
                <w:rFonts w:hint="eastAsia" w:ascii="仿宋" w:hAnsi="仿宋" w:eastAsia="仿宋" w:cs="微软雅黑"/>
                <w:sz w:val="24"/>
              </w:rPr>
              <w:t>《关于规范公路桥梁与石油天然气管道交叉工程管理的通知》（交公路发〔2015〕36号）</w:t>
            </w:r>
          </w:p>
        </w:tc>
        <w:tc>
          <w:tcPr>
            <w:tcW w:w="768" w:type="pct"/>
            <w:shd w:val="clear" w:color="auto" w:fill="FFFFFF" w:themeFill="background1"/>
            <w:vAlign w:val="center"/>
          </w:tcPr>
          <w:p w14:paraId="35621C11">
            <w:pPr>
              <w:jc w:val="left"/>
              <w:textAlignment w:val="center"/>
              <w:rPr>
                <w:rFonts w:hint="eastAsia" w:ascii="仿宋" w:hAnsi="仿宋" w:eastAsia="仿宋" w:cs="微软雅黑"/>
                <w:sz w:val="24"/>
              </w:rPr>
            </w:pPr>
            <w:r>
              <w:rPr>
                <w:rFonts w:hint="eastAsia" w:ascii="仿宋" w:hAnsi="仿宋" w:eastAsia="仿宋" w:cs="微软雅黑"/>
                <w:sz w:val="24"/>
              </w:rPr>
              <w:t>进一步梳理了文字的表述形式，增加了《黄土地区油气输送管道线路设计规范》（SY/T 7363）、多年冻土地区油气输送管道工程设计规范（SY/T 7364）、《油气输送管道与铁路交汇工程技术及管理规定》（国能油气〔2015〕392号）、《关于规范公路桥梁与石油天然气管道交叉工程管理的通知》（交公路发〔2015〕36号）等标准文件要求。</w:t>
            </w:r>
          </w:p>
        </w:tc>
      </w:tr>
      <w:tr w14:paraId="36DC8B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749D3F36">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4F8EE28B">
            <w:pPr>
              <w:jc w:val="center"/>
              <w:textAlignment w:val="center"/>
              <w:rPr>
                <w:rFonts w:hint="eastAsia" w:ascii="仿宋" w:hAnsi="仿宋" w:eastAsia="仿宋" w:cs="微软雅黑"/>
                <w:sz w:val="24"/>
              </w:rPr>
            </w:pPr>
            <w:r>
              <w:rPr>
                <w:rFonts w:hint="eastAsia" w:ascii="仿宋" w:hAnsi="仿宋" w:eastAsia="仿宋" w:cs="微软雅黑"/>
                <w:sz w:val="24"/>
              </w:rPr>
              <w:t>3 术语和定义</w:t>
            </w:r>
          </w:p>
        </w:tc>
        <w:tc>
          <w:tcPr>
            <w:tcW w:w="1479" w:type="pct"/>
            <w:shd w:val="clear" w:color="auto" w:fill="FFFFFF" w:themeFill="background1"/>
            <w:vAlign w:val="center"/>
          </w:tcPr>
          <w:p w14:paraId="3795C5F0">
            <w:pPr>
              <w:jc w:val="left"/>
              <w:textAlignment w:val="center"/>
              <w:rPr>
                <w:rFonts w:hint="eastAsia" w:ascii="仿宋" w:hAnsi="仿宋" w:eastAsia="仿宋" w:cs="微软雅黑"/>
                <w:sz w:val="24"/>
              </w:rPr>
            </w:pPr>
          </w:p>
        </w:tc>
        <w:tc>
          <w:tcPr>
            <w:tcW w:w="578" w:type="pct"/>
            <w:shd w:val="clear" w:color="auto" w:fill="FFFFFF" w:themeFill="background1"/>
            <w:noWrap/>
            <w:vAlign w:val="center"/>
          </w:tcPr>
          <w:p w14:paraId="07D7610E">
            <w:pPr>
              <w:jc w:val="center"/>
              <w:textAlignment w:val="center"/>
              <w:rPr>
                <w:rFonts w:hint="eastAsia" w:ascii="仿宋" w:hAnsi="仿宋" w:eastAsia="仿宋" w:cs="微软雅黑"/>
                <w:sz w:val="24"/>
              </w:rPr>
            </w:pPr>
            <w:r>
              <w:rPr>
                <w:rFonts w:hint="eastAsia" w:ascii="仿宋" w:hAnsi="仿宋" w:eastAsia="仿宋" w:cs="微软雅黑"/>
                <w:sz w:val="24"/>
              </w:rPr>
              <w:t>3 术语和定义</w:t>
            </w:r>
          </w:p>
        </w:tc>
        <w:tc>
          <w:tcPr>
            <w:tcW w:w="1473" w:type="pct"/>
            <w:shd w:val="clear" w:color="auto" w:fill="FFFFFF" w:themeFill="background1"/>
            <w:vAlign w:val="center"/>
          </w:tcPr>
          <w:p w14:paraId="6CB319E5">
            <w:pPr>
              <w:jc w:val="left"/>
              <w:textAlignment w:val="center"/>
              <w:rPr>
                <w:rFonts w:hint="eastAsia" w:ascii="仿宋" w:hAnsi="仿宋" w:eastAsia="仿宋" w:cs="微软雅黑"/>
                <w:sz w:val="24"/>
              </w:rPr>
            </w:pPr>
          </w:p>
        </w:tc>
        <w:tc>
          <w:tcPr>
            <w:tcW w:w="768" w:type="pct"/>
            <w:shd w:val="clear" w:color="auto" w:fill="FFFFFF" w:themeFill="background1"/>
            <w:vAlign w:val="center"/>
          </w:tcPr>
          <w:p w14:paraId="2DF54ECB">
            <w:pPr>
              <w:jc w:val="left"/>
              <w:textAlignment w:val="center"/>
              <w:rPr>
                <w:rFonts w:hint="eastAsia" w:ascii="仿宋" w:hAnsi="仿宋" w:eastAsia="仿宋" w:cs="微软雅黑"/>
                <w:sz w:val="24"/>
              </w:rPr>
            </w:pPr>
          </w:p>
        </w:tc>
      </w:tr>
      <w:tr w14:paraId="2FBE00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45D1379E">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064F73B5">
            <w:pPr>
              <w:jc w:val="center"/>
              <w:textAlignment w:val="center"/>
              <w:rPr>
                <w:rFonts w:hint="eastAsia" w:ascii="仿宋" w:hAnsi="仿宋" w:eastAsia="仿宋" w:cs="微软雅黑"/>
                <w:sz w:val="24"/>
              </w:rPr>
            </w:pPr>
            <w:r>
              <w:rPr>
                <w:rFonts w:hint="eastAsia" w:ascii="仿宋" w:hAnsi="仿宋" w:eastAsia="仿宋" w:cs="微软雅黑"/>
                <w:sz w:val="24"/>
              </w:rPr>
              <w:t>3.1 油气管道</w:t>
            </w:r>
          </w:p>
        </w:tc>
        <w:tc>
          <w:tcPr>
            <w:tcW w:w="1479" w:type="pct"/>
            <w:shd w:val="clear" w:color="auto" w:fill="FFFFFF" w:themeFill="background1"/>
            <w:vAlign w:val="center"/>
          </w:tcPr>
          <w:p w14:paraId="311688EC">
            <w:pPr>
              <w:jc w:val="left"/>
              <w:textAlignment w:val="center"/>
              <w:rPr>
                <w:rFonts w:hint="eastAsia" w:ascii="仿宋" w:hAnsi="仿宋" w:eastAsia="仿宋" w:cs="微软雅黑"/>
                <w:sz w:val="24"/>
              </w:rPr>
            </w:pPr>
            <w:r>
              <w:rPr>
                <w:rFonts w:hint="eastAsia" w:ascii="仿宋" w:hAnsi="仿宋" w:eastAsia="仿宋" w:cs="微软雅黑"/>
                <w:sz w:val="24"/>
              </w:rPr>
              <w:t>油气管道是指输送符合有关标准质量要求的石油 、天然气管道及管道附属设施，其中：</w:t>
            </w:r>
          </w:p>
          <w:p w14:paraId="488F98FB">
            <w:pPr>
              <w:jc w:val="left"/>
              <w:textAlignment w:val="center"/>
              <w:rPr>
                <w:rFonts w:hint="eastAsia" w:ascii="仿宋" w:hAnsi="仿宋" w:eastAsia="仿宋" w:cs="微软雅黑"/>
                <w:sz w:val="24"/>
              </w:rPr>
            </w:pPr>
            <w:r>
              <w:rPr>
                <w:rFonts w:hint="eastAsia" w:ascii="仿宋" w:hAnsi="仿宋" w:eastAsia="仿宋" w:cs="微软雅黑"/>
                <w:sz w:val="24"/>
              </w:rPr>
              <w:t>石油是指原油 、成品油和液化石油气；</w:t>
            </w:r>
          </w:p>
          <w:p w14:paraId="47ECA774">
            <w:pPr>
              <w:jc w:val="left"/>
              <w:textAlignment w:val="center"/>
              <w:rPr>
                <w:rFonts w:hint="eastAsia" w:ascii="仿宋" w:hAnsi="仿宋" w:eastAsia="仿宋" w:cs="微软雅黑"/>
                <w:sz w:val="24"/>
              </w:rPr>
            </w:pPr>
            <w:r>
              <w:rPr>
                <w:rFonts w:hint="eastAsia" w:ascii="仿宋" w:hAnsi="仿宋" w:eastAsia="仿宋" w:cs="微软雅黑"/>
                <w:sz w:val="24"/>
              </w:rPr>
              <w:t>天然气是指常规天然气 、页岩气 、煤层气和煤制天然气；</w:t>
            </w:r>
          </w:p>
          <w:p w14:paraId="5CE0F7E9">
            <w:pPr>
              <w:jc w:val="left"/>
              <w:textAlignment w:val="center"/>
              <w:rPr>
                <w:rFonts w:hint="eastAsia" w:ascii="仿宋" w:hAnsi="仿宋" w:eastAsia="仿宋" w:cs="微软雅黑"/>
                <w:sz w:val="24"/>
              </w:rPr>
            </w:pPr>
            <w:r>
              <w:rPr>
                <w:rFonts w:hint="eastAsia" w:ascii="仿宋" w:hAnsi="仿宋" w:eastAsia="仿宋" w:cs="微软雅黑"/>
                <w:sz w:val="24"/>
              </w:rPr>
              <w:t>管道附属设施是指输油（气）站 、放空设施 、油库 、储气库 、装卸站场，阀室 、防腐设施 、管道检漏装置 、 标志标识 、专用隧道 、管桥 、水工防护设施 、伴行路，公用工程及其他安全设施等 。</w:t>
            </w:r>
          </w:p>
        </w:tc>
        <w:tc>
          <w:tcPr>
            <w:tcW w:w="578" w:type="pct"/>
            <w:shd w:val="clear" w:color="auto" w:fill="FFFFFF" w:themeFill="background1"/>
            <w:noWrap/>
            <w:vAlign w:val="center"/>
          </w:tcPr>
          <w:p w14:paraId="3D939FA1">
            <w:pPr>
              <w:jc w:val="center"/>
              <w:textAlignment w:val="center"/>
              <w:rPr>
                <w:rFonts w:hint="eastAsia" w:ascii="仿宋" w:hAnsi="仿宋" w:eastAsia="仿宋" w:cs="微软雅黑"/>
                <w:sz w:val="24"/>
              </w:rPr>
            </w:pPr>
          </w:p>
        </w:tc>
        <w:tc>
          <w:tcPr>
            <w:tcW w:w="1473" w:type="pct"/>
            <w:shd w:val="clear" w:color="auto" w:fill="FFFFFF" w:themeFill="background1"/>
            <w:vAlign w:val="center"/>
          </w:tcPr>
          <w:p w14:paraId="635FB23C">
            <w:pPr>
              <w:jc w:val="left"/>
              <w:textAlignment w:val="center"/>
              <w:rPr>
                <w:rFonts w:hint="eastAsia" w:ascii="仿宋" w:hAnsi="仿宋" w:eastAsia="仿宋" w:cs="微软雅黑"/>
                <w:sz w:val="24"/>
              </w:rPr>
            </w:pPr>
          </w:p>
        </w:tc>
        <w:tc>
          <w:tcPr>
            <w:tcW w:w="768" w:type="pct"/>
            <w:shd w:val="clear" w:color="auto" w:fill="FFFFFF" w:themeFill="background1"/>
            <w:vAlign w:val="center"/>
          </w:tcPr>
          <w:p w14:paraId="6945A453">
            <w:pPr>
              <w:jc w:val="left"/>
              <w:textAlignment w:val="center"/>
              <w:rPr>
                <w:rFonts w:hint="eastAsia" w:ascii="仿宋" w:hAnsi="仿宋" w:eastAsia="仿宋" w:cs="微软雅黑"/>
                <w:sz w:val="24"/>
              </w:rPr>
            </w:pPr>
            <w:r>
              <w:rPr>
                <w:rFonts w:hint="eastAsia" w:ascii="仿宋" w:hAnsi="仿宋" w:eastAsia="仿宋" w:cs="微软雅黑"/>
                <w:sz w:val="24"/>
              </w:rPr>
              <w:t>删除了油气管道的定义。</w:t>
            </w:r>
          </w:p>
        </w:tc>
      </w:tr>
      <w:tr w14:paraId="26D170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2713303C">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262E29AB">
            <w:pPr>
              <w:jc w:val="center"/>
              <w:textAlignment w:val="center"/>
              <w:rPr>
                <w:rFonts w:hint="eastAsia" w:ascii="仿宋" w:hAnsi="仿宋" w:eastAsia="仿宋" w:cs="微软雅黑"/>
                <w:sz w:val="24"/>
              </w:rPr>
            </w:pPr>
            <w:r>
              <w:rPr>
                <w:rFonts w:hint="eastAsia" w:ascii="仿宋" w:hAnsi="仿宋" w:eastAsia="仿宋" w:cs="微软雅黑"/>
                <w:sz w:val="24"/>
              </w:rPr>
              <w:t>3.2安全设施</w:t>
            </w:r>
          </w:p>
        </w:tc>
        <w:tc>
          <w:tcPr>
            <w:tcW w:w="1479" w:type="pct"/>
            <w:shd w:val="clear" w:color="auto" w:fill="FFFFFF" w:themeFill="background1"/>
            <w:vAlign w:val="center"/>
          </w:tcPr>
          <w:p w14:paraId="54013D9E">
            <w:pPr>
              <w:jc w:val="left"/>
              <w:textAlignment w:val="center"/>
              <w:rPr>
                <w:rFonts w:hint="eastAsia" w:ascii="仿宋" w:hAnsi="仿宋" w:eastAsia="仿宋" w:cs="微软雅黑"/>
                <w:sz w:val="24"/>
              </w:rPr>
            </w:pPr>
            <w:r>
              <w:rPr>
                <w:rFonts w:hint="eastAsia" w:ascii="仿宋" w:hAnsi="仿宋" w:eastAsia="仿宋" w:cs="微软雅黑"/>
                <w:sz w:val="24"/>
              </w:rPr>
              <w:t>安全设施是指在油气管道系统中用于安全防护、防火防爆、检测报警、应急处置所采用的设施。主要安全设施见附录A（资料性附录）。</w:t>
            </w:r>
          </w:p>
        </w:tc>
        <w:tc>
          <w:tcPr>
            <w:tcW w:w="578" w:type="pct"/>
            <w:shd w:val="clear" w:color="auto" w:fill="FFFFFF" w:themeFill="background1"/>
            <w:noWrap/>
            <w:vAlign w:val="center"/>
          </w:tcPr>
          <w:p w14:paraId="4EA5AE97">
            <w:pPr>
              <w:jc w:val="center"/>
              <w:textAlignment w:val="center"/>
              <w:rPr>
                <w:rFonts w:hint="eastAsia" w:ascii="仿宋" w:hAnsi="仿宋" w:eastAsia="仿宋" w:cs="微软雅黑"/>
                <w:sz w:val="24"/>
              </w:rPr>
            </w:pPr>
            <w:r>
              <w:rPr>
                <w:rFonts w:hint="eastAsia" w:ascii="仿宋" w:hAnsi="仿宋" w:eastAsia="仿宋" w:cs="微软雅黑"/>
                <w:sz w:val="24"/>
              </w:rPr>
              <w:t>3.1安全设施</w:t>
            </w:r>
          </w:p>
        </w:tc>
        <w:tc>
          <w:tcPr>
            <w:tcW w:w="1473" w:type="pct"/>
            <w:shd w:val="clear" w:color="auto" w:fill="FFFFFF" w:themeFill="background1"/>
            <w:vAlign w:val="center"/>
          </w:tcPr>
          <w:p w14:paraId="4527A8AD">
            <w:pPr>
              <w:jc w:val="left"/>
              <w:textAlignment w:val="center"/>
              <w:rPr>
                <w:rFonts w:hint="eastAsia" w:ascii="仿宋" w:hAnsi="仿宋" w:eastAsia="仿宋" w:cs="微软雅黑"/>
                <w:sz w:val="24"/>
              </w:rPr>
            </w:pPr>
            <w:r>
              <w:rPr>
                <w:rFonts w:hint="eastAsia" w:ascii="仿宋" w:hAnsi="仿宋" w:eastAsia="仿宋" w:cs="微软雅黑"/>
                <w:sz w:val="24"/>
              </w:rPr>
              <w:t>油气长输管道系统中用于安全防护、防火防爆、检测报警、应急处置所采用的设施。主要安全设施见附录A。</w:t>
            </w:r>
          </w:p>
        </w:tc>
        <w:tc>
          <w:tcPr>
            <w:tcW w:w="768" w:type="pct"/>
            <w:shd w:val="clear" w:color="auto" w:fill="FFFFFF" w:themeFill="background1"/>
            <w:vAlign w:val="center"/>
          </w:tcPr>
          <w:p w14:paraId="1D7EDC2D">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45B0D4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4BCF3961">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67D92989">
            <w:pPr>
              <w:jc w:val="center"/>
              <w:textAlignment w:val="center"/>
              <w:rPr>
                <w:rFonts w:hint="eastAsia" w:ascii="仿宋" w:hAnsi="仿宋" w:eastAsia="仿宋" w:cs="微软雅黑"/>
                <w:sz w:val="24"/>
              </w:rPr>
            </w:pPr>
          </w:p>
        </w:tc>
        <w:tc>
          <w:tcPr>
            <w:tcW w:w="1479" w:type="pct"/>
            <w:shd w:val="clear" w:color="auto" w:fill="FFFFFF" w:themeFill="background1"/>
            <w:vAlign w:val="center"/>
          </w:tcPr>
          <w:p w14:paraId="111B4ACF">
            <w:pPr>
              <w:jc w:val="left"/>
              <w:textAlignment w:val="center"/>
              <w:rPr>
                <w:rFonts w:hint="eastAsia" w:ascii="仿宋" w:hAnsi="仿宋" w:eastAsia="仿宋" w:cs="微软雅黑"/>
                <w:sz w:val="24"/>
              </w:rPr>
            </w:pPr>
          </w:p>
        </w:tc>
        <w:tc>
          <w:tcPr>
            <w:tcW w:w="578" w:type="pct"/>
            <w:shd w:val="clear" w:color="auto" w:fill="FFFFFF" w:themeFill="background1"/>
            <w:noWrap/>
            <w:vAlign w:val="center"/>
          </w:tcPr>
          <w:p w14:paraId="5F11991A">
            <w:pPr>
              <w:jc w:val="center"/>
              <w:textAlignment w:val="center"/>
              <w:rPr>
                <w:rFonts w:hint="eastAsia" w:ascii="仿宋" w:hAnsi="仿宋" w:eastAsia="仿宋" w:cs="微软雅黑"/>
                <w:sz w:val="24"/>
              </w:rPr>
            </w:pPr>
            <w:r>
              <w:rPr>
                <w:rFonts w:hint="eastAsia" w:ascii="仿宋" w:hAnsi="仿宋" w:eastAsia="仿宋" w:cs="微软雅黑"/>
                <w:sz w:val="24"/>
              </w:rPr>
              <w:t>3.2人员密集型高后果区</w:t>
            </w:r>
          </w:p>
        </w:tc>
        <w:tc>
          <w:tcPr>
            <w:tcW w:w="1473" w:type="pct"/>
            <w:shd w:val="clear" w:color="auto" w:fill="FFFFFF" w:themeFill="background1"/>
            <w:vAlign w:val="center"/>
          </w:tcPr>
          <w:p w14:paraId="412B533C">
            <w:pPr>
              <w:jc w:val="left"/>
              <w:textAlignment w:val="center"/>
              <w:rPr>
                <w:rFonts w:hint="eastAsia" w:ascii="仿宋" w:hAnsi="仿宋" w:eastAsia="仿宋" w:cs="微软雅黑"/>
                <w:sz w:val="24"/>
              </w:rPr>
            </w:pPr>
            <w:r>
              <w:rPr>
                <w:rFonts w:hint="eastAsia" w:ascii="仿宋" w:hAnsi="仿宋" w:eastAsia="仿宋" w:cs="微软雅黑"/>
                <w:sz w:val="24"/>
              </w:rPr>
              <w:t>人员密集且一旦发生油气管道泄漏后，可能造成人员伤亡的区域。</w:t>
            </w:r>
          </w:p>
        </w:tc>
        <w:tc>
          <w:tcPr>
            <w:tcW w:w="768" w:type="pct"/>
            <w:shd w:val="clear" w:color="auto" w:fill="FFFFFF" w:themeFill="background1"/>
            <w:vAlign w:val="center"/>
          </w:tcPr>
          <w:p w14:paraId="36250801">
            <w:pPr>
              <w:jc w:val="left"/>
              <w:textAlignment w:val="center"/>
              <w:rPr>
                <w:rFonts w:hint="eastAsia" w:ascii="仿宋" w:hAnsi="仿宋" w:eastAsia="仿宋" w:cs="微软雅黑"/>
                <w:sz w:val="24"/>
              </w:rPr>
            </w:pPr>
            <w:r>
              <w:rPr>
                <w:rFonts w:hint="eastAsia" w:ascii="仿宋" w:hAnsi="仿宋" w:eastAsia="仿宋" w:cs="微软雅黑"/>
                <w:sz w:val="24"/>
              </w:rPr>
              <w:t>增加了人员密集型高后果区的术语定义。</w:t>
            </w:r>
          </w:p>
        </w:tc>
      </w:tr>
      <w:tr w14:paraId="5B3565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2BDD8630">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6C71B621">
            <w:pPr>
              <w:jc w:val="center"/>
              <w:textAlignment w:val="center"/>
              <w:rPr>
                <w:rFonts w:hint="eastAsia" w:ascii="仿宋" w:hAnsi="仿宋" w:eastAsia="仿宋" w:cs="微软雅黑"/>
                <w:sz w:val="24"/>
              </w:rPr>
            </w:pPr>
            <w:r>
              <w:rPr>
                <w:rFonts w:hint="eastAsia" w:ascii="仿宋" w:hAnsi="仿宋" w:eastAsia="仿宋" w:cs="微软雅黑"/>
                <w:sz w:val="24"/>
              </w:rPr>
              <w:t>4 评价依据</w:t>
            </w:r>
          </w:p>
        </w:tc>
        <w:tc>
          <w:tcPr>
            <w:tcW w:w="1479" w:type="pct"/>
            <w:shd w:val="clear" w:color="auto" w:fill="FFFFFF" w:themeFill="background1"/>
            <w:vAlign w:val="center"/>
          </w:tcPr>
          <w:p w14:paraId="6164EFE5">
            <w:pPr>
              <w:jc w:val="left"/>
              <w:textAlignment w:val="center"/>
              <w:rPr>
                <w:rFonts w:hint="eastAsia" w:ascii="仿宋" w:hAnsi="仿宋" w:eastAsia="仿宋" w:cs="微软雅黑"/>
                <w:sz w:val="24"/>
              </w:rPr>
            </w:pPr>
          </w:p>
        </w:tc>
        <w:tc>
          <w:tcPr>
            <w:tcW w:w="578" w:type="pct"/>
            <w:shd w:val="clear" w:color="auto" w:fill="FFFFFF" w:themeFill="background1"/>
            <w:noWrap/>
            <w:vAlign w:val="center"/>
          </w:tcPr>
          <w:p w14:paraId="78541135">
            <w:pPr>
              <w:jc w:val="center"/>
              <w:textAlignment w:val="center"/>
              <w:rPr>
                <w:rFonts w:hint="eastAsia" w:ascii="仿宋" w:hAnsi="仿宋" w:eastAsia="仿宋" w:cs="微软雅黑"/>
                <w:sz w:val="24"/>
              </w:rPr>
            </w:pPr>
            <w:r>
              <w:rPr>
                <w:rFonts w:hint="eastAsia" w:ascii="仿宋" w:hAnsi="仿宋" w:eastAsia="仿宋" w:cs="微软雅黑"/>
                <w:sz w:val="24"/>
              </w:rPr>
              <w:t>4 评价依据和评价范围</w:t>
            </w:r>
          </w:p>
        </w:tc>
        <w:tc>
          <w:tcPr>
            <w:tcW w:w="1473" w:type="pct"/>
            <w:shd w:val="clear" w:color="auto" w:fill="FFFFFF" w:themeFill="background1"/>
            <w:vAlign w:val="center"/>
          </w:tcPr>
          <w:p w14:paraId="4C252978">
            <w:pPr>
              <w:ind w:firstLine="480" w:firstLineChars="200"/>
              <w:jc w:val="left"/>
              <w:textAlignment w:val="center"/>
              <w:rPr>
                <w:rFonts w:hint="eastAsia" w:ascii="仿宋" w:hAnsi="仿宋" w:eastAsia="仿宋" w:cs="微软雅黑"/>
                <w:sz w:val="24"/>
              </w:rPr>
            </w:pPr>
          </w:p>
        </w:tc>
        <w:tc>
          <w:tcPr>
            <w:tcW w:w="768" w:type="pct"/>
            <w:shd w:val="clear" w:color="auto" w:fill="FFFFFF" w:themeFill="background1"/>
            <w:vAlign w:val="center"/>
          </w:tcPr>
          <w:p w14:paraId="48B4CD51">
            <w:pPr>
              <w:jc w:val="left"/>
              <w:textAlignment w:val="center"/>
              <w:rPr>
                <w:rFonts w:hint="eastAsia" w:ascii="仿宋" w:hAnsi="仿宋" w:eastAsia="仿宋" w:cs="微软雅黑"/>
                <w:sz w:val="24"/>
              </w:rPr>
            </w:pPr>
            <w:r>
              <w:rPr>
                <w:rFonts w:hint="eastAsia" w:ascii="仿宋" w:hAnsi="仿宋" w:eastAsia="仿宋" w:cs="微软雅黑"/>
                <w:sz w:val="24"/>
              </w:rPr>
              <w:t>增加了评估范围要求。</w:t>
            </w:r>
          </w:p>
        </w:tc>
      </w:tr>
      <w:tr w14:paraId="620AE1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2A801D7A">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0FF78ADE">
            <w:pPr>
              <w:jc w:val="center"/>
              <w:textAlignment w:val="center"/>
              <w:rPr>
                <w:rFonts w:hint="eastAsia" w:ascii="仿宋" w:hAnsi="仿宋" w:eastAsia="仿宋" w:cs="微软雅黑"/>
                <w:sz w:val="24"/>
              </w:rPr>
            </w:pPr>
            <w:r>
              <w:rPr>
                <w:rFonts w:hint="eastAsia" w:ascii="仿宋" w:hAnsi="仿宋" w:eastAsia="仿宋" w:cs="微软雅黑"/>
                <w:sz w:val="24"/>
              </w:rPr>
              <w:t>4.1</w:t>
            </w:r>
          </w:p>
        </w:tc>
        <w:tc>
          <w:tcPr>
            <w:tcW w:w="1479" w:type="pct"/>
            <w:shd w:val="clear" w:color="auto" w:fill="FFFFFF" w:themeFill="background1"/>
            <w:vAlign w:val="center"/>
          </w:tcPr>
          <w:p w14:paraId="26972D4F">
            <w:pPr>
              <w:jc w:val="left"/>
              <w:rPr>
                <w:rFonts w:hint="eastAsia" w:ascii="仿宋" w:hAnsi="仿宋" w:eastAsia="仿宋" w:cs="微软雅黑"/>
                <w:sz w:val="24"/>
              </w:rPr>
            </w:pPr>
            <w:r>
              <w:rPr>
                <w:rFonts w:hint="eastAsia" w:ascii="仿宋" w:hAnsi="仿宋" w:eastAsia="仿宋" w:cs="微软雅黑"/>
                <w:sz w:val="24"/>
              </w:rPr>
              <w:t>建设项目支持性文件应包括建设项目的有关行政许可和建设单位批复等意见（见12.1附件中的a、b、c和d）。</w:t>
            </w:r>
          </w:p>
        </w:tc>
        <w:tc>
          <w:tcPr>
            <w:tcW w:w="578" w:type="pct"/>
            <w:shd w:val="clear" w:color="auto" w:fill="FFFFFF" w:themeFill="background1"/>
            <w:noWrap/>
            <w:vAlign w:val="center"/>
          </w:tcPr>
          <w:p w14:paraId="10B1EE31">
            <w:pPr>
              <w:jc w:val="center"/>
              <w:textAlignment w:val="center"/>
              <w:rPr>
                <w:rFonts w:hint="eastAsia" w:ascii="仿宋" w:hAnsi="仿宋" w:eastAsia="仿宋" w:cs="微软雅黑"/>
                <w:sz w:val="24"/>
              </w:rPr>
            </w:pPr>
            <w:r>
              <w:rPr>
                <w:rFonts w:hint="eastAsia" w:ascii="仿宋" w:hAnsi="仿宋" w:eastAsia="仿宋" w:cs="微软雅黑"/>
                <w:sz w:val="24"/>
              </w:rPr>
              <w:t>4.1</w:t>
            </w:r>
          </w:p>
        </w:tc>
        <w:tc>
          <w:tcPr>
            <w:tcW w:w="1473" w:type="pct"/>
            <w:shd w:val="clear" w:color="auto" w:fill="FFFFFF" w:themeFill="background1"/>
            <w:vAlign w:val="center"/>
          </w:tcPr>
          <w:p w14:paraId="150B9403">
            <w:pPr>
              <w:jc w:val="left"/>
              <w:textAlignment w:val="center"/>
              <w:rPr>
                <w:rFonts w:hint="eastAsia" w:ascii="仿宋" w:hAnsi="仿宋" w:eastAsia="仿宋" w:cs="微软雅黑"/>
                <w:sz w:val="24"/>
              </w:rPr>
            </w:pPr>
            <w:r>
              <w:rPr>
                <w:rFonts w:hint="eastAsia" w:ascii="仿宋" w:hAnsi="仿宋" w:eastAsia="仿宋" w:cs="微软雅黑"/>
                <w:sz w:val="24"/>
              </w:rPr>
              <w:t>列出建设项目的有关行政许可、建设单位批复等支持性文件，见12.1的a）、b）、c）、d）。</w:t>
            </w:r>
          </w:p>
        </w:tc>
        <w:tc>
          <w:tcPr>
            <w:tcW w:w="768" w:type="pct"/>
            <w:shd w:val="clear" w:color="auto" w:fill="FFFFFF" w:themeFill="background1"/>
            <w:vAlign w:val="center"/>
          </w:tcPr>
          <w:p w14:paraId="7839F221">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1B860B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56718CC1">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5D319CC8">
            <w:pPr>
              <w:jc w:val="center"/>
              <w:textAlignment w:val="center"/>
              <w:rPr>
                <w:rFonts w:hint="eastAsia" w:ascii="仿宋" w:hAnsi="仿宋" w:eastAsia="仿宋" w:cs="微软雅黑"/>
                <w:sz w:val="24"/>
              </w:rPr>
            </w:pPr>
            <w:r>
              <w:rPr>
                <w:rFonts w:hint="eastAsia" w:ascii="仿宋" w:hAnsi="仿宋" w:eastAsia="仿宋" w:cs="微软雅黑"/>
                <w:sz w:val="24"/>
              </w:rPr>
              <w:t>4.2</w:t>
            </w:r>
          </w:p>
        </w:tc>
        <w:tc>
          <w:tcPr>
            <w:tcW w:w="1479" w:type="pct"/>
            <w:shd w:val="clear" w:color="auto" w:fill="FFFFFF" w:themeFill="background1"/>
            <w:vAlign w:val="center"/>
          </w:tcPr>
          <w:p w14:paraId="5358883C">
            <w:pPr>
              <w:jc w:val="left"/>
              <w:textAlignment w:val="center"/>
              <w:rPr>
                <w:rFonts w:hint="eastAsia" w:ascii="仿宋" w:hAnsi="仿宋" w:eastAsia="仿宋" w:cs="微软雅黑"/>
                <w:sz w:val="24"/>
              </w:rPr>
            </w:pPr>
            <w:r>
              <w:rPr>
                <w:rFonts w:hint="eastAsia" w:ascii="仿宋" w:hAnsi="仿宋" w:eastAsia="仿宋" w:cs="微软雅黑"/>
                <w:sz w:val="24"/>
              </w:rPr>
              <w:t>列出评价依据的现行国家法律、法规、部门规章和地方法规，应标明发布机构、令号和施行日期。</w:t>
            </w:r>
          </w:p>
        </w:tc>
        <w:tc>
          <w:tcPr>
            <w:tcW w:w="578" w:type="pct"/>
            <w:shd w:val="clear" w:color="auto" w:fill="FFFFFF" w:themeFill="background1"/>
            <w:noWrap/>
            <w:vAlign w:val="center"/>
          </w:tcPr>
          <w:p w14:paraId="066F4F00">
            <w:pPr>
              <w:jc w:val="center"/>
              <w:textAlignment w:val="center"/>
              <w:rPr>
                <w:rFonts w:hint="eastAsia" w:ascii="仿宋" w:hAnsi="仿宋" w:eastAsia="仿宋" w:cs="微软雅黑"/>
                <w:sz w:val="24"/>
              </w:rPr>
            </w:pPr>
            <w:r>
              <w:rPr>
                <w:rFonts w:hint="eastAsia" w:ascii="仿宋" w:hAnsi="仿宋" w:eastAsia="仿宋" w:cs="微软雅黑"/>
                <w:sz w:val="24"/>
              </w:rPr>
              <w:t>4.2</w:t>
            </w:r>
          </w:p>
        </w:tc>
        <w:tc>
          <w:tcPr>
            <w:tcW w:w="1473" w:type="pct"/>
            <w:shd w:val="clear" w:color="auto" w:fill="FFFFFF" w:themeFill="background1"/>
            <w:vAlign w:val="center"/>
          </w:tcPr>
          <w:p w14:paraId="7736675F">
            <w:pPr>
              <w:jc w:val="left"/>
              <w:textAlignment w:val="center"/>
              <w:rPr>
                <w:rFonts w:hint="eastAsia" w:ascii="仿宋" w:hAnsi="仿宋" w:eastAsia="仿宋" w:cs="微软雅黑"/>
                <w:sz w:val="24"/>
              </w:rPr>
            </w:pPr>
            <w:r>
              <w:rPr>
                <w:rFonts w:hint="eastAsia" w:ascii="仿宋" w:hAnsi="仿宋" w:eastAsia="仿宋" w:cs="微软雅黑"/>
                <w:sz w:val="24"/>
              </w:rPr>
              <w:t>列出评价依据的现行国家法律、法规、部门规章和地方法规，标明发布机构、令号和施行日期。</w:t>
            </w:r>
          </w:p>
        </w:tc>
        <w:tc>
          <w:tcPr>
            <w:tcW w:w="768" w:type="pct"/>
            <w:shd w:val="clear" w:color="auto" w:fill="FFFFFF" w:themeFill="background1"/>
            <w:vAlign w:val="center"/>
          </w:tcPr>
          <w:p w14:paraId="7D28A670">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5BFB0D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00740E3D">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7F52DA60">
            <w:pPr>
              <w:jc w:val="center"/>
              <w:textAlignment w:val="center"/>
              <w:rPr>
                <w:rFonts w:hint="eastAsia" w:ascii="仿宋" w:hAnsi="仿宋" w:eastAsia="仿宋" w:cs="微软雅黑"/>
                <w:sz w:val="24"/>
              </w:rPr>
            </w:pPr>
            <w:r>
              <w:rPr>
                <w:rFonts w:hint="eastAsia" w:ascii="仿宋" w:hAnsi="仿宋" w:eastAsia="仿宋" w:cs="微软雅黑"/>
                <w:sz w:val="24"/>
              </w:rPr>
              <w:t>4.3</w:t>
            </w:r>
          </w:p>
        </w:tc>
        <w:tc>
          <w:tcPr>
            <w:tcW w:w="1479" w:type="pct"/>
            <w:shd w:val="clear" w:color="auto" w:fill="FFFFFF" w:themeFill="background1"/>
            <w:vAlign w:val="center"/>
          </w:tcPr>
          <w:p w14:paraId="28909920">
            <w:pPr>
              <w:jc w:val="left"/>
              <w:textAlignment w:val="center"/>
              <w:rPr>
                <w:rFonts w:hint="eastAsia" w:ascii="仿宋" w:hAnsi="仿宋" w:eastAsia="仿宋" w:cs="微软雅黑"/>
                <w:sz w:val="24"/>
              </w:rPr>
            </w:pPr>
            <w:r>
              <w:rPr>
                <w:rFonts w:hint="eastAsia" w:ascii="仿宋" w:hAnsi="仿宋" w:eastAsia="仿宋" w:cs="微软雅黑"/>
                <w:sz w:val="24"/>
              </w:rPr>
              <w:t>列出评价依据的现行规范性文件，应标明发布机构、文号和施行日期。</w:t>
            </w:r>
          </w:p>
        </w:tc>
        <w:tc>
          <w:tcPr>
            <w:tcW w:w="578" w:type="pct"/>
            <w:shd w:val="clear" w:color="auto" w:fill="FFFFFF" w:themeFill="background1"/>
            <w:noWrap/>
            <w:vAlign w:val="center"/>
          </w:tcPr>
          <w:p w14:paraId="4E4F3691">
            <w:pPr>
              <w:jc w:val="center"/>
              <w:textAlignment w:val="center"/>
              <w:rPr>
                <w:rFonts w:hint="eastAsia" w:ascii="仿宋" w:hAnsi="仿宋" w:eastAsia="仿宋" w:cs="微软雅黑"/>
                <w:sz w:val="24"/>
              </w:rPr>
            </w:pPr>
            <w:r>
              <w:rPr>
                <w:rFonts w:hint="eastAsia" w:ascii="仿宋" w:hAnsi="仿宋" w:eastAsia="仿宋" w:cs="微软雅黑"/>
                <w:sz w:val="24"/>
              </w:rPr>
              <w:t>4.3</w:t>
            </w:r>
          </w:p>
        </w:tc>
        <w:tc>
          <w:tcPr>
            <w:tcW w:w="1473" w:type="pct"/>
            <w:shd w:val="clear" w:color="auto" w:fill="FFFFFF" w:themeFill="background1"/>
            <w:vAlign w:val="center"/>
          </w:tcPr>
          <w:p w14:paraId="4FED3FA0">
            <w:pPr>
              <w:jc w:val="left"/>
              <w:textAlignment w:val="center"/>
              <w:rPr>
                <w:rFonts w:hint="eastAsia" w:ascii="仿宋" w:hAnsi="仿宋" w:eastAsia="仿宋" w:cs="微软雅黑"/>
                <w:sz w:val="24"/>
              </w:rPr>
            </w:pPr>
            <w:r>
              <w:rPr>
                <w:rFonts w:hint="eastAsia" w:ascii="仿宋" w:hAnsi="仿宋" w:eastAsia="仿宋" w:cs="微软雅黑"/>
                <w:sz w:val="24"/>
              </w:rPr>
              <w:t>列出评价依据的现行规范性文件，标明发布机构、文号和施行日期。</w:t>
            </w:r>
          </w:p>
        </w:tc>
        <w:tc>
          <w:tcPr>
            <w:tcW w:w="768" w:type="pct"/>
            <w:shd w:val="clear" w:color="auto" w:fill="FFFFFF" w:themeFill="background1"/>
            <w:vAlign w:val="center"/>
          </w:tcPr>
          <w:p w14:paraId="5BAECCFE">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00DB26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493D2BAA">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4AC0E20A">
            <w:pPr>
              <w:jc w:val="center"/>
              <w:textAlignment w:val="center"/>
              <w:rPr>
                <w:rFonts w:hint="eastAsia" w:ascii="仿宋" w:hAnsi="仿宋" w:eastAsia="仿宋" w:cs="微软雅黑"/>
                <w:sz w:val="24"/>
              </w:rPr>
            </w:pPr>
            <w:r>
              <w:rPr>
                <w:rFonts w:hint="eastAsia" w:ascii="仿宋" w:hAnsi="仿宋" w:eastAsia="仿宋" w:cs="微软雅黑"/>
                <w:sz w:val="24"/>
              </w:rPr>
              <w:t>4.4</w:t>
            </w:r>
          </w:p>
        </w:tc>
        <w:tc>
          <w:tcPr>
            <w:tcW w:w="1479" w:type="pct"/>
            <w:shd w:val="clear" w:color="auto" w:fill="FFFFFF" w:themeFill="background1"/>
            <w:vAlign w:val="center"/>
          </w:tcPr>
          <w:p w14:paraId="64AC65D5">
            <w:pPr>
              <w:jc w:val="left"/>
              <w:textAlignment w:val="center"/>
              <w:rPr>
                <w:rFonts w:hint="eastAsia" w:ascii="仿宋" w:hAnsi="仿宋" w:eastAsia="仿宋" w:cs="微软雅黑"/>
                <w:sz w:val="24"/>
              </w:rPr>
            </w:pPr>
            <w:r>
              <w:rPr>
                <w:rFonts w:hint="eastAsia" w:ascii="仿宋" w:hAnsi="仿宋" w:eastAsia="仿宋" w:cs="微软雅黑"/>
                <w:sz w:val="24"/>
              </w:rPr>
              <w:t>列出评价依据的现行国家和行业标准目录，应标明标准代号和年号。其他参考标准包括适用的国外标准和国内企业标准，应标明版本号或标准代号。</w:t>
            </w:r>
          </w:p>
        </w:tc>
        <w:tc>
          <w:tcPr>
            <w:tcW w:w="578" w:type="pct"/>
            <w:shd w:val="clear" w:color="auto" w:fill="FFFFFF" w:themeFill="background1"/>
            <w:noWrap/>
            <w:vAlign w:val="center"/>
          </w:tcPr>
          <w:p w14:paraId="44CB922B">
            <w:pPr>
              <w:jc w:val="center"/>
              <w:textAlignment w:val="center"/>
              <w:rPr>
                <w:rFonts w:hint="eastAsia" w:ascii="仿宋" w:hAnsi="仿宋" w:eastAsia="仿宋" w:cs="微软雅黑"/>
                <w:sz w:val="24"/>
              </w:rPr>
            </w:pPr>
            <w:r>
              <w:rPr>
                <w:rFonts w:hint="eastAsia" w:ascii="仿宋" w:hAnsi="仿宋" w:eastAsia="仿宋" w:cs="微软雅黑"/>
                <w:sz w:val="24"/>
              </w:rPr>
              <w:t>4.4</w:t>
            </w:r>
          </w:p>
        </w:tc>
        <w:tc>
          <w:tcPr>
            <w:tcW w:w="1473" w:type="pct"/>
            <w:shd w:val="clear" w:color="auto" w:fill="FFFFFF" w:themeFill="background1"/>
            <w:vAlign w:val="center"/>
          </w:tcPr>
          <w:p w14:paraId="50B343C7">
            <w:pPr>
              <w:jc w:val="left"/>
              <w:textAlignment w:val="center"/>
              <w:rPr>
                <w:rFonts w:hint="eastAsia" w:ascii="仿宋" w:hAnsi="仿宋" w:eastAsia="仿宋" w:cs="微软雅黑"/>
                <w:sz w:val="24"/>
              </w:rPr>
            </w:pPr>
            <w:r>
              <w:rPr>
                <w:rFonts w:hint="eastAsia" w:ascii="仿宋" w:hAnsi="仿宋" w:eastAsia="仿宋" w:cs="微软雅黑"/>
                <w:sz w:val="24"/>
              </w:rPr>
              <w:t>列出评价依据的现行国家和行业标准目录，标明标准代号和年号。参考的国外标准标明版本号或标准代号。</w:t>
            </w:r>
          </w:p>
        </w:tc>
        <w:tc>
          <w:tcPr>
            <w:tcW w:w="768" w:type="pct"/>
            <w:shd w:val="clear" w:color="auto" w:fill="FFFFFF" w:themeFill="background1"/>
            <w:vAlign w:val="center"/>
          </w:tcPr>
          <w:p w14:paraId="083C0010">
            <w:pPr>
              <w:jc w:val="left"/>
              <w:textAlignment w:val="center"/>
              <w:rPr>
                <w:rFonts w:hint="eastAsia" w:ascii="仿宋" w:hAnsi="仿宋" w:eastAsia="仿宋" w:cs="微软雅黑"/>
                <w:sz w:val="24"/>
              </w:rPr>
            </w:pPr>
            <w:r>
              <w:rPr>
                <w:rFonts w:hint="eastAsia" w:ascii="仿宋" w:hAnsi="仿宋" w:eastAsia="仿宋" w:cs="微软雅黑"/>
                <w:sz w:val="24"/>
              </w:rPr>
              <w:t>进一步梳理了文字的表述形式，删除了国内企业标准。</w:t>
            </w:r>
          </w:p>
        </w:tc>
      </w:tr>
      <w:tr w14:paraId="0FC105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725A270D">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079902F5">
            <w:pPr>
              <w:jc w:val="center"/>
              <w:textAlignment w:val="center"/>
              <w:rPr>
                <w:rFonts w:hint="eastAsia" w:ascii="仿宋" w:hAnsi="仿宋" w:eastAsia="仿宋" w:cs="微软雅黑"/>
                <w:sz w:val="24"/>
              </w:rPr>
            </w:pPr>
            <w:r>
              <w:rPr>
                <w:rFonts w:hint="eastAsia" w:ascii="仿宋" w:hAnsi="仿宋" w:eastAsia="仿宋" w:cs="微软雅黑"/>
                <w:sz w:val="24"/>
              </w:rPr>
              <w:t>4.5</w:t>
            </w:r>
          </w:p>
        </w:tc>
        <w:tc>
          <w:tcPr>
            <w:tcW w:w="1479" w:type="pct"/>
            <w:shd w:val="clear" w:color="auto" w:fill="FFFFFF" w:themeFill="background1"/>
            <w:vAlign w:val="center"/>
          </w:tcPr>
          <w:p w14:paraId="141318F2">
            <w:pPr>
              <w:jc w:val="left"/>
              <w:textAlignment w:val="center"/>
              <w:rPr>
                <w:rFonts w:hint="eastAsia" w:ascii="仿宋" w:hAnsi="仿宋" w:eastAsia="仿宋" w:cs="微软雅黑"/>
                <w:sz w:val="24"/>
              </w:rPr>
            </w:pPr>
            <w:r>
              <w:rPr>
                <w:rFonts w:hint="eastAsia" w:ascii="仿宋" w:hAnsi="仿宋" w:eastAsia="仿宋" w:cs="微软雅黑"/>
                <w:sz w:val="24"/>
              </w:rPr>
              <w:t>应描述与安全生产相关的地质灾害危险性评估、地震安全性评价、压覆矿产资源评估、防洪影响评价和通航安全性评价等工作的完成情况。</w:t>
            </w:r>
          </w:p>
        </w:tc>
        <w:tc>
          <w:tcPr>
            <w:tcW w:w="578" w:type="pct"/>
            <w:shd w:val="clear" w:color="auto" w:fill="FFFFFF" w:themeFill="background1"/>
            <w:noWrap/>
            <w:vAlign w:val="center"/>
          </w:tcPr>
          <w:p w14:paraId="3BB0A846">
            <w:pPr>
              <w:jc w:val="center"/>
              <w:textAlignment w:val="center"/>
              <w:rPr>
                <w:rFonts w:hint="eastAsia" w:ascii="仿宋" w:hAnsi="仿宋" w:eastAsia="仿宋" w:cs="微软雅黑"/>
                <w:sz w:val="24"/>
              </w:rPr>
            </w:pPr>
            <w:r>
              <w:rPr>
                <w:rFonts w:hint="eastAsia" w:ascii="仿宋" w:hAnsi="仿宋" w:eastAsia="仿宋" w:cs="微软雅黑"/>
                <w:sz w:val="24"/>
              </w:rPr>
              <w:t>4.5</w:t>
            </w:r>
          </w:p>
        </w:tc>
        <w:tc>
          <w:tcPr>
            <w:tcW w:w="1473" w:type="pct"/>
            <w:shd w:val="clear" w:color="auto" w:fill="FFFFFF" w:themeFill="background1"/>
            <w:vAlign w:val="center"/>
          </w:tcPr>
          <w:p w14:paraId="03344D4A">
            <w:pPr>
              <w:jc w:val="left"/>
              <w:textAlignment w:val="center"/>
              <w:rPr>
                <w:rFonts w:hint="eastAsia" w:ascii="仿宋" w:hAnsi="仿宋" w:eastAsia="仿宋" w:cs="微软雅黑"/>
                <w:sz w:val="24"/>
              </w:rPr>
            </w:pPr>
            <w:r>
              <w:rPr>
                <w:rFonts w:hint="eastAsia" w:ascii="仿宋" w:hAnsi="仿宋" w:eastAsia="仿宋" w:cs="微软雅黑"/>
                <w:sz w:val="24"/>
              </w:rPr>
              <w:t>列出与安全生产相关的地质灾害危险性评估、地震安全性评价、压覆矿产资源评估、防洪影响评价和通航条件评价等工作的开展情况。</w:t>
            </w:r>
          </w:p>
        </w:tc>
        <w:tc>
          <w:tcPr>
            <w:tcW w:w="768" w:type="pct"/>
            <w:shd w:val="clear" w:color="auto" w:fill="FFFFFF" w:themeFill="background1"/>
            <w:vAlign w:val="center"/>
          </w:tcPr>
          <w:p w14:paraId="0885CAC8">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1F6702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7AF4E646">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20330CCC">
            <w:pPr>
              <w:jc w:val="center"/>
              <w:textAlignment w:val="center"/>
              <w:rPr>
                <w:rFonts w:hint="eastAsia" w:ascii="仿宋" w:hAnsi="仿宋" w:eastAsia="仿宋" w:cs="微软雅黑"/>
                <w:sz w:val="24"/>
              </w:rPr>
            </w:pPr>
          </w:p>
        </w:tc>
        <w:tc>
          <w:tcPr>
            <w:tcW w:w="1479" w:type="pct"/>
            <w:shd w:val="clear" w:color="auto" w:fill="FFFFFF" w:themeFill="background1"/>
            <w:vAlign w:val="center"/>
          </w:tcPr>
          <w:p w14:paraId="617EA5A1">
            <w:pPr>
              <w:jc w:val="left"/>
              <w:textAlignment w:val="center"/>
              <w:rPr>
                <w:rFonts w:hint="eastAsia" w:ascii="仿宋" w:hAnsi="仿宋" w:eastAsia="仿宋" w:cs="微软雅黑"/>
                <w:sz w:val="24"/>
              </w:rPr>
            </w:pPr>
          </w:p>
        </w:tc>
        <w:tc>
          <w:tcPr>
            <w:tcW w:w="578" w:type="pct"/>
            <w:shd w:val="clear" w:color="auto" w:fill="FFFFFF" w:themeFill="background1"/>
            <w:noWrap/>
            <w:vAlign w:val="center"/>
          </w:tcPr>
          <w:p w14:paraId="52A5022E">
            <w:pPr>
              <w:jc w:val="center"/>
              <w:textAlignment w:val="center"/>
              <w:rPr>
                <w:rFonts w:hint="eastAsia" w:ascii="仿宋" w:hAnsi="仿宋" w:eastAsia="仿宋" w:cs="微软雅黑"/>
                <w:sz w:val="24"/>
              </w:rPr>
            </w:pPr>
            <w:r>
              <w:rPr>
                <w:rFonts w:hint="eastAsia" w:ascii="仿宋" w:hAnsi="仿宋" w:eastAsia="仿宋" w:cs="微软雅黑"/>
                <w:sz w:val="24"/>
              </w:rPr>
              <w:t>4.6</w:t>
            </w:r>
          </w:p>
        </w:tc>
        <w:tc>
          <w:tcPr>
            <w:tcW w:w="1473" w:type="pct"/>
            <w:shd w:val="clear" w:color="auto" w:fill="FFFFFF" w:themeFill="background1"/>
            <w:vAlign w:val="center"/>
          </w:tcPr>
          <w:p w14:paraId="1F517FBF">
            <w:pPr>
              <w:jc w:val="left"/>
              <w:textAlignment w:val="center"/>
              <w:rPr>
                <w:rFonts w:hint="eastAsia" w:ascii="仿宋" w:hAnsi="仿宋" w:eastAsia="仿宋" w:cs="微软雅黑"/>
                <w:sz w:val="24"/>
              </w:rPr>
            </w:pPr>
            <w:r>
              <w:rPr>
                <w:rFonts w:hint="eastAsia" w:ascii="仿宋" w:hAnsi="仿宋" w:eastAsia="仿宋" w:cs="微软雅黑"/>
                <w:sz w:val="24"/>
              </w:rPr>
              <w:t>说明新建项目与上下游衔接的工程界面和评价界面，按照审批（核准、备案）文件确定评价范围，不应擅自对项目进行拆分；说明改（扩）建项目与在役管道的工程界面和评价界面。</w:t>
            </w:r>
          </w:p>
        </w:tc>
        <w:tc>
          <w:tcPr>
            <w:tcW w:w="768" w:type="pct"/>
            <w:shd w:val="clear" w:color="auto" w:fill="FFFFFF" w:themeFill="background1"/>
            <w:vAlign w:val="center"/>
          </w:tcPr>
          <w:p w14:paraId="149E7E7B">
            <w:pPr>
              <w:jc w:val="left"/>
              <w:textAlignment w:val="center"/>
              <w:rPr>
                <w:rFonts w:hint="eastAsia" w:ascii="仿宋" w:hAnsi="仿宋" w:eastAsia="仿宋" w:cs="微软雅黑"/>
                <w:sz w:val="24"/>
              </w:rPr>
            </w:pPr>
            <w:r>
              <w:rPr>
                <w:rFonts w:hint="eastAsia" w:ascii="仿宋" w:hAnsi="仿宋" w:eastAsia="仿宋" w:cs="微软雅黑"/>
                <w:sz w:val="24"/>
              </w:rPr>
              <w:t>增加了评估范围等相关要求。</w:t>
            </w:r>
          </w:p>
        </w:tc>
      </w:tr>
      <w:tr w14:paraId="47B597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4DC7D1D2">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05C9383D">
            <w:pPr>
              <w:jc w:val="center"/>
              <w:textAlignment w:val="center"/>
              <w:rPr>
                <w:rFonts w:hint="eastAsia" w:ascii="仿宋" w:hAnsi="仿宋" w:eastAsia="仿宋" w:cs="微软雅黑"/>
                <w:sz w:val="24"/>
              </w:rPr>
            </w:pPr>
            <w:bookmarkStart w:id="332" w:name="_Toc535332648"/>
            <w:r>
              <w:rPr>
                <w:rFonts w:hint="eastAsia" w:ascii="仿宋" w:hAnsi="仿宋" w:eastAsia="仿宋" w:cs="微软雅黑"/>
                <w:sz w:val="24"/>
              </w:rPr>
              <w:t>5 建设项目概况</w:t>
            </w:r>
            <w:bookmarkEnd w:id="332"/>
          </w:p>
        </w:tc>
        <w:tc>
          <w:tcPr>
            <w:tcW w:w="1479" w:type="pct"/>
            <w:shd w:val="clear" w:color="auto" w:fill="FFFFFF" w:themeFill="background1"/>
            <w:vAlign w:val="center"/>
          </w:tcPr>
          <w:p w14:paraId="137F3290">
            <w:pPr>
              <w:jc w:val="left"/>
              <w:textAlignment w:val="center"/>
              <w:rPr>
                <w:rFonts w:hint="eastAsia" w:ascii="仿宋" w:hAnsi="仿宋" w:eastAsia="仿宋" w:cs="微软雅黑"/>
                <w:sz w:val="24"/>
              </w:rPr>
            </w:pPr>
          </w:p>
        </w:tc>
        <w:tc>
          <w:tcPr>
            <w:tcW w:w="578" w:type="pct"/>
            <w:shd w:val="clear" w:color="auto" w:fill="FFFFFF" w:themeFill="background1"/>
            <w:noWrap/>
            <w:vAlign w:val="center"/>
          </w:tcPr>
          <w:p w14:paraId="11C36CD9">
            <w:pPr>
              <w:jc w:val="center"/>
              <w:textAlignment w:val="center"/>
              <w:rPr>
                <w:rFonts w:hint="eastAsia" w:ascii="仿宋" w:hAnsi="仿宋" w:eastAsia="仿宋" w:cs="微软雅黑"/>
                <w:sz w:val="24"/>
              </w:rPr>
            </w:pPr>
            <w:r>
              <w:rPr>
                <w:rFonts w:hint="eastAsia" w:ascii="仿宋" w:hAnsi="仿宋" w:eastAsia="仿宋" w:cs="微软雅黑"/>
                <w:sz w:val="24"/>
              </w:rPr>
              <w:t>5 建设项目概况</w:t>
            </w:r>
          </w:p>
        </w:tc>
        <w:tc>
          <w:tcPr>
            <w:tcW w:w="1473" w:type="pct"/>
            <w:shd w:val="clear" w:color="auto" w:fill="FFFFFF" w:themeFill="background1"/>
            <w:vAlign w:val="center"/>
          </w:tcPr>
          <w:p w14:paraId="11336C98">
            <w:pPr>
              <w:jc w:val="left"/>
              <w:textAlignment w:val="center"/>
              <w:rPr>
                <w:rFonts w:hint="eastAsia" w:ascii="仿宋" w:hAnsi="仿宋" w:eastAsia="仿宋" w:cs="微软雅黑"/>
                <w:sz w:val="24"/>
              </w:rPr>
            </w:pPr>
          </w:p>
        </w:tc>
        <w:tc>
          <w:tcPr>
            <w:tcW w:w="768" w:type="pct"/>
            <w:shd w:val="clear" w:color="auto" w:fill="FFFFFF" w:themeFill="background1"/>
            <w:vAlign w:val="center"/>
          </w:tcPr>
          <w:p w14:paraId="7CD9B9B0">
            <w:pPr>
              <w:jc w:val="left"/>
              <w:textAlignment w:val="center"/>
              <w:rPr>
                <w:rFonts w:hint="eastAsia" w:ascii="仿宋" w:hAnsi="仿宋" w:eastAsia="仿宋" w:cs="微软雅黑"/>
                <w:sz w:val="24"/>
              </w:rPr>
            </w:pPr>
          </w:p>
        </w:tc>
      </w:tr>
      <w:tr w14:paraId="7BAC42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1C74F469">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4DD124EE">
            <w:pPr>
              <w:jc w:val="center"/>
              <w:textAlignment w:val="center"/>
              <w:rPr>
                <w:rFonts w:hint="eastAsia" w:ascii="仿宋" w:hAnsi="仿宋" w:eastAsia="仿宋" w:cs="微软雅黑"/>
                <w:sz w:val="24"/>
              </w:rPr>
            </w:pPr>
            <w:r>
              <w:rPr>
                <w:rFonts w:hint="eastAsia" w:ascii="仿宋" w:hAnsi="仿宋" w:eastAsia="仿宋" w:cs="微软雅黑"/>
                <w:sz w:val="24"/>
              </w:rPr>
              <w:t>5.1</w:t>
            </w:r>
          </w:p>
        </w:tc>
        <w:tc>
          <w:tcPr>
            <w:tcW w:w="1479" w:type="pct"/>
            <w:shd w:val="clear" w:color="auto" w:fill="FFFFFF" w:themeFill="background1"/>
            <w:vAlign w:val="center"/>
          </w:tcPr>
          <w:p w14:paraId="6B828E8F">
            <w:pPr>
              <w:jc w:val="left"/>
              <w:textAlignment w:val="center"/>
              <w:rPr>
                <w:rFonts w:hint="eastAsia" w:ascii="仿宋" w:hAnsi="仿宋" w:eastAsia="仿宋" w:cs="微软雅黑"/>
                <w:sz w:val="24"/>
              </w:rPr>
            </w:pPr>
            <w:r>
              <w:rPr>
                <w:rFonts w:hint="eastAsia" w:ascii="仿宋" w:hAnsi="仿宋" w:eastAsia="仿宋" w:cs="微软雅黑"/>
                <w:sz w:val="24"/>
              </w:rPr>
              <w:t>基本情况</w:t>
            </w:r>
          </w:p>
        </w:tc>
        <w:tc>
          <w:tcPr>
            <w:tcW w:w="578" w:type="pct"/>
            <w:shd w:val="clear" w:color="auto" w:fill="FFFFFF" w:themeFill="background1"/>
            <w:noWrap/>
            <w:vAlign w:val="center"/>
          </w:tcPr>
          <w:p w14:paraId="0AA3E476">
            <w:pPr>
              <w:jc w:val="center"/>
              <w:textAlignment w:val="center"/>
              <w:rPr>
                <w:rFonts w:hint="eastAsia" w:ascii="仿宋" w:hAnsi="仿宋" w:eastAsia="仿宋" w:cs="微软雅黑"/>
                <w:sz w:val="24"/>
              </w:rPr>
            </w:pPr>
          </w:p>
        </w:tc>
        <w:tc>
          <w:tcPr>
            <w:tcW w:w="1473" w:type="pct"/>
            <w:shd w:val="clear" w:color="auto" w:fill="FFFFFF" w:themeFill="background1"/>
            <w:vAlign w:val="center"/>
          </w:tcPr>
          <w:p w14:paraId="4C80348B">
            <w:pPr>
              <w:pStyle w:val="4"/>
              <w:jc w:val="left"/>
              <w:rPr>
                <w:rFonts w:hint="eastAsia" w:ascii="仿宋" w:hAnsi="仿宋" w:eastAsia="仿宋" w:cs="微软雅黑"/>
                <w:color w:val="000000"/>
                <w:sz w:val="24"/>
                <w:szCs w:val="24"/>
              </w:rPr>
            </w:pPr>
            <w:r>
              <w:rPr>
                <w:rFonts w:hint="eastAsia" w:ascii="仿宋" w:hAnsi="仿宋" w:eastAsia="仿宋" w:cs="微软雅黑"/>
                <w:bCs w:val="0"/>
                <w:color w:val="000000"/>
                <w:sz w:val="24"/>
                <w:szCs w:val="24"/>
                <w:lang w:val="en-US"/>
              </w:rPr>
              <w:t>基本情况</w:t>
            </w:r>
          </w:p>
        </w:tc>
        <w:tc>
          <w:tcPr>
            <w:tcW w:w="768" w:type="pct"/>
            <w:shd w:val="clear" w:color="auto" w:fill="FFFFFF" w:themeFill="background1"/>
            <w:vAlign w:val="center"/>
          </w:tcPr>
          <w:p w14:paraId="6D6CA2BE">
            <w:pPr>
              <w:jc w:val="left"/>
              <w:textAlignment w:val="center"/>
              <w:rPr>
                <w:rFonts w:hint="eastAsia" w:ascii="仿宋" w:hAnsi="仿宋" w:eastAsia="仿宋" w:cs="微软雅黑"/>
                <w:sz w:val="24"/>
              </w:rPr>
            </w:pPr>
            <w:r>
              <w:rPr>
                <w:rFonts w:hint="eastAsia" w:ascii="仿宋" w:hAnsi="仿宋" w:eastAsia="仿宋" w:cs="微软雅黑"/>
                <w:sz w:val="24"/>
              </w:rPr>
              <w:t>整合了建设单位等基本情况和建设项目基本情况。</w:t>
            </w:r>
          </w:p>
        </w:tc>
      </w:tr>
      <w:tr w14:paraId="3FA4F5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1A838688">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42CCC3A2">
            <w:pPr>
              <w:jc w:val="center"/>
              <w:textAlignment w:val="center"/>
              <w:rPr>
                <w:rFonts w:hint="eastAsia" w:ascii="仿宋" w:hAnsi="仿宋" w:eastAsia="仿宋" w:cs="微软雅黑"/>
                <w:sz w:val="24"/>
              </w:rPr>
            </w:pPr>
            <w:r>
              <w:rPr>
                <w:rFonts w:hint="eastAsia" w:ascii="仿宋" w:hAnsi="仿宋" w:eastAsia="仿宋" w:cs="微软雅黑"/>
                <w:sz w:val="24"/>
              </w:rPr>
              <w:t>5.1.1</w:t>
            </w:r>
          </w:p>
        </w:tc>
        <w:tc>
          <w:tcPr>
            <w:tcW w:w="1479" w:type="pct"/>
            <w:shd w:val="clear" w:color="auto" w:fill="FFFFFF" w:themeFill="background1"/>
            <w:vAlign w:val="center"/>
          </w:tcPr>
          <w:p w14:paraId="4479E87B">
            <w:pPr>
              <w:jc w:val="left"/>
              <w:textAlignment w:val="center"/>
              <w:rPr>
                <w:rFonts w:hint="eastAsia" w:ascii="仿宋" w:hAnsi="仿宋" w:eastAsia="仿宋" w:cs="微软雅黑"/>
                <w:sz w:val="24"/>
              </w:rPr>
            </w:pPr>
            <w:r>
              <w:rPr>
                <w:rFonts w:hint="eastAsia" w:ascii="仿宋" w:hAnsi="仿宋" w:eastAsia="仿宋" w:cs="微软雅黑"/>
                <w:sz w:val="24"/>
              </w:rPr>
              <w:t>应列出建设单位的经营范围（见12.1附件中的e），并说明建设项目单位与建设单位的隶属关系。</w:t>
            </w:r>
          </w:p>
        </w:tc>
        <w:tc>
          <w:tcPr>
            <w:tcW w:w="578" w:type="pct"/>
            <w:shd w:val="clear" w:color="auto" w:fill="FFFFFF" w:themeFill="background1"/>
            <w:noWrap/>
            <w:vAlign w:val="center"/>
          </w:tcPr>
          <w:p w14:paraId="13D88D3B">
            <w:pPr>
              <w:jc w:val="center"/>
              <w:textAlignment w:val="center"/>
              <w:rPr>
                <w:rFonts w:hint="eastAsia" w:ascii="仿宋" w:hAnsi="仿宋" w:eastAsia="仿宋" w:cs="微软雅黑"/>
                <w:sz w:val="24"/>
              </w:rPr>
            </w:pPr>
            <w:r>
              <w:rPr>
                <w:rFonts w:hint="eastAsia" w:ascii="仿宋" w:hAnsi="仿宋" w:eastAsia="仿宋" w:cs="微软雅黑"/>
                <w:sz w:val="24"/>
              </w:rPr>
              <w:t>5.1.1</w:t>
            </w:r>
          </w:p>
        </w:tc>
        <w:tc>
          <w:tcPr>
            <w:tcW w:w="1473" w:type="pct"/>
            <w:shd w:val="clear" w:color="auto" w:fill="FFFFFF" w:themeFill="background1"/>
            <w:vAlign w:val="center"/>
          </w:tcPr>
          <w:p w14:paraId="75AEBC0A">
            <w:pPr>
              <w:jc w:val="left"/>
              <w:textAlignment w:val="center"/>
              <w:rPr>
                <w:rFonts w:hint="eastAsia" w:ascii="仿宋" w:hAnsi="仿宋" w:eastAsia="仿宋" w:cs="微软雅黑"/>
                <w:sz w:val="24"/>
              </w:rPr>
            </w:pPr>
            <w:r>
              <w:rPr>
                <w:rFonts w:hint="eastAsia" w:ascii="仿宋" w:hAnsi="仿宋" w:eastAsia="仿宋" w:cs="微软雅黑"/>
                <w:sz w:val="24"/>
              </w:rPr>
              <w:t>说明建设单位的基本情况和经营范围，见12.1的e）。</w:t>
            </w:r>
          </w:p>
        </w:tc>
        <w:tc>
          <w:tcPr>
            <w:tcW w:w="768" w:type="pct"/>
            <w:shd w:val="clear" w:color="auto" w:fill="FFFFFF" w:themeFill="background1"/>
            <w:vAlign w:val="center"/>
          </w:tcPr>
          <w:p w14:paraId="4B70C0E5">
            <w:pPr>
              <w:jc w:val="left"/>
              <w:textAlignment w:val="center"/>
              <w:rPr>
                <w:rFonts w:hint="eastAsia" w:ascii="仿宋" w:hAnsi="仿宋" w:eastAsia="仿宋" w:cs="微软雅黑"/>
                <w:sz w:val="24"/>
              </w:rPr>
            </w:pPr>
            <w:r>
              <w:rPr>
                <w:rFonts w:hint="eastAsia" w:ascii="仿宋" w:hAnsi="仿宋" w:eastAsia="仿宋" w:cs="微软雅黑"/>
                <w:sz w:val="24"/>
              </w:rPr>
              <w:t>进一步梳理了文字的表述形式，删除了建设项目单位等表述。</w:t>
            </w:r>
          </w:p>
        </w:tc>
      </w:tr>
      <w:tr w14:paraId="397224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366611BB">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04C31312">
            <w:pPr>
              <w:jc w:val="center"/>
              <w:textAlignment w:val="center"/>
              <w:rPr>
                <w:rFonts w:hint="eastAsia" w:ascii="仿宋" w:hAnsi="仿宋" w:eastAsia="仿宋" w:cs="微软雅黑"/>
                <w:sz w:val="24"/>
              </w:rPr>
            </w:pPr>
            <w:r>
              <w:rPr>
                <w:rFonts w:hint="eastAsia" w:ascii="仿宋" w:hAnsi="仿宋" w:eastAsia="仿宋" w:cs="微软雅黑"/>
                <w:sz w:val="24"/>
              </w:rPr>
              <w:t>5.1.2</w:t>
            </w:r>
          </w:p>
        </w:tc>
        <w:tc>
          <w:tcPr>
            <w:tcW w:w="1479" w:type="pct"/>
            <w:shd w:val="clear" w:color="auto" w:fill="FFFFFF" w:themeFill="background1"/>
            <w:vAlign w:val="center"/>
          </w:tcPr>
          <w:p w14:paraId="4ABF4EBD">
            <w:pPr>
              <w:jc w:val="left"/>
              <w:textAlignment w:val="center"/>
              <w:rPr>
                <w:rFonts w:hint="eastAsia" w:ascii="仿宋" w:hAnsi="仿宋" w:eastAsia="仿宋" w:cs="微软雅黑"/>
                <w:sz w:val="24"/>
              </w:rPr>
            </w:pPr>
            <w:r>
              <w:rPr>
                <w:rFonts w:hint="eastAsia" w:ascii="仿宋" w:hAnsi="仿宋" w:eastAsia="仿宋" w:cs="微软雅黑"/>
                <w:sz w:val="24"/>
              </w:rPr>
              <w:t>应列出《可行性研究报告》编制单位的经营范围、资质（见12.1附件中的f）。</w:t>
            </w:r>
          </w:p>
        </w:tc>
        <w:tc>
          <w:tcPr>
            <w:tcW w:w="578" w:type="pct"/>
            <w:shd w:val="clear" w:color="auto" w:fill="FFFFFF" w:themeFill="background1"/>
            <w:noWrap/>
            <w:vAlign w:val="center"/>
          </w:tcPr>
          <w:p w14:paraId="283C8127">
            <w:pPr>
              <w:jc w:val="center"/>
              <w:textAlignment w:val="center"/>
              <w:rPr>
                <w:rFonts w:hint="eastAsia" w:ascii="仿宋" w:hAnsi="仿宋" w:eastAsia="仿宋" w:cs="微软雅黑"/>
                <w:sz w:val="24"/>
              </w:rPr>
            </w:pPr>
            <w:r>
              <w:rPr>
                <w:rFonts w:hint="eastAsia" w:ascii="仿宋" w:hAnsi="仿宋" w:eastAsia="仿宋" w:cs="微软雅黑"/>
                <w:sz w:val="24"/>
              </w:rPr>
              <w:t>5.1.2</w:t>
            </w:r>
          </w:p>
        </w:tc>
        <w:tc>
          <w:tcPr>
            <w:tcW w:w="1473" w:type="pct"/>
            <w:shd w:val="clear" w:color="auto" w:fill="FFFFFF" w:themeFill="background1"/>
            <w:vAlign w:val="center"/>
          </w:tcPr>
          <w:p w14:paraId="34337C80">
            <w:pPr>
              <w:jc w:val="left"/>
              <w:textAlignment w:val="center"/>
              <w:rPr>
                <w:rFonts w:hint="eastAsia" w:ascii="仿宋" w:hAnsi="仿宋" w:eastAsia="仿宋" w:cs="微软雅黑"/>
                <w:sz w:val="24"/>
              </w:rPr>
            </w:pPr>
            <w:r>
              <w:rPr>
                <w:rFonts w:hint="eastAsia" w:ascii="仿宋" w:hAnsi="仿宋" w:eastAsia="仿宋" w:cs="微软雅黑"/>
                <w:sz w:val="24"/>
              </w:rPr>
              <w:t>列出可行性研究报告编制单位的经营范围，见12.1的f），如由多家单位共同编制，应明确拿总单位及各单位工作分工。</w:t>
            </w:r>
          </w:p>
        </w:tc>
        <w:tc>
          <w:tcPr>
            <w:tcW w:w="768" w:type="pct"/>
            <w:shd w:val="clear" w:color="auto" w:fill="FFFFFF" w:themeFill="background1"/>
            <w:vAlign w:val="center"/>
          </w:tcPr>
          <w:p w14:paraId="363C1158">
            <w:pPr>
              <w:jc w:val="left"/>
              <w:textAlignment w:val="center"/>
              <w:rPr>
                <w:rFonts w:hint="eastAsia" w:ascii="仿宋" w:hAnsi="仿宋" w:eastAsia="仿宋" w:cs="微软雅黑"/>
                <w:sz w:val="24"/>
              </w:rPr>
            </w:pPr>
            <w:r>
              <w:rPr>
                <w:rFonts w:hint="eastAsia" w:ascii="仿宋" w:hAnsi="仿宋" w:eastAsia="仿宋" w:cs="微软雅黑"/>
                <w:sz w:val="24"/>
              </w:rPr>
              <w:t>进一步梳理了文字的表述形式，增加了多家单位共同编制的相关要求，删除了《可行性研究报告》编制单位的资质要求。</w:t>
            </w:r>
          </w:p>
        </w:tc>
      </w:tr>
      <w:tr w14:paraId="07B80F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6AED348E">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29061131">
            <w:pPr>
              <w:jc w:val="center"/>
              <w:textAlignment w:val="center"/>
              <w:rPr>
                <w:rFonts w:hint="eastAsia" w:ascii="仿宋" w:hAnsi="仿宋" w:eastAsia="仿宋" w:cs="微软雅黑"/>
                <w:sz w:val="24"/>
              </w:rPr>
            </w:pPr>
            <w:r>
              <w:rPr>
                <w:rFonts w:hint="eastAsia" w:ascii="仿宋" w:hAnsi="仿宋" w:eastAsia="仿宋" w:cs="微软雅黑"/>
                <w:sz w:val="24"/>
              </w:rPr>
              <w:t>5.1.3</w:t>
            </w:r>
          </w:p>
        </w:tc>
        <w:tc>
          <w:tcPr>
            <w:tcW w:w="1479" w:type="pct"/>
            <w:shd w:val="clear" w:color="auto" w:fill="FFFFFF" w:themeFill="background1"/>
            <w:vAlign w:val="center"/>
          </w:tcPr>
          <w:p w14:paraId="68CE43F7">
            <w:pPr>
              <w:jc w:val="left"/>
              <w:textAlignment w:val="center"/>
              <w:rPr>
                <w:rFonts w:hint="eastAsia" w:ascii="仿宋" w:hAnsi="仿宋" w:eastAsia="仿宋" w:cs="微软雅黑"/>
                <w:sz w:val="24"/>
              </w:rPr>
            </w:pPr>
            <w:r>
              <w:rPr>
                <w:rFonts w:hint="eastAsia" w:ascii="仿宋" w:hAnsi="仿宋" w:eastAsia="仿宋" w:cs="微软雅黑"/>
                <w:sz w:val="24"/>
              </w:rPr>
              <w:t>应列出评价单位的资质（见12.1附件中的g），和签订的安全评价委托书（见12.1附件中的h）。</w:t>
            </w:r>
          </w:p>
        </w:tc>
        <w:tc>
          <w:tcPr>
            <w:tcW w:w="578" w:type="pct"/>
            <w:shd w:val="clear" w:color="auto" w:fill="FFFFFF" w:themeFill="background1"/>
            <w:noWrap/>
            <w:vAlign w:val="center"/>
          </w:tcPr>
          <w:p w14:paraId="4C12394A">
            <w:pPr>
              <w:jc w:val="center"/>
              <w:textAlignment w:val="center"/>
              <w:rPr>
                <w:rFonts w:hint="eastAsia" w:ascii="仿宋" w:hAnsi="仿宋" w:eastAsia="仿宋" w:cs="微软雅黑"/>
                <w:sz w:val="24"/>
              </w:rPr>
            </w:pPr>
            <w:r>
              <w:rPr>
                <w:rFonts w:hint="eastAsia" w:ascii="仿宋" w:hAnsi="仿宋" w:eastAsia="仿宋" w:cs="微软雅黑"/>
                <w:sz w:val="24"/>
              </w:rPr>
              <w:t>5.1.3</w:t>
            </w:r>
          </w:p>
        </w:tc>
        <w:tc>
          <w:tcPr>
            <w:tcW w:w="1473" w:type="pct"/>
            <w:shd w:val="clear" w:color="auto" w:fill="FFFFFF" w:themeFill="background1"/>
            <w:vAlign w:val="center"/>
          </w:tcPr>
          <w:p w14:paraId="722CAE90">
            <w:pPr>
              <w:jc w:val="left"/>
              <w:textAlignment w:val="center"/>
              <w:rPr>
                <w:rFonts w:hint="eastAsia" w:ascii="仿宋" w:hAnsi="仿宋" w:eastAsia="仿宋" w:cs="微软雅黑"/>
                <w:sz w:val="24"/>
              </w:rPr>
            </w:pPr>
            <w:r>
              <w:rPr>
                <w:rFonts w:hint="eastAsia" w:ascii="仿宋" w:hAnsi="仿宋" w:eastAsia="仿宋" w:cs="微软雅黑"/>
                <w:sz w:val="24"/>
              </w:rPr>
              <w:t>列出安全评价机构的业务范围和资质。</w:t>
            </w:r>
          </w:p>
        </w:tc>
        <w:tc>
          <w:tcPr>
            <w:tcW w:w="768" w:type="pct"/>
            <w:shd w:val="clear" w:color="auto" w:fill="FFFFFF" w:themeFill="background1"/>
            <w:vAlign w:val="center"/>
          </w:tcPr>
          <w:p w14:paraId="3731AC9F">
            <w:pPr>
              <w:jc w:val="left"/>
              <w:textAlignment w:val="center"/>
              <w:rPr>
                <w:rFonts w:hint="eastAsia" w:ascii="仿宋" w:hAnsi="仿宋" w:eastAsia="仿宋" w:cs="微软雅黑"/>
                <w:sz w:val="24"/>
              </w:rPr>
            </w:pPr>
            <w:r>
              <w:rPr>
                <w:rFonts w:hint="eastAsia" w:ascii="仿宋" w:hAnsi="仿宋" w:eastAsia="仿宋" w:cs="微软雅黑"/>
                <w:sz w:val="24"/>
              </w:rPr>
              <w:t>增加了安全评价机构的业务范围等内容。</w:t>
            </w:r>
          </w:p>
        </w:tc>
      </w:tr>
      <w:tr w14:paraId="125458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3B2CF824">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47384F46">
            <w:pPr>
              <w:jc w:val="center"/>
              <w:textAlignment w:val="center"/>
              <w:rPr>
                <w:rFonts w:hint="eastAsia" w:ascii="仿宋" w:hAnsi="仿宋" w:eastAsia="仿宋" w:cs="微软雅黑"/>
                <w:sz w:val="24"/>
              </w:rPr>
            </w:pPr>
          </w:p>
        </w:tc>
        <w:tc>
          <w:tcPr>
            <w:tcW w:w="1479" w:type="pct"/>
            <w:shd w:val="clear" w:color="auto" w:fill="FFFFFF" w:themeFill="background1"/>
            <w:vAlign w:val="center"/>
          </w:tcPr>
          <w:p w14:paraId="5646143C">
            <w:pPr>
              <w:jc w:val="left"/>
              <w:textAlignment w:val="center"/>
              <w:rPr>
                <w:rFonts w:hint="eastAsia" w:ascii="仿宋" w:hAnsi="仿宋" w:eastAsia="仿宋" w:cs="微软雅黑"/>
                <w:sz w:val="24"/>
              </w:rPr>
            </w:pPr>
          </w:p>
        </w:tc>
        <w:tc>
          <w:tcPr>
            <w:tcW w:w="578" w:type="pct"/>
            <w:shd w:val="clear" w:color="auto" w:fill="FFFFFF" w:themeFill="background1"/>
            <w:noWrap/>
            <w:vAlign w:val="center"/>
          </w:tcPr>
          <w:p w14:paraId="59831989">
            <w:pPr>
              <w:jc w:val="center"/>
              <w:textAlignment w:val="center"/>
              <w:rPr>
                <w:rFonts w:hint="eastAsia" w:ascii="仿宋" w:hAnsi="仿宋" w:eastAsia="仿宋" w:cs="微软雅黑"/>
                <w:sz w:val="24"/>
              </w:rPr>
            </w:pPr>
            <w:r>
              <w:rPr>
                <w:rFonts w:hint="eastAsia" w:ascii="仿宋" w:hAnsi="仿宋" w:eastAsia="仿宋" w:cs="微软雅黑"/>
                <w:sz w:val="24"/>
              </w:rPr>
              <w:t>5.1.4</w:t>
            </w:r>
          </w:p>
        </w:tc>
        <w:tc>
          <w:tcPr>
            <w:tcW w:w="1473" w:type="pct"/>
            <w:shd w:val="clear" w:color="auto" w:fill="FFFFFF" w:themeFill="background1"/>
            <w:vAlign w:val="center"/>
          </w:tcPr>
          <w:p w14:paraId="15779183">
            <w:pPr>
              <w:jc w:val="left"/>
              <w:textAlignment w:val="center"/>
              <w:rPr>
                <w:rFonts w:hint="eastAsia" w:ascii="仿宋" w:hAnsi="仿宋" w:eastAsia="仿宋" w:cs="微软雅黑"/>
                <w:sz w:val="24"/>
              </w:rPr>
            </w:pPr>
            <w:r>
              <w:rPr>
                <w:rFonts w:hint="eastAsia" w:ascii="仿宋" w:hAnsi="仿宋" w:eastAsia="仿宋" w:cs="微软雅黑"/>
                <w:sz w:val="24"/>
              </w:rPr>
              <w:t>列出建设（项目）单位与安全评价机构签订的安全预评价委托书，见12.1的g）。</w:t>
            </w:r>
          </w:p>
        </w:tc>
        <w:tc>
          <w:tcPr>
            <w:tcW w:w="768" w:type="pct"/>
            <w:shd w:val="clear" w:color="auto" w:fill="FFFFFF" w:themeFill="background1"/>
            <w:vAlign w:val="center"/>
          </w:tcPr>
          <w:p w14:paraId="271601EB">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2ACF9D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48C4E571">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44A2ED87">
            <w:pPr>
              <w:jc w:val="center"/>
              <w:textAlignment w:val="center"/>
              <w:rPr>
                <w:rFonts w:hint="eastAsia" w:ascii="仿宋" w:hAnsi="仿宋" w:eastAsia="仿宋" w:cs="微软雅黑"/>
                <w:sz w:val="24"/>
              </w:rPr>
            </w:pPr>
          </w:p>
        </w:tc>
        <w:tc>
          <w:tcPr>
            <w:tcW w:w="1479" w:type="pct"/>
            <w:shd w:val="clear" w:color="auto" w:fill="FFFFFF" w:themeFill="background1"/>
            <w:vAlign w:val="center"/>
          </w:tcPr>
          <w:p w14:paraId="397F26D7">
            <w:pPr>
              <w:jc w:val="left"/>
              <w:textAlignment w:val="center"/>
              <w:rPr>
                <w:rFonts w:hint="eastAsia" w:ascii="仿宋" w:hAnsi="仿宋" w:eastAsia="仿宋" w:cs="微软雅黑"/>
                <w:sz w:val="24"/>
              </w:rPr>
            </w:pPr>
          </w:p>
        </w:tc>
        <w:tc>
          <w:tcPr>
            <w:tcW w:w="578" w:type="pct"/>
            <w:shd w:val="clear" w:color="auto" w:fill="FFFFFF" w:themeFill="background1"/>
            <w:noWrap/>
            <w:vAlign w:val="center"/>
          </w:tcPr>
          <w:p w14:paraId="5E01D4EE">
            <w:pPr>
              <w:jc w:val="center"/>
              <w:textAlignment w:val="center"/>
              <w:rPr>
                <w:rFonts w:hint="eastAsia" w:ascii="仿宋" w:hAnsi="仿宋" w:eastAsia="仿宋" w:cs="微软雅黑"/>
                <w:sz w:val="24"/>
              </w:rPr>
            </w:pPr>
            <w:r>
              <w:rPr>
                <w:rFonts w:hint="eastAsia" w:ascii="仿宋" w:hAnsi="仿宋" w:eastAsia="仿宋" w:cs="微软雅黑"/>
                <w:sz w:val="24"/>
              </w:rPr>
              <w:t>5.1.5</w:t>
            </w:r>
          </w:p>
        </w:tc>
        <w:tc>
          <w:tcPr>
            <w:tcW w:w="1473" w:type="pct"/>
            <w:shd w:val="clear" w:color="auto" w:fill="FFFFFF" w:themeFill="background1"/>
            <w:vAlign w:val="center"/>
          </w:tcPr>
          <w:p w14:paraId="07528B9A">
            <w:pPr>
              <w:jc w:val="left"/>
              <w:textAlignment w:val="center"/>
              <w:rPr>
                <w:rFonts w:hint="eastAsia" w:ascii="仿宋" w:hAnsi="仿宋" w:eastAsia="仿宋" w:cs="微软雅黑"/>
                <w:sz w:val="24"/>
              </w:rPr>
            </w:pPr>
            <w:r>
              <w:rPr>
                <w:rFonts w:hint="eastAsia" w:ascii="仿宋" w:hAnsi="仿宋" w:eastAsia="仿宋" w:cs="微软雅黑"/>
                <w:sz w:val="24"/>
              </w:rPr>
              <w:t>涉及未通过安全条件审查的，列出历次安全条件审查意见及修改情况，见12.1的h）。</w:t>
            </w:r>
          </w:p>
        </w:tc>
        <w:tc>
          <w:tcPr>
            <w:tcW w:w="768" w:type="pct"/>
            <w:shd w:val="clear" w:color="auto" w:fill="FFFFFF" w:themeFill="background1"/>
            <w:vAlign w:val="center"/>
          </w:tcPr>
          <w:p w14:paraId="04C23DF5">
            <w:pPr>
              <w:jc w:val="left"/>
              <w:textAlignment w:val="center"/>
              <w:rPr>
                <w:rFonts w:hint="eastAsia" w:ascii="仿宋" w:hAnsi="仿宋" w:eastAsia="仿宋" w:cs="微软雅黑"/>
                <w:sz w:val="24"/>
              </w:rPr>
            </w:pPr>
            <w:r>
              <w:rPr>
                <w:rFonts w:hint="eastAsia" w:ascii="仿宋" w:hAnsi="仿宋" w:eastAsia="仿宋" w:cs="微软雅黑"/>
                <w:sz w:val="24"/>
              </w:rPr>
              <w:t>增加了涉及未通过安全条件审查的相关要求。</w:t>
            </w:r>
          </w:p>
        </w:tc>
      </w:tr>
      <w:tr w14:paraId="2CCF96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79DAD606">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5B5194CC">
            <w:pPr>
              <w:jc w:val="center"/>
              <w:textAlignment w:val="center"/>
              <w:rPr>
                <w:rFonts w:hint="eastAsia" w:ascii="仿宋" w:hAnsi="仿宋" w:eastAsia="仿宋" w:cs="微软雅黑"/>
                <w:sz w:val="24"/>
              </w:rPr>
            </w:pPr>
            <w:r>
              <w:rPr>
                <w:rFonts w:hint="eastAsia" w:ascii="仿宋" w:hAnsi="仿宋" w:eastAsia="仿宋" w:cs="微软雅黑"/>
                <w:sz w:val="24"/>
              </w:rPr>
              <w:t>5.2</w:t>
            </w:r>
          </w:p>
        </w:tc>
        <w:tc>
          <w:tcPr>
            <w:tcW w:w="1479" w:type="pct"/>
            <w:shd w:val="clear" w:color="auto" w:fill="FFFFFF" w:themeFill="background1"/>
            <w:vAlign w:val="center"/>
          </w:tcPr>
          <w:p w14:paraId="63C6303F">
            <w:pPr>
              <w:jc w:val="left"/>
              <w:textAlignment w:val="center"/>
              <w:rPr>
                <w:rFonts w:hint="eastAsia" w:ascii="仿宋" w:hAnsi="仿宋" w:eastAsia="仿宋" w:cs="微软雅黑"/>
                <w:sz w:val="24"/>
              </w:rPr>
            </w:pPr>
            <w:bookmarkStart w:id="333" w:name="_Toc535332650"/>
            <w:r>
              <w:rPr>
                <w:rFonts w:hint="eastAsia" w:ascii="仿宋" w:hAnsi="仿宋" w:eastAsia="仿宋" w:cs="微软雅黑"/>
                <w:sz w:val="24"/>
              </w:rPr>
              <w:t>建设项目基本情况</w:t>
            </w:r>
            <w:bookmarkEnd w:id="333"/>
          </w:p>
        </w:tc>
        <w:tc>
          <w:tcPr>
            <w:tcW w:w="578" w:type="pct"/>
            <w:shd w:val="clear" w:color="auto" w:fill="FFFFFF" w:themeFill="background1"/>
            <w:noWrap/>
            <w:vAlign w:val="center"/>
          </w:tcPr>
          <w:p w14:paraId="4535CE6F">
            <w:pPr>
              <w:jc w:val="center"/>
              <w:textAlignment w:val="center"/>
              <w:rPr>
                <w:rFonts w:hint="eastAsia" w:ascii="仿宋" w:hAnsi="仿宋" w:eastAsia="仿宋" w:cs="微软雅黑"/>
                <w:sz w:val="24"/>
              </w:rPr>
            </w:pPr>
          </w:p>
        </w:tc>
        <w:tc>
          <w:tcPr>
            <w:tcW w:w="1473" w:type="pct"/>
            <w:shd w:val="clear" w:color="auto" w:fill="FFFFFF" w:themeFill="background1"/>
            <w:vAlign w:val="center"/>
          </w:tcPr>
          <w:p w14:paraId="3C3D413B">
            <w:pPr>
              <w:jc w:val="left"/>
              <w:textAlignment w:val="center"/>
              <w:rPr>
                <w:rFonts w:hint="eastAsia" w:ascii="仿宋" w:hAnsi="仿宋" w:eastAsia="仿宋" w:cs="微软雅黑"/>
                <w:sz w:val="24"/>
              </w:rPr>
            </w:pPr>
          </w:p>
        </w:tc>
        <w:tc>
          <w:tcPr>
            <w:tcW w:w="768" w:type="pct"/>
            <w:shd w:val="clear" w:color="auto" w:fill="FFFFFF" w:themeFill="background1"/>
            <w:vAlign w:val="center"/>
          </w:tcPr>
          <w:p w14:paraId="14FC4429">
            <w:pPr>
              <w:jc w:val="left"/>
              <w:textAlignment w:val="center"/>
              <w:rPr>
                <w:rFonts w:hint="eastAsia" w:ascii="仿宋" w:hAnsi="仿宋" w:eastAsia="仿宋" w:cs="微软雅黑"/>
                <w:sz w:val="24"/>
              </w:rPr>
            </w:pPr>
            <w:r>
              <w:rPr>
                <w:rFonts w:hint="eastAsia" w:ascii="仿宋" w:hAnsi="仿宋" w:eastAsia="仿宋" w:cs="微软雅黑"/>
                <w:sz w:val="24"/>
              </w:rPr>
              <w:t>删除了建设项目基本情况。</w:t>
            </w:r>
          </w:p>
        </w:tc>
      </w:tr>
      <w:tr w14:paraId="57E15F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32CFD899">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6AB52797">
            <w:pPr>
              <w:jc w:val="center"/>
              <w:textAlignment w:val="center"/>
              <w:rPr>
                <w:rFonts w:hint="eastAsia" w:ascii="仿宋" w:hAnsi="仿宋" w:eastAsia="仿宋" w:cs="微软雅黑"/>
                <w:sz w:val="24"/>
              </w:rPr>
            </w:pPr>
          </w:p>
        </w:tc>
        <w:tc>
          <w:tcPr>
            <w:tcW w:w="1479" w:type="pct"/>
            <w:shd w:val="clear" w:color="auto" w:fill="FFFFFF" w:themeFill="background1"/>
            <w:vAlign w:val="center"/>
          </w:tcPr>
          <w:p w14:paraId="42BCCD08">
            <w:pPr>
              <w:jc w:val="left"/>
              <w:textAlignment w:val="center"/>
              <w:rPr>
                <w:rFonts w:hint="eastAsia" w:ascii="仿宋" w:hAnsi="仿宋" w:eastAsia="仿宋" w:cs="微软雅黑"/>
                <w:sz w:val="24"/>
              </w:rPr>
            </w:pPr>
            <w:r>
              <w:rPr>
                <w:rFonts w:hint="eastAsia" w:ascii="仿宋" w:hAnsi="仿宋" w:eastAsia="仿宋" w:cs="微软雅黑"/>
                <w:sz w:val="24"/>
              </w:rPr>
              <w:t>建设项目基本情况应包括但不限于以下内容：</w:t>
            </w:r>
          </w:p>
          <w:p w14:paraId="60128B70">
            <w:pPr>
              <w:numPr>
                <w:ilvl w:val="0"/>
                <w:numId w:val="21"/>
              </w:numPr>
              <w:spacing w:line="240" w:lineRule="auto"/>
              <w:jc w:val="left"/>
              <w:textAlignment w:val="center"/>
              <w:rPr>
                <w:rFonts w:hint="eastAsia" w:ascii="仿宋" w:hAnsi="仿宋" w:eastAsia="仿宋" w:cs="微软雅黑"/>
                <w:sz w:val="24"/>
              </w:rPr>
            </w:pPr>
            <w:r>
              <w:rPr>
                <w:rFonts w:hint="eastAsia" w:ascii="仿宋" w:hAnsi="仿宋" w:eastAsia="仿宋" w:cs="微软雅黑"/>
                <w:sz w:val="24"/>
              </w:rPr>
              <w:t>起点、终点，总体走向图，途经行政区划（见表1），站场和阀室的设置（见表2），总投资等。</w:t>
            </w:r>
          </w:p>
          <w:p w14:paraId="427C383B">
            <w:pPr>
              <w:numPr>
                <w:ilvl w:val="0"/>
                <w:numId w:val="21"/>
              </w:numPr>
              <w:spacing w:line="240" w:lineRule="auto"/>
              <w:jc w:val="left"/>
              <w:textAlignment w:val="center"/>
              <w:rPr>
                <w:rFonts w:hint="eastAsia" w:ascii="仿宋" w:hAnsi="仿宋" w:eastAsia="仿宋" w:cs="微软雅黑"/>
                <w:sz w:val="24"/>
              </w:rPr>
            </w:pPr>
            <w:r>
              <w:rPr>
                <w:rFonts w:hint="eastAsia" w:ascii="仿宋" w:hAnsi="仿宋" w:eastAsia="仿宋" w:cs="微软雅黑"/>
                <w:sz w:val="24"/>
              </w:rPr>
              <w:t>输送工艺和设计输量、管径、设计压力、管线长度、管材、设计温度等参数。</w:t>
            </w:r>
          </w:p>
          <w:p w14:paraId="32860288">
            <w:pPr>
              <w:numPr>
                <w:ilvl w:val="0"/>
                <w:numId w:val="21"/>
              </w:numPr>
              <w:spacing w:line="240" w:lineRule="auto"/>
              <w:jc w:val="left"/>
              <w:textAlignment w:val="center"/>
              <w:rPr>
                <w:rFonts w:hint="eastAsia" w:ascii="仿宋" w:hAnsi="仿宋" w:eastAsia="仿宋" w:cs="微软雅黑"/>
                <w:sz w:val="24"/>
              </w:rPr>
            </w:pPr>
            <w:r>
              <w:rPr>
                <w:rFonts w:hint="eastAsia" w:ascii="仿宋" w:hAnsi="仿宋" w:eastAsia="仿宋" w:cs="微软雅黑"/>
                <w:sz w:val="24"/>
              </w:rPr>
              <w:t>输送介质的物性、组分。原油物性（见表3），成品油物性（见表4），天然气物性（见表5），天然气组分（见表6），液化石油气物性（见表7），液化石油气组分（见表8）。</w:t>
            </w:r>
          </w:p>
        </w:tc>
        <w:tc>
          <w:tcPr>
            <w:tcW w:w="578" w:type="pct"/>
            <w:shd w:val="clear" w:color="auto" w:fill="FFFFFF" w:themeFill="background1"/>
            <w:noWrap/>
            <w:vAlign w:val="center"/>
          </w:tcPr>
          <w:p w14:paraId="5A1BDFBD">
            <w:pPr>
              <w:jc w:val="center"/>
              <w:textAlignment w:val="center"/>
              <w:rPr>
                <w:rFonts w:hint="eastAsia" w:ascii="仿宋" w:hAnsi="仿宋" w:eastAsia="仿宋" w:cs="微软雅黑"/>
                <w:sz w:val="24"/>
              </w:rPr>
            </w:pPr>
            <w:r>
              <w:rPr>
                <w:rFonts w:hint="eastAsia" w:ascii="仿宋" w:hAnsi="仿宋" w:eastAsia="仿宋" w:cs="微软雅黑"/>
                <w:sz w:val="24"/>
              </w:rPr>
              <w:t>5.1.6</w:t>
            </w:r>
          </w:p>
        </w:tc>
        <w:tc>
          <w:tcPr>
            <w:tcW w:w="1473" w:type="pct"/>
            <w:shd w:val="clear" w:color="auto" w:fill="FFFFFF" w:themeFill="background1"/>
            <w:vAlign w:val="center"/>
          </w:tcPr>
          <w:p w14:paraId="7A6348AC">
            <w:pPr>
              <w:jc w:val="left"/>
              <w:textAlignment w:val="center"/>
              <w:rPr>
                <w:rFonts w:hint="eastAsia" w:ascii="仿宋" w:hAnsi="仿宋" w:eastAsia="仿宋" w:cs="微软雅黑"/>
                <w:sz w:val="24"/>
              </w:rPr>
            </w:pPr>
            <w:r>
              <w:rPr>
                <w:rFonts w:hint="eastAsia" w:ascii="仿宋" w:hAnsi="仿宋" w:eastAsia="仿宋" w:cs="微软雅黑"/>
                <w:sz w:val="24"/>
              </w:rPr>
              <w:t>建设项目基本情况包括但不限于：</w:t>
            </w:r>
          </w:p>
          <w:p w14:paraId="4DE7E7B8">
            <w:pPr>
              <w:jc w:val="left"/>
              <w:textAlignment w:val="center"/>
              <w:rPr>
                <w:rFonts w:hint="eastAsia" w:ascii="仿宋" w:hAnsi="仿宋" w:eastAsia="仿宋" w:cs="微软雅黑"/>
                <w:sz w:val="24"/>
              </w:rPr>
            </w:pPr>
            <w:r>
              <w:rPr>
                <w:rFonts w:hint="eastAsia" w:ascii="仿宋" w:hAnsi="仿宋" w:eastAsia="仿宋" w:cs="微软雅黑"/>
                <w:sz w:val="24"/>
              </w:rPr>
              <w:t>a） 起点、终点, 总体走向图和途经行政区划（见表 1），按照GB 50251对输气管道进行地区等级划分（见表 2），站场和阀室的设置（见表 3），总投资等；</w:t>
            </w:r>
          </w:p>
          <w:p w14:paraId="54B153C9">
            <w:pPr>
              <w:jc w:val="left"/>
              <w:textAlignment w:val="center"/>
              <w:rPr>
                <w:rFonts w:hint="eastAsia" w:ascii="仿宋" w:hAnsi="仿宋" w:eastAsia="仿宋" w:cs="微软雅黑"/>
                <w:sz w:val="24"/>
              </w:rPr>
            </w:pPr>
            <w:r>
              <w:rPr>
                <w:rFonts w:hint="eastAsia" w:ascii="仿宋" w:hAnsi="仿宋" w:eastAsia="仿宋" w:cs="微软雅黑"/>
                <w:sz w:val="24"/>
              </w:rPr>
              <w:t>b) 输送工艺和设计输量、管径、设计压力、管线长度、管材、设计温度等参数；</w:t>
            </w:r>
          </w:p>
          <w:p w14:paraId="31E82CF9">
            <w:pPr>
              <w:jc w:val="left"/>
              <w:textAlignment w:val="center"/>
              <w:rPr>
                <w:rFonts w:hint="eastAsia" w:ascii="仿宋" w:hAnsi="仿宋" w:eastAsia="仿宋" w:cs="微软雅黑"/>
                <w:sz w:val="24"/>
              </w:rPr>
            </w:pPr>
            <w:r>
              <w:rPr>
                <w:rFonts w:hint="eastAsia" w:ascii="仿宋" w:hAnsi="仿宋" w:eastAsia="仿宋" w:cs="微软雅黑"/>
                <w:sz w:val="24"/>
              </w:rPr>
              <w:t>c）输送介质的物性、组分。原油物性见表4，成品油物性见表5，天然气物性见表6，天然气组分见表7，液化石油气物性见表8，液化2石油气组分见表9。</w:t>
            </w:r>
          </w:p>
        </w:tc>
        <w:tc>
          <w:tcPr>
            <w:tcW w:w="768" w:type="pct"/>
            <w:shd w:val="clear" w:color="auto" w:fill="FFFFFF" w:themeFill="background1"/>
            <w:vAlign w:val="center"/>
          </w:tcPr>
          <w:p w14:paraId="331215F6">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进一步规范了文字的表述形式和相关表格。</w:t>
            </w:r>
          </w:p>
        </w:tc>
      </w:tr>
      <w:tr w14:paraId="2F56F9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7C188E61">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551B0EE1">
            <w:pPr>
              <w:jc w:val="center"/>
              <w:textAlignment w:val="center"/>
              <w:rPr>
                <w:rFonts w:hint="eastAsia" w:ascii="仿宋" w:hAnsi="仿宋" w:eastAsia="仿宋" w:cs="微软雅黑"/>
                <w:sz w:val="24"/>
              </w:rPr>
            </w:pPr>
            <w:r>
              <w:rPr>
                <w:rFonts w:hint="eastAsia" w:ascii="仿宋" w:hAnsi="仿宋" w:eastAsia="仿宋" w:cs="微软雅黑"/>
                <w:sz w:val="24"/>
              </w:rPr>
              <w:t>5.3</w:t>
            </w:r>
          </w:p>
        </w:tc>
        <w:tc>
          <w:tcPr>
            <w:tcW w:w="1479" w:type="pct"/>
            <w:shd w:val="clear" w:color="auto" w:fill="FFFFFF" w:themeFill="background1"/>
            <w:vAlign w:val="center"/>
          </w:tcPr>
          <w:p w14:paraId="0A16C075">
            <w:pPr>
              <w:pStyle w:val="4"/>
              <w:jc w:val="left"/>
              <w:rPr>
                <w:rFonts w:hint="eastAsia" w:ascii="仿宋" w:hAnsi="仿宋" w:eastAsia="仿宋" w:cs="微软雅黑"/>
                <w:color w:val="000000"/>
                <w:sz w:val="24"/>
                <w:szCs w:val="24"/>
              </w:rPr>
            </w:pPr>
            <w:bookmarkStart w:id="334" w:name="_Toc535332651"/>
            <w:r>
              <w:rPr>
                <w:rFonts w:hint="eastAsia" w:ascii="仿宋" w:hAnsi="仿宋" w:eastAsia="仿宋" w:cs="微软雅黑"/>
                <w:bCs w:val="0"/>
                <w:color w:val="000000"/>
                <w:sz w:val="24"/>
                <w:szCs w:val="24"/>
                <w:lang w:val="en-US"/>
              </w:rPr>
              <w:t>自然及社会环境概况</w:t>
            </w:r>
            <w:bookmarkEnd w:id="334"/>
          </w:p>
        </w:tc>
        <w:tc>
          <w:tcPr>
            <w:tcW w:w="578" w:type="pct"/>
            <w:shd w:val="clear" w:color="auto" w:fill="FFFFFF" w:themeFill="background1"/>
            <w:noWrap/>
            <w:vAlign w:val="center"/>
          </w:tcPr>
          <w:p w14:paraId="25E1FF81">
            <w:pPr>
              <w:jc w:val="center"/>
              <w:textAlignment w:val="center"/>
              <w:rPr>
                <w:rFonts w:hint="eastAsia" w:ascii="仿宋" w:hAnsi="仿宋" w:eastAsia="仿宋" w:cs="微软雅黑"/>
                <w:sz w:val="24"/>
              </w:rPr>
            </w:pPr>
            <w:r>
              <w:rPr>
                <w:rFonts w:hint="eastAsia" w:ascii="仿宋" w:hAnsi="仿宋" w:eastAsia="仿宋" w:cs="微软雅黑"/>
                <w:sz w:val="24"/>
              </w:rPr>
              <w:t>5.2</w:t>
            </w:r>
          </w:p>
        </w:tc>
        <w:tc>
          <w:tcPr>
            <w:tcW w:w="1473" w:type="pct"/>
            <w:shd w:val="clear" w:color="auto" w:fill="FFFFFF" w:themeFill="background1"/>
            <w:vAlign w:val="center"/>
          </w:tcPr>
          <w:p w14:paraId="6A13B7C6">
            <w:pPr>
              <w:jc w:val="left"/>
              <w:textAlignment w:val="center"/>
              <w:rPr>
                <w:rFonts w:hint="eastAsia" w:ascii="仿宋" w:hAnsi="仿宋" w:eastAsia="仿宋" w:cs="微软雅黑"/>
                <w:sz w:val="24"/>
              </w:rPr>
            </w:pPr>
            <w:r>
              <w:rPr>
                <w:rFonts w:hint="eastAsia" w:ascii="仿宋" w:hAnsi="仿宋" w:eastAsia="仿宋" w:cs="微软雅黑"/>
                <w:sz w:val="24"/>
              </w:rPr>
              <w:t>自然及社会环境概况</w:t>
            </w:r>
          </w:p>
        </w:tc>
        <w:tc>
          <w:tcPr>
            <w:tcW w:w="768" w:type="pct"/>
            <w:shd w:val="clear" w:color="auto" w:fill="FFFFFF" w:themeFill="background1"/>
            <w:vAlign w:val="center"/>
          </w:tcPr>
          <w:p w14:paraId="117E24D0">
            <w:pPr>
              <w:jc w:val="left"/>
              <w:textAlignment w:val="center"/>
              <w:rPr>
                <w:rFonts w:hint="eastAsia" w:ascii="仿宋" w:hAnsi="仿宋" w:eastAsia="仿宋" w:cs="微软雅黑"/>
                <w:sz w:val="24"/>
              </w:rPr>
            </w:pPr>
            <w:r>
              <w:rPr>
                <w:rFonts w:hint="eastAsia" w:ascii="仿宋" w:hAnsi="仿宋" w:eastAsia="仿宋" w:cs="微软雅黑"/>
                <w:sz w:val="24"/>
              </w:rPr>
              <w:t>梳理了章节顺序。</w:t>
            </w:r>
          </w:p>
        </w:tc>
      </w:tr>
      <w:tr w14:paraId="286AB5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369C8DF6">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2EFED8FB">
            <w:pPr>
              <w:jc w:val="center"/>
              <w:textAlignment w:val="center"/>
              <w:rPr>
                <w:rFonts w:hint="eastAsia" w:ascii="仿宋" w:hAnsi="仿宋" w:eastAsia="仿宋" w:cs="微软雅黑"/>
                <w:sz w:val="24"/>
              </w:rPr>
            </w:pPr>
            <w:r>
              <w:rPr>
                <w:rFonts w:hint="eastAsia" w:ascii="仿宋" w:hAnsi="仿宋" w:eastAsia="仿宋" w:cs="微软雅黑"/>
                <w:sz w:val="24"/>
              </w:rPr>
              <w:t>5.3.1</w:t>
            </w:r>
          </w:p>
        </w:tc>
        <w:tc>
          <w:tcPr>
            <w:tcW w:w="1479" w:type="pct"/>
            <w:shd w:val="clear" w:color="auto" w:fill="FFFFFF" w:themeFill="background1"/>
            <w:vAlign w:val="center"/>
          </w:tcPr>
          <w:p w14:paraId="01D6DB05">
            <w:pPr>
              <w:jc w:val="left"/>
              <w:textAlignment w:val="center"/>
              <w:rPr>
                <w:rFonts w:hint="eastAsia" w:ascii="仿宋" w:hAnsi="仿宋" w:eastAsia="仿宋" w:cs="微软雅黑"/>
                <w:sz w:val="24"/>
              </w:rPr>
            </w:pPr>
            <w:r>
              <w:rPr>
                <w:rFonts w:hint="eastAsia" w:ascii="仿宋" w:hAnsi="仿宋" w:eastAsia="仿宋" w:cs="微软雅黑"/>
                <w:sz w:val="24"/>
              </w:rPr>
              <w:t>自然环境</w:t>
            </w:r>
          </w:p>
        </w:tc>
        <w:tc>
          <w:tcPr>
            <w:tcW w:w="578" w:type="pct"/>
            <w:shd w:val="clear" w:color="auto" w:fill="FFFFFF" w:themeFill="background1"/>
            <w:noWrap/>
            <w:vAlign w:val="center"/>
          </w:tcPr>
          <w:p w14:paraId="2A9D0D62">
            <w:pPr>
              <w:jc w:val="center"/>
              <w:textAlignment w:val="center"/>
              <w:rPr>
                <w:rFonts w:hint="eastAsia" w:ascii="仿宋" w:hAnsi="仿宋" w:eastAsia="仿宋" w:cs="微软雅黑"/>
                <w:sz w:val="24"/>
              </w:rPr>
            </w:pPr>
            <w:r>
              <w:rPr>
                <w:rFonts w:hint="eastAsia" w:ascii="仿宋" w:hAnsi="仿宋" w:eastAsia="仿宋" w:cs="微软雅黑"/>
                <w:sz w:val="24"/>
              </w:rPr>
              <w:t>5.2.1</w:t>
            </w:r>
          </w:p>
        </w:tc>
        <w:tc>
          <w:tcPr>
            <w:tcW w:w="1473" w:type="pct"/>
            <w:shd w:val="clear" w:color="auto" w:fill="FFFFFF" w:themeFill="background1"/>
            <w:vAlign w:val="center"/>
          </w:tcPr>
          <w:p w14:paraId="661735C7">
            <w:pPr>
              <w:jc w:val="left"/>
              <w:textAlignment w:val="center"/>
              <w:rPr>
                <w:rFonts w:hint="eastAsia" w:ascii="仿宋" w:hAnsi="仿宋" w:eastAsia="仿宋" w:cs="微软雅黑"/>
                <w:sz w:val="24"/>
              </w:rPr>
            </w:pPr>
            <w:r>
              <w:rPr>
                <w:rFonts w:hint="eastAsia" w:ascii="仿宋" w:hAnsi="仿宋" w:eastAsia="仿宋" w:cs="微软雅黑"/>
                <w:sz w:val="24"/>
              </w:rPr>
              <w:t>自然环境</w:t>
            </w:r>
          </w:p>
        </w:tc>
        <w:tc>
          <w:tcPr>
            <w:tcW w:w="768" w:type="pct"/>
            <w:shd w:val="clear" w:color="auto" w:fill="FFFFFF" w:themeFill="background1"/>
            <w:vAlign w:val="center"/>
          </w:tcPr>
          <w:p w14:paraId="23770795">
            <w:pPr>
              <w:jc w:val="left"/>
              <w:textAlignment w:val="center"/>
              <w:rPr>
                <w:rFonts w:hint="eastAsia" w:ascii="仿宋" w:hAnsi="仿宋" w:eastAsia="仿宋" w:cs="微软雅黑"/>
                <w:sz w:val="24"/>
              </w:rPr>
            </w:pPr>
            <w:r>
              <w:rPr>
                <w:rFonts w:hint="eastAsia" w:ascii="仿宋" w:hAnsi="仿宋" w:eastAsia="仿宋" w:cs="微软雅黑"/>
                <w:sz w:val="24"/>
              </w:rPr>
              <w:t>梳理了章节顺序。</w:t>
            </w:r>
          </w:p>
        </w:tc>
      </w:tr>
      <w:tr w14:paraId="291BDF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20BCD9FA">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080304D8">
            <w:pPr>
              <w:jc w:val="center"/>
              <w:textAlignment w:val="center"/>
              <w:rPr>
                <w:rFonts w:hint="eastAsia" w:ascii="仿宋" w:hAnsi="仿宋" w:eastAsia="仿宋" w:cs="微软雅黑"/>
                <w:sz w:val="24"/>
              </w:rPr>
            </w:pPr>
            <w:r>
              <w:rPr>
                <w:rFonts w:hint="eastAsia" w:ascii="仿宋" w:hAnsi="仿宋" w:eastAsia="仿宋" w:cs="微软雅黑"/>
                <w:sz w:val="24"/>
              </w:rPr>
              <w:t>5.3.1.1</w:t>
            </w:r>
          </w:p>
        </w:tc>
        <w:tc>
          <w:tcPr>
            <w:tcW w:w="1479" w:type="pct"/>
            <w:shd w:val="clear" w:color="auto" w:fill="FFFFFF" w:themeFill="background1"/>
            <w:vAlign w:val="center"/>
          </w:tcPr>
          <w:p w14:paraId="76DD8EB5">
            <w:pPr>
              <w:jc w:val="left"/>
              <w:textAlignment w:val="center"/>
              <w:rPr>
                <w:rFonts w:hint="eastAsia" w:ascii="仿宋" w:hAnsi="仿宋" w:eastAsia="仿宋" w:cs="微软雅黑"/>
                <w:sz w:val="24"/>
              </w:rPr>
            </w:pPr>
            <w:r>
              <w:rPr>
                <w:rFonts w:hint="eastAsia" w:ascii="仿宋" w:hAnsi="仿宋" w:eastAsia="仿宋" w:cs="微软雅黑"/>
                <w:sz w:val="24"/>
              </w:rPr>
              <w:t>应介绍建设项目沿线的气象条件（见表9）。</w:t>
            </w:r>
          </w:p>
        </w:tc>
        <w:tc>
          <w:tcPr>
            <w:tcW w:w="578" w:type="pct"/>
            <w:shd w:val="clear" w:color="auto" w:fill="FFFFFF" w:themeFill="background1"/>
            <w:noWrap/>
            <w:vAlign w:val="center"/>
          </w:tcPr>
          <w:p w14:paraId="2CB8B775">
            <w:pPr>
              <w:jc w:val="center"/>
              <w:textAlignment w:val="center"/>
              <w:rPr>
                <w:rFonts w:hint="eastAsia" w:ascii="仿宋" w:hAnsi="仿宋" w:eastAsia="仿宋" w:cs="微软雅黑"/>
                <w:sz w:val="24"/>
              </w:rPr>
            </w:pPr>
            <w:r>
              <w:rPr>
                <w:rFonts w:hint="eastAsia" w:ascii="仿宋" w:hAnsi="仿宋" w:eastAsia="仿宋" w:cs="微软雅黑"/>
                <w:sz w:val="24"/>
              </w:rPr>
              <w:t>5.2.1.1</w:t>
            </w:r>
          </w:p>
        </w:tc>
        <w:tc>
          <w:tcPr>
            <w:tcW w:w="1473" w:type="pct"/>
            <w:shd w:val="clear" w:color="auto" w:fill="FFFFFF" w:themeFill="background1"/>
            <w:vAlign w:val="center"/>
          </w:tcPr>
          <w:p w14:paraId="4562C72A">
            <w:pPr>
              <w:jc w:val="left"/>
              <w:textAlignment w:val="center"/>
              <w:rPr>
                <w:rFonts w:hint="eastAsia" w:ascii="仿宋" w:hAnsi="仿宋" w:eastAsia="仿宋" w:cs="微软雅黑"/>
                <w:sz w:val="24"/>
              </w:rPr>
            </w:pPr>
            <w:r>
              <w:rPr>
                <w:rFonts w:hint="eastAsia" w:ascii="仿宋" w:hAnsi="仿宋" w:eastAsia="仿宋" w:cs="微软雅黑"/>
                <w:sz w:val="24"/>
              </w:rPr>
              <w:t>说明建设项目沿线的气象条件，列出气象条件表（见表10）。</w:t>
            </w:r>
          </w:p>
        </w:tc>
        <w:tc>
          <w:tcPr>
            <w:tcW w:w="768" w:type="pct"/>
            <w:shd w:val="clear" w:color="auto" w:fill="FFFFFF" w:themeFill="background1"/>
            <w:vAlign w:val="center"/>
          </w:tcPr>
          <w:p w14:paraId="797F70EB">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进一步规范了文字的表述形式和相关表格。</w:t>
            </w:r>
          </w:p>
        </w:tc>
      </w:tr>
      <w:tr w14:paraId="67D54C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2D539260">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7A234630">
            <w:pPr>
              <w:jc w:val="center"/>
              <w:textAlignment w:val="center"/>
              <w:rPr>
                <w:rFonts w:hint="eastAsia" w:ascii="仿宋" w:hAnsi="仿宋" w:eastAsia="仿宋" w:cs="微软雅黑"/>
                <w:sz w:val="24"/>
              </w:rPr>
            </w:pPr>
            <w:r>
              <w:rPr>
                <w:rFonts w:hint="eastAsia" w:ascii="仿宋" w:hAnsi="仿宋" w:eastAsia="仿宋" w:cs="微软雅黑"/>
                <w:sz w:val="24"/>
              </w:rPr>
              <w:t>5.3.1.2</w:t>
            </w:r>
          </w:p>
        </w:tc>
        <w:tc>
          <w:tcPr>
            <w:tcW w:w="1479" w:type="pct"/>
            <w:shd w:val="clear" w:color="auto" w:fill="FFFFFF" w:themeFill="background1"/>
            <w:vAlign w:val="center"/>
          </w:tcPr>
          <w:p w14:paraId="36488D0F">
            <w:pPr>
              <w:jc w:val="left"/>
              <w:textAlignment w:val="center"/>
              <w:rPr>
                <w:rFonts w:hint="eastAsia" w:ascii="仿宋" w:hAnsi="仿宋" w:eastAsia="仿宋" w:cs="微软雅黑"/>
                <w:sz w:val="24"/>
              </w:rPr>
            </w:pPr>
            <w:r>
              <w:rPr>
                <w:rFonts w:hint="eastAsia" w:ascii="仿宋" w:hAnsi="仿宋" w:eastAsia="仿宋" w:cs="微软雅黑"/>
                <w:sz w:val="24"/>
              </w:rPr>
              <w:t>应说明建设项目途经行政区划的水文条件。</w:t>
            </w:r>
          </w:p>
        </w:tc>
        <w:tc>
          <w:tcPr>
            <w:tcW w:w="578" w:type="pct"/>
            <w:shd w:val="clear" w:color="auto" w:fill="FFFFFF" w:themeFill="background1"/>
            <w:noWrap/>
            <w:vAlign w:val="center"/>
          </w:tcPr>
          <w:p w14:paraId="18584867">
            <w:pPr>
              <w:jc w:val="center"/>
              <w:textAlignment w:val="center"/>
              <w:rPr>
                <w:rFonts w:hint="eastAsia" w:ascii="仿宋" w:hAnsi="仿宋" w:eastAsia="仿宋" w:cs="微软雅黑"/>
                <w:sz w:val="24"/>
              </w:rPr>
            </w:pPr>
            <w:r>
              <w:rPr>
                <w:rFonts w:hint="eastAsia" w:ascii="仿宋" w:hAnsi="仿宋" w:eastAsia="仿宋" w:cs="微软雅黑"/>
                <w:sz w:val="24"/>
              </w:rPr>
              <w:t>5.2.1.2</w:t>
            </w:r>
          </w:p>
        </w:tc>
        <w:tc>
          <w:tcPr>
            <w:tcW w:w="1473" w:type="pct"/>
            <w:shd w:val="clear" w:color="auto" w:fill="FFFFFF" w:themeFill="background1"/>
            <w:vAlign w:val="center"/>
          </w:tcPr>
          <w:p w14:paraId="0DDE43A1">
            <w:pPr>
              <w:jc w:val="left"/>
              <w:textAlignment w:val="center"/>
              <w:rPr>
                <w:rFonts w:hint="eastAsia" w:ascii="仿宋" w:hAnsi="仿宋" w:eastAsia="仿宋" w:cs="微软雅黑"/>
                <w:sz w:val="24"/>
              </w:rPr>
            </w:pPr>
            <w:r>
              <w:rPr>
                <w:rFonts w:hint="eastAsia" w:ascii="仿宋" w:hAnsi="仿宋" w:eastAsia="仿宋" w:cs="微软雅黑"/>
                <w:sz w:val="24"/>
              </w:rPr>
              <w:t>说明建设项目沿线的水文条件，列出水文条件表（见表11）。</w:t>
            </w:r>
          </w:p>
        </w:tc>
        <w:tc>
          <w:tcPr>
            <w:tcW w:w="768" w:type="pct"/>
            <w:shd w:val="clear" w:color="auto" w:fill="FFFFFF" w:themeFill="background1"/>
            <w:vAlign w:val="center"/>
          </w:tcPr>
          <w:p w14:paraId="22D53169">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进一步规范了文字的表述形式和相关表格。</w:t>
            </w:r>
          </w:p>
        </w:tc>
      </w:tr>
      <w:tr w14:paraId="47B113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7CDC3667">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271FFBDD">
            <w:pPr>
              <w:jc w:val="center"/>
              <w:textAlignment w:val="center"/>
              <w:rPr>
                <w:rFonts w:hint="eastAsia" w:ascii="仿宋" w:hAnsi="仿宋" w:eastAsia="仿宋" w:cs="微软雅黑"/>
                <w:sz w:val="24"/>
              </w:rPr>
            </w:pPr>
            <w:r>
              <w:rPr>
                <w:rFonts w:hint="eastAsia" w:ascii="仿宋" w:hAnsi="仿宋" w:eastAsia="仿宋" w:cs="微软雅黑"/>
                <w:sz w:val="24"/>
              </w:rPr>
              <w:t>5.3.1.3</w:t>
            </w:r>
          </w:p>
        </w:tc>
        <w:tc>
          <w:tcPr>
            <w:tcW w:w="1479" w:type="pct"/>
            <w:shd w:val="clear" w:color="auto" w:fill="FFFFFF" w:themeFill="background1"/>
            <w:vAlign w:val="center"/>
          </w:tcPr>
          <w:p w14:paraId="110E1D3D">
            <w:pPr>
              <w:jc w:val="left"/>
              <w:textAlignment w:val="center"/>
              <w:rPr>
                <w:rFonts w:hint="eastAsia" w:ascii="仿宋" w:hAnsi="仿宋" w:eastAsia="仿宋" w:cs="微软雅黑"/>
                <w:sz w:val="24"/>
              </w:rPr>
            </w:pPr>
            <w:r>
              <w:rPr>
                <w:rFonts w:hint="eastAsia" w:ascii="仿宋" w:hAnsi="仿宋" w:eastAsia="仿宋" w:cs="微软雅黑"/>
                <w:sz w:val="24"/>
              </w:rPr>
              <w:t>应说明建设项目途经行政区划的地形地貌（见表10）。</w:t>
            </w:r>
          </w:p>
        </w:tc>
        <w:tc>
          <w:tcPr>
            <w:tcW w:w="578" w:type="pct"/>
            <w:shd w:val="clear" w:color="auto" w:fill="FFFFFF" w:themeFill="background1"/>
            <w:noWrap/>
            <w:vAlign w:val="center"/>
          </w:tcPr>
          <w:p w14:paraId="6584595E">
            <w:pPr>
              <w:jc w:val="center"/>
              <w:textAlignment w:val="center"/>
              <w:rPr>
                <w:rFonts w:hint="eastAsia" w:ascii="仿宋" w:hAnsi="仿宋" w:eastAsia="仿宋" w:cs="微软雅黑"/>
                <w:sz w:val="24"/>
              </w:rPr>
            </w:pPr>
            <w:r>
              <w:rPr>
                <w:rFonts w:hint="eastAsia" w:ascii="仿宋" w:hAnsi="仿宋" w:eastAsia="仿宋" w:cs="微软雅黑"/>
                <w:sz w:val="24"/>
              </w:rPr>
              <w:t>5.2.1.3</w:t>
            </w:r>
          </w:p>
        </w:tc>
        <w:tc>
          <w:tcPr>
            <w:tcW w:w="1473" w:type="pct"/>
            <w:shd w:val="clear" w:color="auto" w:fill="FFFFFF" w:themeFill="background1"/>
            <w:vAlign w:val="center"/>
          </w:tcPr>
          <w:p w14:paraId="21654B6F">
            <w:pPr>
              <w:jc w:val="left"/>
              <w:textAlignment w:val="center"/>
              <w:rPr>
                <w:rFonts w:hint="eastAsia" w:ascii="仿宋" w:hAnsi="仿宋" w:eastAsia="仿宋" w:cs="微软雅黑"/>
                <w:sz w:val="24"/>
              </w:rPr>
            </w:pPr>
            <w:r>
              <w:rPr>
                <w:rFonts w:hint="eastAsia" w:ascii="仿宋" w:hAnsi="仿宋" w:eastAsia="仿宋" w:cs="微软雅黑"/>
                <w:sz w:val="24"/>
              </w:rPr>
              <w:t>说明建设项目途经行政区划的地形地貌，列出地形地貌统计表（见表12）。</w:t>
            </w:r>
          </w:p>
        </w:tc>
        <w:tc>
          <w:tcPr>
            <w:tcW w:w="768" w:type="pct"/>
            <w:shd w:val="clear" w:color="auto" w:fill="FFFFFF" w:themeFill="background1"/>
            <w:vAlign w:val="center"/>
          </w:tcPr>
          <w:p w14:paraId="460BA476">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进一步规范了文字的表述形式和相关表格。</w:t>
            </w:r>
          </w:p>
        </w:tc>
      </w:tr>
      <w:tr w14:paraId="399DDB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6F372DFA">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32EBC5FC">
            <w:pPr>
              <w:jc w:val="center"/>
              <w:textAlignment w:val="center"/>
              <w:rPr>
                <w:rFonts w:hint="eastAsia" w:ascii="仿宋" w:hAnsi="仿宋" w:eastAsia="仿宋" w:cs="微软雅黑"/>
                <w:sz w:val="24"/>
              </w:rPr>
            </w:pPr>
            <w:r>
              <w:rPr>
                <w:rFonts w:hint="eastAsia" w:ascii="仿宋" w:hAnsi="仿宋" w:eastAsia="仿宋" w:cs="微软雅黑"/>
                <w:sz w:val="24"/>
              </w:rPr>
              <w:t>5.3.2 社会环境</w:t>
            </w:r>
          </w:p>
        </w:tc>
        <w:tc>
          <w:tcPr>
            <w:tcW w:w="1479" w:type="pct"/>
            <w:shd w:val="clear" w:color="auto" w:fill="FFFFFF" w:themeFill="background1"/>
            <w:vAlign w:val="center"/>
          </w:tcPr>
          <w:p w14:paraId="1A171942">
            <w:pPr>
              <w:jc w:val="left"/>
              <w:textAlignment w:val="center"/>
              <w:rPr>
                <w:rFonts w:hint="eastAsia" w:ascii="仿宋" w:hAnsi="仿宋" w:eastAsia="仿宋" w:cs="微软雅黑"/>
                <w:sz w:val="24"/>
              </w:rPr>
            </w:pPr>
            <w:r>
              <w:rPr>
                <w:rFonts w:hint="eastAsia" w:ascii="仿宋" w:hAnsi="仿宋" w:eastAsia="仿宋" w:cs="微软雅黑"/>
                <w:sz w:val="24"/>
              </w:rPr>
              <w:t>应描述建设项目沿线人文、经济、交通条件等。</w:t>
            </w:r>
          </w:p>
        </w:tc>
        <w:tc>
          <w:tcPr>
            <w:tcW w:w="578" w:type="pct"/>
            <w:shd w:val="clear" w:color="auto" w:fill="FFFFFF" w:themeFill="background1"/>
            <w:noWrap/>
            <w:vAlign w:val="center"/>
          </w:tcPr>
          <w:p w14:paraId="0330C21C">
            <w:pPr>
              <w:jc w:val="center"/>
              <w:textAlignment w:val="center"/>
              <w:rPr>
                <w:rFonts w:hint="eastAsia" w:ascii="仿宋" w:hAnsi="仿宋" w:eastAsia="仿宋" w:cs="微软雅黑"/>
                <w:sz w:val="24"/>
              </w:rPr>
            </w:pPr>
            <w:r>
              <w:rPr>
                <w:rFonts w:hint="eastAsia" w:ascii="仿宋" w:hAnsi="仿宋" w:eastAsia="仿宋" w:cs="微软雅黑"/>
                <w:sz w:val="24"/>
              </w:rPr>
              <w:t>5.2.2 社会环境</w:t>
            </w:r>
          </w:p>
        </w:tc>
        <w:tc>
          <w:tcPr>
            <w:tcW w:w="1473" w:type="pct"/>
            <w:shd w:val="clear" w:color="auto" w:fill="FFFFFF" w:themeFill="background1"/>
            <w:vAlign w:val="center"/>
          </w:tcPr>
          <w:p w14:paraId="00936A71">
            <w:pPr>
              <w:jc w:val="left"/>
              <w:textAlignment w:val="center"/>
              <w:rPr>
                <w:rFonts w:hint="eastAsia" w:ascii="仿宋" w:hAnsi="仿宋" w:eastAsia="仿宋" w:cs="微软雅黑"/>
                <w:sz w:val="24"/>
              </w:rPr>
            </w:pPr>
            <w:r>
              <w:rPr>
                <w:rFonts w:hint="eastAsia" w:ascii="仿宋" w:hAnsi="仿宋" w:eastAsia="仿宋" w:cs="微软雅黑"/>
                <w:sz w:val="24"/>
              </w:rPr>
              <w:t>说明建设项目沿线人文、经济、交通条件等情况。</w:t>
            </w:r>
          </w:p>
        </w:tc>
        <w:tc>
          <w:tcPr>
            <w:tcW w:w="768" w:type="pct"/>
            <w:shd w:val="clear" w:color="auto" w:fill="FFFFFF" w:themeFill="background1"/>
            <w:vAlign w:val="center"/>
          </w:tcPr>
          <w:p w14:paraId="3267225B">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5006C4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77F925D4">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2C2D2403">
            <w:pPr>
              <w:jc w:val="center"/>
              <w:textAlignment w:val="center"/>
              <w:rPr>
                <w:rFonts w:hint="eastAsia" w:ascii="仿宋" w:hAnsi="仿宋" w:eastAsia="仿宋" w:cs="微软雅黑"/>
                <w:sz w:val="24"/>
              </w:rPr>
            </w:pPr>
            <w:r>
              <w:rPr>
                <w:rFonts w:hint="eastAsia" w:ascii="仿宋" w:hAnsi="仿宋" w:eastAsia="仿宋" w:cs="微软雅黑"/>
                <w:sz w:val="24"/>
              </w:rPr>
              <w:t>5.4</w:t>
            </w:r>
          </w:p>
        </w:tc>
        <w:tc>
          <w:tcPr>
            <w:tcW w:w="1479" w:type="pct"/>
            <w:shd w:val="clear" w:color="auto" w:fill="FFFFFF" w:themeFill="background1"/>
            <w:vAlign w:val="center"/>
          </w:tcPr>
          <w:p w14:paraId="5ACB5371">
            <w:pPr>
              <w:jc w:val="left"/>
              <w:textAlignment w:val="center"/>
              <w:rPr>
                <w:rFonts w:hint="eastAsia" w:ascii="仿宋" w:hAnsi="仿宋" w:eastAsia="仿宋" w:cs="微软雅黑"/>
                <w:sz w:val="24"/>
              </w:rPr>
            </w:pPr>
            <w:r>
              <w:rPr>
                <w:rFonts w:hint="eastAsia" w:ascii="仿宋" w:hAnsi="仿宋" w:eastAsia="仿宋" w:cs="微软雅黑"/>
                <w:sz w:val="24"/>
              </w:rPr>
              <w:t>线路工程</w:t>
            </w:r>
          </w:p>
        </w:tc>
        <w:tc>
          <w:tcPr>
            <w:tcW w:w="578" w:type="pct"/>
            <w:shd w:val="clear" w:color="auto" w:fill="FFFFFF" w:themeFill="background1"/>
            <w:noWrap/>
            <w:vAlign w:val="center"/>
          </w:tcPr>
          <w:p w14:paraId="454CF369">
            <w:pPr>
              <w:jc w:val="center"/>
              <w:textAlignment w:val="center"/>
              <w:rPr>
                <w:rFonts w:hint="eastAsia" w:ascii="仿宋" w:hAnsi="仿宋" w:eastAsia="仿宋" w:cs="微软雅黑"/>
                <w:sz w:val="24"/>
              </w:rPr>
            </w:pPr>
            <w:r>
              <w:rPr>
                <w:rFonts w:hint="eastAsia" w:ascii="仿宋" w:hAnsi="仿宋" w:eastAsia="仿宋" w:cs="微软雅黑"/>
                <w:sz w:val="24"/>
              </w:rPr>
              <w:t>5.3</w:t>
            </w:r>
          </w:p>
        </w:tc>
        <w:tc>
          <w:tcPr>
            <w:tcW w:w="1473" w:type="pct"/>
            <w:shd w:val="clear" w:color="auto" w:fill="FFFFFF" w:themeFill="background1"/>
            <w:vAlign w:val="center"/>
          </w:tcPr>
          <w:p w14:paraId="3422E96C">
            <w:pPr>
              <w:jc w:val="left"/>
              <w:textAlignment w:val="center"/>
              <w:rPr>
                <w:rFonts w:hint="eastAsia" w:ascii="仿宋" w:hAnsi="仿宋" w:eastAsia="仿宋" w:cs="微软雅黑"/>
                <w:sz w:val="24"/>
              </w:rPr>
            </w:pPr>
            <w:r>
              <w:rPr>
                <w:rFonts w:hint="eastAsia" w:ascii="仿宋" w:hAnsi="仿宋" w:eastAsia="仿宋" w:cs="微软雅黑"/>
                <w:sz w:val="24"/>
              </w:rPr>
              <w:t>线路工程</w:t>
            </w:r>
          </w:p>
        </w:tc>
        <w:tc>
          <w:tcPr>
            <w:tcW w:w="768" w:type="pct"/>
            <w:shd w:val="clear" w:color="auto" w:fill="FFFFFF" w:themeFill="background1"/>
            <w:vAlign w:val="center"/>
          </w:tcPr>
          <w:p w14:paraId="3A61ABC0">
            <w:pPr>
              <w:jc w:val="left"/>
              <w:textAlignment w:val="center"/>
              <w:rPr>
                <w:rFonts w:hint="eastAsia" w:ascii="仿宋" w:hAnsi="仿宋" w:eastAsia="仿宋" w:cs="微软雅黑"/>
                <w:sz w:val="24"/>
              </w:rPr>
            </w:pPr>
            <w:r>
              <w:rPr>
                <w:rFonts w:hint="eastAsia" w:ascii="仿宋" w:hAnsi="仿宋" w:eastAsia="仿宋" w:cs="微软雅黑"/>
                <w:sz w:val="24"/>
              </w:rPr>
              <w:t>梳理了章节顺序。</w:t>
            </w:r>
          </w:p>
        </w:tc>
      </w:tr>
      <w:tr w14:paraId="6EB472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2EB06E2F">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417FC3B0">
            <w:pPr>
              <w:jc w:val="center"/>
              <w:textAlignment w:val="center"/>
              <w:rPr>
                <w:rFonts w:hint="eastAsia" w:ascii="仿宋" w:hAnsi="仿宋" w:eastAsia="仿宋" w:cs="微软雅黑"/>
                <w:sz w:val="24"/>
              </w:rPr>
            </w:pPr>
            <w:r>
              <w:rPr>
                <w:rFonts w:hint="eastAsia" w:ascii="仿宋" w:hAnsi="仿宋" w:eastAsia="仿宋" w:cs="微软雅黑"/>
                <w:sz w:val="24"/>
              </w:rPr>
              <w:t>5.4.1 管道本体</w:t>
            </w:r>
          </w:p>
        </w:tc>
        <w:tc>
          <w:tcPr>
            <w:tcW w:w="1479" w:type="pct"/>
            <w:shd w:val="clear" w:color="auto" w:fill="FFFFFF" w:themeFill="background1"/>
            <w:vAlign w:val="center"/>
          </w:tcPr>
          <w:p w14:paraId="5D82FCC5">
            <w:pPr>
              <w:jc w:val="left"/>
              <w:textAlignment w:val="center"/>
              <w:rPr>
                <w:rFonts w:hint="eastAsia" w:ascii="仿宋" w:hAnsi="仿宋" w:eastAsia="仿宋" w:cs="微软雅黑"/>
                <w:sz w:val="24"/>
              </w:rPr>
            </w:pPr>
            <w:r>
              <w:rPr>
                <w:rFonts w:hint="eastAsia" w:ascii="仿宋" w:hAnsi="仿宋" w:eastAsia="仿宋" w:cs="微软雅黑"/>
                <w:sz w:val="24"/>
              </w:rPr>
              <w:t>应说明建设项目选用管道材质的主要技术参数和强度设计系数。</w:t>
            </w:r>
          </w:p>
        </w:tc>
        <w:tc>
          <w:tcPr>
            <w:tcW w:w="578" w:type="pct"/>
            <w:shd w:val="clear" w:color="auto" w:fill="FFFFFF" w:themeFill="background1"/>
            <w:noWrap/>
            <w:vAlign w:val="center"/>
          </w:tcPr>
          <w:p w14:paraId="0527F680">
            <w:pPr>
              <w:jc w:val="center"/>
              <w:textAlignment w:val="center"/>
              <w:rPr>
                <w:rFonts w:hint="eastAsia" w:ascii="仿宋" w:hAnsi="仿宋" w:eastAsia="仿宋" w:cs="微软雅黑"/>
                <w:sz w:val="24"/>
              </w:rPr>
            </w:pPr>
            <w:r>
              <w:rPr>
                <w:rFonts w:hint="eastAsia" w:ascii="仿宋" w:hAnsi="仿宋" w:eastAsia="仿宋" w:cs="微软雅黑"/>
                <w:sz w:val="24"/>
              </w:rPr>
              <w:t>5.3.1 管道本体</w:t>
            </w:r>
          </w:p>
        </w:tc>
        <w:tc>
          <w:tcPr>
            <w:tcW w:w="1473" w:type="pct"/>
            <w:shd w:val="clear" w:color="auto" w:fill="FFFFFF" w:themeFill="background1"/>
            <w:vAlign w:val="center"/>
          </w:tcPr>
          <w:p w14:paraId="69283350">
            <w:pPr>
              <w:jc w:val="left"/>
              <w:textAlignment w:val="center"/>
              <w:rPr>
                <w:rFonts w:hint="eastAsia" w:ascii="仿宋" w:hAnsi="仿宋" w:eastAsia="仿宋" w:cs="微软雅黑"/>
                <w:sz w:val="24"/>
              </w:rPr>
            </w:pPr>
            <w:r>
              <w:rPr>
                <w:rFonts w:hint="eastAsia" w:ascii="仿宋" w:hAnsi="仿宋" w:eastAsia="仿宋" w:cs="微软雅黑"/>
                <w:sz w:val="24"/>
              </w:rPr>
              <w:t>说明建设项目选用管道材质的主要技术参数、强度设计系数以及焊接和检验方式。</w:t>
            </w:r>
          </w:p>
        </w:tc>
        <w:tc>
          <w:tcPr>
            <w:tcW w:w="768" w:type="pct"/>
            <w:shd w:val="clear" w:color="auto" w:fill="FFFFFF" w:themeFill="background1"/>
            <w:vAlign w:val="center"/>
          </w:tcPr>
          <w:p w14:paraId="46456159">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5C92B2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1B9ED938">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37FFF284">
            <w:pPr>
              <w:jc w:val="center"/>
              <w:textAlignment w:val="center"/>
              <w:rPr>
                <w:rFonts w:hint="eastAsia" w:ascii="仿宋" w:hAnsi="仿宋" w:eastAsia="仿宋" w:cs="微软雅黑"/>
                <w:sz w:val="24"/>
              </w:rPr>
            </w:pPr>
            <w:r>
              <w:rPr>
                <w:rFonts w:hint="eastAsia" w:ascii="仿宋" w:hAnsi="仿宋" w:eastAsia="仿宋" w:cs="微软雅黑"/>
                <w:sz w:val="24"/>
              </w:rPr>
              <w:t>5.4.2 管道敷设</w:t>
            </w:r>
          </w:p>
        </w:tc>
        <w:tc>
          <w:tcPr>
            <w:tcW w:w="1479" w:type="pct"/>
            <w:shd w:val="clear" w:color="auto" w:fill="FFFFFF" w:themeFill="background1"/>
            <w:vAlign w:val="center"/>
          </w:tcPr>
          <w:p w14:paraId="71077C21">
            <w:pPr>
              <w:jc w:val="left"/>
              <w:textAlignment w:val="center"/>
              <w:rPr>
                <w:rFonts w:hint="eastAsia" w:ascii="仿宋" w:hAnsi="仿宋" w:eastAsia="仿宋" w:cs="微软雅黑"/>
                <w:sz w:val="24"/>
              </w:rPr>
            </w:pPr>
          </w:p>
        </w:tc>
        <w:tc>
          <w:tcPr>
            <w:tcW w:w="578" w:type="pct"/>
            <w:shd w:val="clear" w:color="auto" w:fill="FFFFFF" w:themeFill="background1"/>
            <w:noWrap/>
            <w:vAlign w:val="center"/>
          </w:tcPr>
          <w:p w14:paraId="4731F772">
            <w:pPr>
              <w:jc w:val="center"/>
              <w:textAlignment w:val="center"/>
              <w:rPr>
                <w:rFonts w:hint="eastAsia" w:ascii="仿宋" w:hAnsi="仿宋" w:eastAsia="仿宋" w:cs="微软雅黑"/>
                <w:sz w:val="24"/>
              </w:rPr>
            </w:pPr>
          </w:p>
        </w:tc>
        <w:tc>
          <w:tcPr>
            <w:tcW w:w="1473" w:type="pct"/>
            <w:shd w:val="clear" w:color="auto" w:fill="FFFFFF" w:themeFill="background1"/>
            <w:vAlign w:val="center"/>
          </w:tcPr>
          <w:p w14:paraId="62EEBB2F">
            <w:pPr>
              <w:jc w:val="left"/>
              <w:textAlignment w:val="center"/>
              <w:rPr>
                <w:rFonts w:hint="eastAsia" w:ascii="仿宋" w:hAnsi="仿宋" w:eastAsia="仿宋" w:cs="微软雅黑"/>
                <w:sz w:val="24"/>
              </w:rPr>
            </w:pPr>
            <w:r>
              <w:rPr>
                <w:rFonts w:hint="eastAsia" w:ascii="仿宋" w:hAnsi="仿宋" w:eastAsia="仿宋" w:cs="微软雅黑"/>
                <w:sz w:val="24"/>
              </w:rPr>
              <w:t>5.3.2 管道敷设</w:t>
            </w:r>
          </w:p>
        </w:tc>
        <w:tc>
          <w:tcPr>
            <w:tcW w:w="768" w:type="pct"/>
            <w:shd w:val="clear" w:color="auto" w:fill="FFFFFF" w:themeFill="background1"/>
            <w:vAlign w:val="center"/>
          </w:tcPr>
          <w:p w14:paraId="7B8FF40E">
            <w:pPr>
              <w:jc w:val="left"/>
              <w:textAlignment w:val="center"/>
              <w:rPr>
                <w:rFonts w:hint="eastAsia" w:ascii="仿宋" w:hAnsi="仿宋" w:eastAsia="仿宋" w:cs="微软雅黑"/>
                <w:sz w:val="24"/>
              </w:rPr>
            </w:pPr>
            <w:r>
              <w:rPr>
                <w:rFonts w:hint="eastAsia" w:ascii="仿宋" w:hAnsi="仿宋" w:eastAsia="仿宋" w:cs="微软雅黑"/>
                <w:sz w:val="24"/>
              </w:rPr>
              <w:t>梳理了章节顺序。</w:t>
            </w:r>
          </w:p>
        </w:tc>
      </w:tr>
      <w:tr w14:paraId="43EC80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02CB24C6">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464E7607">
            <w:pPr>
              <w:jc w:val="center"/>
              <w:textAlignment w:val="center"/>
              <w:rPr>
                <w:rFonts w:hint="eastAsia" w:ascii="仿宋" w:hAnsi="仿宋" w:eastAsia="仿宋" w:cs="微软雅黑"/>
                <w:sz w:val="24"/>
              </w:rPr>
            </w:pPr>
            <w:r>
              <w:rPr>
                <w:rFonts w:hint="eastAsia" w:ascii="仿宋" w:hAnsi="仿宋" w:eastAsia="仿宋" w:cs="微软雅黑"/>
                <w:sz w:val="24"/>
              </w:rPr>
              <w:t>5.4.2.1</w:t>
            </w:r>
          </w:p>
        </w:tc>
        <w:tc>
          <w:tcPr>
            <w:tcW w:w="1479" w:type="pct"/>
            <w:shd w:val="clear" w:color="auto" w:fill="FFFFFF" w:themeFill="background1"/>
            <w:vAlign w:val="center"/>
          </w:tcPr>
          <w:p w14:paraId="4B12C9EE">
            <w:pPr>
              <w:jc w:val="left"/>
              <w:textAlignment w:val="center"/>
              <w:rPr>
                <w:rFonts w:hint="eastAsia" w:ascii="仿宋" w:hAnsi="仿宋" w:eastAsia="仿宋" w:cs="微软雅黑"/>
                <w:sz w:val="24"/>
              </w:rPr>
            </w:pPr>
            <w:r>
              <w:rPr>
                <w:rFonts w:hint="eastAsia" w:ascii="仿宋" w:hAnsi="仿宋" w:eastAsia="仿宋" w:cs="微软雅黑"/>
                <w:sz w:val="24"/>
              </w:rPr>
              <w:t>应说明管道敷设方式，列出管道的埋深，经过水田、岩石类、旱地、冻土区域等地区的最小覆土厚度。</w:t>
            </w:r>
          </w:p>
        </w:tc>
        <w:tc>
          <w:tcPr>
            <w:tcW w:w="578" w:type="pct"/>
            <w:shd w:val="clear" w:color="auto" w:fill="FFFFFF" w:themeFill="background1"/>
            <w:noWrap/>
            <w:vAlign w:val="center"/>
          </w:tcPr>
          <w:p w14:paraId="2AD982B5">
            <w:pPr>
              <w:jc w:val="center"/>
              <w:textAlignment w:val="center"/>
              <w:rPr>
                <w:rFonts w:hint="eastAsia" w:ascii="仿宋" w:hAnsi="仿宋" w:eastAsia="仿宋" w:cs="微软雅黑"/>
                <w:sz w:val="24"/>
              </w:rPr>
            </w:pPr>
            <w:r>
              <w:rPr>
                <w:rFonts w:hint="eastAsia" w:ascii="仿宋" w:hAnsi="仿宋" w:eastAsia="仿宋" w:cs="微软雅黑"/>
                <w:sz w:val="24"/>
              </w:rPr>
              <w:t>5.3.2.1</w:t>
            </w:r>
          </w:p>
        </w:tc>
        <w:tc>
          <w:tcPr>
            <w:tcW w:w="1473" w:type="pct"/>
            <w:shd w:val="clear" w:color="auto" w:fill="FFFFFF" w:themeFill="background1"/>
            <w:vAlign w:val="center"/>
          </w:tcPr>
          <w:p w14:paraId="75782C06">
            <w:pPr>
              <w:jc w:val="left"/>
              <w:textAlignment w:val="center"/>
              <w:rPr>
                <w:rFonts w:hint="eastAsia" w:ascii="仿宋" w:hAnsi="仿宋" w:eastAsia="仿宋" w:cs="微软雅黑"/>
                <w:sz w:val="24"/>
              </w:rPr>
            </w:pPr>
            <w:r>
              <w:rPr>
                <w:rFonts w:hint="eastAsia" w:ascii="仿宋" w:hAnsi="仿宋" w:eastAsia="仿宋" w:cs="微软雅黑"/>
                <w:sz w:val="24"/>
              </w:rPr>
              <w:t>说明一般地段管道的敷设方式、管道埋深、管沟开挖、管道下沟及回填等内容。</w:t>
            </w:r>
          </w:p>
        </w:tc>
        <w:tc>
          <w:tcPr>
            <w:tcW w:w="768" w:type="pct"/>
            <w:shd w:val="clear" w:color="auto" w:fill="FFFFFF" w:themeFill="background1"/>
            <w:vAlign w:val="center"/>
          </w:tcPr>
          <w:p w14:paraId="1E3DCCF4">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3D9830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630438F5">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340A076A">
            <w:pPr>
              <w:jc w:val="center"/>
              <w:textAlignment w:val="center"/>
              <w:rPr>
                <w:rFonts w:hint="eastAsia" w:ascii="仿宋" w:hAnsi="仿宋" w:eastAsia="仿宋" w:cs="微软雅黑"/>
                <w:sz w:val="24"/>
              </w:rPr>
            </w:pPr>
            <w:r>
              <w:rPr>
                <w:rFonts w:hint="eastAsia" w:ascii="仿宋" w:hAnsi="仿宋" w:eastAsia="仿宋" w:cs="微软雅黑"/>
                <w:sz w:val="24"/>
              </w:rPr>
              <w:t>5.4.2.2</w:t>
            </w:r>
          </w:p>
        </w:tc>
        <w:tc>
          <w:tcPr>
            <w:tcW w:w="1479" w:type="pct"/>
            <w:shd w:val="clear" w:color="auto" w:fill="FFFFFF" w:themeFill="background1"/>
            <w:vAlign w:val="center"/>
          </w:tcPr>
          <w:p w14:paraId="7FCB435F">
            <w:pPr>
              <w:jc w:val="left"/>
              <w:textAlignment w:val="center"/>
              <w:rPr>
                <w:rFonts w:hint="eastAsia" w:ascii="仿宋" w:hAnsi="仿宋" w:eastAsia="仿宋" w:cs="微软雅黑"/>
                <w:sz w:val="24"/>
              </w:rPr>
            </w:pPr>
            <w:r>
              <w:rPr>
                <w:rFonts w:hint="eastAsia" w:ascii="仿宋" w:hAnsi="仿宋" w:eastAsia="仿宋" w:cs="微软雅黑"/>
                <w:sz w:val="24"/>
              </w:rPr>
              <w:t>应对输气管道进行地区等级划分，将结果填入表2。</w:t>
            </w:r>
          </w:p>
        </w:tc>
        <w:tc>
          <w:tcPr>
            <w:tcW w:w="578" w:type="pct"/>
            <w:shd w:val="clear" w:color="auto" w:fill="FFFFFF" w:themeFill="background1"/>
            <w:noWrap/>
            <w:vAlign w:val="center"/>
          </w:tcPr>
          <w:p w14:paraId="33E499DC">
            <w:pPr>
              <w:jc w:val="center"/>
              <w:textAlignment w:val="center"/>
              <w:rPr>
                <w:rFonts w:hint="eastAsia" w:ascii="仿宋" w:hAnsi="仿宋" w:eastAsia="仿宋" w:cs="微软雅黑"/>
                <w:sz w:val="24"/>
              </w:rPr>
            </w:pPr>
          </w:p>
        </w:tc>
        <w:tc>
          <w:tcPr>
            <w:tcW w:w="1473" w:type="pct"/>
            <w:shd w:val="clear" w:color="auto" w:fill="FFFFFF" w:themeFill="background1"/>
            <w:vAlign w:val="center"/>
          </w:tcPr>
          <w:p w14:paraId="63EF5A9F">
            <w:pPr>
              <w:jc w:val="left"/>
              <w:textAlignment w:val="center"/>
              <w:rPr>
                <w:rFonts w:hint="eastAsia" w:ascii="仿宋" w:hAnsi="仿宋" w:eastAsia="仿宋" w:cs="微软雅黑"/>
                <w:sz w:val="24"/>
              </w:rPr>
            </w:pPr>
          </w:p>
        </w:tc>
        <w:tc>
          <w:tcPr>
            <w:tcW w:w="768" w:type="pct"/>
            <w:shd w:val="clear" w:color="auto" w:fill="FFFFFF" w:themeFill="background1"/>
            <w:vAlign w:val="center"/>
          </w:tcPr>
          <w:p w14:paraId="70746D76">
            <w:pPr>
              <w:jc w:val="left"/>
              <w:textAlignment w:val="center"/>
              <w:rPr>
                <w:rFonts w:hint="eastAsia" w:ascii="仿宋" w:hAnsi="仿宋" w:eastAsia="仿宋" w:cs="微软雅黑"/>
                <w:sz w:val="24"/>
              </w:rPr>
            </w:pPr>
            <w:r>
              <w:rPr>
                <w:rFonts w:hint="eastAsia" w:ascii="仿宋" w:hAnsi="仿宋" w:eastAsia="仿宋" w:cs="微软雅黑"/>
                <w:sz w:val="24"/>
              </w:rPr>
              <w:t>调整了章节位置至5.1.6节。</w:t>
            </w:r>
          </w:p>
        </w:tc>
      </w:tr>
      <w:tr w14:paraId="50A5A5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1290D4A3">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593A3EFD">
            <w:pPr>
              <w:jc w:val="center"/>
              <w:textAlignment w:val="center"/>
              <w:rPr>
                <w:rFonts w:hint="eastAsia" w:ascii="仿宋" w:hAnsi="仿宋" w:eastAsia="仿宋" w:cs="微软雅黑"/>
                <w:sz w:val="24"/>
              </w:rPr>
            </w:pPr>
          </w:p>
        </w:tc>
        <w:tc>
          <w:tcPr>
            <w:tcW w:w="1479" w:type="pct"/>
            <w:shd w:val="clear" w:color="auto" w:fill="FFFFFF" w:themeFill="background1"/>
            <w:vAlign w:val="center"/>
          </w:tcPr>
          <w:p w14:paraId="2A8F5E95">
            <w:pPr>
              <w:jc w:val="left"/>
              <w:textAlignment w:val="center"/>
              <w:rPr>
                <w:rFonts w:hint="eastAsia" w:ascii="仿宋" w:hAnsi="仿宋" w:eastAsia="仿宋" w:cs="微软雅黑"/>
                <w:sz w:val="24"/>
              </w:rPr>
            </w:pPr>
          </w:p>
        </w:tc>
        <w:tc>
          <w:tcPr>
            <w:tcW w:w="578" w:type="pct"/>
            <w:shd w:val="clear" w:color="auto" w:fill="FFFFFF" w:themeFill="background1"/>
            <w:noWrap/>
            <w:vAlign w:val="center"/>
          </w:tcPr>
          <w:p w14:paraId="592C3878">
            <w:pPr>
              <w:jc w:val="center"/>
              <w:textAlignment w:val="center"/>
              <w:rPr>
                <w:rFonts w:hint="eastAsia" w:ascii="仿宋" w:hAnsi="仿宋" w:eastAsia="仿宋" w:cs="微软雅黑"/>
                <w:sz w:val="24"/>
              </w:rPr>
            </w:pPr>
            <w:r>
              <w:rPr>
                <w:rFonts w:hint="eastAsia" w:ascii="仿宋" w:hAnsi="仿宋" w:eastAsia="仿宋" w:cs="微软雅黑"/>
                <w:sz w:val="24"/>
              </w:rPr>
              <w:t>5.3.2.2</w:t>
            </w:r>
          </w:p>
        </w:tc>
        <w:tc>
          <w:tcPr>
            <w:tcW w:w="1473" w:type="pct"/>
            <w:shd w:val="clear" w:color="auto" w:fill="FFFFFF" w:themeFill="background1"/>
            <w:vAlign w:val="center"/>
          </w:tcPr>
          <w:p w14:paraId="107F323B">
            <w:pPr>
              <w:jc w:val="left"/>
              <w:textAlignment w:val="center"/>
              <w:rPr>
                <w:rFonts w:hint="eastAsia" w:ascii="仿宋" w:hAnsi="仿宋" w:eastAsia="仿宋" w:cs="微软雅黑"/>
                <w:sz w:val="24"/>
              </w:rPr>
            </w:pPr>
            <w:r>
              <w:rPr>
                <w:rFonts w:hint="eastAsia" w:ascii="仿宋" w:hAnsi="仿宋" w:eastAsia="仿宋" w:cs="微软雅黑"/>
                <w:sz w:val="24"/>
              </w:rPr>
              <w:t>说明顺坡敷设，沿沟谷敷设，沿山脊敷设，黄土、冻土地区敷设，石方段、爆破段敷设和定向钻穿越段等特殊地段管道敷设方式、管道埋深、管沟开挖、管道下沟及回填等内容。</w:t>
            </w:r>
          </w:p>
        </w:tc>
        <w:tc>
          <w:tcPr>
            <w:tcW w:w="768" w:type="pct"/>
            <w:shd w:val="clear" w:color="auto" w:fill="FFFFFF" w:themeFill="background1"/>
            <w:vAlign w:val="center"/>
          </w:tcPr>
          <w:p w14:paraId="7AB6C4B7">
            <w:pPr>
              <w:jc w:val="left"/>
              <w:textAlignment w:val="center"/>
              <w:rPr>
                <w:rFonts w:hint="eastAsia" w:ascii="仿宋" w:hAnsi="仿宋" w:eastAsia="仿宋" w:cs="微软雅黑"/>
                <w:sz w:val="24"/>
              </w:rPr>
            </w:pPr>
            <w:r>
              <w:rPr>
                <w:rFonts w:hint="eastAsia" w:ascii="仿宋" w:hAnsi="仿宋" w:eastAsia="仿宋" w:cs="微软雅黑"/>
                <w:sz w:val="24"/>
              </w:rPr>
              <w:t>增加了特殊地段管道敷设等相关要求。</w:t>
            </w:r>
          </w:p>
        </w:tc>
      </w:tr>
      <w:tr w14:paraId="6F412A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7DB8E3D1">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3908C6CE">
            <w:pPr>
              <w:jc w:val="center"/>
              <w:textAlignment w:val="center"/>
              <w:rPr>
                <w:rFonts w:hint="eastAsia" w:ascii="仿宋" w:hAnsi="仿宋" w:eastAsia="仿宋" w:cs="微软雅黑"/>
                <w:sz w:val="24"/>
              </w:rPr>
            </w:pPr>
          </w:p>
        </w:tc>
        <w:tc>
          <w:tcPr>
            <w:tcW w:w="1479" w:type="pct"/>
            <w:shd w:val="clear" w:color="auto" w:fill="FFFFFF" w:themeFill="background1"/>
            <w:vAlign w:val="center"/>
          </w:tcPr>
          <w:p w14:paraId="20BFACAC">
            <w:pPr>
              <w:jc w:val="left"/>
              <w:textAlignment w:val="center"/>
              <w:rPr>
                <w:rFonts w:hint="eastAsia" w:ascii="仿宋" w:hAnsi="仿宋" w:eastAsia="仿宋" w:cs="微软雅黑"/>
                <w:sz w:val="24"/>
              </w:rPr>
            </w:pPr>
          </w:p>
        </w:tc>
        <w:tc>
          <w:tcPr>
            <w:tcW w:w="578" w:type="pct"/>
            <w:shd w:val="clear" w:color="auto" w:fill="FFFFFF" w:themeFill="background1"/>
            <w:noWrap/>
            <w:vAlign w:val="center"/>
          </w:tcPr>
          <w:p w14:paraId="7450022C">
            <w:pPr>
              <w:jc w:val="center"/>
              <w:textAlignment w:val="center"/>
              <w:rPr>
                <w:rFonts w:hint="eastAsia" w:ascii="仿宋" w:hAnsi="仿宋" w:eastAsia="仿宋" w:cs="微软雅黑"/>
                <w:sz w:val="24"/>
              </w:rPr>
            </w:pPr>
            <w:r>
              <w:rPr>
                <w:rFonts w:hint="eastAsia" w:ascii="仿宋" w:hAnsi="仿宋" w:eastAsia="仿宋" w:cs="微软雅黑"/>
                <w:sz w:val="24"/>
              </w:rPr>
              <w:t>5.3.2.3</w:t>
            </w:r>
          </w:p>
        </w:tc>
        <w:tc>
          <w:tcPr>
            <w:tcW w:w="1473" w:type="pct"/>
            <w:shd w:val="clear" w:color="auto" w:fill="FFFFFF" w:themeFill="background1"/>
            <w:vAlign w:val="center"/>
          </w:tcPr>
          <w:p w14:paraId="3C703AF6">
            <w:pPr>
              <w:jc w:val="left"/>
              <w:textAlignment w:val="center"/>
              <w:rPr>
                <w:rFonts w:hint="eastAsia" w:ascii="仿宋" w:hAnsi="仿宋" w:eastAsia="仿宋" w:cs="微软雅黑"/>
                <w:sz w:val="24"/>
              </w:rPr>
            </w:pPr>
            <w:r>
              <w:rPr>
                <w:rFonts w:hint="eastAsia" w:ascii="仿宋" w:hAnsi="仿宋" w:eastAsia="仿宋" w:cs="微软雅黑"/>
                <w:sz w:val="24"/>
              </w:rPr>
              <w:t>采用横坡敷设的应说明其合理性，列出横坡敷设统计表（见表13）。</w:t>
            </w:r>
          </w:p>
        </w:tc>
        <w:tc>
          <w:tcPr>
            <w:tcW w:w="768" w:type="pct"/>
            <w:shd w:val="clear" w:color="auto" w:fill="FFFFFF" w:themeFill="background1"/>
            <w:vAlign w:val="center"/>
          </w:tcPr>
          <w:p w14:paraId="3892B547">
            <w:pPr>
              <w:jc w:val="left"/>
              <w:textAlignment w:val="center"/>
              <w:rPr>
                <w:rFonts w:hint="eastAsia" w:ascii="仿宋" w:hAnsi="仿宋" w:eastAsia="仿宋" w:cs="微软雅黑"/>
                <w:sz w:val="24"/>
              </w:rPr>
            </w:pPr>
            <w:r>
              <w:rPr>
                <w:rFonts w:hint="eastAsia" w:ascii="仿宋" w:hAnsi="仿宋" w:eastAsia="仿宋" w:cs="微软雅黑"/>
                <w:sz w:val="24"/>
              </w:rPr>
              <w:t>增加了横披敷设等相关要求。</w:t>
            </w:r>
          </w:p>
        </w:tc>
      </w:tr>
      <w:tr w14:paraId="326C83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3201A192">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03A03BC7">
            <w:pPr>
              <w:jc w:val="center"/>
              <w:textAlignment w:val="center"/>
              <w:rPr>
                <w:rFonts w:hint="eastAsia" w:ascii="仿宋" w:hAnsi="仿宋" w:eastAsia="仿宋" w:cs="微软雅黑"/>
                <w:sz w:val="24"/>
              </w:rPr>
            </w:pPr>
            <w:r>
              <w:rPr>
                <w:rFonts w:hint="eastAsia" w:ascii="仿宋" w:hAnsi="仿宋" w:eastAsia="仿宋" w:cs="微软雅黑"/>
                <w:sz w:val="24"/>
              </w:rPr>
              <w:t>5.4.3 人员密集场所高后果区</w:t>
            </w:r>
          </w:p>
        </w:tc>
        <w:tc>
          <w:tcPr>
            <w:tcW w:w="1479" w:type="pct"/>
            <w:shd w:val="clear" w:color="auto" w:fill="FFFFFF" w:themeFill="background1"/>
            <w:vAlign w:val="center"/>
          </w:tcPr>
          <w:p w14:paraId="3521FDB0">
            <w:pPr>
              <w:jc w:val="left"/>
              <w:textAlignment w:val="center"/>
              <w:rPr>
                <w:rFonts w:hint="eastAsia" w:ascii="仿宋" w:hAnsi="仿宋" w:eastAsia="仿宋" w:cs="微软雅黑"/>
                <w:sz w:val="24"/>
              </w:rPr>
            </w:pPr>
          </w:p>
        </w:tc>
        <w:tc>
          <w:tcPr>
            <w:tcW w:w="578" w:type="pct"/>
            <w:shd w:val="clear" w:color="auto" w:fill="FFFFFF" w:themeFill="background1"/>
            <w:noWrap/>
            <w:vAlign w:val="center"/>
          </w:tcPr>
          <w:p w14:paraId="740E0BD8">
            <w:pPr>
              <w:jc w:val="center"/>
              <w:textAlignment w:val="center"/>
              <w:rPr>
                <w:rFonts w:hint="eastAsia" w:ascii="仿宋" w:hAnsi="仿宋" w:eastAsia="仿宋" w:cs="微软雅黑"/>
                <w:sz w:val="24"/>
              </w:rPr>
            </w:pPr>
            <w:r>
              <w:rPr>
                <w:rFonts w:hint="eastAsia" w:ascii="仿宋" w:hAnsi="仿宋" w:eastAsia="仿宋" w:cs="微软雅黑"/>
                <w:sz w:val="24"/>
              </w:rPr>
              <w:t>5.3.3 人员密集型高后果区</w:t>
            </w:r>
          </w:p>
        </w:tc>
        <w:tc>
          <w:tcPr>
            <w:tcW w:w="1473" w:type="pct"/>
            <w:shd w:val="clear" w:color="auto" w:fill="FFFFFF" w:themeFill="background1"/>
            <w:vAlign w:val="center"/>
          </w:tcPr>
          <w:p w14:paraId="59E9658A">
            <w:pPr>
              <w:jc w:val="left"/>
              <w:textAlignment w:val="center"/>
              <w:rPr>
                <w:rFonts w:hint="eastAsia" w:ascii="仿宋" w:hAnsi="仿宋" w:eastAsia="仿宋" w:cs="微软雅黑"/>
                <w:sz w:val="24"/>
              </w:rPr>
            </w:pPr>
          </w:p>
        </w:tc>
        <w:tc>
          <w:tcPr>
            <w:tcW w:w="768" w:type="pct"/>
            <w:shd w:val="clear" w:color="auto" w:fill="FFFFFF" w:themeFill="background1"/>
            <w:vAlign w:val="center"/>
          </w:tcPr>
          <w:p w14:paraId="69E93393">
            <w:pPr>
              <w:jc w:val="left"/>
              <w:textAlignment w:val="center"/>
              <w:rPr>
                <w:rFonts w:hint="eastAsia" w:ascii="仿宋" w:hAnsi="仿宋" w:eastAsia="仿宋" w:cs="微软雅黑"/>
                <w:sz w:val="24"/>
              </w:rPr>
            </w:pPr>
            <w:r>
              <w:rPr>
                <w:rFonts w:hint="eastAsia" w:ascii="仿宋" w:hAnsi="仿宋" w:eastAsia="仿宋" w:cs="微软雅黑"/>
                <w:sz w:val="24"/>
              </w:rPr>
              <w:t>梳理了章节顺序。</w:t>
            </w:r>
          </w:p>
        </w:tc>
      </w:tr>
      <w:tr w14:paraId="6D3A0F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07FB5541">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500251DD">
            <w:pPr>
              <w:jc w:val="center"/>
              <w:textAlignment w:val="center"/>
              <w:rPr>
                <w:rFonts w:hint="eastAsia" w:ascii="仿宋" w:hAnsi="仿宋" w:eastAsia="仿宋" w:cs="微软雅黑"/>
                <w:sz w:val="24"/>
              </w:rPr>
            </w:pPr>
            <w:r>
              <w:rPr>
                <w:rFonts w:hint="eastAsia" w:ascii="仿宋" w:hAnsi="仿宋" w:eastAsia="仿宋" w:cs="微软雅黑"/>
                <w:sz w:val="24"/>
              </w:rPr>
              <w:t>5.4.3.1</w:t>
            </w:r>
          </w:p>
        </w:tc>
        <w:tc>
          <w:tcPr>
            <w:tcW w:w="1479" w:type="pct"/>
            <w:shd w:val="clear" w:color="auto" w:fill="FFFFFF" w:themeFill="background1"/>
            <w:vAlign w:val="center"/>
          </w:tcPr>
          <w:p w14:paraId="040B6E6B">
            <w:pPr>
              <w:jc w:val="left"/>
              <w:textAlignment w:val="center"/>
              <w:rPr>
                <w:rFonts w:hint="eastAsia" w:ascii="仿宋" w:hAnsi="仿宋" w:eastAsia="仿宋" w:cs="微软雅黑"/>
                <w:sz w:val="24"/>
              </w:rPr>
            </w:pPr>
            <w:r>
              <w:rPr>
                <w:rFonts w:hint="eastAsia" w:ascii="仿宋" w:hAnsi="仿宋" w:eastAsia="仿宋" w:cs="微软雅黑"/>
                <w:sz w:val="24"/>
              </w:rPr>
              <w:t>应按GB 32167的规定，按表11进行人员密集场所高后果区识别统计。</w:t>
            </w:r>
          </w:p>
        </w:tc>
        <w:tc>
          <w:tcPr>
            <w:tcW w:w="578" w:type="pct"/>
            <w:shd w:val="clear" w:color="auto" w:fill="FFFFFF" w:themeFill="background1"/>
            <w:noWrap/>
            <w:vAlign w:val="center"/>
          </w:tcPr>
          <w:p w14:paraId="4597BE43">
            <w:pPr>
              <w:jc w:val="center"/>
              <w:textAlignment w:val="center"/>
              <w:rPr>
                <w:rFonts w:hint="eastAsia" w:ascii="仿宋" w:hAnsi="仿宋" w:eastAsia="仿宋" w:cs="微软雅黑"/>
                <w:sz w:val="24"/>
              </w:rPr>
            </w:pPr>
            <w:r>
              <w:rPr>
                <w:rFonts w:hint="eastAsia" w:ascii="仿宋" w:hAnsi="仿宋" w:eastAsia="仿宋" w:cs="微软雅黑"/>
                <w:sz w:val="24"/>
              </w:rPr>
              <w:t>5.3.3.1</w:t>
            </w:r>
          </w:p>
        </w:tc>
        <w:tc>
          <w:tcPr>
            <w:tcW w:w="1473" w:type="pct"/>
            <w:shd w:val="clear" w:color="auto" w:fill="FFFFFF" w:themeFill="background1"/>
            <w:vAlign w:val="center"/>
          </w:tcPr>
          <w:p w14:paraId="696ADD70">
            <w:pPr>
              <w:jc w:val="left"/>
              <w:textAlignment w:val="center"/>
              <w:rPr>
                <w:rFonts w:hint="eastAsia" w:ascii="仿宋" w:hAnsi="仿宋" w:eastAsia="仿宋" w:cs="微软雅黑"/>
                <w:sz w:val="24"/>
              </w:rPr>
            </w:pPr>
            <w:r>
              <w:rPr>
                <w:rFonts w:hint="eastAsia" w:ascii="仿宋" w:hAnsi="仿宋" w:eastAsia="仿宋" w:cs="微软雅黑"/>
                <w:sz w:val="24"/>
              </w:rPr>
              <w:t>按GB 32167等相关规定，开展人员密集型高后果区识别，说明人员密集型高后果区内的村庄、医院、学校、客运站、城镇规划区、工业园区等分布情况，列出人员密集型高后果区统计表（见表14）并分别附图，见12.1的i）。</w:t>
            </w:r>
          </w:p>
        </w:tc>
        <w:tc>
          <w:tcPr>
            <w:tcW w:w="768" w:type="pct"/>
            <w:shd w:val="clear" w:color="auto" w:fill="FFFFFF" w:themeFill="background1"/>
            <w:vAlign w:val="center"/>
          </w:tcPr>
          <w:p w14:paraId="43BE0E5E">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5A475A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67747C07">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7AC6FBAB">
            <w:pPr>
              <w:jc w:val="center"/>
              <w:textAlignment w:val="center"/>
              <w:rPr>
                <w:rFonts w:hint="eastAsia" w:ascii="仿宋" w:hAnsi="仿宋" w:eastAsia="仿宋" w:cs="微软雅黑"/>
                <w:sz w:val="24"/>
              </w:rPr>
            </w:pPr>
            <w:r>
              <w:rPr>
                <w:rFonts w:hint="eastAsia" w:ascii="仿宋" w:hAnsi="仿宋" w:eastAsia="仿宋" w:cs="微软雅黑"/>
                <w:sz w:val="24"/>
              </w:rPr>
              <w:t>5.4.3.2</w:t>
            </w:r>
          </w:p>
        </w:tc>
        <w:tc>
          <w:tcPr>
            <w:tcW w:w="1479" w:type="pct"/>
            <w:shd w:val="clear" w:color="auto" w:fill="FFFFFF" w:themeFill="background1"/>
            <w:vAlign w:val="center"/>
          </w:tcPr>
          <w:p w14:paraId="3EB1DB3D">
            <w:pPr>
              <w:jc w:val="left"/>
              <w:textAlignment w:val="center"/>
              <w:rPr>
                <w:rFonts w:hint="eastAsia" w:ascii="仿宋" w:hAnsi="仿宋" w:eastAsia="仿宋" w:cs="微软雅黑"/>
                <w:sz w:val="24"/>
              </w:rPr>
            </w:pPr>
            <w:r>
              <w:rPr>
                <w:rFonts w:hint="eastAsia" w:ascii="仿宋" w:hAnsi="仿宋" w:eastAsia="仿宋" w:cs="微软雅黑"/>
                <w:sz w:val="24"/>
              </w:rPr>
              <w:t>应说明建设项目与港口、飞机场、军事区、炸药库等设施的相互影响情况。</w:t>
            </w:r>
          </w:p>
        </w:tc>
        <w:tc>
          <w:tcPr>
            <w:tcW w:w="578" w:type="pct"/>
            <w:shd w:val="clear" w:color="auto" w:fill="FFFFFF" w:themeFill="background1"/>
            <w:noWrap/>
            <w:vAlign w:val="center"/>
          </w:tcPr>
          <w:p w14:paraId="48348069">
            <w:pPr>
              <w:jc w:val="center"/>
              <w:textAlignment w:val="center"/>
              <w:rPr>
                <w:rFonts w:hint="eastAsia" w:ascii="仿宋" w:hAnsi="仿宋" w:eastAsia="仿宋" w:cs="微软雅黑"/>
                <w:sz w:val="24"/>
              </w:rPr>
            </w:pPr>
            <w:r>
              <w:rPr>
                <w:rFonts w:hint="eastAsia" w:ascii="仿宋" w:hAnsi="仿宋" w:eastAsia="仿宋" w:cs="微软雅黑"/>
                <w:sz w:val="24"/>
              </w:rPr>
              <w:t>5.3.3.2</w:t>
            </w:r>
          </w:p>
        </w:tc>
        <w:tc>
          <w:tcPr>
            <w:tcW w:w="1473" w:type="pct"/>
            <w:shd w:val="clear" w:color="auto" w:fill="FFFFFF" w:themeFill="background1"/>
            <w:vAlign w:val="center"/>
          </w:tcPr>
          <w:p w14:paraId="212F2067">
            <w:pPr>
              <w:jc w:val="left"/>
              <w:textAlignment w:val="center"/>
              <w:rPr>
                <w:rFonts w:hint="eastAsia" w:ascii="仿宋" w:hAnsi="仿宋" w:eastAsia="仿宋" w:cs="微软雅黑"/>
                <w:sz w:val="24"/>
              </w:rPr>
            </w:pPr>
            <w:r>
              <w:rPr>
                <w:rFonts w:hint="eastAsia" w:ascii="仿宋" w:hAnsi="仿宋" w:eastAsia="仿宋" w:cs="微软雅黑"/>
                <w:sz w:val="24"/>
              </w:rPr>
              <w:t>说明建设项目与港口、飞机场、军事区、炸药库等设施的相互影响情况。</w:t>
            </w:r>
          </w:p>
        </w:tc>
        <w:tc>
          <w:tcPr>
            <w:tcW w:w="768" w:type="pct"/>
            <w:shd w:val="clear" w:color="auto" w:fill="FFFFFF" w:themeFill="background1"/>
            <w:vAlign w:val="center"/>
          </w:tcPr>
          <w:p w14:paraId="27FAC43F">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679765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7E6915B4">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207295BA">
            <w:pPr>
              <w:jc w:val="center"/>
              <w:textAlignment w:val="center"/>
              <w:rPr>
                <w:rFonts w:hint="eastAsia" w:ascii="仿宋" w:hAnsi="仿宋" w:eastAsia="仿宋" w:cs="微软雅黑"/>
                <w:sz w:val="24"/>
              </w:rPr>
            </w:pPr>
            <w:r>
              <w:rPr>
                <w:rFonts w:hint="eastAsia" w:ascii="仿宋" w:hAnsi="仿宋" w:eastAsia="仿宋" w:cs="微软雅黑"/>
                <w:sz w:val="24"/>
              </w:rPr>
              <w:t>5.4.4 地质灾害</w:t>
            </w:r>
          </w:p>
        </w:tc>
        <w:tc>
          <w:tcPr>
            <w:tcW w:w="1479" w:type="pct"/>
            <w:shd w:val="clear" w:color="auto" w:fill="FFFFFF" w:themeFill="background1"/>
            <w:vAlign w:val="center"/>
          </w:tcPr>
          <w:p w14:paraId="66E6B372">
            <w:pPr>
              <w:jc w:val="left"/>
              <w:textAlignment w:val="center"/>
              <w:rPr>
                <w:rFonts w:hint="eastAsia" w:ascii="仿宋" w:hAnsi="仿宋" w:eastAsia="仿宋" w:cs="微软雅黑"/>
                <w:sz w:val="24"/>
              </w:rPr>
            </w:pPr>
            <w:r>
              <w:rPr>
                <w:rFonts w:hint="eastAsia" w:ascii="仿宋" w:hAnsi="仿宋" w:eastAsia="仿宋" w:cs="微软雅黑"/>
                <w:sz w:val="24"/>
              </w:rPr>
              <w:t>应描述建设项目沿线地质灾害总体分布情况（参考地质灾害危险性评估报告或地质勘查情况），并按表12进行统计。</w:t>
            </w:r>
          </w:p>
        </w:tc>
        <w:tc>
          <w:tcPr>
            <w:tcW w:w="578" w:type="pct"/>
            <w:shd w:val="clear" w:color="auto" w:fill="FFFFFF" w:themeFill="background1"/>
            <w:noWrap/>
            <w:vAlign w:val="center"/>
          </w:tcPr>
          <w:p w14:paraId="3B7F0311">
            <w:pPr>
              <w:jc w:val="center"/>
              <w:textAlignment w:val="center"/>
              <w:rPr>
                <w:rFonts w:hint="eastAsia" w:ascii="仿宋" w:hAnsi="仿宋" w:eastAsia="仿宋" w:cs="微软雅黑"/>
                <w:sz w:val="24"/>
              </w:rPr>
            </w:pPr>
            <w:r>
              <w:rPr>
                <w:rFonts w:hint="eastAsia" w:ascii="仿宋" w:hAnsi="仿宋" w:eastAsia="仿宋" w:cs="微软雅黑"/>
                <w:sz w:val="24"/>
              </w:rPr>
              <w:t>5.3.4 地质灾害</w:t>
            </w:r>
          </w:p>
        </w:tc>
        <w:tc>
          <w:tcPr>
            <w:tcW w:w="1473" w:type="pct"/>
            <w:shd w:val="clear" w:color="auto" w:fill="FFFFFF" w:themeFill="background1"/>
            <w:vAlign w:val="center"/>
          </w:tcPr>
          <w:p w14:paraId="12A5772C">
            <w:pPr>
              <w:jc w:val="left"/>
              <w:textAlignment w:val="center"/>
              <w:rPr>
                <w:rFonts w:hint="eastAsia" w:ascii="仿宋" w:hAnsi="仿宋" w:eastAsia="仿宋" w:cs="微软雅黑"/>
                <w:sz w:val="24"/>
              </w:rPr>
            </w:pPr>
            <w:r>
              <w:rPr>
                <w:rFonts w:hint="eastAsia" w:ascii="仿宋" w:hAnsi="仿宋" w:eastAsia="仿宋" w:cs="微软雅黑"/>
                <w:sz w:val="24"/>
              </w:rPr>
              <w:t>结合地质灾害危险性评估报告，说明建设项目沿线地质灾害分布情况和危险性等级划分，按照GB/T 40112确定地质灾害危险性等级，并列出主要地质灾害统计表（见表15）。</w:t>
            </w:r>
          </w:p>
        </w:tc>
        <w:tc>
          <w:tcPr>
            <w:tcW w:w="768" w:type="pct"/>
            <w:shd w:val="clear" w:color="auto" w:fill="FFFFFF" w:themeFill="background1"/>
            <w:vAlign w:val="center"/>
          </w:tcPr>
          <w:p w14:paraId="70D99E36">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进一步规范了文字的表述形式，明确了划定依据及要求。</w:t>
            </w:r>
          </w:p>
        </w:tc>
      </w:tr>
      <w:tr w14:paraId="22BB82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361F5CF0">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6C3D3C0D">
            <w:pPr>
              <w:jc w:val="center"/>
              <w:textAlignment w:val="center"/>
              <w:rPr>
                <w:rFonts w:hint="eastAsia" w:ascii="仿宋" w:hAnsi="仿宋" w:eastAsia="仿宋" w:cs="微软雅黑"/>
                <w:sz w:val="24"/>
              </w:rPr>
            </w:pPr>
            <w:r>
              <w:rPr>
                <w:rFonts w:hint="eastAsia" w:ascii="仿宋" w:hAnsi="仿宋" w:eastAsia="仿宋" w:cs="微软雅黑"/>
                <w:sz w:val="24"/>
              </w:rPr>
              <w:t>5.4.5 地震</w:t>
            </w:r>
          </w:p>
        </w:tc>
        <w:tc>
          <w:tcPr>
            <w:tcW w:w="1479" w:type="pct"/>
            <w:shd w:val="clear" w:color="auto" w:fill="FFFFFF" w:themeFill="background1"/>
            <w:vAlign w:val="center"/>
          </w:tcPr>
          <w:p w14:paraId="0435A8E6">
            <w:pPr>
              <w:jc w:val="left"/>
              <w:textAlignment w:val="center"/>
              <w:rPr>
                <w:rFonts w:hint="eastAsia" w:ascii="仿宋" w:hAnsi="仿宋" w:eastAsia="仿宋" w:cs="微软雅黑"/>
                <w:sz w:val="24"/>
              </w:rPr>
            </w:pPr>
            <w:r>
              <w:rPr>
                <w:rFonts w:hint="eastAsia" w:ascii="仿宋" w:hAnsi="仿宋" w:eastAsia="仿宋" w:cs="微软雅黑"/>
                <w:sz w:val="24"/>
              </w:rPr>
              <w:t>应描述建设项目沿线的地震参数和全新世活动断裂带的情况（参考地震安全性评价报告），并按表13和表14进行统计。</w:t>
            </w:r>
          </w:p>
        </w:tc>
        <w:tc>
          <w:tcPr>
            <w:tcW w:w="578" w:type="pct"/>
            <w:shd w:val="clear" w:color="auto" w:fill="FFFFFF" w:themeFill="background1"/>
            <w:noWrap/>
            <w:vAlign w:val="center"/>
          </w:tcPr>
          <w:p w14:paraId="199D41DE">
            <w:pPr>
              <w:jc w:val="center"/>
              <w:textAlignment w:val="center"/>
              <w:rPr>
                <w:rFonts w:hint="eastAsia" w:ascii="仿宋" w:hAnsi="仿宋" w:eastAsia="仿宋" w:cs="微软雅黑"/>
                <w:sz w:val="24"/>
              </w:rPr>
            </w:pPr>
            <w:r>
              <w:rPr>
                <w:rFonts w:hint="eastAsia" w:ascii="仿宋" w:hAnsi="仿宋" w:eastAsia="仿宋" w:cs="微软雅黑"/>
                <w:sz w:val="24"/>
              </w:rPr>
              <w:t>5.3.5 地震</w:t>
            </w:r>
          </w:p>
        </w:tc>
        <w:tc>
          <w:tcPr>
            <w:tcW w:w="1473" w:type="pct"/>
            <w:shd w:val="clear" w:color="auto" w:fill="FFFFFF" w:themeFill="background1"/>
            <w:vAlign w:val="center"/>
          </w:tcPr>
          <w:p w14:paraId="40F4B1F9">
            <w:pPr>
              <w:jc w:val="left"/>
              <w:textAlignment w:val="center"/>
              <w:rPr>
                <w:rFonts w:hint="eastAsia" w:ascii="仿宋" w:hAnsi="仿宋" w:eastAsia="仿宋" w:cs="微软雅黑"/>
                <w:sz w:val="24"/>
              </w:rPr>
            </w:pPr>
            <w:r>
              <w:rPr>
                <w:rFonts w:hint="eastAsia" w:ascii="仿宋" w:hAnsi="仿宋" w:eastAsia="仿宋" w:cs="微软雅黑"/>
                <w:sz w:val="24"/>
              </w:rPr>
              <w:t>结合地震安全性评价报告，说明建设项目沿线的地震参数和活动断层的情况，列出地震参数统计表和活动断层统计表（见表16和表17）。</w:t>
            </w:r>
          </w:p>
        </w:tc>
        <w:tc>
          <w:tcPr>
            <w:tcW w:w="768" w:type="pct"/>
            <w:shd w:val="clear" w:color="auto" w:fill="FFFFFF" w:themeFill="background1"/>
            <w:vAlign w:val="center"/>
          </w:tcPr>
          <w:p w14:paraId="065C6C83">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进一步规范了文字的表述形式，进一步梳理了表格内容。</w:t>
            </w:r>
          </w:p>
        </w:tc>
      </w:tr>
      <w:tr w14:paraId="48917C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0E99C34B">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3BE5D2E3">
            <w:pPr>
              <w:jc w:val="center"/>
              <w:textAlignment w:val="center"/>
              <w:rPr>
                <w:rFonts w:hint="eastAsia" w:ascii="仿宋" w:hAnsi="仿宋" w:eastAsia="仿宋" w:cs="微软雅黑"/>
                <w:sz w:val="24"/>
              </w:rPr>
            </w:pPr>
            <w:r>
              <w:rPr>
                <w:rFonts w:hint="eastAsia" w:ascii="仿宋" w:hAnsi="仿宋" w:eastAsia="仿宋" w:cs="微软雅黑"/>
                <w:sz w:val="24"/>
              </w:rPr>
              <w:t>5.4.6 山岭隧道</w:t>
            </w:r>
          </w:p>
        </w:tc>
        <w:tc>
          <w:tcPr>
            <w:tcW w:w="1479" w:type="pct"/>
            <w:shd w:val="clear" w:color="auto" w:fill="FFFFFF" w:themeFill="background1"/>
            <w:vAlign w:val="center"/>
          </w:tcPr>
          <w:p w14:paraId="7AD8229B">
            <w:pPr>
              <w:jc w:val="left"/>
              <w:textAlignment w:val="center"/>
              <w:rPr>
                <w:rFonts w:hint="eastAsia" w:ascii="仿宋" w:hAnsi="仿宋" w:eastAsia="仿宋" w:cs="微软雅黑"/>
                <w:sz w:val="24"/>
              </w:rPr>
            </w:pPr>
            <w:r>
              <w:rPr>
                <w:rFonts w:hint="eastAsia" w:ascii="仿宋" w:hAnsi="仿宋" w:eastAsia="仿宋" w:cs="微软雅黑"/>
                <w:sz w:val="24"/>
              </w:rPr>
              <w:t>应说明建设项目穿越山岭隧道情况（见表15）。</w:t>
            </w:r>
          </w:p>
        </w:tc>
        <w:tc>
          <w:tcPr>
            <w:tcW w:w="578" w:type="pct"/>
            <w:shd w:val="clear" w:color="auto" w:fill="FFFFFF" w:themeFill="background1"/>
            <w:noWrap/>
            <w:vAlign w:val="center"/>
          </w:tcPr>
          <w:p w14:paraId="50B493D6">
            <w:pPr>
              <w:jc w:val="center"/>
              <w:textAlignment w:val="center"/>
              <w:rPr>
                <w:rFonts w:hint="eastAsia" w:ascii="仿宋" w:hAnsi="仿宋" w:eastAsia="仿宋" w:cs="微软雅黑"/>
                <w:sz w:val="24"/>
              </w:rPr>
            </w:pPr>
            <w:r>
              <w:rPr>
                <w:rFonts w:hint="eastAsia" w:ascii="仿宋" w:hAnsi="仿宋" w:eastAsia="仿宋" w:cs="微软雅黑"/>
                <w:sz w:val="24"/>
              </w:rPr>
              <w:t>5.3.6 山岭穿越</w:t>
            </w:r>
          </w:p>
        </w:tc>
        <w:tc>
          <w:tcPr>
            <w:tcW w:w="1473" w:type="pct"/>
            <w:shd w:val="clear" w:color="auto" w:fill="FFFFFF" w:themeFill="background1"/>
            <w:vAlign w:val="center"/>
          </w:tcPr>
          <w:p w14:paraId="3A985893">
            <w:pPr>
              <w:jc w:val="left"/>
              <w:textAlignment w:val="center"/>
              <w:rPr>
                <w:rFonts w:hint="eastAsia" w:ascii="仿宋" w:hAnsi="仿宋" w:eastAsia="仿宋" w:cs="微软雅黑"/>
                <w:sz w:val="24"/>
              </w:rPr>
            </w:pPr>
            <w:r>
              <w:rPr>
                <w:rFonts w:hint="eastAsia" w:ascii="仿宋" w:hAnsi="仿宋" w:eastAsia="仿宋" w:cs="微软雅黑"/>
                <w:sz w:val="24"/>
              </w:rPr>
              <w:t>说明建设项目山岭穿越情况，列出山岭穿越统计表（见表18）。</w:t>
            </w:r>
          </w:p>
        </w:tc>
        <w:tc>
          <w:tcPr>
            <w:tcW w:w="768" w:type="pct"/>
            <w:shd w:val="clear" w:color="auto" w:fill="FFFFFF" w:themeFill="background1"/>
            <w:vAlign w:val="center"/>
          </w:tcPr>
          <w:p w14:paraId="018AE575">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进一步规范了文字的表述形式，进一步梳理了表格内容。</w:t>
            </w:r>
          </w:p>
        </w:tc>
      </w:tr>
      <w:tr w14:paraId="5E7C02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105350BC">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674D0653">
            <w:pPr>
              <w:jc w:val="center"/>
              <w:textAlignment w:val="center"/>
              <w:rPr>
                <w:rFonts w:hint="eastAsia" w:ascii="仿宋" w:hAnsi="仿宋" w:eastAsia="仿宋" w:cs="微软雅黑"/>
                <w:sz w:val="24"/>
              </w:rPr>
            </w:pPr>
            <w:r>
              <w:rPr>
                <w:rFonts w:hint="eastAsia" w:ascii="仿宋" w:hAnsi="仿宋" w:eastAsia="仿宋" w:cs="微软雅黑"/>
                <w:sz w:val="24"/>
              </w:rPr>
              <w:t>5.4.7 采矿区</w:t>
            </w:r>
          </w:p>
        </w:tc>
        <w:tc>
          <w:tcPr>
            <w:tcW w:w="1479" w:type="pct"/>
            <w:shd w:val="clear" w:color="auto" w:fill="FFFFFF" w:themeFill="background1"/>
            <w:vAlign w:val="center"/>
          </w:tcPr>
          <w:p w14:paraId="10F889AD">
            <w:pPr>
              <w:jc w:val="left"/>
              <w:textAlignment w:val="center"/>
              <w:rPr>
                <w:rFonts w:hint="eastAsia" w:ascii="仿宋" w:hAnsi="仿宋" w:eastAsia="仿宋" w:cs="微软雅黑"/>
                <w:sz w:val="24"/>
              </w:rPr>
            </w:pPr>
            <w:r>
              <w:rPr>
                <w:rFonts w:hint="eastAsia" w:ascii="仿宋" w:hAnsi="仿宋" w:eastAsia="仿宋" w:cs="微软雅黑"/>
                <w:sz w:val="24"/>
              </w:rPr>
              <w:t>应描述建设项目经过采矿区（含固体、液体、气体采矿区）情况（参考压覆矿产资源评估报告），并按表16进行统计，并说明建设项目沿线与采空区的距离以及采空区稳定性。</w:t>
            </w:r>
          </w:p>
        </w:tc>
        <w:tc>
          <w:tcPr>
            <w:tcW w:w="578" w:type="pct"/>
            <w:shd w:val="clear" w:color="auto" w:fill="FFFFFF" w:themeFill="background1"/>
            <w:noWrap/>
            <w:vAlign w:val="center"/>
          </w:tcPr>
          <w:p w14:paraId="29C67E6D">
            <w:pPr>
              <w:jc w:val="center"/>
              <w:textAlignment w:val="center"/>
              <w:rPr>
                <w:rFonts w:hint="eastAsia" w:ascii="仿宋" w:hAnsi="仿宋" w:eastAsia="仿宋" w:cs="微软雅黑"/>
                <w:sz w:val="24"/>
              </w:rPr>
            </w:pPr>
            <w:r>
              <w:rPr>
                <w:rFonts w:hint="eastAsia" w:ascii="仿宋" w:hAnsi="仿宋" w:eastAsia="仿宋" w:cs="微软雅黑"/>
                <w:sz w:val="24"/>
              </w:rPr>
              <w:t>5.3.7 采矿区</w:t>
            </w:r>
          </w:p>
        </w:tc>
        <w:tc>
          <w:tcPr>
            <w:tcW w:w="1473" w:type="pct"/>
            <w:shd w:val="clear" w:color="auto" w:fill="FFFFFF" w:themeFill="background1"/>
            <w:vAlign w:val="center"/>
          </w:tcPr>
          <w:p w14:paraId="3EECE780">
            <w:pPr>
              <w:jc w:val="left"/>
              <w:textAlignment w:val="center"/>
              <w:rPr>
                <w:rFonts w:hint="eastAsia" w:ascii="仿宋" w:hAnsi="仿宋" w:eastAsia="仿宋" w:cs="微软雅黑"/>
                <w:sz w:val="24"/>
              </w:rPr>
            </w:pPr>
            <w:r>
              <w:rPr>
                <w:rFonts w:hint="eastAsia" w:ascii="仿宋" w:hAnsi="仿宋" w:eastAsia="仿宋" w:cs="微软雅黑"/>
                <w:sz w:val="24"/>
              </w:rPr>
              <w:t>结合压覆矿产资源评估报告，说明建设项目经过采矿区（含固体、液体、气体采矿区）情况，列出采矿区统计表（见表19），并说明建设项目沿线与采空区的距离以及采空区稳定性。</w:t>
            </w:r>
          </w:p>
        </w:tc>
        <w:tc>
          <w:tcPr>
            <w:tcW w:w="768" w:type="pct"/>
            <w:shd w:val="clear" w:color="auto" w:fill="FFFFFF" w:themeFill="background1"/>
            <w:vAlign w:val="center"/>
          </w:tcPr>
          <w:p w14:paraId="2179F36B">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1BAA1B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566B4112">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6BAC4480">
            <w:pPr>
              <w:jc w:val="center"/>
              <w:textAlignment w:val="center"/>
              <w:rPr>
                <w:rFonts w:hint="eastAsia" w:ascii="仿宋" w:hAnsi="仿宋" w:eastAsia="仿宋" w:cs="微软雅黑"/>
                <w:sz w:val="24"/>
              </w:rPr>
            </w:pPr>
            <w:r>
              <w:rPr>
                <w:rFonts w:hint="eastAsia" w:ascii="仿宋" w:hAnsi="仿宋" w:eastAsia="仿宋" w:cs="微软雅黑"/>
                <w:sz w:val="24"/>
              </w:rPr>
              <w:t>5.4.8 河流大、中型穿（跨）越</w:t>
            </w:r>
          </w:p>
        </w:tc>
        <w:tc>
          <w:tcPr>
            <w:tcW w:w="1479" w:type="pct"/>
            <w:shd w:val="clear" w:color="auto" w:fill="FFFFFF" w:themeFill="background1"/>
            <w:vAlign w:val="center"/>
          </w:tcPr>
          <w:p w14:paraId="4ACCD118">
            <w:pPr>
              <w:jc w:val="left"/>
              <w:textAlignment w:val="center"/>
              <w:rPr>
                <w:rFonts w:hint="eastAsia" w:ascii="仿宋" w:hAnsi="仿宋" w:eastAsia="仿宋" w:cs="微软雅黑"/>
                <w:sz w:val="24"/>
              </w:rPr>
            </w:pPr>
          </w:p>
        </w:tc>
        <w:tc>
          <w:tcPr>
            <w:tcW w:w="578" w:type="pct"/>
            <w:shd w:val="clear" w:color="auto" w:fill="FFFFFF" w:themeFill="background1"/>
            <w:noWrap/>
            <w:vAlign w:val="center"/>
          </w:tcPr>
          <w:p w14:paraId="2E7E6375">
            <w:pPr>
              <w:jc w:val="center"/>
              <w:textAlignment w:val="center"/>
              <w:rPr>
                <w:rFonts w:hint="eastAsia" w:ascii="仿宋" w:hAnsi="仿宋" w:eastAsia="仿宋" w:cs="微软雅黑"/>
                <w:sz w:val="24"/>
              </w:rPr>
            </w:pPr>
            <w:r>
              <w:rPr>
                <w:rFonts w:hint="eastAsia" w:ascii="仿宋" w:hAnsi="仿宋" w:eastAsia="仿宋" w:cs="微软雅黑"/>
                <w:sz w:val="24"/>
              </w:rPr>
              <w:t>5.3.8 水域大、中型穿（跨）越</w:t>
            </w:r>
          </w:p>
        </w:tc>
        <w:tc>
          <w:tcPr>
            <w:tcW w:w="1473" w:type="pct"/>
            <w:shd w:val="clear" w:color="auto" w:fill="FFFFFF" w:themeFill="background1"/>
            <w:vAlign w:val="center"/>
          </w:tcPr>
          <w:p w14:paraId="41BA3BE5">
            <w:pPr>
              <w:jc w:val="left"/>
              <w:textAlignment w:val="center"/>
              <w:rPr>
                <w:rFonts w:hint="eastAsia" w:ascii="仿宋" w:hAnsi="仿宋" w:eastAsia="仿宋" w:cs="微软雅黑"/>
                <w:sz w:val="24"/>
              </w:rPr>
            </w:pPr>
          </w:p>
        </w:tc>
        <w:tc>
          <w:tcPr>
            <w:tcW w:w="768" w:type="pct"/>
            <w:shd w:val="clear" w:color="auto" w:fill="FFFFFF" w:themeFill="background1"/>
            <w:vAlign w:val="center"/>
          </w:tcPr>
          <w:p w14:paraId="2098A978">
            <w:pPr>
              <w:jc w:val="left"/>
              <w:textAlignment w:val="center"/>
              <w:rPr>
                <w:rFonts w:hint="eastAsia" w:ascii="仿宋" w:hAnsi="仿宋" w:eastAsia="仿宋" w:cs="微软雅黑"/>
                <w:sz w:val="24"/>
              </w:rPr>
            </w:pPr>
            <w:r>
              <w:rPr>
                <w:rFonts w:hint="eastAsia" w:ascii="仿宋" w:hAnsi="仿宋" w:eastAsia="仿宋" w:cs="微软雅黑"/>
                <w:sz w:val="24"/>
              </w:rPr>
              <w:t>梳理了章节顺序。</w:t>
            </w:r>
          </w:p>
        </w:tc>
      </w:tr>
      <w:tr w14:paraId="4F834D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67FE9AA1">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2D7F0787">
            <w:pPr>
              <w:jc w:val="center"/>
              <w:textAlignment w:val="center"/>
              <w:rPr>
                <w:rFonts w:hint="eastAsia" w:ascii="仿宋" w:hAnsi="仿宋" w:eastAsia="仿宋" w:cs="微软雅黑"/>
                <w:sz w:val="24"/>
              </w:rPr>
            </w:pPr>
            <w:r>
              <w:rPr>
                <w:rFonts w:hint="eastAsia" w:ascii="仿宋" w:hAnsi="仿宋" w:eastAsia="仿宋" w:cs="微软雅黑"/>
                <w:sz w:val="24"/>
              </w:rPr>
              <w:t>5.4.8.1</w:t>
            </w:r>
          </w:p>
        </w:tc>
        <w:tc>
          <w:tcPr>
            <w:tcW w:w="1479" w:type="pct"/>
            <w:shd w:val="clear" w:color="auto" w:fill="FFFFFF" w:themeFill="background1"/>
            <w:vAlign w:val="center"/>
          </w:tcPr>
          <w:p w14:paraId="7D50953D">
            <w:pPr>
              <w:jc w:val="left"/>
              <w:textAlignment w:val="center"/>
              <w:rPr>
                <w:rFonts w:hint="eastAsia" w:ascii="仿宋" w:hAnsi="仿宋" w:eastAsia="仿宋" w:cs="微软雅黑"/>
                <w:sz w:val="24"/>
              </w:rPr>
            </w:pPr>
            <w:r>
              <w:rPr>
                <w:rFonts w:hint="eastAsia" w:ascii="仿宋" w:hAnsi="仿宋" w:eastAsia="仿宋" w:cs="微软雅黑"/>
                <w:sz w:val="24"/>
              </w:rPr>
              <w:t>应对建设项目穿跨越河流情况进行统计（见表17）。</w:t>
            </w:r>
          </w:p>
        </w:tc>
        <w:tc>
          <w:tcPr>
            <w:tcW w:w="578" w:type="pct"/>
            <w:shd w:val="clear" w:color="auto" w:fill="FFFFFF" w:themeFill="background1"/>
            <w:noWrap/>
            <w:vAlign w:val="center"/>
          </w:tcPr>
          <w:p w14:paraId="177A4524">
            <w:pPr>
              <w:jc w:val="center"/>
              <w:textAlignment w:val="center"/>
              <w:rPr>
                <w:rFonts w:hint="eastAsia" w:ascii="仿宋" w:hAnsi="仿宋" w:eastAsia="仿宋" w:cs="微软雅黑"/>
                <w:sz w:val="24"/>
              </w:rPr>
            </w:pPr>
            <w:r>
              <w:rPr>
                <w:rFonts w:hint="eastAsia" w:ascii="仿宋" w:hAnsi="仿宋" w:eastAsia="仿宋" w:cs="微软雅黑"/>
                <w:sz w:val="24"/>
              </w:rPr>
              <w:t>5.3.8.1</w:t>
            </w:r>
          </w:p>
        </w:tc>
        <w:tc>
          <w:tcPr>
            <w:tcW w:w="1473" w:type="pct"/>
            <w:shd w:val="clear" w:color="auto" w:fill="FFFFFF" w:themeFill="background1"/>
            <w:vAlign w:val="center"/>
          </w:tcPr>
          <w:p w14:paraId="48BB32D8">
            <w:pPr>
              <w:jc w:val="left"/>
              <w:textAlignment w:val="center"/>
              <w:rPr>
                <w:rFonts w:hint="eastAsia" w:ascii="仿宋" w:hAnsi="仿宋" w:eastAsia="仿宋" w:cs="微软雅黑"/>
                <w:sz w:val="24"/>
              </w:rPr>
            </w:pPr>
            <w:r>
              <w:rPr>
                <w:rFonts w:hint="eastAsia" w:ascii="仿宋" w:hAnsi="仿宋" w:eastAsia="仿宋" w:cs="微软雅黑"/>
                <w:sz w:val="24"/>
              </w:rPr>
              <w:t>对建设项目水域大、中型穿（跨）越情况进行统计，列出水域大、中型穿（跨）越工程统计表（见表20）。</w:t>
            </w:r>
          </w:p>
        </w:tc>
        <w:tc>
          <w:tcPr>
            <w:tcW w:w="768" w:type="pct"/>
            <w:shd w:val="clear" w:color="auto" w:fill="FFFFFF" w:themeFill="background1"/>
            <w:vAlign w:val="center"/>
          </w:tcPr>
          <w:p w14:paraId="509A6E38">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4C5249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7B4CD483">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4D81AF62">
            <w:pPr>
              <w:jc w:val="center"/>
              <w:textAlignment w:val="center"/>
              <w:rPr>
                <w:rFonts w:hint="eastAsia" w:ascii="仿宋" w:hAnsi="仿宋" w:eastAsia="仿宋" w:cs="微软雅黑"/>
                <w:sz w:val="24"/>
              </w:rPr>
            </w:pPr>
            <w:r>
              <w:rPr>
                <w:rFonts w:hint="eastAsia" w:ascii="仿宋" w:hAnsi="仿宋" w:eastAsia="仿宋" w:cs="微软雅黑"/>
                <w:sz w:val="24"/>
              </w:rPr>
              <w:t>5.4.8.2</w:t>
            </w:r>
          </w:p>
        </w:tc>
        <w:tc>
          <w:tcPr>
            <w:tcW w:w="1479" w:type="pct"/>
            <w:shd w:val="clear" w:color="auto" w:fill="FFFFFF" w:themeFill="background1"/>
            <w:vAlign w:val="center"/>
          </w:tcPr>
          <w:p w14:paraId="03321DF1">
            <w:pPr>
              <w:jc w:val="left"/>
              <w:textAlignment w:val="center"/>
              <w:rPr>
                <w:rFonts w:hint="eastAsia" w:ascii="仿宋" w:hAnsi="仿宋" w:eastAsia="仿宋" w:cs="微软雅黑"/>
                <w:sz w:val="24"/>
              </w:rPr>
            </w:pPr>
            <w:r>
              <w:rPr>
                <w:rFonts w:hint="eastAsia" w:ascii="仿宋" w:hAnsi="仿宋" w:eastAsia="仿宋" w:cs="微软雅黑"/>
                <w:sz w:val="24"/>
              </w:rPr>
              <w:t>5.4.8.2 对于通航河流，应描述通航对建设项目的影响（参考通航安全性评价报告）。</w:t>
            </w:r>
          </w:p>
        </w:tc>
        <w:tc>
          <w:tcPr>
            <w:tcW w:w="578" w:type="pct"/>
            <w:shd w:val="clear" w:color="auto" w:fill="FFFFFF" w:themeFill="background1"/>
            <w:noWrap/>
            <w:vAlign w:val="center"/>
          </w:tcPr>
          <w:p w14:paraId="34B36A23">
            <w:pPr>
              <w:jc w:val="center"/>
              <w:textAlignment w:val="center"/>
              <w:rPr>
                <w:rFonts w:hint="eastAsia" w:ascii="仿宋" w:hAnsi="仿宋" w:eastAsia="仿宋" w:cs="微软雅黑"/>
                <w:sz w:val="24"/>
              </w:rPr>
            </w:pPr>
            <w:r>
              <w:rPr>
                <w:rFonts w:hint="eastAsia" w:ascii="仿宋" w:hAnsi="仿宋" w:eastAsia="仿宋" w:cs="微软雅黑"/>
                <w:sz w:val="24"/>
              </w:rPr>
              <w:t>5.3.8.2</w:t>
            </w:r>
          </w:p>
        </w:tc>
        <w:tc>
          <w:tcPr>
            <w:tcW w:w="1473" w:type="pct"/>
            <w:shd w:val="clear" w:color="auto" w:fill="FFFFFF" w:themeFill="background1"/>
            <w:vAlign w:val="center"/>
          </w:tcPr>
          <w:p w14:paraId="61FB9469">
            <w:pPr>
              <w:jc w:val="left"/>
              <w:textAlignment w:val="center"/>
              <w:rPr>
                <w:rFonts w:hint="eastAsia" w:ascii="仿宋" w:hAnsi="仿宋" w:eastAsia="仿宋" w:cs="微软雅黑"/>
                <w:sz w:val="24"/>
              </w:rPr>
            </w:pPr>
            <w:r>
              <w:rPr>
                <w:rFonts w:hint="eastAsia" w:ascii="仿宋" w:hAnsi="仿宋" w:eastAsia="仿宋" w:cs="微软雅黑"/>
                <w:sz w:val="24"/>
              </w:rPr>
              <w:t>对于通航河流，结合通航条件评价报告，说明通航对建设项目的影响。</w:t>
            </w:r>
          </w:p>
        </w:tc>
        <w:tc>
          <w:tcPr>
            <w:tcW w:w="768" w:type="pct"/>
            <w:shd w:val="clear" w:color="auto" w:fill="FFFFFF" w:themeFill="background1"/>
            <w:vAlign w:val="center"/>
          </w:tcPr>
          <w:p w14:paraId="0B796CDE">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515730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0BDF7C2F">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17ABD09F">
            <w:pPr>
              <w:jc w:val="center"/>
              <w:textAlignment w:val="center"/>
              <w:rPr>
                <w:rFonts w:hint="eastAsia" w:ascii="仿宋" w:hAnsi="仿宋" w:eastAsia="仿宋" w:cs="微软雅黑"/>
                <w:sz w:val="24"/>
              </w:rPr>
            </w:pPr>
            <w:r>
              <w:rPr>
                <w:rFonts w:hint="eastAsia" w:ascii="仿宋" w:hAnsi="仿宋" w:eastAsia="仿宋" w:cs="微软雅黑"/>
                <w:sz w:val="24"/>
              </w:rPr>
              <w:t>5.4.9 与架空输电线路并行交叉</w:t>
            </w:r>
          </w:p>
        </w:tc>
        <w:tc>
          <w:tcPr>
            <w:tcW w:w="1479" w:type="pct"/>
            <w:shd w:val="clear" w:color="auto" w:fill="FFFFFF" w:themeFill="background1"/>
            <w:vAlign w:val="center"/>
          </w:tcPr>
          <w:p w14:paraId="356F2A6C">
            <w:pPr>
              <w:jc w:val="left"/>
              <w:textAlignment w:val="center"/>
              <w:rPr>
                <w:rFonts w:hint="eastAsia" w:ascii="仿宋" w:hAnsi="仿宋" w:eastAsia="仿宋" w:cs="微软雅黑"/>
                <w:sz w:val="24"/>
              </w:rPr>
            </w:pPr>
            <w:r>
              <w:rPr>
                <w:rFonts w:hint="eastAsia" w:ascii="仿宋" w:hAnsi="仿宋" w:eastAsia="仿宋" w:cs="微软雅黑"/>
                <w:sz w:val="24"/>
              </w:rPr>
              <w:t>应说明建设项目与35kV及以上架空输电线路并行、交叉情况（见表18和表19）。</w:t>
            </w:r>
          </w:p>
        </w:tc>
        <w:tc>
          <w:tcPr>
            <w:tcW w:w="578" w:type="pct"/>
            <w:shd w:val="clear" w:color="auto" w:fill="FFFFFF" w:themeFill="background1"/>
            <w:noWrap/>
            <w:vAlign w:val="center"/>
          </w:tcPr>
          <w:p w14:paraId="04BB2FBB">
            <w:pPr>
              <w:jc w:val="center"/>
              <w:textAlignment w:val="center"/>
              <w:rPr>
                <w:rFonts w:hint="eastAsia" w:ascii="仿宋" w:hAnsi="仿宋" w:eastAsia="仿宋" w:cs="微软雅黑"/>
                <w:sz w:val="24"/>
              </w:rPr>
            </w:pPr>
            <w:r>
              <w:rPr>
                <w:rFonts w:hint="eastAsia" w:ascii="仿宋" w:hAnsi="仿宋" w:eastAsia="仿宋" w:cs="微软雅黑"/>
                <w:sz w:val="24"/>
              </w:rPr>
              <w:t>5.3.9 与架空输电线路并行交叉</w:t>
            </w:r>
          </w:p>
        </w:tc>
        <w:tc>
          <w:tcPr>
            <w:tcW w:w="1473" w:type="pct"/>
            <w:shd w:val="clear" w:color="auto" w:fill="FFFFFF" w:themeFill="background1"/>
            <w:vAlign w:val="center"/>
          </w:tcPr>
          <w:p w14:paraId="1C22B8C8">
            <w:pPr>
              <w:jc w:val="left"/>
              <w:textAlignment w:val="center"/>
              <w:rPr>
                <w:rFonts w:hint="eastAsia" w:ascii="仿宋" w:hAnsi="仿宋" w:eastAsia="仿宋" w:cs="微软雅黑"/>
                <w:sz w:val="24"/>
              </w:rPr>
            </w:pPr>
            <w:r>
              <w:rPr>
                <w:rFonts w:hint="eastAsia" w:ascii="仿宋" w:hAnsi="仿宋" w:eastAsia="仿宋" w:cs="微软雅黑"/>
                <w:sz w:val="24"/>
              </w:rPr>
              <w:t>说明建设项目与35kV及以上架空输电线路并行、交叉情况，列出与架空输电线路并行段统计表和与架空输电线路交叉段统计表（见表21和表22），说明管道与高压直流输电线路换流站接地极址的间隔距离。</w:t>
            </w:r>
          </w:p>
        </w:tc>
        <w:tc>
          <w:tcPr>
            <w:tcW w:w="768" w:type="pct"/>
            <w:shd w:val="clear" w:color="auto" w:fill="FFFFFF" w:themeFill="background1"/>
            <w:vAlign w:val="center"/>
          </w:tcPr>
          <w:p w14:paraId="7B178BB2">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进一步规范了文字的表述形式，梳理了表格内容。</w:t>
            </w:r>
          </w:p>
        </w:tc>
      </w:tr>
      <w:tr w14:paraId="54DEF7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18FE2C9B">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6A01E49D">
            <w:pPr>
              <w:jc w:val="center"/>
              <w:textAlignment w:val="center"/>
              <w:rPr>
                <w:rFonts w:hint="eastAsia" w:ascii="仿宋" w:hAnsi="仿宋" w:eastAsia="仿宋" w:cs="微软雅黑"/>
                <w:sz w:val="24"/>
              </w:rPr>
            </w:pPr>
            <w:r>
              <w:rPr>
                <w:rFonts w:hint="eastAsia" w:ascii="仿宋" w:hAnsi="仿宋" w:eastAsia="仿宋" w:cs="微软雅黑"/>
                <w:sz w:val="24"/>
              </w:rPr>
              <w:t>5.4.10 与铁路并行交叉</w:t>
            </w:r>
          </w:p>
        </w:tc>
        <w:tc>
          <w:tcPr>
            <w:tcW w:w="1479" w:type="pct"/>
            <w:shd w:val="clear" w:color="auto" w:fill="FFFFFF" w:themeFill="background1"/>
            <w:vAlign w:val="center"/>
          </w:tcPr>
          <w:p w14:paraId="65AC3E9D">
            <w:pPr>
              <w:jc w:val="left"/>
              <w:textAlignment w:val="center"/>
              <w:rPr>
                <w:rFonts w:hint="eastAsia" w:ascii="仿宋" w:hAnsi="仿宋" w:eastAsia="仿宋" w:cs="微软雅黑"/>
                <w:sz w:val="24"/>
              </w:rPr>
            </w:pPr>
            <w:r>
              <w:rPr>
                <w:rFonts w:hint="eastAsia" w:ascii="仿宋" w:hAnsi="仿宋" w:eastAsia="仿宋" w:cs="微软雅黑"/>
                <w:sz w:val="24"/>
              </w:rPr>
              <w:t>应说明建设项目与铁路并行、交叉情况（见表20和表21）。</w:t>
            </w:r>
          </w:p>
        </w:tc>
        <w:tc>
          <w:tcPr>
            <w:tcW w:w="578" w:type="pct"/>
            <w:shd w:val="clear" w:color="auto" w:fill="FFFFFF" w:themeFill="background1"/>
            <w:noWrap/>
            <w:vAlign w:val="center"/>
          </w:tcPr>
          <w:p w14:paraId="1BEAF63D">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5.</w:t>
            </w:r>
            <w:r>
              <w:rPr>
                <w:rFonts w:hint="eastAsia" w:ascii="仿宋" w:hAnsi="仿宋" w:eastAsia="仿宋"/>
                <w:sz w:val="24"/>
                <w:szCs w:val="24"/>
                <w:lang w:val="en-US"/>
              </w:rPr>
              <w:t>3</w:t>
            </w:r>
            <w:r>
              <w:rPr>
                <w:rFonts w:ascii="仿宋" w:hAnsi="仿宋" w:eastAsia="仿宋"/>
                <w:sz w:val="24"/>
                <w:szCs w:val="24"/>
              </w:rPr>
              <w:t xml:space="preserve">.10 </w:t>
            </w:r>
            <w:r>
              <w:rPr>
                <w:rFonts w:hint="eastAsia" w:ascii="仿宋" w:hAnsi="仿宋" w:eastAsia="仿宋"/>
                <w:sz w:val="24"/>
                <w:szCs w:val="24"/>
              </w:rPr>
              <w:t>与铁路并行交叉</w:t>
            </w:r>
          </w:p>
        </w:tc>
        <w:tc>
          <w:tcPr>
            <w:tcW w:w="1473" w:type="pct"/>
            <w:shd w:val="clear" w:color="auto" w:fill="FFFFFF" w:themeFill="background1"/>
            <w:vAlign w:val="center"/>
          </w:tcPr>
          <w:p w14:paraId="1FF5368A">
            <w:pPr>
              <w:pStyle w:val="35"/>
              <w:spacing w:line="240" w:lineRule="auto"/>
              <w:ind w:firstLine="0" w:firstLineChars="0"/>
              <w:rPr>
                <w:rFonts w:hint="eastAsia" w:ascii="仿宋" w:hAnsi="仿宋" w:eastAsia="仿宋" w:cs="微软雅黑"/>
                <w:sz w:val="24"/>
                <w:szCs w:val="24"/>
              </w:rPr>
            </w:pPr>
            <w:r>
              <w:rPr>
                <w:rFonts w:hint="eastAsia" w:ascii="仿宋" w:hAnsi="仿宋" w:eastAsia="仿宋"/>
                <w:color w:val="auto"/>
                <w:kern w:val="0"/>
                <w:sz w:val="24"/>
                <w:szCs w:val="24"/>
              </w:rPr>
              <w:t>说明建设项目与铁路并行、交</w:t>
            </w:r>
            <w:r>
              <w:rPr>
                <w:rStyle w:val="156"/>
                <w:rFonts w:hint="eastAsia" w:ascii="仿宋" w:hAnsi="仿宋" w:eastAsia="仿宋"/>
                <w:sz w:val="24"/>
                <w:szCs w:val="24"/>
              </w:rPr>
              <w:t>叉情况，</w:t>
            </w:r>
            <w:r>
              <w:rPr>
                <w:rFonts w:hint="eastAsia" w:ascii="仿宋" w:hAnsi="仿宋" w:eastAsia="仿宋"/>
                <w:color w:val="auto"/>
                <w:sz w:val="24"/>
                <w:szCs w:val="24"/>
              </w:rPr>
              <w:t>列出</w:t>
            </w:r>
            <w:r>
              <w:rPr>
                <w:rFonts w:ascii="仿宋" w:hAnsi="仿宋" w:eastAsia="仿宋"/>
                <w:color w:val="auto"/>
                <w:sz w:val="24"/>
                <w:szCs w:val="24"/>
              </w:rPr>
              <w:t>与铁路并行段统计表</w:t>
            </w:r>
            <w:r>
              <w:rPr>
                <w:rFonts w:hint="eastAsia" w:ascii="仿宋" w:hAnsi="仿宋" w:eastAsia="仿宋"/>
                <w:color w:val="auto"/>
                <w:sz w:val="24"/>
                <w:szCs w:val="24"/>
              </w:rPr>
              <w:t>和</w:t>
            </w:r>
            <w:r>
              <w:rPr>
                <w:rFonts w:ascii="仿宋" w:hAnsi="仿宋" w:eastAsia="仿宋"/>
                <w:color w:val="auto"/>
                <w:sz w:val="24"/>
                <w:szCs w:val="24"/>
              </w:rPr>
              <w:t>与铁路交叉段统计表</w:t>
            </w:r>
            <w:r>
              <w:rPr>
                <w:rStyle w:val="156"/>
                <w:rFonts w:hint="eastAsia" w:ascii="仿宋" w:hAnsi="仿宋" w:eastAsia="仿宋"/>
                <w:sz w:val="24"/>
                <w:szCs w:val="24"/>
              </w:rPr>
              <w:t>（</w:t>
            </w:r>
            <w:r>
              <w:rPr>
                <w:rFonts w:hint="eastAsia" w:ascii="仿宋" w:hAnsi="仿宋" w:eastAsia="仿宋"/>
                <w:color w:val="auto"/>
                <w:kern w:val="0"/>
                <w:sz w:val="24"/>
                <w:szCs w:val="24"/>
              </w:rPr>
              <w:t>见表</w:t>
            </w:r>
            <w:r>
              <w:rPr>
                <w:rFonts w:ascii="仿宋" w:hAnsi="仿宋" w:eastAsia="仿宋"/>
                <w:color w:val="auto"/>
                <w:kern w:val="0"/>
                <w:sz w:val="24"/>
                <w:szCs w:val="24"/>
              </w:rPr>
              <w:t>23</w:t>
            </w:r>
            <w:r>
              <w:rPr>
                <w:rFonts w:hint="eastAsia" w:ascii="仿宋" w:hAnsi="仿宋" w:eastAsia="仿宋"/>
                <w:color w:val="auto"/>
                <w:kern w:val="0"/>
                <w:sz w:val="24"/>
                <w:szCs w:val="24"/>
              </w:rPr>
              <w:t>和表</w:t>
            </w:r>
            <w:r>
              <w:rPr>
                <w:rFonts w:ascii="仿宋" w:hAnsi="仿宋" w:eastAsia="仿宋"/>
                <w:color w:val="auto"/>
                <w:kern w:val="0"/>
                <w:sz w:val="24"/>
                <w:szCs w:val="24"/>
              </w:rPr>
              <w:t>24</w:t>
            </w:r>
            <w:r>
              <w:rPr>
                <w:rFonts w:hint="eastAsia" w:ascii="仿宋" w:hAnsi="仿宋" w:eastAsia="仿宋"/>
                <w:color w:val="auto"/>
                <w:kern w:val="0"/>
                <w:sz w:val="24"/>
                <w:szCs w:val="24"/>
              </w:rPr>
              <w:t>）</w:t>
            </w:r>
            <w:r>
              <w:rPr>
                <w:rStyle w:val="156"/>
                <w:rFonts w:hint="eastAsia" w:ascii="仿宋" w:hAnsi="仿宋" w:eastAsia="仿宋"/>
                <w:sz w:val="24"/>
                <w:szCs w:val="24"/>
              </w:rPr>
              <w:t>。</w:t>
            </w:r>
          </w:p>
        </w:tc>
        <w:tc>
          <w:tcPr>
            <w:tcW w:w="768" w:type="pct"/>
            <w:shd w:val="clear" w:color="auto" w:fill="FFFFFF" w:themeFill="background1"/>
            <w:vAlign w:val="center"/>
          </w:tcPr>
          <w:p w14:paraId="1D39FE56">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68D983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08CB6238">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7D83C632">
            <w:pPr>
              <w:jc w:val="center"/>
              <w:textAlignment w:val="center"/>
              <w:rPr>
                <w:rFonts w:hint="eastAsia" w:ascii="仿宋" w:hAnsi="仿宋" w:eastAsia="仿宋" w:cs="微软雅黑"/>
                <w:sz w:val="24"/>
              </w:rPr>
            </w:pPr>
            <w:r>
              <w:rPr>
                <w:rFonts w:hint="eastAsia" w:ascii="仿宋" w:hAnsi="仿宋" w:eastAsia="仿宋" w:cs="微软雅黑"/>
                <w:sz w:val="24"/>
              </w:rPr>
              <w:t>5.4.11 与公路并行交叉</w:t>
            </w:r>
          </w:p>
        </w:tc>
        <w:tc>
          <w:tcPr>
            <w:tcW w:w="1479" w:type="pct"/>
            <w:shd w:val="clear" w:color="auto" w:fill="FFFFFF" w:themeFill="background1"/>
            <w:vAlign w:val="center"/>
          </w:tcPr>
          <w:p w14:paraId="435773C9">
            <w:pPr>
              <w:jc w:val="left"/>
              <w:textAlignment w:val="center"/>
              <w:rPr>
                <w:rFonts w:hint="eastAsia" w:ascii="仿宋" w:hAnsi="仿宋" w:eastAsia="仿宋" w:cs="微软雅黑"/>
                <w:sz w:val="24"/>
              </w:rPr>
            </w:pPr>
            <w:r>
              <w:rPr>
                <w:rFonts w:hint="eastAsia" w:ascii="仿宋" w:hAnsi="仿宋" w:eastAsia="仿宋" w:cs="微软雅黑"/>
                <w:sz w:val="24"/>
              </w:rPr>
              <w:t>应说明建设项目与公路并行、交叉情况（见表22和表23）。</w:t>
            </w:r>
          </w:p>
        </w:tc>
        <w:tc>
          <w:tcPr>
            <w:tcW w:w="578" w:type="pct"/>
            <w:shd w:val="clear" w:color="auto" w:fill="FFFFFF" w:themeFill="background1"/>
            <w:noWrap/>
            <w:vAlign w:val="center"/>
          </w:tcPr>
          <w:p w14:paraId="0D01B72C">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5.</w:t>
            </w:r>
            <w:r>
              <w:rPr>
                <w:rFonts w:hint="eastAsia" w:ascii="仿宋" w:hAnsi="仿宋" w:eastAsia="仿宋"/>
                <w:sz w:val="24"/>
                <w:szCs w:val="24"/>
                <w:lang w:val="en-US"/>
              </w:rPr>
              <w:t>3</w:t>
            </w:r>
            <w:r>
              <w:rPr>
                <w:rFonts w:ascii="仿宋" w:hAnsi="仿宋" w:eastAsia="仿宋"/>
                <w:sz w:val="24"/>
                <w:szCs w:val="24"/>
              </w:rPr>
              <w:t xml:space="preserve">.11 </w:t>
            </w:r>
            <w:r>
              <w:rPr>
                <w:rFonts w:hint="eastAsia" w:ascii="仿宋" w:hAnsi="仿宋" w:eastAsia="仿宋"/>
                <w:sz w:val="24"/>
                <w:szCs w:val="24"/>
              </w:rPr>
              <w:t>与公路并行交叉</w:t>
            </w:r>
          </w:p>
        </w:tc>
        <w:tc>
          <w:tcPr>
            <w:tcW w:w="1473" w:type="pct"/>
            <w:shd w:val="clear" w:color="auto" w:fill="FFFFFF" w:themeFill="background1"/>
            <w:vAlign w:val="center"/>
          </w:tcPr>
          <w:p w14:paraId="15DCBB99">
            <w:pPr>
              <w:pStyle w:val="35"/>
              <w:spacing w:line="240" w:lineRule="auto"/>
              <w:ind w:firstLine="0" w:firstLineChars="0"/>
              <w:rPr>
                <w:rFonts w:hint="eastAsia" w:ascii="仿宋" w:hAnsi="仿宋" w:eastAsia="仿宋" w:cs="微软雅黑"/>
                <w:sz w:val="24"/>
                <w:szCs w:val="24"/>
              </w:rPr>
            </w:pPr>
            <w:r>
              <w:rPr>
                <w:rFonts w:hint="eastAsia" w:ascii="仿宋" w:hAnsi="仿宋" w:eastAsia="仿宋"/>
                <w:color w:val="auto"/>
                <w:kern w:val="0"/>
                <w:sz w:val="24"/>
                <w:szCs w:val="24"/>
              </w:rPr>
              <w:t>说明建设项目与公路并行、交叉情</w:t>
            </w:r>
            <w:r>
              <w:rPr>
                <w:rStyle w:val="156"/>
                <w:rFonts w:hint="eastAsia" w:ascii="仿宋" w:hAnsi="仿宋" w:eastAsia="仿宋"/>
                <w:sz w:val="24"/>
                <w:szCs w:val="24"/>
              </w:rPr>
              <w:t>况，</w:t>
            </w:r>
            <w:r>
              <w:rPr>
                <w:rFonts w:hint="eastAsia" w:ascii="仿宋" w:hAnsi="仿宋" w:eastAsia="仿宋"/>
                <w:color w:val="auto"/>
                <w:sz w:val="24"/>
                <w:szCs w:val="24"/>
              </w:rPr>
              <w:t>列出</w:t>
            </w:r>
            <w:r>
              <w:rPr>
                <w:rFonts w:ascii="仿宋" w:hAnsi="仿宋" w:eastAsia="仿宋"/>
                <w:color w:val="auto"/>
                <w:sz w:val="24"/>
                <w:szCs w:val="24"/>
              </w:rPr>
              <w:t>与公</w:t>
            </w:r>
            <w:r>
              <w:rPr>
                <w:rFonts w:ascii="仿宋" w:hAnsi="仿宋" w:eastAsia="仿宋"/>
                <w:sz w:val="24"/>
                <w:szCs w:val="24"/>
              </w:rPr>
              <w:t>路并行段统计表</w:t>
            </w:r>
            <w:r>
              <w:rPr>
                <w:rFonts w:hint="eastAsia" w:ascii="仿宋" w:hAnsi="仿宋" w:eastAsia="仿宋"/>
                <w:sz w:val="24"/>
                <w:szCs w:val="24"/>
              </w:rPr>
              <w:t>和</w:t>
            </w:r>
            <w:r>
              <w:rPr>
                <w:rFonts w:ascii="仿宋" w:hAnsi="仿宋" w:eastAsia="仿宋"/>
                <w:sz w:val="24"/>
                <w:szCs w:val="24"/>
              </w:rPr>
              <w:t>与公路交叉段统计表</w:t>
            </w:r>
            <w:r>
              <w:rPr>
                <w:rStyle w:val="156"/>
                <w:rFonts w:hint="eastAsia" w:ascii="仿宋" w:hAnsi="仿宋" w:eastAsia="仿宋"/>
                <w:sz w:val="24"/>
                <w:szCs w:val="24"/>
              </w:rPr>
              <w:t>（</w:t>
            </w:r>
            <w:r>
              <w:rPr>
                <w:rFonts w:hint="eastAsia" w:ascii="仿宋" w:hAnsi="仿宋" w:eastAsia="仿宋"/>
                <w:color w:val="auto"/>
                <w:kern w:val="0"/>
                <w:sz w:val="24"/>
                <w:szCs w:val="24"/>
              </w:rPr>
              <w:t>见表</w:t>
            </w:r>
            <w:r>
              <w:rPr>
                <w:rFonts w:ascii="仿宋" w:hAnsi="仿宋" w:eastAsia="仿宋"/>
                <w:color w:val="auto"/>
                <w:kern w:val="0"/>
                <w:sz w:val="24"/>
                <w:szCs w:val="24"/>
              </w:rPr>
              <w:t>25</w:t>
            </w:r>
            <w:r>
              <w:rPr>
                <w:rFonts w:hint="eastAsia" w:ascii="仿宋" w:hAnsi="仿宋" w:eastAsia="仿宋"/>
                <w:color w:val="auto"/>
                <w:kern w:val="0"/>
                <w:sz w:val="24"/>
                <w:szCs w:val="24"/>
              </w:rPr>
              <w:t>和表</w:t>
            </w:r>
            <w:r>
              <w:rPr>
                <w:rFonts w:ascii="仿宋" w:hAnsi="仿宋" w:eastAsia="仿宋"/>
                <w:color w:val="auto"/>
                <w:kern w:val="0"/>
                <w:sz w:val="24"/>
                <w:szCs w:val="24"/>
              </w:rPr>
              <w:t>26</w:t>
            </w:r>
            <w:r>
              <w:rPr>
                <w:rFonts w:hint="eastAsia" w:ascii="仿宋" w:hAnsi="仿宋" w:eastAsia="仿宋"/>
                <w:color w:val="auto"/>
                <w:kern w:val="0"/>
                <w:sz w:val="24"/>
                <w:szCs w:val="24"/>
              </w:rPr>
              <w:t>）。</w:t>
            </w:r>
          </w:p>
        </w:tc>
        <w:tc>
          <w:tcPr>
            <w:tcW w:w="768" w:type="pct"/>
            <w:shd w:val="clear" w:color="auto" w:fill="FFFFFF" w:themeFill="background1"/>
            <w:vAlign w:val="center"/>
          </w:tcPr>
          <w:p w14:paraId="5015A14A">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54162A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7B91DE80">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2611D288">
            <w:pPr>
              <w:jc w:val="center"/>
              <w:textAlignment w:val="center"/>
              <w:rPr>
                <w:rFonts w:hint="eastAsia" w:ascii="仿宋" w:hAnsi="仿宋" w:eastAsia="仿宋" w:cs="微软雅黑"/>
                <w:sz w:val="24"/>
              </w:rPr>
            </w:pPr>
            <w:r>
              <w:rPr>
                <w:rFonts w:hint="eastAsia" w:ascii="仿宋" w:hAnsi="仿宋" w:eastAsia="仿宋" w:cs="微软雅黑"/>
                <w:sz w:val="24"/>
              </w:rPr>
              <w:t>5.4.12 与其他管道并行交叉</w:t>
            </w:r>
          </w:p>
        </w:tc>
        <w:tc>
          <w:tcPr>
            <w:tcW w:w="1479" w:type="pct"/>
            <w:shd w:val="clear" w:color="auto" w:fill="FFFFFF" w:themeFill="background1"/>
            <w:vAlign w:val="center"/>
          </w:tcPr>
          <w:p w14:paraId="14C672F7">
            <w:pPr>
              <w:jc w:val="left"/>
              <w:textAlignment w:val="center"/>
              <w:rPr>
                <w:rFonts w:hint="eastAsia" w:ascii="仿宋" w:hAnsi="仿宋" w:eastAsia="仿宋" w:cs="微软雅黑"/>
                <w:sz w:val="24"/>
              </w:rPr>
            </w:pPr>
            <w:r>
              <w:rPr>
                <w:rFonts w:hint="eastAsia" w:ascii="仿宋" w:hAnsi="仿宋" w:eastAsia="仿宋" w:cs="微软雅黑"/>
                <w:sz w:val="24"/>
              </w:rPr>
              <w:t>应说明建设项目两侧50m范围内与其他管道并行、交叉情况（见表24和表25），说明同管沟敷设不同管道的情况。</w:t>
            </w:r>
          </w:p>
        </w:tc>
        <w:tc>
          <w:tcPr>
            <w:tcW w:w="578" w:type="pct"/>
            <w:shd w:val="clear" w:color="auto" w:fill="FFFFFF" w:themeFill="background1"/>
            <w:noWrap/>
            <w:vAlign w:val="center"/>
          </w:tcPr>
          <w:p w14:paraId="1C35331E">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5.</w:t>
            </w:r>
            <w:r>
              <w:rPr>
                <w:rFonts w:hint="eastAsia" w:ascii="仿宋" w:hAnsi="仿宋" w:eastAsia="仿宋"/>
                <w:sz w:val="24"/>
                <w:szCs w:val="24"/>
                <w:lang w:val="en-US"/>
              </w:rPr>
              <w:t>3</w:t>
            </w:r>
            <w:r>
              <w:rPr>
                <w:rFonts w:ascii="仿宋" w:hAnsi="仿宋" w:eastAsia="仿宋"/>
                <w:sz w:val="24"/>
                <w:szCs w:val="24"/>
              </w:rPr>
              <w:t>.12</w:t>
            </w:r>
            <w:r>
              <w:rPr>
                <w:rFonts w:hint="eastAsia" w:ascii="仿宋" w:hAnsi="仿宋" w:eastAsia="仿宋"/>
                <w:sz w:val="24"/>
                <w:szCs w:val="24"/>
              </w:rPr>
              <w:t xml:space="preserve"> 与其他管道并行交叉</w:t>
            </w:r>
          </w:p>
        </w:tc>
        <w:tc>
          <w:tcPr>
            <w:tcW w:w="1473" w:type="pct"/>
            <w:shd w:val="clear" w:color="auto" w:fill="FFFFFF" w:themeFill="background1"/>
            <w:vAlign w:val="center"/>
          </w:tcPr>
          <w:p w14:paraId="3FF6C104">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说明建设项目两侧</w:t>
            </w:r>
            <w:r>
              <w:rPr>
                <w:rFonts w:ascii="仿宋" w:hAnsi="仿宋" w:eastAsia="仿宋"/>
                <w:sz w:val="24"/>
                <w:szCs w:val="24"/>
              </w:rPr>
              <w:t>50m</w:t>
            </w:r>
            <w:r>
              <w:rPr>
                <w:rFonts w:hint="eastAsia" w:ascii="仿宋" w:hAnsi="仿宋" w:eastAsia="仿宋"/>
                <w:sz w:val="24"/>
                <w:szCs w:val="24"/>
              </w:rPr>
              <w:t>范围内与其他管道并行、交叉情况，列出</w:t>
            </w:r>
            <w:r>
              <w:rPr>
                <w:rFonts w:ascii="仿宋" w:hAnsi="仿宋" w:eastAsia="仿宋"/>
                <w:sz w:val="24"/>
                <w:szCs w:val="24"/>
              </w:rPr>
              <w:t>与其它管道并行段统计表</w:t>
            </w:r>
            <w:r>
              <w:rPr>
                <w:rFonts w:hint="eastAsia" w:ascii="仿宋" w:hAnsi="仿宋" w:eastAsia="仿宋"/>
                <w:sz w:val="24"/>
                <w:szCs w:val="24"/>
              </w:rPr>
              <w:t>和</w:t>
            </w:r>
            <w:r>
              <w:rPr>
                <w:rFonts w:ascii="仿宋" w:hAnsi="仿宋" w:eastAsia="仿宋"/>
                <w:sz w:val="24"/>
                <w:szCs w:val="24"/>
              </w:rPr>
              <w:t>与其它管道交叉段统计表</w:t>
            </w:r>
            <w:r>
              <w:rPr>
                <w:rFonts w:hint="eastAsia" w:ascii="仿宋" w:hAnsi="仿宋" w:eastAsia="仿宋"/>
                <w:sz w:val="24"/>
                <w:szCs w:val="24"/>
              </w:rPr>
              <w:t>（见表</w:t>
            </w:r>
            <w:r>
              <w:rPr>
                <w:rFonts w:ascii="仿宋" w:hAnsi="仿宋" w:eastAsia="仿宋"/>
                <w:sz w:val="24"/>
                <w:szCs w:val="24"/>
              </w:rPr>
              <w:t>27</w:t>
            </w:r>
            <w:r>
              <w:rPr>
                <w:rFonts w:hint="eastAsia" w:ascii="仿宋" w:hAnsi="仿宋" w:eastAsia="仿宋"/>
                <w:sz w:val="24"/>
                <w:szCs w:val="24"/>
              </w:rPr>
              <w:t>和表</w:t>
            </w:r>
            <w:r>
              <w:rPr>
                <w:rFonts w:ascii="仿宋" w:hAnsi="仿宋" w:eastAsia="仿宋"/>
                <w:sz w:val="24"/>
                <w:szCs w:val="24"/>
              </w:rPr>
              <w:t>28</w:t>
            </w:r>
            <w:r>
              <w:rPr>
                <w:rFonts w:hint="eastAsia" w:ascii="仿宋" w:hAnsi="仿宋" w:eastAsia="仿宋"/>
                <w:sz w:val="24"/>
                <w:szCs w:val="24"/>
              </w:rPr>
              <w:t>），说明同管沟敷设不同管道的情况。</w:t>
            </w:r>
          </w:p>
        </w:tc>
        <w:tc>
          <w:tcPr>
            <w:tcW w:w="768" w:type="pct"/>
            <w:shd w:val="clear" w:color="auto" w:fill="FFFFFF" w:themeFill="background1"/>
            <w:vAlign w:val="center"/>
          </w:tcPr>
          <w:p w14:paraId="78579C5A">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753E93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7159CF3B">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1D6FF595">
            <w:pPr>
              <w:jc w:val="center"/>
              <w:textAlignment w:val="center"/>
              <w:rPr>
                <w:rFonts w:hint="eastAsia" w:ascii="仿宋" w:hAnsi="仿宋" w:eastAsia="仿宋" w:cs="微软雅黑"/>
                <w:sz w:val="24"/>
              </w:rPr>
            </w:pPr>
            <w:r>
              <w:rPr>
                <w:rFonts w:hint="eastAsia" w:ascii="仿宋" w:hAnsi="仿宋" w:eastAsia="仿宋" w:cs="微软雅黑"/>
                <w:sz w:val="24"/>
              </w:rPr>
              <w:t>5.4.13 标识与伴行路</w:t>
            </w:r>
          </w:p>
        </w:tc>
        <w:tc>
          <w:tcPr>
            <w:tcW w:w="1479" w:type="pct"/>
            <w:shd w:val="clear" w:color="auto" w:fill="FFFFFF" w:themeFill="background1"/>
            <w:vAlign w:val="center"/>
          </w:tcPr>
          <w:p w14:paraId="6B2D2560">
            <w:pPr>
              <w:jc w:val="left"/>
              <w:textAlignment w:val="center"/>
              <w:rPr>
                <w:rFonts w:hint="eastAsia" w:ascii="仿宋" w:hAnsi="仿宋" w:eastAsia="仿宋" w:cs="微软雅黑"/>
                <w:sz w:val="24"/>
              </w:rPr>
            </w:pPr>
            <w:r>
              <w:rPr>
                <w:rFonts w:hint="eastAsia" w:ascii="仿宋" w:hAnsi="仿宋" w:eastAsia="仿宋" w:cs="微软雅黑"/>
                <w:sz w:val="24"/>
              </w:rPr>
              <w:t>应说明管道标识、伴行道路设置原则和相关情况等。</w:t>
            </w:r>
          </w:p>
        </w:tc>
        <w:tc>
          <w:tcPr>
            <w:tcW w:w="578" w:type="pct"/>
            <w:shd w:val="clear" w:color="auto" w:fill="FFFFFF" w:themeFill="background1"/>
            <w:noWrap/>
            <w:vAlign w:val="center"/>
          </w:tcPr>
          <w:p w14:paraId="3DFFC252">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5.</w:t>
            </w:r>
            <w:r>
              <w:rPr>
                <w:rFonts w:hint="eastAsia" w:ascii="仿宋" w:hAnsi="仿宋" w:eastAsia="仿宋"/>
                <w:sz w:val="24"/>
                <w:szCs w:val="24"/>
                <w:lang w:val="en-US"/>
              </w:rPr>
              <w:t>3</w:t>
            </w:r>
            <w:r>
              <w:rPr>
                <w:rFonts w:ascii="仿宋" w:hAnsi="仿宋" w:eastAsia="仿宋"/>
                <w:sz w:val="24"/>
                <w:szCs w:val="24"/>
              </w:rPr>
              <w:t xml:space="preserve">.13 </w:t>
            </w:r>
            <w:r>
              <w:rPr>
                <w:rFonts w:hint="eastAsia" w:ascii="仿宋" w:hAnsi="仿宋" w:eastAsia="仿宋"/>
                <w:sz w:val="24"/>
                <w:szCs w:val="24"/>
              </w:rPr>
              <w:t>标识与伴行道路</w:t>
            </w:r>
          </w:p>
        </w:tc>
        <w:tc>
          <w:tcPr>
            <w:tcW w:w="1473" w:type="pct"/>
            <w:shd w:val="clear" w:color="auto" w:fill="FFFFFF" w:themeFill="background1"/>
            <w:vAlign w:val="center"/>
          </w:tcPr>
          <w:p w14:paraId="17CE93BE">
            <w:pPr>
              <w:pStyle w:val="35"/>
              <w:spacing w:line="240" w:lineRule="auto"/>
              <w:ind w:firstLine="0" w:firstLineChars="0"/>
              <w:rPr>
                <w:rFonts w:hint="eastAsia" w:ascii="仿宋" w:hAnsi="仿宋" w:eastAsia="仿宋" w:cs="微软雅黑"/>
                <w:sz w:val="24"/>
                <w:szCs w:val="24"/>
              </w:rPr>
            </w:pPr>
            <w:r>
              <w:rPr>
                <w:rFonts w:hint="eastAsia" w:ascii="仿宋" w:hAnsi="仿宋" w:eastAsia="仿宋"/>
                <w:color w:val="auto"/>
                <w:kern w:val="0"/>
                <w:sz w:val="24"/>
                <w:szCs w:val="24"/>
              </w:rPr>
              <w:t>说明管道标识、高后果区标识和伴行道路设置等情况。</w:t>
            </w:r>
          </w:p>
        </w:tc>
        <w:tc>
          <w:tcPr>
            <w:tcW w:w="768" w:type="pct"/>
            <w:shd w:val="clear" w:color="auto" w:fill="FFFFFF" w:themeFill="background1"/>
            <w:vAlign w:val="center"/>
          </w:tcPr>
          <w:p w14:paraId="6B068C3B">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200A50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7CB5BD0D">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63229960">
            <w:pPr>
              <w:jc w:val="center"/>
              <w:textAlignment w:val="center"/>
              <w:rPr>
                <w:rFonts w:hint="eastAsia" w:ascii="仿宋" w:hAnsi="仿宋" w:eastAsia="仿宋" w:cs="微软雅黑"/>
                <w:sz w:val="24"/>
              </w:rPr>
            </w:pPr>
            <w:r>
              <w:rPr>
                <w:rFonts w:hint="eastAsia" w:ascii="仿宋" w:hAnsi="仿宋" w:eastAsia="仿宋" w:cs="微软雅黑"/>
                <w:sz w:val="24"/>
              </w:rPr>
              <w:t>5.4.14 阀室</w:t>
            </w:r>
          </w:p>
        </w:tc>
        <w:tc>
          <w:tcPr>
            <w:tcW w:w="1479" w:type="pct"/>
            <w:shd w:val="clear" w:color="auto" w:fill="FFFFFF" w:themeFill="background1"/>
            <w:vAlign w:val="center"/>
          </w:tcPr>
          <w:p w14:paraId="4162E93E">
            <w:pPr>
              <w:jc w:val="left"/>
              <w:textAlignment w:val="center"/>
              <w:rPr>
                <w:rFonts w:hint="eastAsia" w:ascii="仿宋" w:hAnsi="仿宋" w:eastAsia="仿宋" w:cs="微软雅黑"/>
                <w:sz w:val="24"/>
              </w:rPr>
            </w:pPr>
            <w:r>
              <w:rPr>
                <w:rFonts w:hint="eastAsia" w:ascii="仿宋" w:hAnsi="仿宋" w:eastAsia="仿宋" w:cs="微软雅黑"/>
                <w:sz w:val="24"/>
              </w:rPr>
              <w:t>应描述阀室（输气管道含放空管）型式、布置、周边环境、交通条件和设计标高情况（参考防洪影响评价报告或当地涝灾情况），并按表2进行统计。</w:t>
            </w:r>
          </w:p>
        </w:tc>
        <w:tc>
          <w:tcPr>
            <w:tcW w:w="578" w:type="pct"/>
            <w:shd w:val="clear" w:color="auto" w:fill="FFFFFF" w:themeFill="background1"/>
            <w:noWrap/>
            <w:vAlign w:val="center"/>
          </w:tcPr>
          <w:p w14:paraId="0A9AC28C">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5.</w:t>
            </w:r>
            <w:r>
              <w:rPr>
                <w:rFonts w:hint="eastAsia" w:ascii="仿宋" w:hAnsi="仿宋" w:eastAsia="仿宋"/>
                <w:sz w:val="24"/>
                <w:szCs w:val="24"/>
                <w:lang w:val="en-US"/>
              </w:rPr>
              <w:t>3</w:t>
            </w:r>
            <w:r>
              <w:rPr>
                <w:rFonts w:ascii="仿宋" w:hAnsi="仿宋" w:eastAsia="仿宋"/>
                <w:sz w:val="24"/>
                <w:szCs w:val="24"/>
              </w:rPr>
              <w:t xml:space="preserve">.14 </w:t>
            </w:r>
            <w:r>
              <w:rPr>
                <w:rFonts w:hint="eastAsia" w:ascii="仿宋" w:hAnsi="仿宋" w:eastAsia="仿宋"/>
                <w:sz w:val="24"/>
                <w:szCs w:val="24"/>
              </w:rPr>
              <w:t>截断阀室</w:t>
            </w:r>
          </w:p>
        </w:tc>
        <w:tc>
          <w:tcPr>
            <w:tcW w:w="1473" w:type="pct"/>
            <w:shd w:val="clear" w:color="auto" w:fill="FFFFFF" w:themeFill="background1"/>
            <w:vAlign w:val="center"/>
          </w:tcPr>
          <w:p w14:paraId="6E263239">
            <w:pPr>
              <w:pStyle w:val="35"/>
              <w:spacing w:line="240" w:lineRule="auto"/>
              <w:ind w:firstLine="0" w:firstLineChars="0"/>
              <w:rPr>
                <w:rFonts w:hint="eastAsia" w:ascii="仿宋" w:hAnsi="仿宋" w:eastAsia="仿宋" w:cs="微软雅黑"/>
                <w:sz w:val="24"/>
                <w:szCs w:val="24"/>
              </w:rPr>
            </w:pPr>
            <w:r>
              <w:rPr>
                <w:rFonts w:hint="eastAsia" w:ascii="仿宋" w:hAnsi="仿宋" w:eastAsia="仿宋"/>
                <w:color w:val="auto"/>
                <w:kern w:val="0"/>
                <w:sz w:val="24"/>
                <w:szCs w:val="24"/>
              </w:rPr>
              <w:t>说明截断阀室的型式、布置、周边环境、交通条件、设计标高、25年一遇最高洪水水位情况（结合防洪影响评价报告或当地洪涝情况），并按表2进行统计。</w:t>
            </w:r>
          </w:p>
        </w:tc>
        <w:tc>
          <w:tcPr>
            <w:tcW w:w="768" w:type="pct"/>
            <w:shd w:val="clear" w:color="auto" w:fill="FFFFFF" w:themeFill="background1"/>
            <w:vAlign w:val="center"/>
          </w:tcPr>
          <w:p w14:paraId="4A61ABD8">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42A329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46B04FC9">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74F1B765">
            <w:pPr>
              <w:jc w:val="center"/>
              <w:textAlignment w:val="center"/>
              <w:rPr>
                <w:rFonts w:hint="eastAsia" w:ascii="仿宋" w:hAnsi="仿宋" w:eastAsia="仿宋" w:cs="微软雅黑"/>
                <w:sz w:val="24"/>
              </w:rPr>
            </w:pPr>
            <w:r>
              <w:rPr>
                <w:rFonts w:hint="eastAsia" w:ascii="仿宋" w:hAnsi="仿宋" w:eastAsia="仿宋" w:cs="微软雅黑"/>
                <w:sz w:val="24"/>
              </w:rPr>
              <w:t>5.5 站场工程</w:t>
            </w:r>
          </w:p>
        </w:tc>
        <w:tc>
          <w:tcPr>
            <w:tcW w:w="1479" w:type="pct"/>
            <w:shd w:val="clear" w:color="auto" w:fill="FFFFFF" w:themeFill="background1"/>
            <w:vAlign w:val="center"/>
          </w:tcPr>
          <w:p w14:paraId="781594AD">
            <w:pPr>
              <w:jc w:val="left"/>
              <w:textAlignment w:val="center"/>
              <w:rPr>
                <w:rFonts w:hint="eastAsia" w:ascii="仿宋" w:hAnsi="仿宋" w:eastAsia="仿宋" w:cs="微软雅黑"/>
                <w:sz w:val="24"/>
              </w:rPr>
            </w:pPr>
          </w:p>
        </w:tc>
        <w:tc>
          <w:tcPr>
            <w:tcW w:w="578" w:type="pct"/>
            <w:shd w:val="clear" w:color="auto" w:fill="FFFFFF" w:themeFill="background1"/>
            <w:noWrap/>
            <w:vAlign w:val="center"/>
          </w:tcPr>
          <w:p w14:paraId="6EF59BC5">
            <w:pPr>
              <w:jc w:val="center"/>
              <w:textAlignment w:val="center"/>
              <w:rPr>
                <w:rFonts w:hint="eastAsia" w:ascii="仿宋" w:hAnsi="仿宋" w:eastAsia="仿宋" w:cs="微软雅黑"/>
                <w:sz w:val="24"/>
              </w:rPr>
            </w:pPr>
            <w:r>
              <w:rPr>
                <w:rFonts w:hint="eastAsia" w:ascii="仿宋" w:hAnsi="仿宋" w:eastAsia="仿宋" w:cs="微软雅黑"/>
                <w:sz w:val="24"/>
              </w:rPr>
              <w:t>5.4 站场工程</w:t>
            </w:r>
          </w:p>
        </w:tc>
        <w:tc>
          <w:tcPr>
            <w:tcW w:w="1473" w:type="pct"/>
            <w:shd w:val="clear" w:color="auto" w:fill="FFFFFF" w:themeFill="background1"/>
            <w:vAlign w:val="center"/>
          </w:tcPr>
          <w:p w14:paraId="5F65B632">
            <w:pPr>
              <w:jc w:val="left"/>
              <w:textAlignment w:val="center"/>
              <w:rPr>
                <w:rFonts w:hint="eastAsia" w:ascii="仿宋" w:hAnsi="仿宋" w:eastAsia="仿宋" w:cs="微软雅黑"/>
                <w:sz w:val="24"/>
              </w:rPr>
            </w:pPr>
          </w:p>
        </w:tc>
        <w:tc>
          <w:tcPr>
            <w:tcW w:w="768" w:type="pct"/>
            <w:shd w:val="clear" w:color="auto" w:fill="FFFFFF" w:themeFill="background1"/>
            <w:vAlign w:val="center"/>
          </w:tcPr>
          <w:p w14:paraId="5C0B9014">
            <w:pPr>
              <w:jc w:val="left"/>
              <w:textAlignment w:val="center"/>
              <w:rPr>
                <w:rFonts w:hint="eastAsia" w:ascii="仿宋" w:hAnsi="仿宋" w:eastAsia="仿宋" w:cs="微软雅黑"/>
                <w:sz w:val="24"/>
              </w:rPr>
            </w:pPr>
            <w:r>
              <w:rPr>
                <w:rFonts w:hint="eastAsia" w:ascii="仿宋" w:hAnsi="仿宋" w:eastAsia="仿宋" w:cs="微软雅黑"/>
                <w:sz w:val="24"/>
              </w:rPr>
              <w:t>梳理了章节顺序。</w:t>
            </w:r>
          </w:p>
        </w:tc>
      </w:tr>
      <w:tr w14:paraId="407234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0869E29D">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6127582E">
            <w:pPr>
              <w:jc w:val="center"/>
              <w:textAlignment w:val="center"/>
              <w:rPr>
                <w:rFonts w:hint="eastAsia" w:ascii="仿宋" w:hAnsi="仿宋" w:eastAsia="仿宋" w:cs="微软雅黑"/>
                <w:sz w:val="24"/>
              </w:rPr>
            </w:pPr>
            <w:r>
              <w:rPr>
                <w:rFonts w:hint="eastAsia" w:ascii="仿宋" w:hAnsi="仿宋" w:eastAsia="仿宋" w:cs="微软雅黑"/>
                <w:sz w:val="24"/>
              </w:rPr>
              <w:t>5.5.1 区域布置</w:t>
            </w:r>
          </w:p>
        </w:tc>
        <w:tc>
          <w:tcPr>
            <w:tcW w:w="1479" w:type="pct"/>
            <w:shd w:val="clear" w:color="auto" w:fill="FFFFFF" w:themeFill="background1"/>
            <w:vAlign w:val="center"/>
          </w:tcPr>
          <w:p w14:paraId="3D6ED0ED">
            <w:pPr>
              <w:jc w:val="left"/>
              <w:textAlignment w:val="center"/>
              <w:rPr>
                <w:rFonts w:hint="eastAsia" w:ascii="仿宋" w:hAnsi="仿宋" w:eastAsia="仿宋" w:cs="微软雅黑"/>
                <w:sz w:val="24"/>
              </w:rPr>
            </w:pPr>
          </w:p>
        </w:tc>
        <w:tc>
          <w:tcPr>
            <w:tcW w:w="578" w:type="pct"/>
            <w:shd w:val="clear" w:color="auto" w:fill="FFFFFF" w:themeFill="background1"/>
            <w:noWrap/>
            <w:vAlign w:val="center"/>
          </w:tcPr>
          <w:p w14:paraId="5F51E35F">
            <w:pPr>
              <w:jc w:val="center"/>
              <w:textAlignment w:val="center"/>
              <w:rPr>
                <w:rFonts w:hint="eastAsia" w:ascii="仿宋" w:hAnsi="仿宋" w:eastAsia="仿宋" w:cs="微软雅黑"/>
                <w:sz w:val="24"/>
              </w:rPr>
            </w:pPr>
            <w:r>
              <w:rPr>
                <w:rFonts w:hint="eastAsia" w:ascii="仿宋" w:hAnsi="仿宋" w:eastAsia="仿宋" w:cs="微软雅黑"/>
                <w:sz w:val="24"/>
              </w:rPr>
              <w:t>5.4.1 区域布置</w:t>
            </w:r>
          </w:p>
        </w:tc>
        <w:tc>
          <w:tcPr>
            <w:tcW w:w="1473" w:type="pct"/>
            <w:shd w:val="clear" w:color="auto" w:fill="FFFFFF" w:themeFill="background1"/>
            <w:vAlign w:val="center"/>
          </w:tcPr>
          <w:p w14:paraId="638C9418">
            <w:pPr>
              <w:pStyle w:val="35"/>
              <w:spacing w:line="240" w:lineRule="auto"/>
              <w:ind w:firstLine="0" w:firstLineChars="0"/>
              <w:rPr>
                <w:rFonts w:hint="eastAsia" w:ascii="仿宋" w:hAnsi="仿宋" w:eastAsia="仿宋" w:cs="微软雅黑"/>
                <w:sz w:val="24"/>
                <w:szCs w:val="24"/>
              </w:rPr>
            </w:pPr>
            <w:r>
              <w:rPr>
                <w:rFonts w:hint="eastAsia" w:ascii="仿宋" w:hAnsi="仿宋" w:eastAsia="仿宋"/>
                <w:color w:val="auto"/>
                <w:kern w:val="0"/>
                <w:sz w:val="24"/>
                <w:szCs w:val="24"/>
              </w:rPr>
              <w:t>说明站场的区域布置情况并附图。</w:t>
            </w:r>
          </w:p>
        </w:tc>
        <w:tc>
          <w:tcPr>
            <w:tcW w:w="768" w:type="pct"/>
            <w:shd w:val="clear" w:color="auto" w:fill="FFFFFF" w:themeFill="background1"/>
            <w:vAlign w:val="center"/>
          </w:tcPr>
          <w:p w14:paraId="231A3BBB">
            <w:pPr>
              <w:jc w:val="left"/>
              <w:textAlignment w:val="center"/>
              <w:rPr>
                <w:rFonts w:hint="eastAsia" w:ascii="仿宋" w:hAnsi="仿宋" w:eastAsia="仿宋" w:cs="微软雅黑"/>
                <w:sz w:val="24"/>
              </w:rPr>
            </w:pPr>
            <w:r>
              <w:rPr>
                <w:rFonts w:hint="eastAsia" w:ascii="仿宋" w:hAnsi="仿宋" w:eastAsia="仿宋" w:cs="微软雅黑"/>
                <w:sz w:val="24"/>
              </w:rPr>
              <w:t>修改了区域布置的文字表述内容，删除了相关间距符合性评价内容。</w:t>
            </w:r>
          </w:p>
        </w:tc>
      </w:tr>
      <w:tr w14:paraId="7FF183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785C809B">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0FBEA263">
            <w:pPr>
              <w:jc w:val="center"/>
              <w:textAlignment w:val="center"/>
              <w:rPr>
                <w:rFonts w:hint="eastAsia" w:ascii="仿宋" w:hAnsi="仿宋" w:eastAsia="仿宋" w:cs="微软雅黑"/>
                <w:sz w:val="24"/>
              </w:rPr>
            </w:pPr>
            <w:r>
              <w:rPr>
                <w:rFonts w:hint="eastAsia" w:ascii="仿宋" w:hAnsi="仿宋" w:eastAsia="仿宋" w:cs="微软雅黑"/>
                <w:sz w:val="24"/>
              </w:rPr>
              <w:t>5.5.1.1</w:t>
            </w:r>
          </w:p>
        </w:tc>
        <w:tc>
          <w:tcPr>
            <w:tcW w:w="1479" w:type="pct"/>
            <w:shd w:val="clear" w:color="auto" w:fill="FFFFFF" w:themeFill="background1"/>
            <w:vAlign w:val="center"/>
          </w:tcPr>
          <w:p w14:paraId="1F686EFB">
            <w:pPr>
              <w:jc w:val="left"/>
              <w:textAlignment w:val="center"/>
              <w:rPr>
                <w:rFonts w:hint="eastAsia" w:ascii="仿宋" w:hAnsi="仿宋" w:eastAsia="仿宋" w:cs="微软雅黑"/>
                <w:sz w:val="24"/>
              </w:rPr>
            </w:pPr>
            <w:r>
              <w:rPr>
                <w:rFonts w:hint="eastAsia" w:ascii="仿宋" w:hAnsi="仿宋" w:eastAsia="仿宋" w:cs="微软雅黑"/>
                <w:sz w:val="24"/>
              </w:rPr>
              <w:t>站场（含与输油管道相连的油库、输气站场的放空立管）的区域布置应按GB 50183的规定描述防火间距。</w:t>
            </w:r>
          </w:p>
        </w:tc>
        <w:tc>
          <w:tcPr>
            <w:tcW w:w="578" w:type="pct"/>
            <w:shd w:val="clear" w:color="auto" w:fill="FFFFFF" w:themeFill="background1"/>
            <w:noWrap/>
            <w:vAlign w:val="center"/>
          </w:tcPr>
          <w:p w14:paraId="047663CF">
            <w:pPr>
              <w:jc w:val="center"/>
              <w:textAlignment w:val="center"/>
              <w:rPr>
                <w:rFonts w:hint="eastAsia" w:ascii="仿宋" w:hAnsi="仿宋" w:eastAsia="仿宋" w:cs="微软雅黑"/>
                <w:sz w:val="24"/>
              </w:rPr>
            </w:pPr>
          </w:p>
        </w:tc>
        <w:tc>
          <w:tcPr>
            <w:tcW w:w="1473" w:type="pct"/>
            <w:shd w:val="clear" w:color="auto" w:fill="FFFFFF" w:themeFill="background1"/>
            <w:vAlign w:val="center"/>
          </w:tcPr>
          <w:p w14:paraId="4CDFC0C2">
            <w:pPr>
              <w:jc w:val="left"/>
              <w:textAlignment w:val="center"/>
              <w:rPr>
                <w:rFonts w:hint="eastAsia" w:ascii="仿宋" w:hAnsi="仿宋" w:eastAsia="仿宋" w:cs="微软雅黑"/>
                <w:sz w:val="24"/>
              </w:rPr>
            </w:pPr>
          </w:p>
        </w:tc>
        <w:tc>
          <w:tcPr>
            <w:tcW w:w="768" w:type="pct"/>
            <w:shd w:val="clear" w:color="auto" w:fill="FFFFFF" w:themeFill="background1"/>
            <w:vAlign w:val="center"/>
          </w:tcPr>
          <w:p w14:paraId="3EF2B409">
            <w:pPr>
              <w:jc w:val="left"/>
              <w:textAlignment w:val="center"/>
              <w:rPr>
                <w:rFonts w:hint="eastAsia" w:ascii="仿宋" w:hAnsi="仿宋" w:eastAsia="仿宋" w:cs="微软雅黑"/>
                <w:sz w:val="24"/>
              </w:rPr>
            </w:pPr>
          </w:p>
        </w:tc>
      </w:tr>
      <w:tr w14:paraId="5137C7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6F594035">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4E012611">
            <w:pPr>
              <w:jc w:val="center"/>
              <w:textAlignment w:val="center"/>
              <w:rPr>
                <w:rFonts w:hint="eastAsia" w:ascii="仿宋" w:hAnsi="仿宋" w:eastAsia="仿宋" w:cs="微软雅黑"/>
                <w:sz w:val="24"/>
              </w:rPr>
            </w:pPr>
            <w:r>
              <w:rPr>
                <w:rFonts w:hint="eastAsia" w:ascii="仿宋" w:hAnsi="仿宋" w:eastAsia="仿宋" w:cs="微软雅黑"/>
                <w:sz w:val="24"/>
              </w:rPr>
              <w:t>5.5.1.2</w:t>
            </w:r>
          </w:p>
        </w:tc>
        <w:tc>
          <w:tcPr>
            <w:tcW w:w="1479" w:type="pct"/>
            <w:shd w:val="clear" w:color="auto" w:fill="FFFFFF" w:themeFill="background1"/>
            <w:vAlign w:val="center"/>
          </w:tcPr>
          <w:p w14:paraId="1D1E3AE9">
            <w:pPr>
              <w:jc w:val="left"/>
              <w:textAlignment w:val="center"/>
              <w:rPr>
                <w:rFonts w:hint="eastAsia" w:ascii="仿宋" w:hAnsi="仿宋" w:eastAsia="仿宋" w:cs="微软雅黑"/>
                <w:sz w:val="24"/>
              </w:rPr>
            </w:pPr>
            <w:r>
              <w:rPr>
                <w:rFonts w:hint="eastAsia" w:ascii="仿宋" w:hAnsi="仿宋" w:eastAsia="仿宋" w:cs="微软雅黑"/>
                <w:sz w:val="24"/>
              </w:rPr>
              <w:t>站场（含与输油管道相连的油库、输气站场的放空立管）与高速铁路、埋地通信线缆的距离应符合相关规定。</w:t>
            </w:r>
          </w:p>
        </w:tc>
        <w:tc>
          <w:tcPr>
            <w:tcW w:w="578" w:type="pct"/>
            <w:shd w:val="clear" w:color="auto" w:fill="FFFFFF" w:themeFill="background1"/>
            <w:noWrap/>
            <w:vAlign w:val="center"/>
          </w:tcPr>
          <w:p w14:paraId="2BC6C33B">
            <w:pPr>
              <w:jc w:val="center"/>
              <w:textAlignment w:val="center"/>
              <w:rPr>
                <w:rFonts w:hint="eastAsia" w:ascii="仿宋" w:hAnsi="仿宋" w:eastAsia="仿宋" w:cs="微软雅黑"/>
                <w:sz w:val="24"/>
              </w:rPr>
            </w:pPr>
          </w:p>
        </w:tc>
        <w:tc>
          <w:tcPr>
            <w:tcW w:w="1473" w:type="pct"/>
            <w:shd w:val="clear" w:color="auto" w:fill="FFFFFF" w:themeFill="background1"/>
            <w:vAlign w:val="center"/>
          </w:tcPr>
          <w:p w14:paraId="033C65F6">
            <w:pPr>
              <w:jc w:val="left"/>
              <w:textAlignment w:val="center"/>
              <w:rPr>
                <w:rFonts w:hint="eastAsia" w:ascii="仿宋" w:hAnsi="仿宋" w:eastAsia="仿宋" w:cs="微软雅黑"/>
                <w:sz w:val="24"/>
              </w:rPr>
            </w:pPr>
          </w:p>
        </w:tc>
        <w:tc>
          <w:tcPr>
            <w:tcW w:w="768" w:type="pct"/>
            <w:shd w:val="clear" w:color="auto" w:fill="FFFFFF" w:themeFill="background1"/>
            <w:vAlign w:val="center"/>
          </w:tcPr>
          <w:p w14:paraId="3F203255">
            <w:pPr>
              <w:jc w:val="left"/>
              <w:textAlignment w:val="center"/>
              <w:rPr>
                <w:rFonts w:hint="eastAsia" w:ascii="仿宋" w:hAnsi="仿宋" w:eastAsia="仿宋" w:cs="微软雅黑"/>
                <w:sz w:val="24"/>
              </w:rPr>
            </w:pPr>
          </w:p>
        </w:tc>
      </w:tr>
      <w:tr w14:paraId="78767E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63FD2F1A">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0304E326">
            <w:pPr>
              <w:jc w:val="center"/>
              <w:textAlignment w:val="center"/>
              <w:rPr>
                <w:rFonts w:hint="eastAsia" w:ascii="仿宋" w:hAnsi="仿宋" w:eastAsia="仿宋" w:cs="微软雅黑"/>
                <w:sz w:val="24"/>
              </w:rPr>
            </w:pPr>
            <w:r>
              <w:rPr>
                <w:rFonts w:hint="eastAsia" w:ascii="仿宋" w:hAnsi="仿宋" w:eastAsia="仿宋" w:cs="微软雅黑"/>
                <w:sz w:val="24"/>
              </w:rPr>
              <w:t>5.5.2 平面及竖向布置</w:t>
            </w:r>
          </w:p>
        </w:tc>
        <w:tc>
          <w:tcPr>
            <w:tcW w:w="1479" w:type="pct"/>
            <w:shd w:val="clear" w:color="auto" w:fill="FFFFFF" w:themeFill="background1"/>
            <w:vAlign w:val="center"/>
          </w:tcPr>
          <w:p w14:paraId="6D8ACF17">
            <w:pPr>
              <w:jc w:val="left"/>
              <w:textAlignment w:val="center"/>
              <w:rPr>
                <w:rFonts w:hint="eastAsia" w:ascii="仿宋" w:hAnsi="仿宋" w:eastAsia="仿宋" w:cs="微软雅黑"/>
                <w:sz w:val="24"/>
              </w:rPr>
            </w:pPr>
          </w:p>
        </w:tc>
        <w:tc>
          <w:tcPr>
            <w:tcW w:w="578" w:type="pct"/>
            <w:shd w:val="clear" w:color="auto" w:fill="FFFFFF" w:themeFill="background1"/>
            <w:noWrap/>
            <w:vAlign w:val="center"/>
          </w:tcPr>
          <w:p w14:paraId="01379E99">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5.</w:t>
            </w:r>
            <w:r>
              <w:rPr>
                <w:rFonts w:hint="eastAsia" w:ascii="仿宋" w:hAnsi="仿宋" w:eastAsia="仿宋"/>
                <w:sz w:val="24"/>
                <w:szCs w:val="24"/>
                <w:lang w:val="en-US"/>
              </w:rPr>
              <w:t>4</w:t>
            </w:r>
            <w:r>
              <w:rPr>
                <w:rFonts w:ascii="仿宋" w:hAnsi="仿宋" w:eastAsia="仿宋"/>
                <w:sz w:val="24"/>
                <w:szCs w:val="24"/>
              </w:rPr>
              <w:t xml:space="preserve">.2 </w:t>
            </w:r>
            <w:r>
              <w:rPr>
                <w:rFonts w:hint="eastAsia" w:ascii="仿宋" w:hAnsi="仿宋" w:eastAsia="仿宋"/>
                <w:sz w:val="24"/>
                <w:szCs w:val="24"/>
              </w:rPr>
              <w:t>平面及竖向布置</w:t>
            </w:r>
          </w:p>
        </w:tc>
        <w:tc>
          <w:tcPr>
            <w:tcW w:w="1473" w:type="pct"/>
            <w:shd w:val="clear" w:color="auto" w:fill="FFFFFF" w:themeFill="background1"/>
            <w:vAlign w:val="center"/>
          </w:tcPr>
          <w:p w14:paraId="4DCBF3BA">
            <w:pPr>
              <w:jc w:val="left"/>
              <w:textAlignment w:val="center"/>
              <w:rPr>
                <w:rFonts w:hint="eastAsia" w:ascii="仿宋" w:hAnsi="仿宋" w:eastAsia="仿宋" w:cs="微软雅黑"/>
                <w:sz w:val="24"/>
              </w:rPr>
            </w:pPr>
          </w:p>
        </w:tc>
        <w:tc>
          <w:tcPr>
            <w:tcW w:w="768" w:type="pct"/>
            <w:shd w:val="clear" w:color="auto" w:fill="FFFFFF" w:themeFill="background1"/>
            <w:vAlign w:val="center"/>
          </w:tcPr>
          <w:p w14:paraId="2451FD7E">
            <w:pPr>
              <w:jc w:val="left"/>
              <w:textAlignment w:val="center"/>
              <w:rPr>
                <w:rFonts w:hint="eastAsia" w:ascii="仿宋" w:hAnsi="仿宋" w:eastAsia="仿宋" w:cs="微软雅黑"/>
                <w:sz w:val="24"/>
              </w:rPr>
            </w:pPr>
            <w:r>
              <w:rPr>
                <w:rFonts w:hint="eastAsia" w:ascii="仿宋" w:hAnsi="仿宋" w:eastAsia="仿宋" w:cs="微软雅黑"/>
                <w:sz w:val="24"/>
              </w:rPr>
              <w:t>梳理了章节顺序。</w:t>
            </w:r>
          </w:p>
        </w:tc>
      </w:tr>
      <w:tr w14:paraId="46B526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74D90ECA">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46195717">
            <w:pPr>
              <w:jc w:val="center"/>
              <w:textAlignment w:val="center"/>
              <w:rPr>
                <w:rFonts w:hint="eastAsia" w:ascii="仿宋" w:hAnsi="仿宋" w:eastAsia="仿宋" w:cs="微软雅黑"/>
                <w:sz w:val="24"/>
              </w:rPr>
            </w:pPr>
            <w:r>
              <w:rPr>
                <w:rFonts w:hint="eastAsia" w:ascii="仿宋" w:hAnsi="仿宋" w:eastAsia="仿宋" w:cs="微软雅黑"/>
                <w:sz w:val="24"/>
              </w:rPr>
              <w:t>5.5.2.1</w:t>
            </w:r>
          </w:p>
        </w:tc>
        <w:tc>
          <w:tcPr>
            <w:tcW w:w="1479" w:type="pct"/>
            <w:shd w:val="clear" w:color="auto" w:fill="FFFFFF" w:themeFill="background1"/>
            <w:vAlign w:val="center"/>
          </w:tcPr>
          <w:p w14:paraId="552EE2FF">
            <w:pPr>
              <w:jc w:val="left"/>
              <w:textAlignment w:val="center"/>
              <w:rPr>
                <w:rFonts w:hint="eastAsia" w:ascii="仿宋" w:hAnsi="仿宋" w:eastAsia="仿宋" w:cs="微软雅黑"/>
                <w:sz w:val="24"/>
              </w:rPr>
            </w:pPr>
            <w:r>
              <w:rPr>
                <w:rFonts w:hint="eastAsia" w:ascii="仿宋" w:hAnsi="仿宋" w:eastAsia="仿宋" w:cs="微软雅黑"/>
                <w:sz w:val="24"/>
              </w:rPr>
              <w:t>描述站场内的平面及竖向布置，并按GB 50183的规定检查防火间距，应描述防洪涝设计情况（参考防洪影响评价报告或当地涝灾情况）。</w:t>
            </w:r>
          </w:p>
        </w:tc>
        <w:tc>
          <w:tcPr>
            <w:tcW w:w="578" w:type="pct"/>
            <w:shd w:val="clear" w:color="auto" w:fill="FFFFFF" w:themeFill="background1"/>
            <w:noWrap/>
            <w:vAlign w:val="center"/>
          </w:tcPr>
          <w:p w14:paraId="02C74215">
            <w:pPr>
              <w:jc w:val="center"/>
              <w:textAlignment w:val="center"/>
              <w:rPr>
                <w:rFonts w:hint="eastAsia" w:ascii="仿宋" w:hAnsi="仿宋" w:eastAsia="仿宋" w:cs="微软雅黑"/>
                <w:sz w:val="24"/>
              </w:rPr>
            </w:pPr>
            <w:r>
              <w:rPr>
                <w:rFonts w:ascii="仿宋" w:hAnsi="仿宋" w:eastAsia="仿宋"/>
                <w:color w:val="000000" w:themeColor="text1"/>
                <w:sz w:val="24"/>
                <w14:textFill>
                  <w14:solidFill>
                    <w14:schemeClr w14:val="tx1"/>
                  </w14:solidFill>
                </w14:textFill>
              </w:rPr>
              <w:t>5.</w:t>
            </w:r>
            <w:r>
              <w:rPr>
                <w:rFonts w:hint="eastAsia" w:ascii="仿宋" w:hAnsi="仿宋" w:eastAsia="仿宋"/>
                <w:color w:val="000000" w:themeColor="text1"/>
                <w:sz w:val="24"/>
                <w14:textFill>
                  <w14:solidFill>
                    <w14:schemeClr w14:val="tx1"/>
                  </w14:solidFill>
                </w14:textFill>
              </w:rPr>
              <w:t>4</w:t>
            </w:r>
            <w:r>
              <w:rPr>
                <w:rFonts w:ascii="仿宋" w:hAnsi="仿宋" w:eastAsia="仿宋"/>
                <w:color w:val="000000" w:themeColor="text1"/>
                <w:sz w:val="24"/>
                <w14:textFill>
                  <w14:solidFill>
                    <w14:schemeClr w14:val="tx1"/>
                  </w14:solidFill>
                </w14:textFill>
              </w:rPr>
              <w:t>.2.1</w:t>
            </w:r>
          </w:p>
        </w:tc>
        <w:tc>
          <w:tcPr>
            <w:tcW w:w="1473" w:type="pct"/>
            <w:shd w:val="clear" w:color="auto" w:fill="FFFFFF" w:themeFill="background1"/>
            <w:vAlign w:val="center"/>
          </w:tcPr>
          <w:p w14:paraId="313ED341">
            <w:pPr>
              <w:jc w:val="left"/>
              <w:textAlignment w:val="center"/>
              <w:rPr>
                <w:rFonts w:hint="eastAsia" w:ascii="仿宋" w:hAnsi="仿宋" w:eastAsia="仿宋" w:cs="微软雅黑"/>
                <w:sz w:val="24"/>
              </w:rPr>
            </w:pPr>
            <w:r>
              <w:rPr>
                <w:rFonts w:hint="eastAsia" w:ascii="仿宋" w:hAnsi="仿宋" w:eastAsia="仿宋"/>
                <w:sz w:val="24"/>
              </w:rPr>
              <w:t>说明站场内的平面及</w:t>
            </w:r>
            <w:r>
              <w:rPr>
                <w:rStyle w:val="156"/>
                <w:rFonts w:hint="eastAsia" w:ascii="仿宋" w:hAnsi="仿宋" w:eastAsia="仿宋"/>
                <w:sz w:val="24"/>
                <w:szCs w:val="24"/>
              </w:rPr>
              <w:t>竖向布置情况并附图。</w:t>
            </w:r>
          </w:p>
        </w:tc>
        <w:tc>
          <w:tcPr>
            <w:tcW w:w="768" w:type="pct"/>
            <w:shd w:val="clear" w:color="auto" w:fill="FFFFFF" w:themeFill="background1"/>
            <w:vAlign w:val="center"/>
          </w:tcPr>
          <w:p w14:paraId="523B4439">
            <w:pPr>
              <w:jc w:val="left"/>
              <w:textAlignment w:val="center"/>
              <w:rPr>
                <w:rFonts w:hint="eastAsia" w:ascii="仿宋" w:hAnsi="仿宋" w:eastAsia="仿宋" w:cs="微软雅黑"/>
                <w:sz w:val="24"/>
              </w:rPr>
            </w:pPr>
            <w:r>
              <w:rPr>
                <w:rFonts w:hint="eastAsia" w:ascii="仿宋" w:hAnsi="仿宋" w:eastAsia="仿宋" w:cs="微软雅黑"/>
                <w:sz w:val="24"/>
              </w:rPr>
              <w:t>修改了平面及竖向布置的文字表述内容，删除了相关间距符合性评价内容，调整至第8章。</w:t>
            </w:r>
          </w:p>
        </w:tc>
      </w:tr>
      <w:tr w14:paraId="189D3C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2EA08BD5">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60212FE9">
            <w:pPr>
              <w:jc w:val="center"/>
              <w:textAlignment w:val="center"/>
              <w:rPr>
                <w:rFonts w:hint="eastAsia" w:ascii="仿宋" w:hAnsi="仿宋" w:eastAsia="仿宋" w:cs="微软雅黑"/>
                <w:sz w:val="24"/>
              </w:rPr>
            </w:pPr>
            <w:r>
              <w:rPr>
                <w:rFonts w:hint="eastAsia" w:ascii="仿宋" w:hAnsi="仿宋" w:eastAsia="仿宋" w:cs="微软雅黑"/>
                <w:sz w:val="24"/>
              </w:rPr>
              <w:t>5.5.2.2</w:t>
            </w:r>
          </w:p>
        </w:tc>
        <w:tc>
          <w:tcPr>
            <w:tcW w:w="1479" w:type="pct"/>
            <w:shd w:val="clear" w:color="auto" w:fill="FFFFFF" w:themeFill="background1"/>
            <w:vAlign w:val="center"/>
          </w:tcPr>
          <w:p w14:paraId="7437ED0F">
            <w:pPr>
              <w:jc w:val="left"/>
              <w:textAlignment w:val="center"/>
              <w:rPr>
                <w:rFonts w:hint="eastAsia" w:ascii="仿宋" w:hAnsi="仿宋" w:eastAsia="仿宋" w:cs="微软雅黑"/>
                <w:sz w:val="24"/>
              </w:rPr>
            </w:pPr>
            <w:r>
              <w:rPr>
                <w:rFonts w:hint="eastAsia" w:ascii="仿宋" w:hAnsi="仿宋" w:eastAsia="仿宋" w:cs="微软雅黑"/>
                <w:sz w:val="24"/>
              </w:rPr>
              <w:t>站场内消防通道应与拟用的消防车辆相适应。</w:t>
            </w:r>
          </w:p>
        </w:tc>
        <w:tc>
          <w:tcPr>
            <w:tcW w:w="578" w:type="pct"/>
            <w:shd w:val="clear" w:color="auto" w:fill="FFFFFF" w:themeFill="background1"/>
            <w:noWrap/>
            <w:vAlign w:val="center"/>
          </w:tcPr>
          <w:p w14:paraId="208E5C7A">
            <w:pPr>
              <w:jc w:val="center"/>
              <w:textAlignment w:val="center"/>
              <w:rPr>
                <w:rFonts w:hint="eastAsia" w:ascii="仿宋" w:hAnsi="仿宋" w:eastAsia="仿宋" w:cs="微软雅黑"/>
                <w:sz w:val="24"/>
              </w:rPr>
            </w:pPr>
            <w:r>
              <w:rPr>
                <w:rFonts w:ascii="仿宋" w:hAnsi="仿宋" w:eastAsia="仿宋"/>
                <w:color w:val="000000" w:themeColor="text1"/>
                <w:sz w:val="24"/>
                <w14:textFill>
                  <w14:solidFill>
                    <w14:schemeClr w14:val="tx1"/>
                  </w14:solidFill>
                </w14:textFill>
              </w:rPr>
              <w:t>5.</w:t>
            </w:r>
            <w:r>
              <w:rPr>
                <w:rFonts w:hint="eastAsia" w:ascii="仿宋" w:hAnsi="仿宋" w:eastAsia="仿宋"/>
                <w:color w:val="000000" w:themeColor="text1"/>
                <w:sz w:val="24"/>
                <w14:textFill>
                  <w14:solidFill>
                    <w14:schemeClr w14:val="tx1"/>
                  </w14:solidFill>
                </w14:textFill>
              </w:rPr>
              <w:t>4</w:t>
            </w:r>
            <w:r>
              <w:rPr>
                <w:rFonts w:ascii="仿宋" w:hAnsi="仿宋" w:eastAsia="仿宋"/>
                <w:color w:val="000000" w:themeColor="text1"/>
                <w:sz w:val="24"/>
                <w14:textFill>
                  <w14:solidFill>
                    <w14:schemeClr w14:val="tx1"/>
                  </w14:solidFill>
                </w14:textFill>
              </w:rPr>
              <w:t>.2.</w:t>
            </w:r>
            <w:r>
              <w:rPr>
                <w:rFonts w:hint="eastAsia" w:ascii="仿宋" w:hAnsi="仿宋" w:eastAsia="仿宋"/>
                <w:color w:val="000000" w:themeColor="text1"/>
                <w:sz w:val="24"/>
                <w14:textFill>
                  <w14:solidFill>
                    <w14:schemeClr w14:val="tx1"/>
                  </w14:solidFill>
                </w14:textFill>
              </w:rPr>
              <w:t>2</w:t>
            </w:r>
          </w:p>
        </w:tc>
        <w:tc>
          <w:tcPr>
            <w:tcW w:w="1473" w:type="pct"/>
            <w:shd w:val="clear" w:color="auto" w:fill="FFFFFF" w:themeFill="background1"/>
            <w:vAlign w:val="center"/>
          </w:tcPr>
          <w:p w14:paraId="107E69E6">
            <w:pPr>
              <w:jc w:val="left"/>
              <w:textAlignment w:val="center"/>
              <w:rPr>
                <w:rFonts w:hint="eastAsia" w:ascii="仿宋" w:hAnsi="仿宋" w:eastAsia="仿宋"/>
                <w:sz w:val="24"/>
              </w:rPr>
            </w:pPr>
            <w:r>
              <w:rPr>
                <w:rFonts w:hint="eastAsia" w:ascii="仿宋" w:hAnsi="仿宋" w:eastAsia="仿宋"/>
                <w:sz w:val="24"/>
              </w:rPr>
              <w:t>说明站场内消防通道布局情况。</w:t>
            </w:r>
          </w:p>
        </w:tc>
        <w:tc>
          <w:tcPr>
            <w:tcW w:w="768" w:type="pct"/>
            <w:shd w:val="clear" w:color="auto" w:fill="FFFFFF" w:themeFill="background1"/>
            <w:vAlign w:val="center"/>
          </w:tcPr>
          <w:p w14:paraId="5CB14B29">
            <w:pPr>
              <w:jc w:val="left"/>
              <w:textAlignment w:val="center"/>
              <w:rPr>
                <w:rFonts w:hint="eastAsia" w:ascii="仿宋" w:hAnsi="仿宋" w:eastAsia="仿宋" w:cs="微软雅黑"/>
                <w:sz w:val="24"/>
              </w:rPr>
            </w:pPr>
            <w:r>
              <w:rPr>
                <w:rFonts w:hint="eastAsia" w:ascii="仿宋" w:hAnsi="仿宋" w:eastAsia="仿宋" w:cs="微软雅黑"/>
                <w:sz w:val="24"/>
              </w:rPr>
              <w:t>删除了适应性评价等内容，调整至第8章。</w:t>
            </w:r>
          </w:p>
        </w:tc>
      </w:tr>
      <w:tr w14:paraId="704680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63396843">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2C61AE94">
            <w:pPr>
              <w:jc w:val="center"/>
              <w:textAlignment w:val="center"/>
              <w:rPr>
                <w:rFonts w:hint="eastAsia" w:ascii="仿宋" w:hAnsi="仿宋" w:eastAsia="仿宋" w:cs="微软雅黑"/>
                <w:sz w:val="24"/>
              </w:rPr>
            </w:pPr>
          </w:p>
        </w:tc>
        <w:tc>
          <w:tcPr>
            <w:tcW w:w="1479" w:type="pct"/>
            <w:shd w:val="clear" w:color="auto" w:fill="FFFFFF" w:themeFill="background1"/>
            <w:vAlign w:val="center"/>
          </w:tcPr>
          <w:p w14:paraId="3A732E3F">
            <w:pPr>
              <w:jc w:val="left"/>
              <w:textAlignment w:val="center"/>
              <w:rPr>
                <w:rFonts w:hint="eastAsia" w:ascii="仿宋" w:hAnsi="仿宋" w:eastAsia="仿宋" w:cs="微软雅黑"/>
                <w:sz w:val="24"/>
              </w:rPr>
            </w:pPr>
          </w:p>
        </w:tc>
        <w:tc>
          <w:tcPr>
            <w:tcW w:w="578" w:type="pct"/>
            <w:shd w:val="clear" w:color="auto" w:fill="FFFFFF" w:themeFill="background1"/>
            <w:noWrap/>
            <w:vAlign w:val="center"/>
          </w:tcPr>
          <w:p w14:paraId="6FC1EF7D">
            <w:pPr>
              <w:jc w:val="center"/>
              <w:textAlignment w:val="center"/>
              <w:rPr>
                <w:rFonts w:hint="eastAsia"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5.</w:t>
            </w:r>
            <w:r>
              <w:rPr>
                <w:rFonts w:hint="eastAsia" w:ascii="仿宋" w:hAnsi="仿宋" w:eastAsia="仿宋"/>
                <w:color w:val="000000" w:themeColor="text1"/>
                <w:sz w:val="24"/>
                <w14:textFill>
                  <w14:solidFill>
                    <w14:schemeClr w14:val="tx1"/>
                  </w14:solidFill>
                </w14:textFill>
              </w:rPr>
              <w:t>4</w:t>
            </w:r>
            <w:r>
              <w:rPr>
                <w:rFonts w:ascii="仿宋" w:hAnsi="仿宋" w:eastAsia="仿宋"/>
                <w:color w:val="000000" w:themeColor="text1"/>
                <w:sz w:val="24"/>
                <w14:textFill>
                  <w14:solidFill>
                    <w14:schemeClr w14:val="tx1"/>
                  </w14:solidFill>
                </w14:textFill>
              </w:rPr>
              <w:t>.2.</w:t>
            </w:r>
            <w:r>
              <w:rPr>
                <w:rFonts w:hint="eastAsia" w:ascii="仿宋" w:hAnsi="仿宋" w:eastAsia="仿宋"/>
                <w:color w:val="000000" w:themeColor="text1"/>
                <w:sz w:val="24"/>
                <w14:textFill>
                  <w14:solidFill>
                    <w14:schemeClr w14:val="tx1"/>
                  </w14:solidFill>
                </w14:textFill>
              </w:rPr>
              <w:t>3</w:t>
            </w:r>
          </w:p>
        </w:tc>
        <w:tc>
          <w:tcPr>
            <w:tcW w:w="1473" w:type="pct"/>
            <w:shd w:val="clear" w:color="auto" w:fill="FFFFFF" w:themeFill="background1"/>
            <w:vAlign w:val="center"/>
          </w:tcPr>
          <w:p w14:paraId="7E0D8EFC">
            <w:pPr>
              <w:jc w:val="left"/>
              <w:textAlignment w:val="center"/>
              <w:rPr>
                <w:rFonts w:hint="eastAsia" w:ascii="仿宋" w:hAnsi="仿宋" w:eastAsia="仿宋"/>
                <w:sz w:val="24"/>
              </w:rPr>
            </w:pPr>
            <w:r>
              <w:rPr>
                <w:rFonts w:hint="eastAsia" w:ascii="仿宋" w:hAnsi="仿宋" w:eastAsia="仿宋"/>
                <w:sz w:val="24"/>
              </w:rPr>
              <w:t>说明站场50年一遇最高洪水水位及防洪涝设计情况（结合防洪影响评价报告或当地洪涝情况）。</w:t>
            </w:r>
          </w:p>
        </w:tc>
        <w:tc>
          <w:tcPr>
            <w:tcW w:w="768" w:type="pct"/>
            <w:shd w:val="clear" w:color="auto" w:fill="FFFFFF" w:themeFill="background1"/>
            <w:vAlign w:val="center"/>
          </w:tcPr>
          <w:p w14:paraId="69334E0F">
            <w:pPr>
              <w:jc w:val="left"/>
              <w:textAlignment w:val="center"/>
              <w:rPr>
                <w:rFonts w:hint="eastAsia" w:ascii="仿宋" w:hAnsi="仿宋" w:eastAsia="仿宋" w:cs="微软雅黑"/>
                <w:sz w:val="24"/>
              </w:rPr>
            </w:pPr>
            <w:r>
              <w:rPr>
                <w:rFonts w:hint="eastAsia" w:ascii="仿宋" w:hAnsi="仿宋" w:eastAsia="仿宋" w:cs="微软雅黑"/>
                <w:sz w:val="24"/>
              </w:rPr>
              <w:t>增加了站场防洪涝设计等内容。</w:t>
            </w:r>
          </w:p>
        </w:tc>
      </w:tr>
      <w:tr w14:paraId="621060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5BC31D8D">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675186C2">
            <w:pPr>
              <w:jc w:val="center"/>
              <w:textAlignment w:val="center"/>
              <w:rPr>
                <w:rFonts w:hint="eastAsia" w:ascii="仿宋" w:hAnsi="仿宋" w:eastAsia="仿宋" w:cs="微软雅黑"/>
                <w:sz w:val="24"/>
              </w:rPr>
            </w:pPr>
            <w:r>
              <w:rPr>
                <w:rFonts w:hint="eastAsia" w:ascii="仿宋" w:hAnsi="仿宋" w:eastAsia="仿宋" w:cs="微软雅黑"/>
                <w:sz w:val="24"/>
              </w:rPr>
              <w:t>5.5.3 输送工艺</w:t>
            </w:r>
          </w:p>
        </w:tc>
        <w:tc>
          <w:tcPr>
            <w:tcW w:w="1479" w:type="pct"/>
            <w:shd w:val="clear" w:color="auto" w:fill="FFFFFF" w:themeFill="background1"/>
            <w:vAlign w:val="center"/>
          </w:tcPr>
          <w:p w14:paraId="3DABA6D4">
            <w:pPr>
              <w:jc w:val="left"/>
              <w:textAlignment w:val="center"/>
              <w:rPr>
                <w:rFonts w:hint="eastAsia" w:ascii="仿宋" w:hAnsi="仿宋" w:eastAsia="仿宋" w:cs="微软雅黑"/>
                <w:sz w:val="24"/>
              </w:rPr>
            </w:pPr>
            <w:r>
              <w:rPr>
                <w:rFonts w:hint="eastAsia" w:ascii="仿宋" w:hAnsi="仿宋" w:eastAsia="仿宋" w:cs="微软雅黑"/>
                <w:sz w:val="24"/>
              </w:rPr>
              <w:t>输气管道的输送工艺应按GB 50251的规定进行检查；输油管道的输送工艺应按GB 50253的规定进行检查。</w:t>
            </w:r>
          </w:p>
        </w:tc>
        <w:tc>
          <w:tcPr>
            <w:tcW w:w="578" w:type="pct"/>
            <w:shd w:val="clear" w:color="auto" w:fill="FFFFFF" w:themeFill="background1"/>
            <w:noWrap/>
            <w:vAlign w:val="center"/>
          </w:tcPr>
          <w:p w14:paraId="7D2BF17F">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5.</w:t>
            </w:r>
            <w:r>
              <w:rPr>
                <w:rFonts w:hint="eastAsia" w:ascii="仿宋" w:hAnsi="仿宋" w:eastAsia="仿宋"/>
                <w:sz w:val="24"/>
                <w:szCs w:val="24"/>
                <w:lang w:val="en-US"/>
              </w:rPr>
              <w:t>4</w:t>
            </w:r>
            <w:r>
              <w:rPr>
                <w:rFonts w:ascii="仿宋" w:hAnsi="仿宋" w:eastAsia="仿宋"/>
                <w:sz w:val="24"/>
                <w:szCs w:val="24"/>
              </w:rPr>
              <w:t xml:space="preserve">.3 </w:t>
            </w:r>
            <w:r>
              <w:rPr>
                <w:rFonts w:hint="eastAsia" w:ascii="仿宋" w:hAnsi="仿宋" w:eastAsia="仿宋"/>
                <w:sz w:val="24"/>
                <w:szCs w:val="24"/>
              </w:rPr>
              <w:t>输送工艺</w:t>
            </w:r>
          </w:p>
        </w:tc>
        <w:tc>
          <w:tcPr>
            <w:tcW w:w="1473" w:type="pct"/>
            <w:shd w:val="clear" w:color="auto" w:fill="FFFFFF" w:themeFill="background1"/>
            <w:vAlign w:val="center"/>
          </w:tcPr>
          <w:p w14:paraId="19DC9737">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说明采用的输送工艺方案并附工艺系统图。</w:t>
            </w:r>
          </w:p>
        </w:tc>
        <w:tc>
          <w:tcPr>
            <w:tcW w:w="768" w:type="pct"/>
            <w:shd w:val="clear" w:color="auto" w:fill="FFFFFF" w:themeFill="background1"/>
            <w:vAlign w:val="center"/>
          </w:tcPr>
          <w:p w14:paraId="3EA1D90B">
            <w:pPr>
              <w:jc w:val="left"/>
              <w:textAlignment w:val="center"/>
              <w:rPr>
                <w:rFonts w:hint="eastAsia" w:ascii="仿宋" w:hAnsi="仿宋" w:eastAsia="仿宋" w:cs="微软雅黑"/>
                <w:sz w:val="24"/>
              </w:rPr>
            </w:pPr>
            <w:r>
              <w:rPr>
                <w:rFonts w:hint="eastAsia" w:ascii="仿宋" w:hAnsi="仿宋" w:eastAsia="仿宋" w:cs="微软雅黑"/>
                <w:sz w:val="24"/>
              </w:rPr>
              <w:t>删除了评价性内容，调整至第8章。</w:t>
            </w:r>
          </w:p>
        </w:tc>
      </w:tr>
      <w:tr w14:paraId="6F7FB3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2950F35F">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219543F4">
            <w:pPr>
              <w:jc w:val="center"/>
              <w:textAlignment w:val="center"/>
              <w:rPr>
                <w:rFonts w:hint="eastAsia" w:ascii="仿宋" w:hAnsi="仿宋" w:eastAsia="仿宋" w:cs="微软雅黑"/>
                <w:sz w:val="24"/>
              </w:rPr>
            </w:pPr>
            <w:r>
              <w:rPr>
                <w:rFonts w:hint="eastAsia" w:ascii="仿宋" w:hAnsi="仿宋" w:eastAsia="仿宋" w:cs="微软雅黑"/>
                <w:sz w:val="24"/>
              </w:rPr>
              <w:t>5.5.4 站场工艺</w:t>
            </w:r>
          </w:p>
        </w:tc>
        <w:tc>
          <w:tcPr>
            <w:tcW w:w="1479" w:type="pct"/>
            <w:shd w:val="clear" w:color="auto" w:fill="FFFFFF" w:themeFill="background1"/>
            <w:vAlign w:val="center"/>
          </w:tcPr>
          <w:p w14:paraId="765CA335">
            <w:pPr>
              <w:jc w:val="left"/>
              <w:textAlignment w:val="center"/>
              <w:rPr>
                <w:rFonts w:hint="eastAsia" w:ascii="仿宋" w:hAnsi="仿宋" w:eastAsia="仿宋" w:cs="微软雅黑"/>
                <w:sz w:val="24"/>
              </w:rPr>
            </w:pPr>
            <w:r>
              <w:rPr>
                <w:rFonts w:hint="eastAsia" w:ascii="仿宋" w:hAnsi="仿宋" w:eastAsia="仿宋" w:cs="微软雅黑"/>
                <w:sz w:val="24"/>
              </w:rPr>
              <w:t>输气管道的站场工艺应按GB 50251的规定进行检查；输油管道的站场工艺应按GB 50253的规定进行检查。</w:t>
            </w:r>
          </w:p>
        </w:tc>
        <w:tc>
          <w:tcPr>
            <w:tcW w:w="578" w:type="pct"/>
            <w:shd w:val="clear" w:color="auto" w:fill="FFFFFF" w:themeFill="background1"/>
            <w:noWrap/>
            <w:vAlign w:val="center"/>
          </w:tcPr>
          <w:p w14:paraId="5AEE119A">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5.</w:t>
            </w:r>
            <w:r>
              <w:rPr>
                <w:rFonts w:hint="eastAsia" w:ascii="仿宋" w:hAnsi="仿宋" w:eastAsia="仿宋"/>
                <w:sz w:val="24"/>
                <w:szCs w:val="24"/>
                <w:lang w:val="en-US"/>
              </w:rPr>
              <w:t>4</w:t>
            </w:r>
            <w:r>
              <w:rPr>
                <w:rFonts w:ascii="仿宋" w:hAnsi="仿宋" w:eastAsia="仿宋"/>
                <w:sz w:val="24"/>
                <w:szCs w:val="24"/>
              </w:rPr>
              <w:t xml:space="preserve">.4 </w:t>
            </w:r>
            <w:r>
              <w:rPr>
                <w:rFonts w:hint="eastAsia" w:ascii="仿宋" w:hAnsi="仿宋" w:eastAsia="仿宋"/>
                <w:sz w:val="24"/>
                <w:szCs w:val="24"/>
              </w:rPr>
              <w:t>站场工艺</w:t>
            </w:r>
          </w:p>
        </w:tc>
        <w:tc>
          <w:tcPr>
            <w:tcW w:w="1473" w:type="pct"/>
            <w:shd w:val="clear" w:color="auto" w:fill="FFFFFF" w:themeFill="background1"/>
            <w:vAlign w:val="center"/>
          </w:tcPr>
          <w:p w14:paraId="7A2629C4">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说明站场采用的工艺并附工艺流程图。</w:t>
            </w:r>
          </w:p>
        </w:tc>
        <w:tc>
          <w:tcPr>
            <w:tcW w:w="768" w:type="pct"/>
            <w:shd w:val="clear" w:color="auto" w:fill="FFFFFF" w:themeFill="background1"/>
            <w:vAlign w:val="center"/>
          </w:tcPr>
          <w:p w14:paraId="251D48D4">
            <w:pPr>
              <w:jc w:val="left"/>
              <w:textAlignment w:val="center"/>
              <w:rPr>
                <w:rFonts w:hint="eastAsia" w:ascii="仿宋" w:hAnsi="仿宋" w:eastAsia="仿宋" w:cs="微软雅黑"/>
                <w:sz w:val="24"/>
              </w:rPr>
            </w:pPr>
            <w:r>
              <w:rPr>
                <w:rFonts w:hint="eastAsia" w:ascii="仿宋" w:hAnsi="仿宋" w:eastAsia="仿宋" w:cs="微软雅黑"/>
                <w:sz w:val="24"/>
              </w:rPr>
              <w:t>删除了评价性内容，调整至第8章。</w:t>
            </w:r>
          </w:p>
        </w:tc>
      </w:tr>
      <w:tr w14:paraId="1BA75F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112831D3">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4E0C2186">
            <w:pPr>
              <w:jc w:val="center"/>
              <w:textAlignment w:val="center"/>
              <w:rPr>
                <w:rFonts w:hint="eastAsia" w:ascii="仿宋" w:hAnsi="仿宋" w:eastAsia="仿宋" w:cs="微软雅黑"/>
                <w:sz w:val="24"/>
              </w:rPr>
            </w:pPr>
            <w:r>
              <w:rPr>
                <w:rFonts w:hint="eastAsia" w:ascii="仿宋" w:hAnsi="仿宋" w:eastAsia="仿宋" w:cs="微软雅黑"/>
                <w:sz w:val="24"/>
              </w:rPr>
              <w:t>5.5.5 储运设备</w:t>
            </w:r>
          </w:p>
        </w:tc>
        <w:tc>
          <w:tcPr>
            <w:tcW w:w="1479" w:type="pct"/>
            <w:shd w:val="clear" w:color="auto" w:fill="FFFFFF" w:themeFill="background1"/>
            <w:vAlign w:val="center"/>
          </w:tcPr>
          <w:p w14:paraId="426F0286">
            <w:pPr>
              <w:jc w:val="left"/>
              <w:textAlignment w:val="center"/>
              <w:rPr>
                <w:rFonts w:hint="eastAsia" w:ascii="仿宋" w:hAnsi="仿宋" w:eastAsia="仿宋" w:cs="微软雅黑"/>
                <w:sz w:val="24"/>
              </w:rPr>
            </w:pPr>
            <w:r>
              <w:rPr>
                <w:rFonts w:hint="eastAsia" w:ascii="仿宋" w:hAnsi="仿宋" w:eastAsia="仿宋" w:cs="微软雅黑"/>
                <w:sz w:val="24"/>
              </w:rPr>
              <w:t>应列出主要储运设备，属于特种设备的应在备注一栏标明（见表26）。</w:t>
            </w:r>
          </w:p>
        </w:tc>
        <w:tc>
          <w:tcPr>
            <w:tcW w:w="578" w:type="pct"/>
            <w:shd w:val="clear" w:color="auto" w:fill="FFFFFF" w:themeFill="background1"/>
            <w:noWrap/>
            <w:vAlign w:val="center"/>
          </w:tcPr>
          <w:p w14:paraId="37C09749">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5.</w:t>
            </w:r>
            <w:r>
              <w:rPr>
                <w:rFonts w:hint="eastAsia" w:ascii="仿宋" w:hAnsi="仿宋" w:eastAsia="仿宋"/>
                <w:sz w:val="24"/>
                <w:szCs w:val="24"/>
                <w:lang w:val="en-US"/>
              </w:rPr>
              <w:t>4</w:t>
            </w:r>
            <w:r>
              <w:rPr>
                <w:rFonts w:ascii="仿宋" w:hAnsi="仿宋" w:eastAsia="仿宋"/>
                <w:sz w:val="24"/>
                <w:szCs w:val="24"/>
              </w:rPr>
              <w:t xml:space="preserve">.5 </w:t>
            </w:r>
            <w:r>
              <w:rPr>
                <w:rFonts w:hint="eastAsia" w:ascii="仿宋" w:hAnsi="仿宋" w:eastAsia="仿宋"/>
                <w:sz w:val="24"/>
                <w:szCs w:val="24"/>
              </w:rPr>
              <w:t>储运设备</w:t>
            </w:r>
          </w:p>
        </w:tc>
        <w:tc>
          <w:tcPr>
            <w:tcW w:w="1473" w:type="pct"/>
            <w:shd w:val="clear" w:color="auto" w:fill="FFFFFF" w:themeFill="background1"/>
            <w:vAlign w:val="center"/>
          </w:tcPr>
          <w:p w14:paraId="7278A5BB">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列出主要储运设备统计表（见表</w:t>
            </w:r>
            <w:r>
              <w:rPr>
                <w:rFonts w:ascii="仿宋" w:hAnsi="仿宋" w:eastAsia="仿宋"/>
                <w:sz w:val="24"/>
                <w:szCs w:val="24"/>
              </w:rPr>
              <w:t>29</w:t>
            </w:r>
            <w:r>
              <w:rPr>
                <w:rFonts w:hint="eastAsia" w:ascii="仿宋" w:hAnsi="仿宋" w:eastAsia="仿宋"/>
                <w:sz w:val="24"/>
                <w:szCs w:val="24"/>
              </w:rPr>
              <w:t>）。</w:t>
            </w:r>
          </w:p>
        </w:tc>
        <w:tc>
          <w:tcPr>
            <w:tcW w:w="768" w:type="pct"/>
            <w:shd w:val="clear" w:color="auto" w:fill="FFFFFF" w:themeFill="background1"/>
            <w:vAlign w:val="center"/>
          </w:tcPr>
          <w:p w14:paraId="197AEB73">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562535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7F0CC747">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2845F18B">
            <w:pPr>
              <w:jc w:val="center"/>
              <w:textAlignment w:val="center"/>
              <w:rPr>
                <w:rFonts w:hint="eastAsia" w:ascii="仿宋" w:hAnsi="仿宋" w:eastAsia="仿宋" w:cs="微软雅黑"/>
                <w:sz w:val="24"/>
              </w:rPr>
            </w:pPr>
            <w:r>
              <w:rPr>
                <w:rFonts w:hint="eastAsia" w:ascii="仿宋" w:hAnsi="仿宋" w:eastAsia="仿宋" w:cs="微软雅黑"/>
                <w:sz w:val="24"/>
              </w:rPr>
              <w:t>5.6 公用工程</w:t>
            </w:r>
          </w:p>
        </w:tc>
        <w:tc>
          <w:tcPr>
            <w:tcW w:w="1479" w:type="pct"/>
            <w:shd w:val="clear" w:color="auto" w:fill="FFFFFF" w:themeFill="background1"/>
            <w:vAlign w:val="center"/>
          </w:tcPr>
          <w:p w14:paraId="1E5039FD">
            <w:pPr>
              <w:jc w:val="left"/>
              <w:textAlignment w:val="center"/>
              <w:rPr>
                <w:rFonts w:hint="eastAsia" w:ascii="仿宋" w:hAnsi="仿宋" w:eastAsia="仿宋" w:cs="微软雅黑"/>
                <w:sz w:val="24"/>
              </w:rPr>
            </w:pPr>
          </w:p>
        </w:tc>
        <w:tc>
          <w:tcPr>
            <w:tcW w:w="578" w:type="pct"/>
            <w:shd w:val="clear" w:color="auto" w:fill="FFFFFF" w:themeFill="background1"/>
            <w:noWrap/>
            <w:vAlign w:val="center"/>
          </w:tcPr>
          <w:p w14:paraId="06CD663F">
            <w:pPr>
              <w:pStyle w:val="4"/>
              <w:jc w:val="center"/>
              <w:rPr>
                <w:rFonts w:hint="eastAsia" w:ascii="仿宋" w:hAnsi="仿宋" w:eastAsia="仿宋" w:cs="微软雅黑"/>
                <w:color w:val="000000"/>
                <w:sz w:val="24"/>
                <w:szCs w:val="24"/>
              </w:rPr>
            </w:pPr>
            <w:r>
              <w:rPr>
                <w:rFonts w:hint="eastAsia" w:ascii="仿宋" w:hAnsi="仿宋" w:eastAsia="仿宋"/>
                <w:sz w:val="24"/>
                <w:szCs w:val="24"/>
              </w:rPr>
              <w:t>5.</w:t>
            </w:r>
            <w:r>
              <w:rPr>
                <w:rFonts w:hint="eastAsia" w:ascii="仿宋" w:hAnsi="仿宋" w:eastAsia="仿宋"/>
                <w:sz w:val="24"/>
                <w:szCs w:val="24"/>
                <w:lang w:val="en-US"/>
              </w:rPr>
              <w:t>5</w:t>
            </w:r>
            <w:r>
              <w:rPr>
                <w:rFonts w:ascii="仿宋" w:hAnsi="仿宋" w:eastAsia="仿宋"/>
                <w:sz w:val="24"/>
                <w:szCs w:val="24"/>
              </w:rPr>
              <w:t xml:space="preserve"> </w:t>
            </w:r>
            <w:r>
              <w:rPr>
                <w:rFonts w:hint="eastAsia" w:ascii="仿宋" w:hAnsi="仿宋" w:eastAsia="仿宋"/>
                <w:sz w:val="24"/>
                <w:szCs w:val="24"/>
              </w:rPr>
              <w:t>公用工程</w:t>
            </w:r>
          </w:p>
        </w:tc>
        <w:tc>
          <w:tcPr>
            <w:tcW w:w="1473" w:type="pct"/>
            <w:shd w:val="clear" w:color="auto" w:fill="FFFFFF" w:themeFill="background1"/>
            <w:vAlign w:val="center"/>
          </w:tcPr>
          <w:p w14:paraId="10D82F5E">
            <w:pPr>
              <w:jc w:val="left"/>
              <w:textAlignment w:val="center"/>
              <w:rPr>
                <w:rFonts w:hint="eastAsia" w:ascii="仿宋" w:hAnsi="仿宋" w:eastAsia="仿宋" w:cs="微软雅黑"/>
                <w:sz w:val="24"/>
              </w:rPr>
            </w:pPr>
          </w:p>
        </w:tc>
        <w:tc>
          <w:tcPr>
            <w:tcW w:w="768" w:type="pct"/>
            <w:shd w:val="clear" w:color="auto" w:fill="FFFFFF" w:themeFill="background1"/>
            <w:vAlign w:val="center"/>
          </w:tcPr>
          <w:p w14:paraId="509DF0A1">
            <w:pPr>
              <w:jc w:val="left"/>
              <w:textAlignment w:val="center"/>
              <w:rPr>
                <w:rFonts w:hint="eastAsia" w:ascii="仿宋" w:hAnsi="仿宋" w:eastAsia="仿宋" w:cs="微软雅黑"/>
                <w:sz w:val="24"/>
              </w:rPr>
            </w:pPr>
            <w:r>
              <w:rPr>
                <w:rFonts w:hint="eastAsia" w:ascii="仿宋" w:hAnsi="仿宋" w:eastAsia="仿宋" w:cs="微软雅黑"/>
                <w:sz w:val="24"/>
              </w:rPr>
              <w:t>梳理了章节顺序。</w:t>
            </w:r>
          </w:p>
        </w:tc>
      </w:tr>
      <w:tr w14:paraId="62FA24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6C79574E">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061730DE">
            <w:pPr>
              <w:jc w:val="center"/>
              <w:textAlignment w:val="center"/>
              <w:rPr>
                <w:rFonts w:hint="eastAsia" w:ascii="仿宋" w:hAnsi="仿宋" w:eastAsia="仿宋" w:cs="微软雅黑"/>
                <w:sz w:val="24"/>
              </w:rPr>
            </w:pPr>
            <w:r>
              <w:rPr>
                <w:rFonts w:hint="eastAsia" w:ascii="仿宋" w:hAnsi="仿宋" w:eastAsia="仿宋" w:cs="微软雅黑"/>
                <w:sz w:val="24"/>
              </w:rPr>
              <w:t>5.6.1 自控</w:t>
            </w:r>
          </w:p>
        </w:tc>
        <w:tc>
          <w:tcPr>
            <w:tcW w:w="1479" w:type="pct"/>
            <w:shd w:val="clear" w:color="auto" w:fill="FFFFFF" w:themeFill="background1"/>
            <w:vAlign w:val="center"/>
          </w:tcPr>
          <w:p w14:paraId="42BA6CEB">
            <w:pPr>
              <w:jc w:val="left"/>
              <w:textAlignment w:val="center"/>
              <w:rPr>
                <w:rFonts w:hint="eastAsia" w:ascii="仿宋" w:hAnsi="仿宋" w:eastAsia="仿宋" w:cs="微软雅黑"/>
                <w:sz w:val="24"/>
              </w:rPr>
            </w:pPr>
            <w:r>
              <w:rPr>
                <w:rFonts w:hint="eastAsia" w:ascii="仿宋" w:hAnsi="仿宋" w:eastAsia="仿宋" w:cs="微软雅黑"/>
                <w:sz w:val="24"/>
              </w:rPr>
              <w:t>应说明自控系统设置情况：</w:t>
            </w:r>
          </w:p>
          <w:p w14:paraId="04F15D06">
            <w:pPr>
              <w:jc w:val="left"/>
              <w:textAlignment w:val="center"/>
              <w:rPr>
                <w:rFonts w:hint="eastAsia" w:ascii="仿宋" w:hAnsi="仿宋" w:eastAsia="仿宋" w:cs="微软雅黑"/>
                <w:sz w:val="24"/>
              </w:rPr>
            </w:pPr>
            <w:r>
              <w:rPr>
                <w:rFonts w:hint="eastAsia" w:ascii="仿宋" w:hAnsi="仿宋" w:eastAsia="仿宋" w:cs="微软雅黑"/>
                <w:sz w:val="24"/>
              </w:rPr>
              <w:t>a） 数据采集与监视控制(SCADA)系统；</w:t>
            </w:r>
          </w:p>
          <w:p w14:paraId="3A8A6700">
            <w:pPr>
              <w:jc w:val="left"/>
              <w:textAlignment w:val="center"/>
              <w:rPr>
                <w:rFonts w:hint="eastAsia" w:ascii="仿宋" w:hAnsi="仿宋" w:eastAsia="仿宋" w:cs="微软雅黑"/>
                <w:sz w:val="24"/>
              </w:rPr>
            </w:pPr>
            <w:r>
              <w:rPr>
                <w:rFonts w:hint="eastAsia" w:ascii="仿宋" w:hAnsi="仿宋" w:eastAsia="仿宋" w:cs="微软雅黑"/>
                <w:sz w:val="24"/>
              </w:rPr>
              <w:t>b） 基本过程控制系统（BPCS）；</w:t>
            </w:r>
          </w:p>
          <w:p w14:paraId="6A9E5133">
            <w:pPr>
              <w:jc w:val="left"/>
              <w:textAlignment w:val="center"/>
              <w:rPr>
                <w:rFonts w:hint="eastAsia" w:ascii="仿宋" w:hAnsi="仿宋" w:eastAsia="仿宋" w:cs="微软雅黑"/>
                <w:sz w:val="24"/>
              </w:rPr>
            </w:pPr>
            <w:r>
              <w:rPr>
                <w:rFonts w:hint="eastAsia" w:ascii="仿宋" w:hAnsi="仿宋" w:eastAsia="仿宋" w:cs="微软雅黑"/>
                <w:sz w:val="24"/>
              </w:rPr>
              <w:t>c） 安全仪表系统（SIS）；</w:t>
            </w:r>
          </w:p>
          <w:p w14:paraId="569E0870">
            <w:pPr>
              <w:jc w:val="left"/>
              <w:textAlignment w:val="center"/>
              <w:rPr>
                <w:rFonts w:hint="eastAsia" w:ascii="仿宋" w:hAnsi="仿宋" w:eastAsia="仿宋" w:cs="微软雅黑"/>
                <w:sz w:val="24"/>
              </w:rPr>
            </w:pPr>
            <w:r>
              <w:rPr>
                <w:rFonts w:hint="eastAsia" w:ascii="仿宋" w:hAnsi="仿宋" w:eastAsia="仿宋" w:cs="微软雅黑"/>
                <w:sz w:val="24"/>
              </w:rPr>
              <w:t>d） 管道泄漏检测系统；</w:t>
            </w:r>
          </w:p>
          <w:p w14:paraId="07B694A5">
            <w:pPr>
              <w:jc w:val="left"/>
              <w:textAlignment w:val="center"/>
              <w:rPr>
                <w:rFonts w:hint="eastAsia" w:ascii="仿宋" w:hAnsi="仿宋" w:eastAsia="仿宋" w:cs="微软雅黑"/>
                <w:sz w:val="24"/>
              </w:rPr>
            </w:pPr>
            <w:r>
              <w:rPr>
                <w:rFonts w:hint="eastAsia" w:ascii="仿宋" w:hAnsi="仿宋" w:eastAsia="仿宋" w:cs="微软雅黑"/>
                <w:sz w:val="24"/>
              </w:rPr>
              <w:t>e） 水击保护系统；</w:t>
            </w:r>
          </w:p>
          <w:p w14:paraId="02713D43">
            <w:pPr>
              <w:jc w:val="left"/>
              <w:textAlignment w:val="center"/>
              <w:rPr>
                <w:rFonts w:hint="eastAsia" w:ascii="仿宋" w:hAnsi="仿宋" w:eastAsia="仿宋" w:cs="微软雅黑"/>
                <w:sz w:val="24"/>
              </w:rPr>
            </w:pPr>
            <w:r>
              <w:rPr>
                <w:rFonts w:hint="eastAsia" w:ascii="仿宋" w:hAnsi="仿宋" w:eastAsia="仿宋" w:cs="微软雅黑"/>
                <w:sz w:val="24"/>
              </w:rPr>
              <w:t>f） 可燃（有毒）气体检测系统及火灾自动报警系统；</w:t>
            </w:r>
          </w:p>
          <w:p w14:paraId="4D47D31C">
            <w:pPr>
              <w:jc w:val="left"/>
              <w:textAlignment w:val="center"/>
              <w:rPr>
                <w:rFonts w:hint="eastAsia" w:ascii="仿宋" w:hAnsi="仿宋" w:eastAsia="仿宋" w:cs="微软雅黑"/>
                <w:sz w:val="24"/>
              </w:rPr>
            </w:pPr>
            <w:r>
              <w:rPr>
                <w:rFonts w:hint="eastAsia" w:ascii="仿宋" w:hAnsi="仿宋" w:eastAsia="仿宋" w:cs="微软雅黑"/>
                <w:sz w:val="24"/>
              </w:rPr>
              <w:t>g） 站控制室的设置；</w:t>
            </w:r>
          </w:p>
          <w:p w14:paraId="577AB39D">
            <w:pPr>
              <w:jc w:val="left"/>
              <w:textAlignment w:val="center"/>
              <w:rPr>
                <w:rFonts w:hint="eastAsia" w:ascii="仿宋" w:hAnsi="仿宋" w:eastAsia="仿宋" w:cs="微软雅黑"/>
                <w:sz w:val="24"/>
              </w:rPr>
            </w:pPr>
            <w:r>
              <w:rPr>
                <w:rFonts w:hint="eastAsia" w:ascii="仿宋" w:hAnsi="仿宋" w:eastAsia="仿宋" w:cs="微软雅黑"/>
                <w:sz w:val="24"/>
              </w:rPr>
              <w:t>h） 其它安全措施。</w:t>
            </w:r>
          </w:p>
        </w:tc>
        <w:tc>
          <w:tcPr>
            <w:tcW w:w="578" w:type="pct"/>
            <w:shd w:val="clear" w:color="auto" w:fill="FFFFFF" w:themeFill="background1"/>
            <w:noWrap/>
            <w:vAlign w:val="center"/>
          </w:tcPr>
          <w:p w14:paraId="194961BC">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5.</w:t>
            </w:r>
            <w:r>
              <w:rPr>
                <w:rFonts w:hint="eastAsia" w:ascii="仿宋" w:hAnsi="仿宋" w:eastAsia="仿宋"/>
                <w:sz w:val="24"/>
                <w:szCs w:val="24"/>
                <w:lang w:val="en-US"/>
              </w:rPr>
              <w:t>5</w:t>
            </w:r>
            <w:r>
              <w:rPr>
                <w:rFonts w:ascii="仿宋" w:hAnsi="仿宋" w:eastAsia="仿宋"/>
                <w:sz w:val="24"/>
                <w:szCs w:val="24"/>
              </w:rPr>
              <w:t xml:space="preserve">.1 </w:t>
            </w:r>
            <w:r>
              <w:rPr>
                <w:rFonts w:hint="eastAsia" w:ascii="仿宋" w:hAnsi="仿宋" w:eastAsia="仿宋"/>
                <w:sz w:val="24"/>
                <w:szCs w:val="24"/>
              </w:rPr>
              <w:t>自控</w:t>
            </w:r>
          </w:p>
        </w:tc>
        <w:tc>
          <w:tcPr>
            <w:tcW w:w="1473" w:type="pct"/>
            <w:shd w:val="clear" w:color="auto" w:fill="FFFFFF" w:themeFill="background1"/>
            <w:vAlign w:val="center"/>
          </w:tcPr>
          <w:p w14:paraId="2F3718A7">
            <w:pPr>
              <w:tabs>
                <w:tab w:val="left" w:pos="840"/>
                <w:tab w:val="center" w:pos="4201"/>
                <w:tab w:val="right" w:leader="dot" w:pos="9298"/>
              </w:tabs>
              <w:autoSpaceDE w:val="0"/>
              <w:autoSpaceDN w:val="0"/>
              <w:jc w:val="left"/>
              <w:rPr>
                <w:rFonts w:hint="eastAsia" w:ascii="仿宋" w:hAnsi="仿宋" w:eastAsia="仿宋"/>
                <w:sz w:val="24"/>
              </w:rPr>
            </w:pPr>
            <w:r>
              <w:rPr>
                <w:rFonts w:hint="eastAsia" w:ascii="仿宋" w:hAnsi="仿宋" w:eastAsia="仿宋"/>
                <w:sz w:val="24"/>
              </w:rPr>
              <w:t>说明自控系统设置情况：</w:t>
            </w:r>
          </w:p>
          <w:p w14:paraId="6FB990B6">
            <w:pPr>
              <w:pStyle w:val="35"/>
              <w:spacing w:line="240" w:lineRule="auto"/>
              <w:ind w:firstLine="0" w:firstLineChars="0"/>
              <w:rPr>
                <w:rFonts w:hint="eastAsia" w:ascii="仿宋" w:hAnsi="仿宋" w:eastAsia="仿宋"/>
                <w:color w:val="auto"/>
                <w:sz w:val="24"/>
                <w:szCs w:val="24"/>
              </w:rPr>
            </w:pPr>
            <w:r>
              <w:rPr>
                <w:rFonts w:hint="eastAsia" w:ascii="仿宋" w:hAnsi="仿宋" w:eastAsia="仿宋"/>
                <w:color w:val="auto"/>
                <w:kern w:val="0"/>
                <w:sz w:val="24"/>
                <w:szCs w:val="24"/>
              </w:rPr>
              <w:t>a）</w:t>
            </w:r>
            <w:r>
              <w:rPr>
                <w:rFonts w:ascii="仿宋" w:hAnsi="仿宋" w:eastAsia="仿宋"/>
                <w:color w:val="auto"/>
                <w:kern w:val="0"/>
                <w:sz w:val="24"/>
                <w:szCs w:val="24"/>
              </w:rPr>
              <w:t xml:space="preserve"> </w:t>
            </w:r>
            <w:r>
              <w:rPr>
                <w:rFonts w:hint="eastAsia" w:ascii="仿宋" w:hAnsi="仿宋" w:eastAsia="仿宋"/>
                <w:color w:val="auto"/>
                <w:kern w:val="0"/>
                <w:sz w:val="24"/>
                <w:szCs w:val="24"/>
              </w:rPr>
              <w:t>数据采集与监视控制</w:t>
            </w:r>
            <w:r>
              <w:rPr>
                <w:rFonts w:ascii="仿宋" w:hAnsi="仿宋" w:eastAsia="仿宋"/>
                <w:color w:val="auto"/>
                <w:kern w:val="0"/>
                <w:sz w:val="24"/>
                <w:szCs w:val="24"/>
              </w:rPr>
              <w:t>（SCADA</w:t>
            </w:r>
            <w:r>
              <w:rPr>
                <w:rFonts w:hint="eastAsia" w:ascii="仿宋" w:hAnsi="仿宋" w:eastAsia="仿宋"/>
                <w:color w:val="auto"/>
                <w:kern w:val="0"/>
                <w:sz w:val="24"/>
                <w:szCs w:val="24"/>
              </w:rPr>
              <w:t>）系统；</w:t>
            </w:r>
          </w:p>
          <w:p w14:paraId="3CF19259">
            <w:pPr>
              <w:pStyle w:val="35"/>
              <w:spacing w:line="240" w:lineRule="auto"/>
              <w:ind w:firstLine="0" w:firstLineChars="0"/>
              <w:rPr>
                <w:rFonts w:hint="eastAsia" w:ascii="仿宋" w:hAnsi="仿宋" w:eastAsia="仿宋"/>
                <w:color w:val="auto"/>
                <w:sz w:val="24"/>
                <w:szCs w:val="24"/>
              </w:rPr>
            </w:pPr>
            <w:r>
              <w:rPr>
                <w:rFonts w:ascii="仿宋" w:hAnsi="仿宋" w:eastAsia="仿宋"/>
                <w:color w:val="auto"/>
                <w:kern w:val="0"/>
                <w:sz w:val="24"/>
                <w:szCs w:val="24"/>
              </w:rPr>
              <w:t xml:space="preserve">b） </w:t>
            </w:r>
            <w:r>
              <w:rPr>
                <w:rFonts w:hint="eastAsia" w:ascii="仿宋" w:hAnsi="仿宋" w:eastAsia="仿宋"/>
                <w:color w:val="auto"/>
                <w:kern w:val="0"/>
                <w:sz w:val="24"/>
                <w:szCs w:val="24"/>
              </w:rPr>
              <w:t>基本过程控制系统（</w:t>
            </w:r>
            <w:r>
              <w:rPr>
                <w:rFonts w:ascii="仿宋" w:hAnsi="仿宋" w:eastAsia="仿宋"/>
                <w:color w:val="auto"/>
                <w:kern w:val="0"/>
                <w:sz w:val="24"/>
                <w:szCs w:val="24"/>
              </w:rPr>
              <w:t>BPCS</w:t>
            </w:r>
            <w:r>
              <w:rPr>
                <w:rFonts w:hint="eastAsia" w:ascii="仿宋" w:hAnsi="仿宋" w:eastAsia="仿宋"/>
                <w:color w:val="auto"/>
                <w:kern w:val="0"/>
                <w:sz w:val="24"/>
                <w:szCs w:val="24"/>
              </w:rPr>
              <w:t>）；</w:t>
            </w:r>
          </w:p>
          <w:p w14:paraId="1A884078">
            <w:pPr>
              <w:pStyle w:val="35"/>
              <w:spacing w:line="240" w:lineRule="auto"/>
              <w:ind w:firstLine="0" w:firstLineChars="0"/>
              <w:rPr>
                <w:rFonts w:hint="eastAsia" w:ascii="仿宋" w:hAnsi="仿宋" w:eastAsia="仿宋"/>
                <w:color w:val="auto"/>
                <w:sz w:val="24"/>
                <w:szCs w:val="24"/>
              </w:rPr>
            </w:pPr>
            <w:r>
              <w:rPr>
                <w:rFonts w:ascii="仿宋" w:hAnsi="仿宋" w:eastAsia="仿宋"/>
                <w:color w:val="auto"/>
                <w:kern w:val="0"/>
                <w:sz w:val="24"/>
                <w:szCs w:val="24"/>
              </w:rPr>
              <w:t xml:space="preserve">c） </w:t>
            </w:r>
            <w:r>
              <w:rPr>
                <w:rFonts w:hint="eastAsia" w:ascii="仿宋" w:hAnsi="仿宋" w:eastAsia="仿宋"/>
                <w:color w:val="auto"/>
                <w:kern w:val="0"/>
                <w:sz w:val="24"/>
                <w:szCs w:val="24"/>
              </w:rPr>
              <w:t>安全仪表系统（SIS）；</w:t>
            </w:r>
          </w:p>
          <w:p w14:paraId="781DF0CA">
            <w:pPr>
              <w:pStyle w:val="35"/>
              <w:spacing w:line="240" w:lineRule="auto"/>
              <w:ind w:firstLine="0" w:firstLineChars="0"/>
              <w:rPr>
                <w:rFonts w:hint="eastAsia" w:ascii="仿宋" w:hAnsi="仿宋" w:eastAsia="仿宋"/>
                <w:color w:val="auto"/>
                <w:sz w:val="24"/>
                <w:szCs w:val="24"/>
              </w:rPr>
            </w:pPr>
            <w:r>
              <w:rPr>
                <w:rFonts w:ascii="仿宋" w:hAnsi="仿宋" w:eastAsia="仿宋"/>
                <w:color w:val="auto"/>
                <w:kern w:val="0"/>
                <w:sz w:val="24"/>
                <w:szCs w:val="24"/>
              </w:rPr>
              <w:t xml:space="preserve">d） </w:t>
            </w:r>
            <w:r>
              <w:rPr>
                <w:rFonts w:hint="eastAsia" w:ascii="仿宋" w:hAnsi="仿宋" w:eastAsia="仿宋"/>
                <w:color w:val="auto"/>
                <w:kern w:val="0"/>
                <w:sz w:val="24"/>
                <w:szCs w:val="24"/>
              </w:rPr>
              <w:t>管道泄漏检测系统；</w:t>
            </w:r>
          </w:p>
          <w:p w14:paraId="2FAB743D">
            <w:pPr>
              <w:pStyle w:val="35"/>
              <w:spacing w:line="240" w:lineRule="auto"/>
              <w:ind w:firstLine="0" w:firstLineChars="0"/>
              <w:rPr>
                <w:rFonts w:hint="eastAsia" w:ascii="仿宋" w:hAnsi="仿宋" w:eastAsia="仿宋"/>
                <w:color w:val="auto"/>
                <w:sz w:val="24"/>
                <w:szCs w:val="24"/>
              </w:rPr>
            </w:pPr>
            <w:r>
              <w:rPr>
                <w:rFonts w:ascii="仿宋" w:hAnsi="仿宋" w:eastAsia="仿宋"/>
                <w:color w:val="auto"/>
                <w:kern w:val="0"/>
                <w:sz w:val="24"/>
                <w:szCs w:val="24"/>
              </w:rPr>
              <w:t xml:space="preserve">e） </w:t>
            </w:r>
            <w:r>
              <w:rPr>
                <w:rFonts w:hint="eastAsia" w:ascii="仿宋" w:hAnsi="仿宋" w:eastAsia="仿宋"/>
                <w:color w:val="auto"/>
                <w:kern w:val="0"/>
                <w:sz w:val="24"/>
                <w:szCs w:val="24"/>
              </w:rPr>
              <w:t>水击保护系统；</w:t>
            </w:r>
          </w:p>
          <w:p w14:paraId="5F970F91">
            <w:pPr>
              <w:pStyle w:val="35"/>
              <w:spacing w:line="240" w:lineRule="auto"/>
              <w:ind w:firstLine="0" w:firstLineChars="0"/>
              <w:rPr>
                <w:rFonts w:hint="eastAsia" w:ascii="仿宋" w:hAnsi="仿宋" w:eastAsia="仿宋"/>
                <w:color w:val="auto"/>
                <w:sz w:val="24"/>
                <w:szCs w:val="24"/>
              </w:rPr>
            </w:pPr>
            <w:r>
              <w:rPr>
                <w:rFonts w:ascii="仿宋" w:hAnsi="仿宋" w:eastAsia="仿宋"/>
                <w:color w:val="auto"/>
                <w:kern w:val="0"/>
                <w:sz w:val="24"/>
                <w:szCs w:val="24"/>
              </w:rPr>
              <w:t>f）</w:t>
            </w:r>
            <w:r>
              <w:rPr>
                <w:rFonts w:hint="eastAsia" w:ascii="仿宋" w:hAnsi="仿宋" w:eastAsia="仿宋"/>
                <w:color w:val="auto"/>
                <w:kern w:val="0"/>
                <w:sz w:val="24"/>
                <w:szCs w:val="24"/>
              </w:rPr>
              <w:t xml:space="preserve"> 压力控制系统；</w:t>
            </w:r>
          </w:p>
          <w:p w14:paraId="413D0B7C">
            <w:pPr>
              <w:pStyle w:val="35"/>
              <w:spacing w:line="240" w:lineRule="auto"/>
              <w:ind w:firstLine="0" w:firstLineChars="0"/>
              <w:rPr>
                <w:rFonts w:hint="eastAsia" w:ascii="仿宋" w:hAnsi="仿宋" w:eastAsia="仿宋"/>
                <w:color w:val="auto"/>
                <w:sz w:val="24"/>
                <w:szCs w:val="24"/>
              </w:rPr>
            </w:pPr>
            <w:r>
              <w:rPr>
                <w:rFonts w:ascii="仿宋" w:hAnsi="仿宋" w:eastAsia="仿宋"/>
                <w:color w:val="auto"/>
                <w:kern w:val="0"/>
                <w:sz w:val="24"/>
                <w:szCs w:val="24"/>
              </w:rPr>
              <w:t xml:space="preserve">g） </w:t>
            </w:r>
            <w:r>
              <w:rPr>
                <w:rFonts w:hint="eastAsia" w:ascii="仿宋" w:hAnsi="仿宋" w:eastAsia="仿宋"/>
                <w:color w:val="auto"/>
                <w:kern w:val="0"/>
                <w:sz w:val="24"/>
                <w:szCs w:val="24"/>
              </w:rPr>
              <w:t>可燃（有毒）气体检测系统及火灾自动报警系统；</w:t>
            </w:r>
          </w:p>
          <w:p w14:paraId="5DEE7DC5">
            <w:pPr>
              <w:pStyle w:val="35"/>
              <w:spacing w:line="240" w:lineRule="auto"/>
              <w:ind w:firstLine="0" w:firstLineChars="0"/>
              <w:rPr>
                <w:rFonts w:hint="eastAsia" w:ascii="仿宋" w:hAnsi="仿宋" w:eastAsia="仿宋"/>
                <w:color w:val="auto"/>
                <w:sz w:val="24"/>
                <w:szCs w:val="24"/>
              </w:rPr>
            </w:pPr>
            <w:r>
              <w:rPr>
                <w:rFonts w:ascii="仿宋" w:hAnsi="仿宋" w:eastAsia="仿宋"/>
                <w:color w:val="auto"/>
                <w:kern w:val="0"/>
                <w:sz w:val="24"/>
                <w:szCs w:val="24"/>
              </w:rPr>
              <w:t xml:space="preserve">h） </w:t>
            </w:r>
            <w:r>
              <w:rPr>
                <w:rFonts w:hint="eastAsia" w:ascii="仿宋" w:hAnsi="仿宋" w:eastAsia="仿宋"/>
                <w:color w:val="auto"/>
                <w:kern w:val="0"/>
                <w:sz w:val="24"/>
                <w:szCs w:val="24"/>
              </w:rPr>
              <w:t>站控制室的设置；</w:t>
            </w:r>
          </w:p>
          <w:p w14:paraId="215BD3B9">
            <w:pPr>
              <w:pStyle w:val="35"/>
              <w:spacing w:line="240" w:lineRule="auto"/>
              <w:ind w:firstLine="0" w:firstLineChars="0"/>
              <w:rPr>
                <w:rFonts w:hint="eastAsia" w:ascii="仿宋" w:hAnsi="仿宋" w:eastAsia="仿宋" w:cs="微软雅黑"/>
                <w:sz w:val="24"/>
                <w:szCs w:val="24"/>
              </w:rPr>
            </w:pPr>
            <w:r>
              <w:rPr>
                <w:rFonts w:ascii="仿宋" w:hAnsi="仿宋" w:eastAsia="仿宋"/>
                <w:color w:val="auto"/>
                <w:kern w:val="0"/>
                <w:sz w:val="24"/>
                <w:szCs w:val="24"/>
              </w:rPr>
              <w:t xml:space="preserve">i） </w:t>
            </w:r>
            <w:r>
              <w:rPr>
                <w:rFonts w:hint="eastAsia" w:ascii="仿宋" w:hAnsi="仿宋" w:eastAsia="仿宋"/>
                <w:color w:val="auto"/>
                <w:kern w:val="0"/>
                <w:sz w:val="24"/>
                <w:szCs w:val="24"/>
              </w:rPr>
              <w:t>其它安全措施。</w:t>
            </w:r>
          </w:p>
        </w:tc>
        <w:tc>
          <w:tcPr>
            <w:tcW w:w="768" w:type="pct"/>
            <w:shd w:val="clear" w:color="auto" w:fill="FFFFFF" w:themeFill="background1"/>
            <w:vAlign w:val="center"/>
          </w:tcPr>
          <w:p w14:paraId="5AD61BEC">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44A60B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3144B440">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33C3CC53">
            <w:pPr>
              <w:jc w:val="center"/>
              <w:textAlignment w:val="center"/>
              <w:rPr>
                <w:rFonts w:hint="eastAsia" w:ascii="仿宋" w:hAnsi="仿宋" w:eastAsia="仿宋" w:cs="微软雅黑"/>
                <w:sz w:val="24"/>
              </w:rPr>
            </w:pPr>
            <w:r>
              <w:rPr>
                <w:rFonts w:hint="eastAsia" w:ascii="仿宋" w:hAnsi="仿宋" w:eastAsia="仿宋" w:cs="微软雅黑"/>
                <w:sz w:val="24"/>
              </w:rPr>
              <w:t>5.6.2 通信</w:t>
            </w:r>
          </w:p>
        </w:tc>
        <w:tc>
          <w:tcPr>
            <w:tcW w:w="1479" w:type="pct"/>
            <w:shd w:val="clear" w:color="auto" w:fill="FFFFFF" w:themeFill="background1"/>
            <w:vAlign w:val="center"/>
          </w:tcPr>
          <w:p w14:paraId="79825428">
            <w:pPr>
              <w:jc w:val="left"/>
              <w:textAlignment w:val="center"/>
              <w:rPr>
                <w:rFonts w:hint="eastAsia" w:ascii="仿宋" w:hAnsi="仿宋" w:eastAsia="仿宋" w:cs="微软雅黑"/>
                <w:sz w:val="24"/>
              </w:rPr>
            </w:pPr>
            <w:r>
              <w:rPr>
                <w:rFonts w:hint="eastAsia" w:ascii="仿宋" w:hAnsi="仿宋" w:eastAsia="仿宋" w:cs="微软雅黑"/>
                <w:sz w:val="24"/>
              </w:rPr>
              <w:t>应说明通信系统设置情况</w:t>
            </w:r>
          </w:p>
          <w:p w14:paraId="17E371BA">
            <w:pPr>
              <w:jc w:val="left"/>
              <w:textAlignment w:val="center"/>
              <w:rPr>
                <w:rFonts w:hint="eastAsia" w:ascii="仿宋" w:hAnsi="仿宋" w:eastAsia="仿宋" w:cs="微软雅黑"/>
                <w:sz w:val="24"/>
              </w:rPr>
            </w:pPr>
            <w:r>
              <w:rPr>
                <w:rFonts w:hint="eastAsia" w:ascii="仿宋" w:hAnsi="仿宋" w:eastAsia="仿宋" w:cs="微软雅黑"/>
                <w:sz w:val="24"/>
              </w:rPr>
              <w:t>a） 数据传输；</w:t>
            </w:r>
          </w:p>
          <w:p w14:paraId="0B8EB554">
            <w:pPr>
              <w:jc w:val="left"/>
              <w:textAlignment w:val="center"/>
              <w:rPr>
                <w:rFonts w:hint="eastAsia" w:ascii="仿宋" w:hAnsi="仿宋" w:eastAsia="仿宋" w:cs="微软雅黑"/>
                <w:sz w:val="24"/>
              </w:rPr>
            </w:pPr>
            <w:r>
              <w:rPr>
                <w:rFonts w:hint="eastAsia" w:ascii="仿宋" w:hAnsi="仿宋" w:eastAsia="仿宋" w:cs="微软雅黑"/>
                <w:sz w:val="24"/>
              </w:rPr>
              <w:t>b） 安全防范系统；</w:t>
            </w:r>
          </w:p>
          <w:p w14:paraId="7CCF194D">
            <w:pPr>
              <w:jc w:val="left"/>
              <w:textAlignment w:val="center"/>
              <w:rPr>
                <w:rFonts w:hint="eastAsia" w:ascii="仿宋" w:hAnsi="仿宋" w:eastAsia="仿宋" w:cs="微软雅黑"/>
                <w:sz w:val="24"/>
              </w:rPr>
            </w:pPr>
            <w:r>
              <w:rPr>
                <w:rFonts w:hint="eastAsia" w:ascii="仿宋" w:hAnsi="仿宋" w:eastAsia="仿宋" w:cs="微软雅黑"/>
                <w:sz w:val="24"/>
              </w:rPr>
              <w:t>c） 电子巡查及巡检系统；</w:t>
            </w:r>
          </w:p>
          <w:p w14:paraId="300A8B3F">
            <w:pPr>
              <w:jc w:val="left"/>
              <w:textAlignment w:val="center"/>
              <w:rPr>
                <w:rFonts w:hint="eastAsia" w:ascii="仿宋" w:hAnsi="仿宋" w:eastAsia="仿宋" w:cs="微软雅黑"/>
                <w:sz w:val="24"/>
              </w:rPr>
            </w:pPr>
            <w:r>
              <w:rPr>
                <w:rFonts w:hint="eastAsia" w:ascii="仿宋" w:hAnsi="仿宋" w:eastAsia="仿宋" w:cs="微软雅黑"/>
                <w:sz w:val="24"/>
              </w:rPr>
              <w:t>d） 防雷防静电接地；</w:t>
            </w:r>
          </w:p>
          <w:p w14:paraId="1F8CB57F">
            <w:pPr>
              <w:jc w:val="left"/>
              <w:textAlignment w:val="center"/>
              <w:rPr>
                <w:rFonts w:hint="eastAsia" w:ascii="仿宋" w:hAnsi="仿宋" w:eastAsia="仿宋" w:cs="微软雅黑"/>
                <w:sz w:val="24"/>
              </w:rPr>
            </w:pPr>
            <w:r>
              <w:rPr>
                <w:rFonts w:hint="eastAsia" w:ascii="仿宋" w:hAnsi="仿宋" w:eastAsia="仿宋" w:cs="微软雅黑"/>
                <w:sz w:val="24"/>
              </w:rPr>
              <w:t>e） 光缆防护。</w:t>
            </w:r>
          </w:p>
        </w:tc>
        <w:tc>
          <w:tcPr>
            <w:tcW w:w="578" w:type="pct"/>
            <w:shd w:val="clear" w:color="auto" w:fill="FFFFFF" w:themeFill="background1"/>
            <w:noWrap/>
            <w:vAlign w:val="center"/>
          </w:tcPr>
          <w:p w14:paraId="741B9928">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5.</w:t>
            </w:r>
            <w:r>
              <w:rPr>
                <w:rFonts w:hint="eastAsia" w:ascii="仿宋" w:hAnsi="仿宋" w:eastAsia="仿宋"/>
                <w:sz w:val="24"/>
                <w:szCs w:val="24"/>
                <w:lang w:val="en-US"/>
              </w:rPr>
              <w:t>5</w:t>
            </w:r>
            <w:r>
              <w:rPr>
                <w:rFonts w:ascii="仿宋" w:hAnsi="仿宋" w:eastAsia="仿宋"/>
                <w:sz w:val="24"/>
                <w:szCs w:val="24"/>
              </w:rPr>
              <w:t xml:space="preserve">.2 </w:t>
            </w:r>
            <w:r>
              <w:rPr>
                <w:rFonts w:hint="eastAsia" w:ascii="仿宋" w:hAnsi="仿宋" w:eastAsia="仿宋"/>
                <w:sz w:val="24"/>
                <w:szCs w:val="24"/>
              </w:rPr>
              <w:t>通信</w:t>
            </w:r>
          </w:p>
        </w:tc>
        <w:tc>
          <w:tcPr>
            <w:tcW w:w="1473" w:type="pct"/>
            <w:shd w:val="clear" w:color="auto" w:fill="FFFFFF" w:themeFill="background1"/>
            <w:vAlign w:val="center"/>
          </w:tcPr>
          <w:p w14:paraId="61CF936F">
            <w:pPr>
              <w:tabs>
                <w:tab w:val="left" w:pos="840"/>
                <w:tab w:val="center" w:pos="4201"/>
                <w:tab w:val="right" w:leader="dot" w:pos="9298"/>
              </w:tabs>
              <w:autoSpaceDE w:val="0"/>
              <w:autoSpaceDN w:val="0"/>
              <w:jc w:val="left"/>
              <w:rPr>
                <w:rFonts w:hint="eastAsia" w:ascii="仿宋" w:hAnsi="仿宋" w:eastAsia="仿宋"/>
                <w:sz w:val="24"/>
              </w:rPr>
            </w:pPr>
            <w:r>
              <w:rPr>
                <w:rFonts w:hint="eastAsia" w:ascii="仿宋" w:hAnsi="仿宋" w:eastAsia="仿宋"/>
                <w:sz w:val="24"/>
              </w:rPr>
              <w:t>说明通信系统设置情况：</w:t>
            </w:r>
          </w:p>
          <w:p w14:paraId="7357E58F">
            <w:pPr>
              <w:pStyle w:val="35"/>
              <w:spacing w:line="240" w:lineRule="auto"/>
              <w:ind w:firstLine="0" w:firstLineChars="0"/>
              <w:rPr>
                <w:rFonts w:hint="eastAsia" w:ascii="仿宋" w:hAnsi="仿宋" w:eastAsia="仿宋"/>
                <w:color w:val="auto"/>
                <w:sz w:val="24"/>
                <w:szCs w:val="24"/>
              </w:rPr>
            </w:pPr>
            <w:r>
              <w:rPr>
                <w:rFonts w:ascii="仿宋" w:hAnsi="仿宋" w:eastAsia="仿宋"/>
                <w:color w:val="auto"/>
                <w:kern w:val="0"/>
                <w:sz w:val="24"/>
                <w:szCs w:val="24"/>
              </w:rPr>
              <w:t xml:space="preserve">a） </w:t>
            </w:r>
            <w:r>
              <w:rPr>
                <w:rFonts w:hint="eastAsia" w:ascii="仿宋" w:hAnsi="仿宋" w:eastAsia="仿宋"/>
                <w:color w:val="auto"/>
                <w:kern w:val="0"/>
                <w:sz w:val="24"/>
                <w:szCs w:val="24"/>
              </w:rPr>
              <w:t>数据传输；</w:t>
            </w:r>
          </w:p>
          <w:p w14:paraId="0E0E8FCB">
            <w:pPr>
              <w:pStyle w:val="35"/>
              <w:spacing w:line="240" w:lineRule="auto"/>
              <w:ind w:firstLine="0" w:firstLineChars="0"/>
              <w:rPr>
                <w:rFonts w:hint="eastAsia" w:ascii="仿宋" w:hAnsi="仿宋" w:eastAsia="仿宋"/>
                <w:color w:val="auto"/>
                <w:sz w:val="24"/>
                <w:szCs w:val="24"/>
              </w:rPr>
            </w:pPr>
            <w:r>
              <w:rPr>
                <w:rFonts w:ascii="仿宋" w:hAnsi="仿宋" w:eastAsia="仿宋"/>
                <w:color w:val="auto"/>
                <w:kern w:val="0"/>
                <w:sz w:val="24"/>
                <w:szCs w:val="24"/>
              </w:rPr>
              <w:t>b</w:t>
            </w:r>
            <w:r>
              <w:rPr>
                <w:rFonts w:hint="eastAsia" w:ascii="仿宋" w:hAnsi="仿宋" w:eastAsia="仿宋"/>
                <w:color w:val="auto"/>
                <w:kern w:val="0"/>
                <w:sz w:val="24"/>
                <w:szCs w:val="24"/>
              </w:rPr>
              <w:t>） 安全防范系统（工业电视、入侵报警、光纤预警系统等）；</w:t>
            </w:r>
          </w:p>
          <w:p w14:paraId="5FAF2780">
            <w:pPr>
              <w:pStyle w:val="35"/>
              <w:spacing w:line="240" w:lineRule="auto"/>
              <w:ind w:firstLine="0" w:firstLineChars="0"/>
              <w:rPr>
                <w:rFonts w:hint="eastAsia" w:ascii="仿宋" w:hAnsi="仿宋" w:eastAsia="仿宋"/>
                <w:color w:val="auto"/>
                <w:sz w:val="24"/>
                <w:szCs w:val="24"/>
              </w:rPr>
            </w:pPr>
            <w:r>
              <w:rPr>
                <w:rFonts w:hint="eastAsia" w:ascii="仿宋" w:hAnsi="仿宋" w:eastAsia="仿宋"/>
                <w:color w:val="auto"/>
                <w:kern w:val="0"/>
                <w:sz w:val="24"/>
                <w:szCs w:val="24"/>
              </w:rPr>
              <w:t>c） 电子巡查及巡检系统；</w:t>
            </w:r>
          </w:p>
          <w:p w14:paraId="5D8B41A6">
            <w:pPr>
              <w:pStyle w:val="35"/>
              <w:spacing w:line="240" w:lineRule="auto"/>
              <w:ind w:firstLine="0" w:firstLineChars="0"/>
              <w:rPr>
                <w:rFonts w:hint="eastAsia" w:ascii="仿宋" w:hAnsi="仿宋" w:eastAsia="仿宋"/>
                <w:color w:val="auto"/>
                <w:sz w:val="24"/>
                <w:szCs w:val="24"/>
              </w:rPr>
            </w:pPr>
            <w:r>
              <w:rPr>
                <w:rFonts w:ascii="仿宋" w:hAnsi="仿宋" w:eastAsia="仿宋"/>
                <w:color w:val="auto"/>
                <w:kern w:val="0"/>
                <w:sz w:val="24"/>
                <w:szCs w:val="24"/>
              </w:rPr>
              <w:t xml:space="preserve">d） </w:t>
            </w:r>
            <w:r>
              <w:rPr>
                <w:rFonts w:hint="eastAsia" w:ascii="仿宋" w:hAnsi="仿宋" w:eastAsia="仿宋"/>
                <w:color w:val="auto"/>
                <w:kern w:val="0"/>
                <w:sz w:val="24"/>
                <w:szCs w:val="24"/>
              </w:rPr>
              <w:t>防雷及接地；</w:t>
            </w:r>
          </w:p>
          <w:p w14:paraId="42626994">
            <w:pPr>
              <w:pStyle w:val="35"/>
              <w:spacing w:line="240" w:lineRule="auto"/>
              <w:ind w:firstLine="0" w:firstLineChars="0"/>
              <w:rPr>
                <w:rFonts w:hint="eastAsia" w:ascii="仿宋" w:hAnsi="仿宋" w:eastAsia="仿宋" w:cs="微软雅黑"/>
                <w:sz w:val="24"/>
                <w:szCs w:val="24"/>
              </w:rPr>
            </w:pPr>
            <w:r>
              <w:rPr>
                <w:rFonts w:ascii="仿宋" w:hAnsi="仿宋" w:eastAsia="仿宋"/>
                <w:color w:val="auto"/>
                <w:kern w:val="0"/>
                <w:sz w:val="24"/>
                <w:szCs w:val="24"/>
              </w:rPr>
              <w:t xml:space="preserve">e） </w:t>
            </w:r>
            <w:r>
              <w:rPr>
                <w:rFonts w:hint="eastAsia" w:ascii="仿宋" w:hAnsi="仿宋" w:eastAsia="仿宋"/>
                <w:color w:val="auto"/>
                <w:kern w:val="0"/>
                <w:sz w:val="24"/>
                <w:szCs w:val="24"/>
              </w:rPr>
              <w:t>光缆防护。</w:t>
            </w:r>
          </w:p>
        </w:tc>
        <w:tc>
          <w:tcPr>
            <w:tcW w:w="768" w:type="pct"/>
            <w:shd w:val="clear" w:color="auto" w:fill="FFFFFF" w:themeFill="background1"/>
            <w:vAlign w:val="center"/>
          </w:tcPr>
          <w:p w14:paraId="5479184C">
            <w:pPr>
              <w:jc w:val="left"/>
              <w:textAlignment w:val="center"/>
              <w:rPr>
                <w:rFonts w:hint="eastAsia" w:ascii="仿宋" w:hAnsi="仿宋" w:eastAsia="仿宋" w:cs="微软雅黑"/>
                <w:sz w:val="24"/>
              </w:rPr>
            </w:pPr>
            <w:r>
              <w:rPr>
                <w:rFonts w:hint="eastAsia" w:ascii="仿宋" w:hAnsi="仿宋" w:eastAsia="仿宋" w:cs="微软雅黑"/>
                <w:sz w:val="24"/>
              </w:rPr>
              <w:t>增加</w:t>
            </w:r>
            <w:r>
              <w:rPr>
                <w:rFonts w:hint="eastAsia" w:ascii="仿宋" w:hAnsi="仿宋" w:eastAsia="仿宋"/>
                <w:sz w:val="24"/>
              </w:rPr>
              <w:t>光纤预警系统的情况说明，</w:t>
            </w:r>
            <w:r>
              <w:rPr>
                <w:rFonts w:hint="eastAsia" w:ascii="仿宋" w:hAnsi="仿宋" w:eastAsia="仿宋" w:cs="微软雅黑"/>
                <w:sz w:val="24"/>
              </w:rPr>
              <w:t>进一步规范了文字的表述形式。</w:t>
            </w:r>
          </w:p>
        </w:tc>
      </w:tr>
      <w:tr w14:paraId="7D2CF3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3101E934">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315C4BAE">
            <w:pPr>
              <w:jc w:val="center"/>
              <w:textAlignment w:val="center"/>
              <w:rPr>
                <w:rFonts w:hint="eastAsia" w:ascii="仿宋" w:hAnsi="仿宋" w:eastAsia="仿宋" w:cs="微软雅黑"/>
                <w:sz w:val="24"/>
              </w:rPr>
            </w:pPr>
            <w:r>
              <w:rPr>
                <w:rFonts w:hint="eastAsia" w:ascii="仿宋" w:hAnsi="仿宋" w:eastAsia="仿宋" w:cs="微软雅黑"/>
                <w:sz w:val="24"/>
              </w:rPr>
              <w:t>5.6.3 供配电</w:t>
            </w:r>
          </w:p>
        </w:tc>
        <w:tc>
          <w:tcPr>
            <w:tcW w:w="1479" w:type="pct"/>
            <w:shd w:val="clear" w:color="auto" w:fill="FFFFFF" w:themeFill="background1"/>
            <w:vAlign w:val="center"/>
          </w:tcPr>
          <w:p w14:paraId="3CD0193E">
            <w:pPr>
              <w:jc w:val="left"/>
              <w:textAlignment w:val="center"/>
              <w:rPr>
                <w:rFonts w:hint="eastAsia" w:ascii="仿宋" w:hAnsi="仿宋" w:eastAsia="仿宋" w:cs="微软雅黑"/>
                <w:sz w:val="24"/>
              </w:rPr>
            </w:pPr>
            <w:r>
              <w:rPr>
                <w:rFonts w:hint="eastAsia" w:ascii="仿宋" w:hAnsi="仿宋" w:eastAsia="仿宋" w:cs="微软雅黑"/>
                <w:sz w:val="24"/>
              </w:rPr>
              <w:t>应说明供配电设置情况：</w:t>
            </w:r>
          </w:p>
          <w:p w14:paraId="166540DC">
            <w:pPr>
              <w:jc w:val="left"/>
              <w:textAlignment w:val="center"/>
              <w:rPr>
                <w:rFonts w:hint="eastAsia" w:ascii="仿宋" w:hAnsi="仿宋" w:eastAsia="仿宋" w:cs="微软雅黑"/>
                <w:sz w:val="24"/>
              </w:rPr>
            </w:pPr>
            <w:r>
              <w:rPr>
                <w:rFonts w:hint="eastAsia" w:ascii="仿宋" w:hAnsi="仿宋" w:eastAsia="仿宋" w:cs="微软雅黑"/>
                <w:sz w:val="24"/>
              </w:rPr>
              <w:t>a） 压气站供电系统配置情况，主要包括：地方电网相关变电站（电源点）概况；压气站变电站概况（电压等级、电源联络线路参数、变压器容量、压缩机容量及启动方式等）；</w:t>
            </w:r>
          </w:p>
          <w:p w14:paraId="4575E986">
            <w:pPr>
              <w:jc w:val="left"/>
              <w:textAlignment w:val="center"/>
              <w:rPr>
                <w:rFonts w:hint="eastAsia" w:ascii="仿宋" w:hAnsi="仿宋" w:eastAsia="仿宋" w:cs="微软雅黑"/>
                <w:sz w:val="24"/>
              </w:rPr>
            </w:pPr>
            <w:r>
              <w:rPr>
                <w:rFonts w:hint="eastAsia" w:ascii="仿宋" w:hAnsi="仿宋" w:eastAsia="仿宋" w:cs="微软雅黑"/>
                <w:sz w:val="24"/>
              </w:rPr>
              <w:t>b） 站场、阀室电源配置、负荷以及应急或备用电源（含消防用电）的配置情况；</w:t>
            </w:r>
          </w:p>
          <w:p w14:paraId="578C9CF5">
            <w:pPr>
              <w:jc w:val="left"/>
              <w:textAlignment w:val="center"/>
              <w:rPr>
                <w:rFonts w:hint="eastAsia" w:ascii="仿宋" w:hAnsi="仿宋" w:eastAsia="仿宋" w:cs="微软雅黑"/>
                <w:sz w:val="24"/>
              </w:rPr>
            </w:pPr>
            <w:r>
              <w:rPr>
                <w:rFonts w:hint="eastAsia" w:ascii="仿宋" w:hAnsi="仿宋" w:eastAsia="仿宋" w:cs="微软雅黑"/>
                <w:sz w:val="24"/>
              </w:rPr>
              <w:t>c） 变电站（所）的继电保护及电气监控系统的配置情况；</w:t>
            </w:r>
          </w:p>
          <w:p w14:paraId="486E56B1">
            <w:pPr>
              <w:jc w:val="left"/>
              <w:textAlignment w:val="center"/>
              <w:rPr>
                <w:rFonts w:hint="eastAsia" w:ascii="仿宋" w:hAnsi="仿宋" w:eastAsia="仿宋" w:cs="微软雅黑"/>
                <w:sz w:val="24"/>
              </w:rPr>
            </w:pPr>
            <w:r>
              <w:rPr>
                <w:rFonts w:hint="eastAsia" w:ascii="仿宋" w:hAnsi="仿宋" w:eastAsia="仿宋" w:cs="微软雅黑"/>
                <w:sz w:val="24"/>
              </w:rPr>
              <w:t>d） 爆炸危险区域划分和相关电气设备、电力电缆采取的防火、防爆措施；</w:t>
            </w:r>
          </w:p>
          <w:p w14:paraId="4C00AF86">
            <w:pPr>
              <w:jc w:val="left"/>
              <w:textAlignment w:val="center"/>
              <w:rPr>
                <w:rFonts w:hint="eastAsia" w:ascii="仿宋" w:hAnsi="仿宋" w:eastAsia="仿宋" w:cs="微软雅黑"/>
                <w:sz w:val="24"/>
              </w:rPr>
            </w:pPr>
            <w:r>
              <w:rPr>
                <w:rFonts w:hint="eastAsia" w:ascii="仿宋" w:hAnsi="仿宋" w:eastAsia="仿宋" w:cs="微软雅黑"/>
                <w:sz w:val="24"/>
              </w:rPr>
              <w:t>e） 各站场、阀室防雷、防静电保护措施；</w:t>
            </w:r>
          </w:p>
          <w:p w14:paraId="515A7EBF">
            <w:pPr>
              <w:jc w:val="left"/>
              <w:textAlignment w:val="center"/>
              <w:rPr>
                <w:rFonts w:hint="eastAsia" w:ascii="仿宋" w:hAnsi="仿宋" w:eastAsia="仿宋" w:cs="微软雅黑"/>
                <w:sz w:val="24"/>
              </w:rPr>
            </w:pPr>
            <w:r>
              <w:rPr>
                <w:rFonts w:hint="eastAsia" w:ascii="仿宋" w:hAnsi="仿宋" w:eastAsia="仿宋" w:cs="微软雅黑"/>
                <w:sz w:val="24"/>
              </w:rPr>
              <w:t>f） 主要电气设备统计。</w:t>
            </w:r>
          </w:p>
        </w:tc>
        <w:tc>
          <w:tcPr>
            <w:tcW w:w="578" w:type="pct"/>
            <w:shd w:val="clear" w:color="auto" w:fill="FFFFFF" w:themeFill="background1"/>
            <w:noWrap/>
            <w:vAlign w:val="center"/>
          </w:tcPr>
          <w:p w14:paraId="17BD41C7">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5.</w:t>
            </w:r>
            <w:r>
              <w:rPr>
                <w:rFonts w:hint="eastAsia" w:ascii="仿宋" w:hAnsi="仿宋" w:eastAsia="仿宋"/>
                <w:sz w:val="24"/>
                <w:szCs w:val="24"/>
                <w:lang w:val="en-US"/>
              </w:rPr>
              <w:t>5</w:t>
            </w:r>
            <w:r>
              <w:rPr>
                <w:rFonts w:ascii="仿宋" w:hAnsi="仿宋" w:eastAsia="仿宋"/>
                <w:sz w:val="24"/>
                <w:szCs w:val="24"/>
              </w:rPr>
              <w:t xml:space="preserve">.3 </w:t>
            </w:r>
            <w:r>
              <w:rPr>
                <w:rFonts w:hint="eastAsia" w:ascii="仿宋" w:hAnsi="仿宋" w:eastAsia="仿宋"/>
                <w:sz w:val="24"/>
                <w:szCs w:val="24"/>
              </w:rPr>
              <w:t>供配电</w:t>
            </w:r>
          </w:p>
        </w:tc>
        <w:tc>
          <w:tcPr>
            <w:tcW w:w="1473" w:type="pct"/>
            <w:shd w:val="clear" w:color="auto" w:fill="FFFFFF" w:themeFill="background1"/>
            <w:vAlign w:val="center"/>
          </w:tcPr>
          <w:p w14:paraId="52912158">
            <w:pPr>
              <w:tabs>
                <w:tab w:val="left" w:pos="840"/>
                <w:tab w:val="center" w:pos="4201"/>
                <w:tab w:val="right" w:leader="dot" w:pos="9298"/>
              </w:tabs>
              <w:autoSpaceDE w:val="0"/>
              <w:autoSpaceDN w:val="0"/>
              <w:jc w:val="left"/>
              <w:rPr>
                <w:rFonts w:hint="eastAsia" w:ascii="仿宋" w:hAnsi="仿宋" w:eastAsia="仿宋"/>
                <w:sz w:val="24"/>
              </w:rPr>
            </w:pPr>
            <w:r>
              <w:rPr>
                <w:rFonts w:hint="eastAsia" w:ascii="仿宋" w:hAnsi="仿宋" w:eastAsia="仿宋"/>
                <w:sz w:val="24"/>
              </w:rPr>
              <w:t>说明供配电设置情况：</w:t>
            </w:r>
          </w:p>
          <w:p w14:paraId="24B913B3">
            <w:pPr>
              <w:pStyle w:val="35"/>
              <w:spacing w:line="240" w:lineRule="auto"/>
              <w:ind w:firstLine="0" w:firstLineChars="0"/>
              <w:rPr>
                <w:rFonts w:hint="eastAsia" w:ascii="仿宋" w:hAnsi="仿宋" w:eastAsia="仿宋"/>
                <w:color w:val="auto"/>
                <w:sz w:val="24"/>
                <w:szCs w:val="24"/>
              </w:rPr>
            </w:pPr>
            <w:r>
              <w:rPr>
                <w:rFonts w:ascii="仿宋" w:hAnsi="仿宋" w:eastAsia="仿宋"/>
                <w:color w:val="auto"/>
                <w:kern w:val="0"/>
                <w:sz w:val="24"/>
                <w:szCs w:val="24"/>
              </w:rPr>
              <w:t>a</w:t>
            </w:r>
            <w:r>
              <w:rPr>
                <w:rFonts w:hint="eastAsia" w:ascii="仿宋" w:hAnsi="仿宋" w:eastAsia="仿宋"/>
                <w:color w:val="auto"/>
                <w:kern w:val="0"/>
                <w:sz w:val="24"/>
                <w:szCs w:val="24"/>
              </w:rPr>
              <w:t>）</w:t>
            </w:r>
            <w:r>
              <w:rPr>
                <w:rFonts w:ascii="仿宋" w:hAnsi="仿宋" w:eastAsia="仿宋"/>
                <w:color w:val="auto"/>
                <w:kern w:val="0"/>
                <w:sz w:val="24"/>
                <w:szCs w:val="24"/>
              </w:rPr>
              <w:t xml:space="preserve"> </w:t>
            </w:r>
            <w:r>
              <w:rPr>
                <w:rFonts w:hint="eastAsia" w:ascii="仿宋" w:hAnsi="仿宋" w:eastAsia="仿宋"/>
                <w:color w:val="auto"/>
                <w:kern w:val="0"/>
                <w:sz w:val="24"/>
                <w:szCs w:val="24"/>
              </w:rPr>
              <w:t>站场、阀室电源配置、负荷以及应急或备用电源（含消防用电）的配置情况；</w:t>
            </w:r>
          </w:p>
          <w:p w14:paraId="6B356EA0">
            <w:pPr>
              <w:pStyle w:val="35"/>
              <w:spacing w:line="240" w:lineRule="auto"/>
              <w:ind w:firstLine="0" w:firstLineChars="0"/>
              <w:rPr>
                <w:rFonts w:hint="eastAsia" w:ascii="仿宋" w:hAnsi="仿宋" w:eastAsia="仿宋"/>
                <w:color w:val="auto"/>
                <w:sz w:val="24"/>
                <w:szCs w:val="24"/>
              </w:rPr>
            </w:pPr>
            <w:r>
              <w:rPr>
                <w:rFonts w:ascii="仿宋" w:hAnsi="仿宋" w:eastAsia="仿宋"/>
                <w:color w:val="auto"/>
                <w:kern w:val="0"/>
                <w:sz w:val="24"/>
                <w:szCs w:val="24"/>
              </w:rPr>
              <w:t>b）</w:t>
            </w:r>
            <w:r>
              <w:rPr>
                <w:rFonts w:hint="eastAsia" w:ascii="仿宋" w:hAnsi="仿宋" w:eastAsia="仿宋"/>
                <w:color w:val="auto"/>
                <w:kern w:val="0"/>
                <w:sz w:val="24"/>
                <w:szCs w:val="24"/>
              </w:rPr>
              <w:t xml:space="preserve"> 压气站供电系统配置情况，主要包括：地方电网相关变电站（电源点）概况；压气站变电站概况（电压等级、电源联络线路参数、变压器容量、压缩机容量及启动方式等）；</w:t>
            </w:r>
          </w:p>
          <w:p w14:paraId="7BE1DD98">
            <w:pPr>
              <w:pStyle w:val="35"/>
              <w:spacing w:line="240" w:lineRule="auto"/>
              <w:ind w:firstLine="0" w:firstLineChars="0"/>
              <w:rPr>
                <w:rFonts w:hint="eastAsia" w:ascii="仿宋" w:hAnsi="仿宋" w:eastAsia="仿宋"/>
                <w:color w:val="auto"/>
                <w:sz w:val="24"/>
                <w:szCs w:val="24"/>
              </w:rPr>
            </w:pPr>
            <w:r>
              <w:rPr>
                <w:rFonts w:ascii="仿宋" w:hAnsi="仿宋" w:eastAsia="仿宋"/>
                <w:color w:val="auto"/>
                <w:kern w:val="0"/>
                <w:sz w:val="24"/>
                <w:szCs w:val="24"/>
              </w:rPr>
              <w:t xml:space="preserve">c） </w:t>
            </w:r>
            <w:r>
              <w:rPr>
                <w:rFonts w:hint="eastAsia" w:ascii="仿宋" w:hAnsi="仿宋" w:eastAsia="仿宋"/>
                <w:color w:val="auto"/>
                <w:kern w:val="0"/>
                <w:sz w:val="24"/>
                <w:szCs w:val="24"/>
              </w:rPr>
              <w:t>变电站（所）的继电保护及电气监控系统的配置情况；</w:t>
            </w:r>
          </w:p>
          <w:p w14:paraId="22FEF899">
            <w:pPr>
              <w:pStyle w:val="35"/>
              <w:spacing w:line="240" w:lineRule="auto"/>
              <w:ind w:firstLine="0" w:firstLineChars="0"/>
              <w:rPr>
                <w:rFonts w:hint="eastAsia" w:ascii="仿宋" w:hAnsi="仿宋" w:eastAsia="仿宋"/>
                <w:color w:val="auto"/>
                <w:sz w:val="24"/>
                <w:szCs w:val="24"/>
              </w:rPr>
            </w:pPr>
            <w:r>
              <w:rPr>
                <w:rFonts w:ascii="仿宋" w:hAnsi="仿宋" w:eastAsia="仿宋"/>
                <w:color w:val="auto"/>
                <w:kern w:val="0"/>
                <w:sz w:val="24"/>
                <w:szCs w:val="24"/>
              </w:rPr>
              <w:t xml:space="preserve">d） </w:t>
            </w:r>
            <w:r>
              <w:rPr>
                <w:rFonts w:hint="eastAsia" w:ascii="仿宋" w:hAnsi="仿宋" w:eastAsia="仿宋"/>
                <w:color w:val="auto"/>
                <w:kern w:val="0"/>
                <w:sz w:val="24"/>
                <w:szCs w:val="24"/>
              </w:rPr>
              <w:t>爆炸危险区域划分和相关电气设备、电力电缆采取的防火、防爆措施；</w:t>
            </w:r>
          </w:p>
          <w:p w14:paraId="2A93BA1C">
            <w:pPr>
              <w:pStyle w:val="35"/>
              <w:spacing w:line="240" w:lineRule="auto"/>
              <w:ind w:firstLine="0" w:firstLineChars="0"/>
              <w:rPr>
                <w:rFonts w:hint="eastAsia" w:ascii="仿宋" w:hAnsi="仿宋" w:eastAsia="仿宋"/>
                <w:color w:val="auto"/>
                <w:sz w:val="24"/>
                <w:szCs w:val="24"/>
              </w:rPr>
            </w:pPr>
            <w:r>
              <w:rPr>
                <w:rFonts w:ascii="仿宋" w:hAnsi="仿宋" w:eastAsia="仿宋"/>
                <w:color w:val="auto"/>
                <w:kern w:val="0"/>
                <w:sz w:val="24"/>
                <w:szCs w:val="24"/>
              </w:rPr>
              <w:t xml:space="preserve">e） </w:t>
            </w:r>
            <w:r>
              <w:rPr>
                <w:rFonts w:hint="eastAsia" w:ascii="仿宋" w:hAnsi="仿宋" w:eastAsia="仿宋"/>
                <w:color w:val="auto"/>
                <w:kern w:val="0"/>
                <w:sz w:val="24"/>
                <w:szCs w:val="24"/>
              </w:rPr>
              <w:t>各站场、阀室防雷、防静电保护措施；</w:t>
            </w:r>
          </w:p>
          <w:p w14:paraId="00578451">
            <w:pPr>
              <w:pStyle w:val="35"/>
              <w:spacing w:line="240" w:lineRule="auto"/>
              <w:ind w:firstLine="0" w:firstLineChars="0"/>
              <w:rPr>
                <w:rFonts w:hint="eastAsia" w:ascii="仿宋" w:hAnsi="仿宋" w:eastAsia="仿宋" w:cs="微软雅黑"/>
                <w:sz w:val="24"/>
                <w:szCs w:val="24"/>
              </w:rPr>
            </w:pPr>
            <w:r>
              <w:rPr>
                <w:rFonts w:ascii="仿宋" w:hAnsi="仿宋" w:eastAsia="仿宋"/>
                <w:color w:val="auto"/>
                <w:kern w:val="0"/>
                <w:sz w:val="24"/>
                <w:szCs w:val="24"/>
              </w:rPr>
              <w:t xml:space="preserve">f） </w:t>
            </w:r>
            <w:r>
              <w:rPr>
                <w:rFonts w:hint="eastAsia" w:ascii="仿宋" w:hAnsi="仿宋" w:eastAsia="仿宋"/>
                <w:color w:val="auto"/>
                <w:kern w:val="0"/>
                <w:sz w:val="24"/>
                <w:szCs w:val="24"/>
              </w:rPr>
              <w:t>主要电气设备统计。</w:t>
            </w:r>
          </w:p>
        </w:tc>
        <w:tc>
          <w:tcPr>
            <w:tcW w:w="768" w:type="pct"/>
            <w:shd w:val="clear" w:color="auto" w:fill="FFFFFF" w:themeFill="background1"/>
            <w:vAlign w:val="center"/>
          </w:tcPr>
          <w:p w14:paraId="387BB71F">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7492D9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408F427F">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52F6DBD3">
            <w:pPr>
              <w:jc w:val="center"/>
              <w:textAlignment w:val="center"/>
              <w:rPr>
                <w:rFonts w:hint="eastAsia" w:ascii="仿宋" w:hAnsi="仿宋" w:eastAsia="仿宋" w:cs="微软雅黑"/>
                <w:sz w:val="24"/>
              </w:rPr>
            </w:pPr>
            <w:r>
              <w:rPr>
                <w:rFonts w:hint="eastAsia" w:ascii="仿宋" w:hAnsi="仿宋" w:eastAsia="仿宋" w:cs="微软雅黑"/>
                <w:sz w:val="24"/>
              </w:rPr>
              <w:t>5.6.4 防腐与保温</w:t>
            </w:r>
          </w:p>
        </w:tc>
        <w:tc>
          <w:tcPr>
            <w:tcW w:w="1479" w:type="pct"/>
            <w:shd w:val="clear" w:color="auto" w:fill="FFFFFF" w:themeFill="background1"/>
            <w:vAlign w:val="center"/>
          </w:tcPr>
          <w:p w14:paraId="635C17C0">
            <w:pPr>
              <w:jc w:val="left"/>
              <w:textAlignment w:val="center"/>
              <w:rPr>
                <w:rFonts w:hint="eastAsia" w:ascii="仿宋" w:hAnsi="仿宋" w:eastAsia="仿宋" w:cs="微软雅黑"/>
                <w:sz w:val="24"/>
              </w:rPr>
            </w:pPr>
            <w:r>
              <w:rPr>
                <w:rFonts w:hint="eastAsia" w:ascii="仿宋" w:hAnsi="仿宋" w:eastAsia="仿宋" w:cs="微软雅黑"/>
                <w:sz w:val="24"/>
              </w:rPr>
              <w:t>应说明管道防腐与保温情况：</w:t>
            </w:r>
          </w:p>
          <w:p w14:paraId="5F080261">
            <w:pPr>
              <w:jc w:val="left"/>
              <w:textAlignment w:val="center"/>
              <w:rPr>
                <w:rFonts w:hint="eastAsia" w:ascii="仿宋" w:hAnsi="仿宋" w:eastAsia="仿宋" w:cs="微软雅黑"/>
                <w:sz w:val="24"/>
              </w:rPr>
            </w:pPr>
            <w:r>
              <w:rPr>
                <w:rFonts w:hint="eastAsia" w:ascii="仿宋" w:hAnsi="仿宋" w:eastAsia="仿宋" w:cs="微软雅黑"/>
                <w:sz w:val="24"/>
              </w:rPr>
              <w:t>a） 管道外防腐层及保温层材料和补口方式，站内管道及设备防腐、保温，大型容器和储罐内、外壁的防腐、保温措施；</w:t>
            </w:r>
          </w:p>
          <w:p w14:paraId="51503714">
            <w:pPr>
              <w:jc w:val="left"/>
              <w:textAlignment w:val="center"/>
              <w:rPr>
                <w:rFonts w:hint="eastAsia" w:ascii="仿宋" w:hAnsi="仿宋" w:eastAsia="仿宋" w:cs="微软雅黑"/>
                <w:sz w:val="24"/>
              </w:rPr>
            </w:pPr>
            <w:r>
              <w:rPr>
                <w:rFonts w:hint="eastAsia" w:ascii="仿宋" w:hAnsi="仿宋" w:eastAsia="仿宋" w:cs="微软雅黑"/>
                <w:sz w:val="24"/>
              </w:rPr>
              <w:t>b） 线路阴极保护站分布、数量、供电方式和设置情况，牺牲阳极材料的选用、分布情况；</w:t>
            </w:r>
          </w:p>
          <w:p w14:paraId="0D5DCD11">
            <w:pPr>
              <w:jc w:val="left"/>
              <w:textAlignment w:val="center"/>
              <w:rPr>
                <w:rFonts w:hint="eastAsia" w:ascii="仿宋" w:hAnsi="仿宋" w:eastAsia="仿宋" w:cs="微软雅黑"/>
                <w:sz w:val="24"/>
              </w:rPr>
            </w:pPr>
            <w:r>
              <w:rPr>
                <w:rFonts w:hint="eastAsia" w:ascii="仿宋" w:hAnsi="仿宋" w:eastAsia="仿宋" w:cs="微软雅黑"/>
                <w:sz w:val="24"/>
              </w:rPr>
              <w:t>c） 站场区域阴极保护系统构成，阳极类型及材料，设置点的布置；</w:t>
            </w:r>
          </w:p>
          <w:p w14:paraId="6290ADA3">
            <w:pPr>
              <w:jc w:val="left"/>
              <w:textAlignment w:val="center"/>
              <w:rPr>
                <w:rFonts w:hint="eastAsia" w:ascii="仿宋" w:hAnsi="仿宋" w:eastAsia="仿宋" w:cs="微软雅黑"/>
                <w:sz w:val="24"/>
              </w:rPr>
            </w:pPr>
            <w:r>
              <w:rPr>
                <w:rFonts w:hint="eastAsia" w:ascii="仿宋" w:hAnsi="仿宋" w:eastAsia="仿宋" w:cs="微软雅黑"/>
                <w:sz w:val="24"/>
              </w:rPr>
              <w:t>d） 管道沿线杂散电流干扰防护方案。</w:t>
            </w:r>
          </w:p>
        </w:tc>
        <w:tc>
          <w:tcPr>
            <w:tcW w:w="578" w:type="pct"/>
            <w:shd w:val="clear" w:color="auto" w:fill="FFFFFF" w:themeFill="background1"/>
            <w:noWrap/>
            <w:vAlign w:val="center"/>
          </w:tcPr>
          <w:p w14:paraId="63622359">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5.</w:t>
            </w:r>
            <w:r>
              <w:rPr>
                <w:rFonts w:hint="eastAsia" w:ascii="仿宋" w:hAnsi="仿宋" w:eastAsia="仿宋"/>
                <w:sz w:val="24"/>
                <w:szCs w:val="24"/>
                <w:lang w:val="en-US"/>
              </w:rPr>
              <w:t>5</w:t>
            </w:r>
            <w:r>
              <w:rPr>
                <w:rFonts w:ascii="仿宋" w:hAnsi="仿宋" w:eastAsia="仿宋"/>
                <w:sz w:val="24"/>
                <w:szCs w:val="24"/>
              </w:rPr>
              <w:t xml:space="preserve">.4 </w:t>
            </w:r>
            <w:r>
              <w:rPr>
                <w:rFonts w:hint="eastAsia" w:ascii="仿宋" w:hAnsi="仿宋" w:eastAsia="仿宋"/>
                <w:sz w:val="24"/>
                <w:szCs w:val="24"/>
              </w:rPr>
              <w:t>防腐与保温</w:t>
            </w:r>
          </w:p>
        </w:tc>
        <w:tc>
          <w:tcPr>
            <w:tcW w:w="1473" w:type="pct"/>
            <w:shd w:val="clear" w:color="auto" w:fill="FFFFFF" w:themeFill="background1"/>
            <w:vAlign w:val="center"/>
          </w:tcPr>
          <w:p w14:paraId="46F30511">
            <w:pPr>
              <w:pStyle w:val="65"/>
              <w:ind w:firstLine="0" w:firstLineChars="0"/>
              <w:jc w:val="left"/>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说明管道防腐与保温情况：</w:t>
            </w:r>
          </w:p>
          <w:p w14:paraId="7416410D">
            <w:pPr>
              <w:pStyle w:val="35"/>
              <w:spacing w:line="240" w:lineRule="auto"/>
              <w:ind w:firstLine="0" w:firstLineChars="0"/>
              <w:rPr>
                <w:rFonts w:hint="eastAsia" w:ascii="仿宋" w:hAnsi="仿宋" w:eastAsia="仿宋"/>
                <w:color w:val="auto"/>
                <w:sz w:val="24"/>
                <w:szCs w:val="24"/>
              </w:rPr>
            </w:pPr>
            <w:r>
              <w:rPr>
                <w:rFonts w:ascii="仿宋" w:hAnsi="仿宋" w:eastAsia="仿宋"/>
                <w:color w:val="auto"/>
                <w:kern w:val="0"/>
                <w:sz w:val="24"/>
                <w:szCs w:val="24"/>
              </w:rPr>
              <w:t xml:space="preserve">a） </w:t>
            </w:r>
            <w:r>
              <w:rPr>
                <w:rFonts w:hint="eastAsia" w:ascii="仿宋" w:hAnsi="仿宋" w:eastAsia="仿宋"/>
                <w:color w:val="auto"/>
                <w:kern w:val="0"/>
                <w:sz w:val="24"/>
                <w:szCs w:val="24"/>
              </w:rPr>
              <w:t>管道外防腐层及保温层材料和补口方式，站内管道及设备防腐、保温，大型容器和储罐内、外壁的防腐、保温措施；</w:t>
            </w:r>
          </w:p>
          <w:p w14:paraId="14CA94CC">
            <w:pPr>
              <w:pStyle w:val="35"/>
              <w:spacing w:line="240" w:lineRule="auto"/>
              <w:ind w:firstLine="0" w:firstLineChars="0"/>
              <w:rPr>
                <w:rFonts w:hint="eastAsia" w:ascii="仿宋" w:hAnsi="仿宋" w:eastAsia="仿宋"/>
                <w:color w:val="auto"/>
                <w:sz w:val="24"/>
                <w:szCs w:val="24"/>
              </w:rPr>
            </w:pPr>
            <w:r>
              <w:rPr>
                <w:rFonts w:ascii="仿宋" w:hAnsi="仿宋" w:eastAsia="仿宋"/>
                <w:color w:val="auto"/>
                <w:kern w:val="0"/>
                <w:sz w:val="24"/>
                <w:szCs w:val="24"/>
              </w:rPr>
              <w:t xml:space="preserve">b） </w:t>
            </w:r>
            <w:r>
              <w:rPr>
                <w:rFonts w:hint="eastAsia" w:ascii="仿宋" w:hAnsi="仿宋" w:eastAsia="仿宋"/>
                <w:color w:val="auto"/>
                <w:kern w:val="0"/>
                <w:sz w:val="24"/>
                <w:szCs w:val="24"/>
              </w:rPr>
              <w:t>线路阴极保护站分布、数量、供电方式和设置情况，牺牲阳极材料的选用、分布情况；</w:t>
            </w:r>
          </w:p>
          <w:p w14:paraId="3ABB205D">
            <w:pPr>
              <w:pStyle w:val="35"/>
              <w:spacing w:line="240" w:lineRule="auto"/>
              <w:ind w:firstLine="0" w:firstLineChars="0"/>
              <w:rPr>
                <w:rFonts w:hint="eastAsia" w:ascii="仿宋" w:hAnsi="仿宋" w:eastAsia="仿宋"/>
                <w:color w:val="auto"/>
                <w:sz w:val="24"/>
                <w:szCs w:val="24"/>
              </w:rPr>
            </w:pPr>
            <w:r>
              <w:rPr>
                <w:rFonts w:ascii="仿宋" w:hAnsi="仿宋" w:eastAsia="仿宋"/>
                <w:color w:val="auto"/>
                <w:kern w:val="0"/>
                <w:sz w:val="24"/>
                <w:szCs w:val="24"/>
              </w:rPr>
              <w:t xml:space="preserve">c） </w:t>
            </w:r>
            <w:r>
              <w:rPr>
                <w:rFonts w:hint="eastAsia" w:ascii="仿宋" w:hAnsi="仿宋" w:eastAsia="仿宋"/>
                <w:color w:val="auto"/>
                <w:kern w:val="0"/>
                <w:sz w:val="24"/>
                <w:szCs w:val="24"/>
              </w:rPr>
              <w:t>站场区域阴极保护系统构成，阳极类型及材料，设置点的布置；</w:t>
            </w:r>
          </w:p>
          <w:p w14:paraId="37D569DA">
            <w:pPr>
              <w:pStyle w:val="35"/>
              <w:spacing w:line="240" w:lineRule="auto"/>
              <w:ind w:firstLine="0" w:firstLineChars="0"/>
              <w:rPr>
                <w:rFonts w:hint="eastAsia" w:ascii="仿宋" w:hAnsi="仿宋" w:eastAsia="仿宋" w:cs="微软雅黑"/>
                <w:sz w:val="24"/>
                <w:szCs w:val="24"/>
              </w:rPr>
            </w:pPr>
            <w:r>
              <w:rPr>
                <w:rFonts w:ascii="仿宋" w:hAnsi="仿宋" w:eastAsia="仿宋"/>
                <w:color w:val="auto"/>
                <w:kern w:val="0"/>
                <w:sz w:val="24"/>
                <w:szCs w:val="24"/>
              </w:rPr>
              <w:t xml:space="preserve">d） </w:t>
            </w:r>
            <w:r>
              <w:rPr>
                <w:rFonts w:hint="eastAsia" w:ascii="仿宋" w:hAnsi="仿宋" w:eastAsia="仿宋"/>
                <w:color w:val="auto"/>
                <w:kern w:val="0"/>
                <w:sz w:val="24"/>
                <w:szCs w:val="24"/>
              </w:rPr>
              <w:t>管道沿线杂散电流干扰防护方案。</w:t>
            </w:r>
          </w:p>
        </w:tc>
        <w:tc>
          <w:tcPr>
            <w:tcW w:w="768" w:type="pct"/>
            <w:shd w:val="clear" w:color="auto" w:fill="FFFFFF" w:themeFill="background1"/>
            <w:vAlign w:val="center"/>
          </w:tcPr>
          <w:p w14:paraId="114A9069">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3DE390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40A23C55">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2AF17082">
            <w:pPr>
              <w:jc w:val="center"/>
              <w:textAlignment w:val="center"/>
              <w:rPr>
                <w:rFonts w:hint="eastAsia" w:ascii="仿宋" w:hAnsi="仿宋" w:eastAsia="仿宋" w:cs="微软雅黑"/>
                <w:sz w:val="24"/>
              </w:rPr>
            </w:pPr>
            <w:r>
              <w:rPr>
                <w:rFonts w:hint="eastAsia" w:ascii="仿宋" w:hAnsi="仿宋" w:eastAsia="仿宋" w:cs="微软雅黑"/>
                <w:sz w:val="24"/>
              </w:rPr>
              <w:t>5.6.5 采暖通风</w:t>
            </w:r>
          </w:p>
        </w:tc>
        <w:tc>
          <w:tcPr>
            <w:tcW w:w="1479" w:type="pct"/>
            <w:shd w:val="clear" w:color="auto" w:fill="FFFFFF" w:themeFill="background1"/>
            <w:vAlign w:val="center"/>
          </w:tcPr>
          <w:p w14:paraId="0B75E6B9">
            <w:pPr>
              <w:jc w:val="left"/>
              <w:textAlignment w:val="center"/>
              <w:rPr>
                <w:rFonts w:hint="eastAsia" w:ascii="仿宋" w:hAnsi="仿宋" w:eastAsia="仿宋" w:cs="微软雅黑"/>
                <w:sz w:val="24"/>
              </w:rPr>
            </w:pPr>
            <w:r>
              <w:rPr>
                <w:rFonts w:hint="eastAsia" w:ascii="仿宋" w:hAnsi="仿宋" w:eastAsia="仿宋" w:cs="微软雅黑"/>
                <w:sz w:val="24"/>
              </w:rPr>
              <w:t>应说明通风方式，供热设施或外接热源等情况。</w:t>
            </w:r>
          </w:p>
        </w:tc>
        <w:tc>
          <w:tcPr>
            <w:tcW w:w="578" w:type="pct"/>
            <w:shd w:val="clear" w:color="auto" w:fill="FFFFFF" w:themeFill="background1"/>
            <w:noWrap/>
            <w:vAlign w:val="center"/>
          </w:tcPr>
          <w:p w14:paraId="45210339">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5.</w:t>
            </w:r>
            <w:r>
              <w:rPr>
                <w:rFonts w:hint="eastAsia" w:ascii="仿宋" w:hAnsi="仿宋" w:eastAsia="仿宋"/>
                <w:sz w:val="24"/>
                <w:szCs w:val="24"/>
                <w:lang w:val="en-US"/>
              </w:rPr>
              <w:t>5</w:t>
            </w:r>
            <w:r>
              <w:rPr>
                <w:rFonts w:ascii="仿宋" w:hAnsi="仿宋" w:eastAsia="仿宋"/>
                <w:sz w:val="24"/>
                <w:szCs w:val="24"/>
              </w:rPr>
              <w:t xml:space="preserve">.5 </w:t>
            </w:r>
            <w:r>
              <w:rPr>
                <w:rFonts w:hint="eastAsia" w:ascii="仿宋" w:hAnsi="仿宋" w:eastAsia="仿宋"/>
                <w:sz w:val="24"/>
                <w:szCs w:val="24"/>
              </w:rPr>
              <w:t>采暖通风</w:t>
            </w:r>
          </w:p>
        </w:tc>
        <w:tc>
          <w:tcPr>
            <w:tcW w:w="1473" w:type="pct"/>
            <w:shd w:val="clear" w:color="auto" w:fill="FFFFFF" w:themeFill="background1"/>
            <w:vAlign w:val="center"/>
          </w:tcPr>
          <w:p w14:paraId="1E858E81">
            <w:pPr>
              <w:pStyle w:val="65"/>
              <w:ind w:firstLine="0" w:firstLineChars="0"/>
              <w:jc w:val="left"/>
              <w:rPr>
                <w:rFonts w:hint="eastAsia" w:ascii="仿宋" w:hAnsi="仿宋" w:eastAsia="仿宋" w:cs="微软雅黑"/>
                <w:color w:val="000000"/>
                <w:sz w:val="24"/>
                <w:szCs w:val="24"/>
              </w:rPr>
            </w:pPr>
            <w:r>
              <w:rPr>
                <w:rFonts w:hint="eastAsia" w:ascii="仿宋" w:hAnsi="仿宋" w:eastAsia="仿宋"/>
                <w:color w:val="000000" w:themeColor="text1"/>
                <w:sz w:val="24"/>
                <w:szCs w:val="24"/>
                <w14:textFill>
                  <w14:solidFill>
                    <w14:schemeClr w14:val="tx1"/>
                  </w14:solidFill>
                </w14:textFill>
              </w:rPr>
              <w:t>说明通风方式，供热设施或外接热源等情况。</w:t>
            </w:r>
          </w:p>
        </w:tc>
        <w:tc>
          <w:tcPr>
            <w:tcW w:w="768" w:type="pct"/>
            <w:shd w:val="clear" w:color="auto" w:fill="FFFFFF" w:themeFill="background1"/>
            <w:vAlign w:val="center"/>
          </w:tcPr>
          <w:p w14:paraId="04B8BAD1">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6AE6BC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5E1D48A2">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2478585A">
            <w:pPr>
              <w:jc w:val="center"/>
              <w:textAlignment w:val="center"/>
              <w:rPr>
                <w:rFonts w:hint="eastAsia" w:ascii="仿宋" w:hAnsi="仿宋" w:eastAsia="仿宋" w:cs="微软雅黑"/>
                <w:sz w:val="24"/>
              </w:rPr>
            </w:pPr>
            <w:r>
              <w:rPr>
                <w:rFonts w:hint="eastAsia" w:ascii="仿宋" w:hAnsi="仿宋" w:eastAsia="仿宋" w:cs="微软雅黑"/>
                <w:sz w:val="24"/>
              </w:rPr>
              <w:t>5.6.6 建(构)筑物</w:t>
            </w:r>
          </w:p>
        </w:tc>
        <w:tc>
          <w:tcPr>
            <w:tcW w:w="1479" w:type="pct"/>
            <w:shd w:val="clear" w:color="auto" w:fill="FFFFFF" w:themeFill="background1"/>
            <w:vAlign w:val="center"/>
          </w:tcPr>
          <w:p w14:paraId="37E244F2">
            <w:pPr>
              <w:jc w:val="left"/>
              <w:textAlignment w:val="center"/>
              <w:rPr>
                <w:rFonts w:hint="eastAsia" w:ascii="仿宋" w:hAnsi="仿宋" w:eastAsia="仿宋" w:cs="微软雅黑"/>
                <w:sz w:val="24"/>
              </w:rPr>
            </w:pPr>
          </w:p>
        </w:tc>
        <w:tc>
          <w:tcPr>
            <w:tcW w:w="578" w:type="pct"/>
            <w:shd w:val="clear" w:color="auto" w:fill="FFFFFF" w:themeFill="background1"/>
            <w:noWrap/>
            <w:vAlign w:val="center"/>
          </w:tcPr>
          <w:p w14:paraId="7E7BBFFE">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5.</w:t>
            </w:r>
            <w:r>
              <w:rPr>
                <w:rFonts w:hint="eastAsia" w:ascii="仿宋" w:hAnsi="仿宋" w:eastAsia="仿宋"/>
                <w:sz w:val="24"/>
                <w:szCs w:val="24"/>
                <w:lang w:val="en-US"/>
              </w:rPr>
              <w:t>5</w:t>
            </w:r>
            <w:r>
              <w:rPr>
                <w:rFonts w:ascii="仿宋" w:hAnsi="仿宋" w:eastAsia="仿宋"/>
                <w:sz w:val="24"/>
                <w:szCs w:val="24"/>
              </w:rPr>
              <w:t xml:space="preserve">.6 </w:t>
            </w:r>
            <w:r>
              <w:rPr>
                <w:rFonts w:hint="eastAsia" w:ascii="仿宋" w:hAnsi="仿宋" w:eastAsia="仿宋"/>
                <w:sz w:val="24"/>
                <w:szCs w:val="24"/>
              </w:rPr>
              <w:t>建（构）筑物</w:t>
            </w:r>
          </w:p>
        </w:tc>
        <w:tc>
          <w:tcPr>
            <w:tcW w:w="1473" w:type="pct"/>
            <w:shd w:val="clear" w:color="auto" w:fill="FFFFFF" w:themeFill="background1"/>
            <w:vAlign w:val="center"/>
          </w:tcPr>
          <w:p w14:paraId="6C81696F">
            <w:pPr>
              <w:jc w:val="left"/>
              <w:textAlignment w:val="center"/>
              <w:rPr>
                <w:rFonts w:hint="eastAsia" w:ascii="仿宋" w:hAnsi="仿宋" w:eastAsia="仿宋" w:cs="微软雅黑"/>
                <w:sz w:val="24"/>
              </w:rPr>
            </w:pPr>
          </w:p>
        </w:tc>
        <w:tc>
          <w:tcPr>
            <w:tcW w:w="768" w:type="pct"/>
            <w:shd w:val="clear" w:color="auto" w:fill="FFFFFF" w:themeFill="background1"/>
            <w:vAlign w:val="center"/>
          </w:tcPr>
          <w:p w14:paraId="3BB6B266">
            <w:pPr>
              <w:jc w:val="left"/>
              <w:textAlignment w:val="center"/>
              <w:rPr>
                <w:rFonts w:hint="eastAsia" w:ascii="仿宋" w:hAnsi="仿宋" w:eastAsia="仿宋" w:cs="微软雅黑"/>
                <w:sz w:val="24"/>
              </w:rPr>
            </w:pPr>
          </w:p>
        </w:tc>
      </w:tr>
      <w:tr w14:paraId="4E481C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30D11B93">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611BA9F2">
            <w:pPr>
              <w:jc w:val="center"/>
              <w:textAlignment w:val="center"/>
              <w:rPr>
                <w:rFonts w:hint="eastAsia" w:ascii="仿宋" w:hAnsi="仿宋" w:eastAsia="仿宋" w:cs="微软雅黑"/>
                <w:sz w:val="24"/>
              </w:rPr>
            </w:pPr>
            <w:r>
              <w:rPr>
                <w:rFonts w:hint="eastAsia" w:ascii="仿宋" w:hAnsi="仿宋" w:eastAsia="仿宋" w:cs="微软雅黑"/>
                <w:sz w:val="24"/>
              </w:rPr>
              <w:t>5.6.6.1</w:t>
            </w:r>
          </w:p>
        </w:tc>
        <w:tc>
          <w:tcPr>
            <w:tcW w:w="1479" w:type="pct"/>
            <w:shd w:val="clear" w:color="auto" w:fill="FFFFFF" w:themeFill="background1"/>
            <w:vAlign w:val="center"/>
          </w:tcPr>
          <w:p w14:paraId="7D53970E">
            <w:pPr>
              <w:jc w:val="left"/>
              <w:textAlignment w:val="center"/>
              <w:rPr>
                <w:rFonts w:hint="eastAsia" w:ascii="仿宋" w:hAnsi="仿宋" w:eastAsia="仿宋" w:cs="微软雅黑"/>
                <w:sz w:val="24"/>
              </w:rPr>
            </w:pPr>
            <w:r>
              <w:rPr>
                <w:rFonts w:hint="eastAsia" w:ascii="仿宋" w:hAnsi="仿宋" w:eastAsia="仿宋" w:cs="微软雅黑"/>
                <w:sz w:val="24"/>
              </w:rPr>
              <w:t>应说明建（构）筑物的防火、防爆、防腐、耐火保护等设计情况，列出建（构）筑物统计表（见表27）。</w:t>
            </w:r>
          </w:p>
        </w:tc>
        <w:tc>
          <w:tcPr>
            <w:tcW w:w="578" w:type="pct"/>
            <w:shd w:val="clear" w:color="auto" w:fill="FFFFFF" w:themeFill="background1"/>
            <w:noWrap/>
            <w:vAlign w:val="center"/>
          </w:tcPr>
          <w:p w14:paraId="0AD6F4BE">
            <w:pPr>
              <w:jc w:val="center"/>
              <w:textAlignment w:val="center"/>
              <w:rPr>
                <w:rFonts w:hint="eastAsia" w:ascii="仿宋" w:hAnsi="仿宋" w:eastAsia="仿宋" w:cs="微软雅黑"/>
                <w:sz w:val="24"/>
              </w:rPr>
            </w:pPr>
            <w:r>
              <w:rPr>
                <w:rFonts w:hint="eastAsia" w:ascii="仿宋" w:hAnsi="仿宋" w:eastAsia="仿宋"/>
                <w:color w:val="000000" w:themeColor="text1"/>
                <w:sz w:val="24"/>
                <w14:textFill>
                  <w14:solidFill>
                    <w14:schemeClr w14:val="tx1"/>
                  </w14:solidFill>
                </w14:textFill>
              </w:rPr>
              <w:t>5.5.6.1</w:t>
            </w:r>
          </w:p>
        </w:tc>
        <w:tc>
          <w:tcPr>
            <w:tcW w:w="1473" w:type="pct"/>
            <w:shd w:val="clear" w:color="auto" w:fill="FFFFFF" w:themeFill="background1"/>
            <w:vAlign w:val="center"/>
          </w:tcPr>
          <w:p w14:paraId="7377CBDA">
            <w:pPr>
              <w:jc w:val="left"/>
              <w:textAlignment w:val="center"/>
              <w:rPr>
                <w:rFonts w:hint="eastAsia" w:ascii="仿宋" w:hAnsi="仿宋" w:eastAsia="仿宋" w:cs="微软雅黑"/>
                <w:sz w:val="24"/>
              </w:rPr>
            </w:pPr>
            <w:r>
              <w:rPr>
                <w:rFonts w:hint="eastAsia" w:ascii="仿宋" w:hAnsi="仿宋" w:eastAsia="仿宋"/>
                <w:sz w:val="24"/>
              </w:rPr>
              <w:t>说明建（构）筑物的防火、防爆、防腐、耐火保护等设计情况，列出建（构）筑物统计表（见表</w:t>
            </w:r>
            <w:r>
              <w:rPr>
                <w:rFonts w:ascii="仿宋" w:hAnsi="仿宋" w:eastAsia="仿宋"/>
                <w:sz w:val="24"/>
              </w:rPr>
              <w:t>30</w:t>
            </w:r>
            <w:r>
              <w:rPr>
                <w:rFonts w:hint="eastAsia" w:ascii="仿宋" w:hAnsi="仿宋" w:eastAsia="仿宋"/>
                <w:sz w:val="24"/>
              </w:rPr>
              <w:t>）。</w:t>
            </w:r>
          </w:p>
        </w:tc>
        <w:tc>
          <w:tcPr>
            <w:tcW w:w="768" w:type="pct"/>
            <w:shd w:val="clear" w:color="auto" w:fill="FFFFFF" w:themeFill="background1"/>
            <w:vAlign w:val="center"/>
          </w:tcPr>
          <w:p w14:paraId="55D45830">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47F607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3F6CE187">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4F14DE52">
            <w:pPr>
              <w:jc w:val="center"/>
              <w:textAlignment w:val="center"/>
              <w:rPr>
                <w:rFonts w:hint="eastAsia" w:ascii="仿宋" w:hAnsi="仿宋" w:eastAsia="仿宋" w:cs="微软雅黑"/>
                <w:sz w:val="24"/>
              </w:rPr>
            </w:pPr>
            <w:r>
              <w:rPr>
                <w:rFonts w:hint="eastAsia" w:ascii="仿宋" w:hAnsi="仿宋" w:eastAsia="仿宋" w:cs="微软雅黑"/>
                <w:sz w:val="24"/>
              </w:rPr>
              <w:t>5.6.6.2</w:t>
            </w:r>
          </w:p>
        </w:tc>
        <w:tc>
          <w:tcPr>
            <w:tcW w:w="1479" w:type="pct"/>
            <w:shd w:val="clear" w:color="auto" w:fill="FFFFFF" w:themeFill="background1"/>
            <w:vAlign w:val="center"/>
          </w:tcPr>
          <w:p w14:paraId="6EA1C74E">
            <w:pPr>
              <w:jc w:val="left"/>
              <w:textAlignment w:val="center"/>
              <w:rPr>
                <w:rFonts w:hint="eastAsia" w:ascii="仿宋" w:hAnsi="仿宋" w:eastAsia="仿宋" w:cs="微软雅黑"/>
                <w:sz w:val="24"/>
              </w:rPr>
            </w:pPr>
            <w:r>
              <w:rPr>
                <w:rFonts w:hint="eastAsia" w:ascii="仿宋" w:hAnsi="仿宋" w:eastAsia="仿宋" w:cs="微软雅黑"/>
                <w:sz w:val="24"/>
              </w:rPr>
              <w:t>应描述液化土、湿陷性黄土、盐渍土、膨胀岩土、厚填土、淤泥、溶洞等不良地质土层的地基基础类型及采取的安全措施。</w:t>
            </w:r>
          </w:p>
        </w:tc>
        <w:tc>
          <w:tcPr>
            <w:tcW w:w="578" w:type="pct"/>
            <w:shd w:val="clear" w:color="auto" w:fill="FFFFFF" w:themeFill="background1"/>
            <w:noWrap/>
            <w:vAlign w:val="center"/>
          </w:tcPr>
          <w:p w14:paraId="4F67DB2B">
            <w:pPr>
              <w:jc w:val="center"/>
              <w:textAlignment w:val="center"/>
              <w:rPr>
                <w:rFonts w:hint="eastAsia" w:ascii="仿宋" w:hAnsi="仿宋" w:eastAsia="仿宋" w:cs="微软雅黑"/>
                <w:sz w:val="24"/>
              </w:rPr>
            </w:pPr>
            <w:r>
              <w:rPr>
                <w:rFonts w:ascii="仿宋" w:hAnsi="仿宋" w:eastAsia="仿宋"/>
                <w:color w:val="000000" w:themeColor="text1"/>
                <w:sz w:val="24"/>
                <w14:textFill>
                  <w14:solidFill>
                    <w14:schemeClr w14:val="tx1"/>
                  </w14:solidFill>
                </w14:textFill>
              </w:rPr>
              <w:t>5.</w:t>
            </w:r>
            <w:r>
              <w:rPr>
                <w:rFonts w:hint="eastAsia" w:ascii="仿宋" w:hAnsi="仿宋" w:eastAsia="仿宋"/>
                <w:color w:val="000000" w:themeColor="text1"/>
                <w:sz w:val="24"/>
                <w14:textFill>
                  <w14:solidFill>
                    <w14:schemeClr w14:val="tx1"/>
                  </w14:solidFill>
                </w14:textFill>
              </w:rPr>
              <w:t>5</w:t>
            </w:r>
            <w:r>
              <w:rPr>
                <w:rFonts w:ascii="仿宋" w:hAnsi="仿宋" w:eastAsia="仿宋"/>
                <w:color w:val="000000" w:themeColor="text1"/>
                <w:sz w:val="24"/>
                <w14:textFill>
                  <w14:solidFill>
                    <w14:schemeClr w14:val="tx1"/>
                  </w14:solidFill>
                </w14:textFill>
              </w:rPr>
              <w:t>.6.2</w:t>
            </w:r>
          </w:p>
        </w:tc>
        <w:tc>
          <w:tcPr>
            <w:tcW w:w="1473" w:type="pct"/>
            <w:shd w:val="clear" w:color="auto" w:fill="FFFFFF" w:themeFill="background1"/>
            <w:vAlign w:val="center"/>
          </w:tcPr>
          <w:p w14:paraId="5E4FE6BF">
            <w:pPr>
              <w:jc w:val="left"/>
              <w:textAlignment w:val="center"/>
              <w:rPr>
                <w:rFonts w:hint="eastAsia" w:ascii="仿宋" w:hAnsi="仿宋" w:eastAsia="仿宋" w:cs="微软雅黑"/>
                <w:sz w:val="24"/>
              </w:rPr>
            </w:pPr>
            <w:r>
              <w:rPr>
                <w:rFonts w:hint="eastAsia" w:ascii="仿宋" w:hAnsi="仿宋" w:eastAsia="仿宋"/>
                <w:sz w:val="24"/>
              </w:rPr>
              <w:t>说明液化土、湿陷性黄土、盐渍土、膨胀岩土、厚填土、淤泥、溶洞等不良地质土层的地基基础类型。</w:t>
            </w:r>
          </w:p>
        </w:tc>
        <w:tc>
          <w:tcPr>
            <w:tcW w:w="768" w:type="pct"/>
            <w:shd w:val="clear" w:color="auto" w:fill="FFFFFF" w:themeFill="background1"/>
            <w:vAlign w:val="center"/>
          </w:tcPr>
          <w:p w14:paraId="3A541D55">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1F330E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448E1129">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19351B8D">
            <w:pPr>
              <w:jc w:val="center"/>
              <w:textAlignment w:val="center"/>
              <w:rPr>
                <w:rFonts w:hint="eastAsia" w:ascii="仿宋" w:hAnsi="仿宋" w:eastAsia="仿宋" w:cs="微软雅黑"/>
                <w:sz w:val="24"/>
              </w:rPr>
            </w:pPr>
            <w:r>
              <w:rPr>
                <w:rFonts w:hint="eastAsia" w:ascii="仿宋" w:hAnsi="仿宋" w:eastAsia="仿宋" w:cs="微软雅黑"/>
                <w:sz w:val="24"/>
              </w:rPr>
              <w:t>6 评价范围、单元划分与评价方法选择</w:t>
            </w:r>
          </w:p>
        </w:tc>
        <w:tc>
          <w:tcPr>
            <w:tcW w:w="1479" w:type="pct"/>
            <w:shd w:val="clear" w:color="auto" w:fill="FFFFFF" w:themeFill="background1"/>
            <w:vAlign w:val="center"/>
          </w:tcPr>
          <w:p w14:paraId="256EB8E8">
            <w:pPr>
              <w:jc w:val="left"/>
              <w:textAlignment w:val="center"/>
              <w:rPr>
                <w:rFonts w:hint="eastAsia" w:ascii="仿宋" w:hAnsi="仿宋" w:eastAsia="仿宋" w:cs="微软雅黑"/>
                <w:sz w:val="24"/>
              </w:rPr>
            </w:pPr>
          </w:p>
        </w:tc>
        <w:tc>
          <w:tcPr>
            <w:tcW w:w="578" w:type="pct"/>
            <w:shd w:val="clear" w:color="auto" w:fill="FFFFFF" w:themeFill="background1"/>
            <w:noWrap/>
            <w:vAlign w:val="center"/>
          </w:tcPr>
          <w:p w14:paraId="23B8571A">
            <w:pPr>
              <w:pStyle w:val="3"/>
              <w:jc w:val="center"/>
              <w:rPr>
                <w:rFonts w:hint="eastAsia" w:ascii="仿宋" w:hAnsi="仿宋" w:eastAsia="仿宋" w:cs="微软雅黑"/>
                <w:color w:val="000000"/>
                <w:sz w:val="24"/>
                <w:szCs w:val="24"/>
              </w:rPr>
            </w:pPr>
            <w:r>
              <w:rPr>
                <w:rFonts w:hint="eastAsia" w:ascii="仿宋" w:hAnsi="仿宋" w:eastAsia="仿宋"/>
                <w:sz w:val="24"/>
                <w:szCs w:val="24"/>
              </w:rPr>
              <w:t>6</w:t>
            </w:r>
            <w:r>
              <w:rPr>
                <w:rFonts w:ascii="仿宋" w:hAnsi="仿宋" w:eastAsia="仿宋"/>
                <w:sz w:val="24"/>
                <w:szCs w:val="24"/>
              </w:rPr>
              <w:t xml:space="preserve"> </w:t>
            </w:r>
            <w:r>
              <w:rPr>
                <w:rFonts w:hint="eastAsia" w:ascii="仿宋" w:hAnsi="仿宋" w:eastAsia="仿宋"/>
                <w:sz w:val="24"/>
                <w:szCs w:val="24"/>
              </w:rPr>
              <w:t>评价单元划分与评价方法选择</w:t>
            </w:r>
          </w:p>
        </w:tc>
        <w:tc>
          <w:tcPr>
            <w:tcW w:w="1473" w:type="pct"/>
            <w:shd w:val="clear" w:color="auto" w:fill="FFFFFF" w:themeFill="background1"/>
            <w:vAlign w:val="center"/>
          </w:tcPr>
          <w:p w14:paraId="71F24A79">
            <w:pPr>
              <w:jc w:val="left"/>
              <w:textAlignment w:val="center"/>
              <w:rPr>
                <w:rFonts w:hint="eastAsia" w:ascii="仿宋" w:hAnsi="仿宋" w:eastAsia="仿宋" w:cs="微软雅黑"/>
                <w:sz w:val="24"/>
              </w:rPr>
            </w:pPr>
          </w:p>
        </w:tc>
        <w:tc>
          <w:tcPr>
            <w:tcW w:w="768" w:type="pct"/>
            <w:shd w:val="clear" w:color="auto" w:fill="FFFFFF" w:themeFill="background1"/>
            <w:vAlign w:val="center"/>
          </w:tcPr>
          <w:p w14:paraId="771FEF7A">
            <w:pPr>
              <w:jc w:val="left"/>
              <w:textAlignment w:val="center"/>
              <w:rPr>
                <w:rFonts w:hint="eastAsia" w:ascii="仿宋" w:hAnsi="仿宋" w:eastAsia="仿宋" w:cs="微软雅黑"/>
                <w:sz w:val="24"/>
              </w:rPr>
            </w:pPr>
            <w:r>
              <w:rPr>
                <w:rFonts w:hint="eastAsia" w:ascii="仿宋" w:hAnsi="仿宋" w:eastAsia="仿宋" w:cs="微软雅黑"/>
                <w:sz w:val="24"/>
              </w:rPr>
              <w:t>梳理了章节顺序。</w:t>
            </w:r>
          </w:p>
        </w:tc>
      </w:tr>
      <w:tr w14:paraId="49A573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04B9CC31">
            <w:pPr>
              <w:jc w:val="center"/>
              <w:textAlignment w:val="center"/>
              <w:rPr>
                <w:rFonts w:hint="eastAsia" w:ascii="仿宋" w:hAnsi="仿宋" w:eastAsia="仿宋" w:cs="微软雅黑"/>
                <w:sz w:val="24"/>
                <w:lang w:bidi="ar"/>
              </w:rPr>
            </w:pPr>
          </w:p>
        </w:tc>
        <w:tc>
          <w:tcPr>
            <w:tcW w:w="535" w:type="pct"/>
            <w:shd w:val="clear" w:color="auto" w:fill="FFFFFF" w:themeFill="background1"/>
            <w:noWrap/>
            <w:vAlign w:val="center"/>
          </w:tcPr>
          <w:p w14:paraId="66DB2A32">
            <w:pPr>
              <w:jc w:val="center"/>
              <w:textAlignment w:val="center"/>
              <w:rPr>
                <w:rFonts w:hint="eastAsia" w:ascii="仿宋" w:hAnsi="仿宋" w:eastAsia="仿宋" w:cs="微软雅黑"/>
                <w:sz w:val="24"/>
              </w:rPr>
            </w:pPr>
            <w:r>
              <w:rPr>
                <w:rFonts w:hint="eastAsia" w:ascii="仿宋" w:hAnsi="仿宋" w:eastAsia="仿宋" w:cs="微软雅黑"/>
                <w:sz w:val="24"/>
              </w:rPr>
              <w:t>6.1 评价范围</w:t>
            </w:r>
          </w:p>
        </w:tc>
        <w:tc>
          <w:tcPr>
            <w:tcW w:w="1479" w:type="pct"/>
            <w:shd w:val="clear" w:color="auto" w:fill="FFFFFF" w:themeFill="background1"/>
            <w:vAlign w:val="center"/>
          </w:tcPr>
          <w:p w14:paraId="00EEBB6D">
            <w:pPr>
              <w:jc w:val="left"/>
              <w:textAlignment w:val="center"/>
              <w:rPr>
                <w:rFonts w:hint="eastAsia" w:ascii="仿宋" w:hAnsi="仿宋" w:eastAsia="仿宋" w:cs="微软雅黑"/>
                <w:sz w:val="24"/>
              </w:rPr>
            </w:pPr>
            <w:r>
              <w:rPr>
                <w:rFonts w:hint="eastAsia" w:ascii="仿宋" w:hAnsi="仿宋" w:eastAsia="仿宋" w:cs="微软雅黑"/>
                <w:sz w:val="24"/>
              </w:rPr>
              <w:t>应描述新建项目与上下游衔接的工程界面与评价界面，若分期建设应说明分期建设界面；改（扩）建项目与在役管道的工程界面与评价界面。</w:t>
            </w:r>
          </w:p>
        </w:tc>
        <w:tc>
          <w:tcPr>
            <w:tcW w:w="578" w:type="pct"/>
            <w:shd w:val="clear" w:color="auto" w:fill="FFFFFF" w:themeFill="background1"/>
            <w:noWrap/>
            <w:vAlign w:val="center"/>
          </w:tcPr>
          <w:p w14:paraId="6198F05B">
            <w:pPr>
              <w:jc w:val="center"/>
              <w:textAlignment w:val="center"/>
              <w:rPr>
                <w:rFonts w:hint="eastAsia" w:ascii="仿宋" w:hAnsi="仿宋" w:eastAsia="仿宋" w:cs="微软雅黑"/>
                <w:sz w:val="24"/>
              </w:rPr>
            </w:pPr>
          </w:p>
        </w:tc>
        <w:tc>
          <w:tcPr>
            <w:tcW w:w="1473" w:type="pct"/>
            <w:shd w:val="clear" w:color="auto" w:fill="FFFFFF" w:themeFill="background1"/>
            <w:vAlign w:val="center"/>
          </w:tcPr>
          <w:p w14:paraId="4349AFE5">
            <w:pPr>
              <w:jc w:val="left"/>
              <w:textAlignment w:val="center"/>
              <w:rPr>
                <w:rFonts w:hint="eastAsia" w:ascii="仿宋" w:hAnsi="仿宋" w:eastAsia="仿宋" w:cs="微软雅黑"/>
                <w:sz w:val="24"/>
              </w:rPr>
            </w:pPr>
          </w:p>
        </w:tc>
        <w:tc>
          <w:tcPr>
            <w:tcW w:w="768" w:type="pct"/>
            <w:shd w:val="clear" w:color="auto" w:fill="FFFFFF" w:themeFill="background1"/>
            <w:vAlign w:val="center"/>
          </w:tcPr>
          <w:p w14:paraId="7CEDCB84">
            <w:pPr>
              <w:jc w:val="left"/>
              <w:textAlignment w:val="center"/>
              <w:rPr>
                <w:rFonts w:hint="eastAsia" w:ascii="仿宋" w:hAnsi="仿宋" w:eastAsia="仿宋" w:cs="微软雅黑"/>
                <w:sz w:val="24"/>
              </w:rPr>
            </w:pPr>
            <w:r>
              <w:rPr>
                <w:rFonts w:hint="eastAsia" w:ascii="仿宋" w:hAnsi="仿宋" w:eastAsia="仿宋" w:cs="微软雅黑"/>
                <w:sz w:val="24"/>
              </w:rPr>
              <w:t>删除评价范围内容，调整至第4章。</w:t>
            </w:r>
          </w:p>
        </w:tc>
      </w:tr>
      <w:tr w14:paraId="456ACA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6B451D9F">
            <w:pPr>
              <w:jc w:val="center"/>
              <w:textAlignment w:val="center"/>
              <w:rPr>
                <w:rFonts w:hint="eastAsia" w:ascii="仿宋" w:hAnsi="仿宋" w:eastAsia="仿宋" w:cs="微软雅黑"/>
                <w:sz w:val="24"/>
                <w:lang w:bidi="ar"/>
              </w:rPr>
            </w:pPr>
          </w:p>
        </w:tc>
        <w:tc>
          <w:tcPr>
            <w:tcW w:w="535" w:type="pct"/>
            <w:shd w:val="clear" w:color="auto" w:fill="FFFFFF" w:themeFill="background1"/>
            <w:noWrap/>
            <w:vAlign w:val="center"/>
          </w:tcPr>
          <w:p w14:paraId="558E55FF">
            <w:pPr>
              <w:jc w:val="center"/>
              <w:textAlignment w:val="center"/>
              <w:rPr>
                <w:rFonts w:hint="eastAsia" w:ascii="仿宋" w:hAnsi="仿宋" w:eastAsia="仿宋" w:cs="微软雅黑"/>
                <w:sz w:val="24"/>
              </w:rPr>
            </w:pPr>
            <w:r>
              <w:rPr>
                <w:rFonts w:hint="eastAsia" w:ascii="仿宋" w:hAnsi="仿宋" w:eastAsia="仿宋" w:cs="微软雅黑"/>
                <w:sz w:val="24"/>
              </w:rPr>
              <w:t>6.2 评价单元的划分</w:t>
            </w:r>
          </w:p>
        </w:tc>
        <w:tc>
          <w:tcPr>
            <w:tcW w:w="1479" w:type="pct"/>
            <w:shd w:val="clear" w:color="auto" w:fill="FFFFFF" w:themeFill="background1"/>
            <w:vAlign w:val="center"/>
          </w:tcPr>
          <w:p w14:paraId="5085ED94">
            <w:pPr>
              <w:jc w:val="left"/>
              <w:textAlignment w:val="center"/>
              <w:rPr>
                <w:rFonts w:hint="eastAsia" w:ascii="仿宋" w:hAnsi="仿宋" w:eastAsia="仿宋" w:cs="微软雅黑"/>
                <w:sz w:val="24"/>
              </w:rPr>
            </w:pPr>
            <w:r>
              <w:rPr>
                <w:rFonts w:hint="eastAsia" w:ascii="仿宋" w:hAnsi="仿宋" w:eastAsia="仿宋" w:cs="微软雅黑"/>
                <w:sz w:val="24"/>
              </w:rPr>
              <w:t>应针对油气管道建设项目的风险特点，按照科学、合理、无遗漏的原则划分评价单元，评价单元的划分应能够保证安全评价的顺利实施。一般划分为线路、站场、公用工程单元和安全管理等。</w:t>
            </w:r>
          </w:p>
        </w:tc>
        <w:tc>
          <w:tcPr>
            <w:tcW w:w="578" w:type="pct"/>
            <w:shd w:val="clear" w:color="auto" w:fill="FFFFFF" w:themeFill="background1"/>
            <w:noWrap/>
            <w:vAlign w:val="center"/>
          </w:tcPr>
          <w:p w14:paraId="3CF82DB8">
            <w:pPr>
              <w:pStyle w:val="4"/>
              <w:jc w:val="center"/>
              <w:rPr>
                <w:rFonts w:hint="eastAsia" w:ascii="仿宋" w:hAnsi="仿宋" w:eastAsia="仿宋" w:cs="微软雅黑"/>
                <w:color w:val="000000"/>
                <w:sz w:val="24"/>
                <w:szCs w:val="24"/>
              </w:rPr>
            </w:pPr>
            <w:r>
              <w:rPr>
                <w:rFonts w:hint="eastAsia" w:ascii="仿宋" w:hAnsi="仿宋" w:eastAsia="仿宋"/>
                <w:sz w:val="24"/>
                <w:szCs w:val="24"/>
              </w:rPr>
              <w:t>6.</w:t>
            </w:r>
            <w:r>
              <w:rPr>
                <w:rFonts w:ascii="仿宋" w:hAnsi="仿宋" w:eastAsia="仿宋"/>
                <w:sz w:val="24"/>
                <w:szCs w:val="24"/>
              </w:rPr>
              <w:t xml:space="preserve">1 </w:t>
            </w:r>
            <w:r>
              <w:rPr>
                <w:rFonts w:hint="eastAsia" w:ascii="仿宋" w:hAnsi="仿宋" w:eastAsia="仿宋"/>
                <w:sz w:val="24"/>
                <w:szCs w:val="24"/>
              </w:rPr>
              <w:t>评价单元的划分</w:t>
            </w:r>
          </w:p>
        </w:tc>
        <w:tc>
          <w:tcPr>
            <w:tcW w:w="1473" w:type="pct"/>
            <w:shd w:val="clear" w:color="auto" w:fill="FFFFFF" w:themeFill="background1"/>
            <w:vAlign w:val="center"/>
          </w:tcPr>
          <w:p w14:paraId="17FEB55A">
            <w:pPr>
              <w:pStyle w:val="35"/>
              <w:spacing w:line="240" w:lineRule="auto"/>
              <w:ind w:firstLine="0" w:firstLineChars="0"/>
              <w:rPr>
                <w:rFonts w:hint="eastAsia" w:ascii="仿宋" w:hAnsi="仿宋" w:eastAsia="仿宋" w:cs="微软雅黑"/>
                <w:sz w:val="24"/>
                <w:szCs w:val="24"/>
              </w:rPr>
            </w:pPr>
            <w:r>
              <w:rPr>
                <w:rFonts w:hint="eastAsia" w:ascii="仿宋" w:hAnsi="仿宋" w:eastAsia="仿宋"/>
                <w:color w:val="auto"/>
                <w:kern w:val="0"/>
                <w:sz w:val="24"/>
                <w:szCs w:val="24"/>
              </w:rPr>
              <w:t>针对油气长输管道建设项目的风险特点，按照科学、合理、无遗漏的原则划分评价单元，评价单元的划分应能够保证安全预评价的顺利实施。一般划分为基本安全条件、线路、站场、公用工程和安全管理等单元。</w:t>
            </w:r>
          </w:p>
        </w:tc>
        <w:tc>
          <w:tcPr>
            <w:tcW w:w="768" w:type="pct"/>
            <w:shd w:val="clear" w:color="auto" w:fill="FFFFFF" w:themeFill="background1"/>
            <w:vAlign w:val="center"/>
          </w:tcPr>
          <w:p w14:paraId="217FF871">
            <w:pPr>
              <w:jc w:val="left"/>
              <w:textAlignment w:val="center"/>
              <w:rPr>
                <w:rFonts w:hint="eastAsia" w:ascii="仿宋" w:hAnsi="仿宋" w:eastAsia="仿宋" w:cs="微软雅黑"/>
                <w:sz w:val="24"/>
              </w:rPr>
            </w:pPr>
            <w:r>
              <w:rPr>
                <w:rFonts w:hint="eastAsia" w:ascii="仿宋" w:hAnsi="仿宋" w:eastAsia="仿宋" w:cs="微软雅黑"/>
                <w:sz w:val="24"/>
              </w:rPr>
              <w:t>增加了基本安全条件单元。</w:t>
            </w:r>
          </w:p>
        </w:tc>
      </w:tr>
      <w:tr w14:paraId="1151BE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2CD883D1">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0945B522">
            <w:pPr>
              <w:jc w:val="center"/>
              <w:textAlignment w:val="center"/>
              <w:rPr>
                <w:rFonts w:hint="eastAsia" w:ascii="仿宋" w:hAnsi="仿宋" w:eastAsia="仿宋" w:cs="微软雅黑"/>
                <w:sz w:val="24"/>
              </w:rPr>
            </w:pPr>
            <w:r>
              <w:rPr>
                <w:rFonts w:hint="eastAsia" w:ascii="仿宋" w:hAnsi="仿宋" w:eastAsia="仿宋" w:cs="微软雅黑"/>
                <w:sz w:val="24"/>
              </w:rPr>
              <w:t>6.3 评价方法的选择</w:t>
            </w:r>
          </w:p>
        </w:tc>
        <w:tc>
          <w:tcPr>
            <w:tcW w:w="1479" w:type="pct"/>
            <w:shd w:val="clear" w:color="auto" w:fill="FFFFFF" w:themeFill="background1"/>
            <w:vAlign w:val="center"/>
          </w:tcPr>
          <w:p w14:paraId="52428269">
            <w:pPr>
              <w:jc w:val="left"/>
              <w:textAlignment w:val="center"/>
              <w:rPr>
                <w:rFonts w:hint="eastAsia" w:ascii="仿宋" w:hAnsi="仿宋" w:eastAsia="仿宋" w:cs="微软雅黑"/>
                <w:sz w:val="24"/>
              </w:rPr>
            </w:pPr>
            <w:r>
              <w:rPr>
                <w:rFonts w:hint="eastAsia" w:ascii="仿宋" w:hAnsi="仿宋" w:eastAsia="仿宋" w:cs="微软雅黑"/>
                <w:sz w:val="24"/>
              </w:rPr>
              <w:t>选用的评价方法应与评价对象相适应，常用的安全评价方法包括：</w:t>
            </w:r>
          </w:p>
          <w:p w14:paraId="5C91E4AA">
            <w:pPr>
              <w:jc w:val="left"/>
              <w:textAlignment w:val="center"/>
              <w:rPr>
                <w:rFonts w:hint="eastAsia" w:ascii="仿宋" w:hAnsi="仿宋" w:eastAsia="仿宋" w:cs="微软雅黑"/>
                <w:sz w:val="24"/>
              </w:rPr>
            </w:pPr>
            <w:r>
              <w:rPr>
                <w:rFonts w:hint="eastAsia" w:ascii="仿宋" w:hAnsi="仿宋" w:eastAsia="仿宋" w:cs="微软雅黑"/>
                <w:sz w:val="24"/>
              </w:rPr>
              <w:t>a） 预先危险性分析（PHA）；</w:t>
            </w:r>
          </w:p>
          <w:p w14:paraId="63FE2486">
            <w:pPr>
              <w:jc w:val="left"/>
              <w:textAlignment w:val="center"/>
              <w:rPr>
                <w:rFonts w:hint="eastAsia" w:ascii="仿宋" w:hAnsi="仿宋" w:eastAsia="仿宋" w:cs="微软雅黑"/>
                <w:sz w:val="24"/>
              </w:rPr>
            </w:pPr>
            <w:r>
              <w:rPr>
                <w:rFonts w:hint="eastAsia" w:ascii="仿宋" w:hAnsi="仿宋" w:eastAsia="仿宋" w:cs="微软雅黑"/>
                <w:sz w:val="24"/>
              </w:rPr>
              <w:t>b） 安全检查表法；</w:t>
            </w:r>
          </w:p>
          <w:p w14:paraId="27CC0F8F">
            <w:pPr>
              <w:jc w:val="left"/>
              <w:textAlignment w:val="center"/>
              <w:rPr>
                <w:rFonts w:hint="eastAsia" w:ascii="仿宋" w:hAnsi="仿宋" w:eastAsia="仿宋" w:cs="微软雅黑"/>
                <w:sz w:val="24"/>
              </w:rPr>
            </w:pPr>
            <w:r>
              <w:rPr>
                <w:rFonts w:hint="eastAsia" w:ascii="仿宋" w:hAnsi="仿宋" w:eastAsia="仿宋" w:cs="微软雅黑"/>
                <w:sz w:val="24"/>
              </w:rPr>
              <w:t>c） 火灾、爆炸危险指数评价法；</w:t>
            </w:r>
          </w:p>
          <w:p w14:paraId="5A7DA37C">
            <w:pPr>
              <w:jc w:val="left"/>
              <w:textAlignment w:val="center"/>
              <w:rPr>
                <w:rFonts w:hint="eastAsia" w:ascii="仿宋" w:hAnsi="仿宋" w:eastAsia="仿宋" w:cs="微软雅黑"/>
                <w:sz w:val="24"/>
              </w:rPr>
            </w:pPr>
            <w:r>
              <w:rPr>
                <w:rFonts w:hint="eastAsia" w:ascii="仿宋" w:hAnsi="仿宋" w:eastAsia="仿宋" w:cs="微软雅黑"/>
                <w:sz w:val="24"/>
              </w:rPr>
              <w:t>d） 事故树分析（FTA）；</w:t>
            </w:r>
          </w:p>
          <w:p w14:paraId="20F5B147">
            <w:pPr>
              <w:jc w:val="left"/>
              <w:textAlignment w:val="center"/>
              <w:rPr>
                <w:rFonts w:hint="eastAsia" w:ascii="仿宋" w:hAnsi="仿宋" w:eastAsia="仿宋" w:cs="微软雅黑"/>
                <w:sz w:val="24"/>
              </w:rPr>
            </w:pPr>
            <w:r>
              <w:rPr>
                <w:rFonts w:hint="eastAsia" w:ascii="仿宋" w:hAnsi="仿宋" w:eastAsia="仿宋" w:cs="微软雅黑"/>
                <w:sz w:val="24"/>
              </w:rPr>
              <w:t>e） 类比分析法；</w:t>
            </w:r>
          </w:p>
          <w:p w14:paraId="0C9EB37C">
            <w:pPr>
              <w:jc w:val="left"/>
              <w:textAlignment w:val="center"/>
              <w:rPr>
                <w:rFonts w:hint="eastAsia" w:ascii="仿宋" w:hAnsi="仿宋" w:eastAsia="仿宋" w:cs="微软雅黑"/>
                <w:sz w:val="24"/>
              </w:rPr>
            </w:pPr>
            <w:r>
              <w:rPr>
                <w:rFonts w:hint="eastAsia" w:ascii="仿宋" w:hAnsi="仿宋" w:eastAsia="仿宋" w:cs="微软雅黑"/>
                <w:sz w:val="24"/>
              </w:rPr>
              <w:t>f） 定量风险评价（QRA）。</w:t>
            </w:r>
          </w:p>
        </w:tc>
        <w:tc>
          <w:tcPr>
            <w:tcW w:w="578" w:type="pct"/>
            <w:shd w:val="clear" w:color="auto" w:fill="FFFFFF" w:themeFill="background1"/>
            <w:noWrap/>
            <w:vAlign w:val="center"/>
          </w:tcPr>
          <w:p w14:paraId="3F58427C">
            <w:pPr>
              <w:pStyle w:val="4"/>
              <w:jc w:val="center"/>
              <w:rPr>
                <w:rFonts w:hint="eastAsia" w:ascii="仿宋" w:hAnsi="仿宋" w:eastAsia="仿宋" w:cs="微软雅黑"/>
                <w:color w:val="000000"/>
                <w:sz w:val="24"/>
                <w:szCs w:val="24"/>
              </w:rPr>
            </w:pPr>
            <w:r>
              <w:rPr>
                <w:rFonts w:ascii="仿宋" w:hAnsi="仿宋" w:eastAsia="仿宋"/>
                <w:sz w:val="24"/>
                <w:szCs w:val="24"/>
              </w:rPr>
              <w:t xml:space="preserve">6.2 </w:t>
            </w:r>
            <w:r>
              <w:rPr>
                <w:rFonts w:hint="eastAsia" w:ascii="仿宋" w:hAnsi="仿宋" w:eastAsia="仿宋"/>
                <w:sz w:val="24"/>
                <w:szCs w:val="24"/>
              </w:rPr>
              <w:t>评价方法的选择</w:t>
            </w:r>
          </w:p>
        </w:tc>
        <w:tc>
          <w:tcPr>
            <w:tcW w:w="1473" w:type="pct"/>
            <w:shd w:val="clear" w:color="auto" w:fill="FFFFFF" w:themeFill="background1"/>
            <w:vAlign w:val="center"/>
          </w:tcPr>
          <w:p w14:paraId="37FB6FDB">
            <w:pPr>
              <w:pStyle w:val="35"/>
              <w:spacing w:line="240" w:lineRule="auto"/>
              <w:ind w:firstLine="0" w:firstLineChars="0"/>
              <w:rPr>
                <w:rFonts w:hint="eastAsia" w:ascii="仿宋" w:hAnsi="仿宋" w:eastAsia="仿宋"/>
                <w:color w:val="auto"/>
                <w:sz w:val="24"/>
                <w:szCs w:val="24"/>
              </w:rPr>
            </w:pPr>
            <w:r>
              <w:rPr>
                <w:rFonts w:hint="eastAsia" w:ascii="仿宋" w:hAnsi="仿宋" w:eastAsia="仿宋"/>
                <w:color w:val="auto"/>
                <w:kern w:val="0"/>
                <w:sz w:val="24"/>
                <w:szCs w:val="24"/>
              </w:rPr>
              <w:t>选用的评价方法应与评价对象相适应，常用的安全评价方法包括：</w:t>
            </w:r>
          </w:p>
          <w:p w14:paraId="43FEF21C">
            <w:pPr>
              <w:pStyle w:val="35"/>
              <w:spacing w:line="240" w:lineRule="auto"/>
              <w:ind w:firstLine="0" w:firstLineChars="0"/>
              <w:rPr>
                <w:rFonts w:hint="eastAsia" w:ascii="仿宋" w:hAnsi="仿宋" w:eastAsia="仿宋"/>
                <w:color w:val="auto"/>
                <w:sz w:val="24"/>
                <w:szCs w:val="24"/>
              </w:rPr>
            </w:pPr>
            <w:r>
              <w:rPr>
                <w:rFonts w:hint="eastAsia" w:ascii="仿宋" w:hAnsi="仿宋" w:eastAsia="仿宋"/>
                <w:color w:val="auto"/>
                <w:kern w:val="0"/>
                <w:sz w:val="24"/>
                <w:szCs w:val="24"/>
              </w:rPr>
              <w:t>a） 预先危险性分析（PHA）；</w:t>
            </w:r>
          </w:p>
          <w:p w14:paraId="269AF5F0">
            <w:pPr>
              <w:pStyle w:val="35"/>
              <w:spacing w:line="240" w:lineRule="auto"/>
              <w:ind w:firstLine="0" w:firstLineChars="0"/>
              <w:rPr>
                <w:rFonts w:hint="eastAsia" w:ascii="仿宋" w:hAnsi="仿宋" w:eastAsia="仿宋"/>
                <w:color w:val="auto"/>
                <w:sz w:val="24"/>
                <w:szCs w:val="24"/>
              </w:rPr>
            </w:pPr>
            <w:r>
              <w:rPr>
                <w:rFonts w:hint="eastAsia" w:ascii="仿宋" w:hAnsi="仿宋" w:eastAsia="仿宋"/>
                <w:color w:val="auto"/>
                <w:kern w:val="0"/>
                <w:sz w:val="24"/>
                <w:szCs w:val="24"/>
              </w:rPr>
              <w:t>b） 安全检查表法；</w:t>
            </w:r>
          </w:p>
          <w:p w14:paraId="21D9C2E5">
            <w:pPr>
              <w:pStyle w:val="35"/>
              <w:spacing w:line="240" w:lineRule="auto"/>
              <w:ind w:firstLine="0" w:firstLineChars="0"/>
              <w:rPr>
                <w:rFonts w:hint="eastAsia" w:ascii="仿宋" w:hAnsi="仿宋" w:eastAsia="仿宋"/>
                <w:color w:val="auto"/>
                <w:sz w:val="24"/>
                <w:szCs w:val="24"/>
              </w:rPr>
            </w:pPr>
            <w:r>
              <w:rPr>
                <w:rFonts w:hint="eastAsia" w:ascii="仿宋" w:hAnsi="仿宋" w:eastAsia="仿宋"/>
                <w:color w:val="auto"/>
                <w:kern w:val="0"/>
                <w:sz w:val="24"/>
                <w:szCs w:val="24"/>
              </w:rPr>
              <w:t>c） 管道风险评分法；</w:t>
            </w:r>
          </w:p>
          <w:p w14:paraId="3A168257">
            <w:pPr>
              <w:pStyle w:val="35"/>
              <w:spacing w:line="240" w:lineRule="auto"/>
              <w:ind w:firstLine="0" w:firstLineChars="0"/>
              <w:rPr>
                <w:rFonts w:hint="eastAsia" w:ascii="仿宋" w:hAnsi="仿宋" w:eastAsia="仿宋"/>
                <w:color w:val="auto"/>
                <w:sz w:val="24"/>
                <w:szCs w:val="24"/>
              </w:rPr>
            </w:pPr>
            <w:r>
              <w:rPr>
                <w:rFonts w:hint="eastAsia" w:ascii="仿宋" w:hAnsi="仿宋" w:eastAsia="仿宋"/>
                <w:color w:val="auto"/>
                <w:kern w:val="0"/>
                <w:sz w:val="24"/>
                <w:szCs w:val="24"/>
              </w:rPr>
              <w:t>d） 事故树分析（FTA）；</w:t>
            </w:r>
          </w:p>
          <w:p w14:paraId="0C931176">
            <w:pPr>
              <w:pStyle w:val="35"/>
              <w:spacing w:line="240" w:lineRule="auto"/>
              <w:ind w:firstLine="0" w:firstLineChars="0"/>
              <w:rPr>
                <w:rFonts w:hint="eastAsia" w:ascii="仿宋" w:hAnsi="仿宋" w:eastAsia="仿宋"/>
                <w:color w:val="auto"/>
                <w:sz w:val="24"/>
                <w:szCs w:val="24"/>
              </w:rPr>
            </w:pPr>
            <w:r>
              <w:rPr>
                <w:rFonts w:hint="eastAsia" w:ascii="仿宋" w:hAnsi="仿宋" w:eastAsia="仿宋"/>
                <w:color w:val="auto"/>
                <w:kern w:val="0"/>
                <w:sz w:val="24"/>
                <w:szCs w:val="24"/>
              </w:rPr>
              <w:t>e） 类比分析法；</w:t>
            </w:r>
          </w:p>
          <w:p w14:paraId="011184C8">
            <w:pPr>
              <w:pStyle w:val="35"/>
              <w:spacing w:line="240" w:lineRule="auto"/>
              <w:ind w:firstLine="0" w:firstLineChars="0"/>
              <w:rPr>
                <w:rFonts w:hint="eastAsia" w:ascii="仿宋" w:hAnsi="仿宋" w:eastAsia="仿宋" w:cs="微软雅黑"/>
                <w:sz w:val="24"/>
                <w:szCs w:val="24"/>
              </w:rPr>
            </w:pPr>
            <w:r>
              <w:rPr>
                <w:rFonts w:hint="eastAsia" w:ascii="仿宋" w:hAnsi="仿宋" w:eastAsia="仿宋"/>
                <w:color w:val="auto"/>
                <w:kern w:val="0"/>
                <w:sz w:val="24"/>
                <w:szCs w:val="24"/>
              </w:rPr>
              <w:t>f） 定量风险评价（QRA）。</w:t>
            </w:r>
          </w:p>
        </w:tc>
        <w:tc>
          <w:tcPr>
            <w:tcW w:w="768" w:type="pct"/>
            <w:shd w:val="clear" w:color="auto" w:fill="FFFFFF" w:themeFill="background1"/>
            <w:vAlign w:val="center"/>
          </w:tcPr>
          <w:p w14:paraId="181FA6E1">
            <w:pPr>
              <w:jc w:val="left"/>
              <w:textAlignment w:val="center"/>
              <w:rPr>
                <w:rFonts w:hint="eastAsia" w:ascii="仿宋" w:hAnsi="仿宋" w:eastAsia="仿宋" w:cs="微软雅黑"/>
                <w:sz w:val="24"/>
              </w:rPr>
            </w:pPr>
            <w:r>
              <w:rPr>
                <w:rFonts w:hint="eastAsia" w:ascii="仿宋" w:hAnsi="仿宋" w:eastAsia="仿宋" w:cs="微软雅黑"/>
                <w:sz w:val="24"/>
              </w:rPr>
              <w:t>增加了管道风险评分法，删除了火灾、爆炸危险指数评价法。</w:t>
            </w:r>
          </w:p>
        </w:tc>
      </w:tr>
      <w:tr w14:paraId="321D53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0801A73C">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42795AA9">
            <w:pPr>
              <w:jc w:val="center"/>
              <w:textAlignment w:val="center"/>
              <w:rPr>
                <w:rFonts w:hint="eastAsia" w:ascii="仿宋" w:hAnsi="仿宋" w:eastAsia="仿宋" w:cs="微软雅黑"/>
                <w:sz w:val="24"/>
              </w:rPr>
            </w:pPr>
            <w:r>
              <w:rPr>
                <w:rFonts w:hint="eastAsia" w:ascii="仿宋" w:hAnsi="仿宋" w:eastAsia="仿宋" w:cs="微软雅黑"/>
                <w:sz w:val="24"/>
              </w:rPr>
              <w:t>7 危险有害因素辨识</w:t>
            </w:r>
          </w:p>
        </w:tc>
        <w:tc>
          <w:tcPr>
            <w:tcW w:w="1479" w:type="pct"/>
            <w:shd w:val="clear" w:color="auto" w:fill="FFFFFF" w:themeFill="background1"/>
            <w:vAlign w:val="center"/>
          </w:tcPr>
          <w:p w14:paraId="4497EDE2">
            <w:pPr>
              <w:jc w:val="left"/>
              <w:textAlignment w:val="center"/>
              <w:rPr>
                <w:rFonts w:hint="eastAsia" w:ascii="仿宋" w:hAnsi="仿宋" w:eastAsia="仿宋" w:cs="微软雅黑"/>
                <w:sz w:val="24"/>
              </w:rPr>
            </w:pPr>
          </w:p>
        </w:tc>
        <w:tc>
          <w:tcPr>
            <w:tcW w:w="578" w:type="pct"/>
            <w:shd w:val="clear" w:color="auto" w:fill="FFFFFF" w:themeFill="background1"/>
            <w:noWrap/>
            <w:vAlign w:val="center"/>
          </w:tcPr>
          <w:p w14:paraId="138DC93A">
            <w:pPr>
              <w:pStyle w:val="3"/>
              <w:jc w:val="center"/>
              <w:rPr>
                <w:rFonts w:hint="eastAsia" w:ascii="仿宋" w:hAnsi="仿宋" w:eastAsia="仿宋" w:cs="微软雅黑"/>
                <w:color w:val="000000"/>
                <w:sz w:val="24"/>
                <w:szCs w:val="24"/>
              </w:rPr>
            </w:pPr>
            <w:r>
              <w:rPr>
                <w:rFonts w:ascii="仿宋" w:hAnsi="仿宋" w:eastAsia="仿宋"/>
                <w:sz w:val="24"/>
                <w:szCs w:val="24"/>
              </w:rPr>
              <w:t xml:space="preserve">7 </w:t>
            </w:r>
            <w:r>
              <w:rPr>
                <w:rFonts w:hint="eastAsia" w:ascii="仿宋" w:hAnsi="仿宋" w:eastAsia="仿宋"/>
                <w:sz w:val="24"/>
                <w:szCs w:val="24"/>
              </w:rPr>
              <w:t>危险有害因素辨识</w:t>
            </w:r>
          </w:p>
        </w:tc>
        <w:tc>
          <w:tcPr>
            <w:tcW w:w="1473" w:type="pct"/>
            <w:shd w:val="clear" w:color="auto" w:fill="FFFFFF" w:themeFill="background1"/>
            <w:vAlign w:val="center"/>
          </w:tcPr>
          <w:p w14:paraId="416D6C8B">
            <w:pPr>
              <w:jc w:val="left"/>
              <w:textAlignment w:val="center"/>
              <w:rPr>
                <w:rFonts w:hint="eastAsia" w:ascii="仿宋" w:hAnsi="仿宋" w:eastAsia="仿宋" w:cs="微软雅黑"/>
                <w:sz w:val="24"/>
              </w:rPr>
            </w:pPr>
          </w:p>
        </w:tc>
        <w:tc>
          <w:tcPr>
            <w:tcW w:w="768" w:type="pct"/>
            <w:shd w:val="clear" w:color="auto" w:fill="FFFFFF" w:themeFill="background1"/>
            <w:vAlign w:val="center"/>
          </w:tcPr>
          <w:p w14:paraId="1DE9EC5C">
            <w:pPr>
              <w:jc w:val="left"/>
              <w:textAlignment w:val="center"/>
              <w:rPr>
                <w:rFonts w:hint="eastAsia" w:ascii="仿宋" w:hAnsi="仿宋" w:eastAsia="仿宋" w:cs="微软雅黑"/>
                <w:sz w:val="24"/>
              </w:rPr>
            </w:pPr>
            <w:r>
              <w:rPr>
                <w:rFonts w:hint="eastAsia" w:ascii="仿宋" w:hAnsi="仿宋" w:eastAsia="仿宋" w:cs="微软雅黑"/>
                <w:sz w:val="24"/>
              </w:rPr>
              <w:t>无变化</w:t>
            </w:r>
          </w:p>
        </w:tc>
      </w:tr>
      <w:tr w14:paraId="0F91F1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2A163372">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30C074C1">
            <w:pPr>
              <w:jc w:val="center"/>
              <w:textAlignment w:val="center"/>
              <w:rPr>
                <w:rFonts w:hint="eastAsia" w:ascii="仿宋" w:hAnsi="仿宋" w:eastAsia="仿宋" w:cs="微软雅黑"/>
                <w:sz w:val="24"/>
              </w:rPr>
            </w:pPr>
            <w:r>
              <w:rPr>
                <w:rFonts w:hint="eastAsia" w:ascii="仿宋" w:hAnsi="仿宋" w:eastAsia="仿宋" w:cs="微软雅黑"/>
                <w:sz w:val="24"/>
              </w:rPr>
              <w:t>7.1 输送介质</w:t>
            </w:r>
          </w:p>
        </w:tc>
        <w:tc>
          <w:tcPr>
            <w:tcW w:w="1479" w:type="pct"/>
            <w:shd w:val="clear" w:color="auto" w:fill="FFFFFF" w:themeFill="background1"/>
            <w:vAlign w:val="center"/>
          </w:tcPr>
          <w:p w14:paraId="624BEFDF">
            <w:pPr>
              <w:jc w:val="left"/>
              <w:textAlignment w:val="center"/>
              <w:rPr>
                <w:rFonts w:hint="eastAsia" w:ascii="仿宋" w:hAnsi="仿宋" w:eastAsia="仿宋" w:cs="微软雅黑"/>
                <w:sz w:val="24"/>
              </w:rPr>
            </w:pPr>
            <w:r>
              <w:rPr>
                <w:rFonts w:hint="eastAsia" w:ascii="仿宋" w:hAnsi="仿宋" w:eastAsia="仿宋" w:cs="微软雅黑"/>
                <w:sz w:val="24"/>
              </w:rPr>
              <w:t>应对建设项目输送介质进行危险有害因素辨识。</w:t>
            </w:r>
          </w:p>
        </w:tc>
        <w:tc>
          <w:tcPr>
            <w:tcW w:w="578" w:type="pct"/>
            <w:shd w:val="clear" w:color="auto" w:fill="FFFFFF" w:themeFill="background1"/>
            <w:noWrap/>
            <w:vAlign w:val="center"/>
          </w:tcPr>
          <w:p w14:paraId="163E1D19">
            <w:pPr>
              <w:pStyle w:val="4"/>
              <w:jc w:val="center"/>
              <w:rPr>
                <w:rFonts w:hint="eastAsia" w:ascii="仿宋" w:hAnsi="仿宋" w:eastAsia="仿宋" w:cs="微软雅黑"/>
                <w:color w:val="000000"/>
                <w:sz w:val="24"/>
                <w:szCs w:val="24"/>
              </w:rPr>
            </w:pPr>
            <w:r>
              <w:rPr>
                <w:rFonts w:ascii="仿宋" w:hAnsi="仿宋" w:eastAsia="仿宋"/>
                <w:sz w:val="24"/>
                <w:szCs w:val="24"/>
              </w:rPr>
              <w:t xml:space="preserve">7.1 </w:t>
            </w:r>
            <w:r>
              <w:rPr>
                <w:rFonts w:hint="eastAsia" w:ascii="仿宋" w:hAnsi="仿宋" w:eastAsia="仿宋"/>
                <w:sz w:val="24"/>
                <w:szCs w:val="24"/>
              </w:rPr>
              <w:t>输送介质</w:t>
            </w:r>
          </w:p>
        </w:tc>
        <w:tc>
          <w:tcPr>
            <w:tcW w:w="1473" w:type="pct"/>
            <w:shd w:val="clear" w:color="auto" w:fill="FFFFFF" w:themeFill="background1"/>
            <w:vAlign w:val="center"/>
          </w:tcPr>
          <w:p w14:paraId="67EF0ED0">
            <w:pPr>
              <w:pStyle w:val="35"/>
              <w:spacing w:line="240" w:lineRule="auto"/>
              <w:ind w:firstLine="0" w:firstLineChars="0"/>
              <w:rPr>
                <w:rFonts w:hint="eastAsia" w:ascii="仿宋" w:hAnsi="仿宋" w:eastAsia="仿宋" w:cs="微软雅黑"/>
                <w:sz w:val="24"/>
                <w:szCs w:val="24"/>
              </w:rPr>
            </w:pPr>
            <w:r>
              <w:rPr>
                <w:rFonts w:hint="eastAsia" w:ascii="仿宋" w:hAnsi="仿宋" w:eastAsia="仿宋"/>
                <w:color w:val="auto"/>
                <w:kern w:val="0"/>
                <w:sz w:val="24"/>
                <w:szCs w:val="24"/>
              </w:rPr>
              <w:t>对建设项目输送介质进行危险有害因素辨识。</w:t>
            </w:r>
          </w:p>
        </w:tc>
        <w:tc>
          <w:tcPr>
            <w:tcW w:w="768" w:type="pct"/>
            <w:shd w:val="clear" w:color="auto" w:fill="FFFFFF" w:themeFill="background1"/>
            <w:vAlign w:val="center"/>
          </w:tcPr>
          <w:p w14:paraId="59182D62">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243957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6CD96180">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6A7E6D46">
            <w:pPr>
              <w:jc w:val="center"/>
              <w:textAlignment w:val="center"/>
              <w:rPr>
                <w:rFonts w:hint="eastAsia" w:ascii="仿宋" w:hAnsi="仿宋" w:eastAsia="仿宋" w:cs="微软雅黑"/>
                <w:sz w:val="24"/>
              </w:rPr>
            </w:pPr>
            <w:r>
              <w:rPr>
                <w:rFonts w:hint="eastAsia" w:ascii="仿宋" w:hAnsi="仿宋" w:eastAsia="仿宋" w:cs="微软雅黑"/>
                <w:sz w:val="24"/>
              </w:rPr>
              <w:t>7.2 自然及社会环境</w:t>
            </w:r>
          </w:p>
        </w:tc>
        <w:tc>
          <w:tcPr>
            <w:tcW w:w="1479" w:type="pct"/>
            <w:shd w:val="clear" w:color="auto" w:fill="FFFFFF" w:themeFill="background1"/>
            <w:vAlign w:val="center"/>
          </w:tcPr>
          <w:p w14:paraId="0F33075A">
            <w:pPr>
              <w:jc w:val="left"/>
              <w:textAlignment w:val="center"/>
              <w:rPr>
                <w:rFonts w:hint="eastAsia" w:ascii="仿宋" w:hAnsi="仿宋" w:eastAsia="仿宋" w:cs="微软雅黑"/>
                <w:sz w:val="24"/>
              </w:rPr>
            </w:pPr>
            <w:r>
              <w:rPr>
                <w:rFonts w:hint="eastAsia" w:ascii="仿宋" w:hAnsi="仿宋" w:eastAsia="仿宋" w:cs="微软雅黑"/>
                <w:sz w:val="24"/>
              </w:rPr>
              <w:t>应对建设项目沿线自然及社会环境进行危险有害因素辨识。</w:t>
            </w:r>
          </w:p>
        </w:tc>
        <w:tc>
          <w:tcPr>
            <w:tcW w:w="578" w:type="pct"/>
            <w:shd w:val="clear" w:color="auto" w:fill="FFFFFF" w:themeFill="background1"/>
            <w:noWrap/>
            <w:vAlign w:val="center"/>
          </w:tcPr>
          <w:p w14:paraId="33ADB0E8">
            <w:pPr>
              <w:pStyle w:val="4"/>
              <w:jc w:val="center"/>
              <w:rPr>
                <w:rFonts w:hint="eastAsia" w:ascii="仿宋" w:hAnsi="仿宋" w:eastAsia="仿宋" w:cs="微软雅黑"/>
                <w:color w:val="000000"/>
                <w:sz w:val="24"/>
                <w:szCs w:val="24"/>
              </w:rPr>
            </w:pPr>
            <w:r>
              <w:rPr>
                <w:rFonts w:ascii="仿宋" w:hAnsi="仿宋" w:eastAsia="仿宋"/>
                <w:sz w:val="24"/>
                <w:szCs w:val="24"/>
              </w:rPr>
              <w:t xml:space="preserve">7.2 </w:t>
            </w:r>
            <w:r>
              <w:rPr>
                <w:rFonts w:hint="eastAsia" w:ascii="仿宋" w:hAnsi="仿宋" w:eastAsia="仿宋"/>
                <w:sz w:val="24"/>
                <w:szCs w:val="24"/>
              </w:rPr>
              <w:t>自然及社会环境</w:t>
            </w:r>
          </w:p>
        </w:tc>
        <w:tc>
          <w:tcPr>
            <w:tcW w:w="1473" w:type="pct"/>
            <w:shd w:val="clear" w:color="auto" w:fill="FFFFFF" w:themeFill="background1"/>
            <w:vAlign w:val="center"/>
          </w:tcPr>
          <w:p w14:paraId="29688A60">
            <w:pPr>
              <w:pStyle w:val="35"/>
              <w:spacing w:line="240" w:lineRule="auto"/>
              <w:ind w:firstLine="0" w:firstLineChars="0"/>
              <w:rPr>
                <w:rFonts w:hint="eastAsia" w:ascii="仿宋" w:hAnsi="仿宋" w:eastAsia="仿宋"/>
                <w:color w:val="auto"/>
                <w:sz w:val="24"/>
                <w:szCs w:val="24"/>
              </w:rPr>
            </w:pPr>
            <w:r>
              <w:rPr>
                <w:rFonts w:hint="eastAsia" w:ascii="仿宋" w:hAnsi="仿宋" w:eastAsia="仿宋"/>
                <w:color w:val="auto"/>
                <w:kern w:val="0"/>
                <w:sz w:val="24"/>
                <w:szCs w:val="24"/>
              </w:rPr>
              <w:t>对建设项目沿线自然及社会环境进行危险有害因素辨识。</w:t>
            </w:r>
          </w:p>
        </w:tc>
        <w:tc>
          <w:tcPr>
            <w:tcW w:w="768" w:type="pct"/>
            <w:shd w:val="clear" w:color="auto" w:fill="FFFFFF" w:themeFill="background1"/>
            <w:vAlign w:val="center"/>
          </w:tcPr>
          <w:p w14:paraId="2A915367">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133532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46E59011">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6FD4BE8E">
            <w:pPr>
              <w:jc w:val="center"/>
              <w:textAlignment w:val="center"/>
              <w:rPr>
                <w:rFonts w:hint="eastAsia" w:ascii="仿宋" w:hAnsi="仿宋" w:eastAsia="仿宋" w:cs="微软雅黑"/>
                <w:sz w:val="24"/>
              </w:rPr>
            </w:pPr>
            <w:bookmarkStart w:id="335" w:name="_Toc535332662"/>
            <w:r>
              <w:rPr>
                <w:rFonts w:hint="eastAsia" w:ascii="仿宋" w:hAnsi="仿宋" w:eastAsia="仿宋" w:cs="微软雅黑"/>
                <w:sz w:val="24"/>
              </w:rPr>
              <w:t>7.3 线路工程</w:t>
            </w:r>
            <w:bookmarkEnd w:id="335"/>
          </w:p>
        </w:tc>
        <w:tc>
          <w:tcPr>
            <w:tcW w:w="1479" w:type="pct"/>
            <w:shd w:val="clear" w:color="auto" w:fill="FFFFFF" w:themeFill="background1"/>
            <w:vAlign w:val="center"/>
          </w:tcPr>
          <w:p w14:paraId="4F9F3A62">
            <w:pPr>
              <w:jc w:val="left"/>
              <w:textAlignment w:val="center"/>
              <w:rPr>
                <w:rFonts w:hint="eastAsia" w:ascii="仿宋" w:hAnsi="仿宋" w:eastAsia="仿宋" w:cs="微软雅黑"/>
                <w:sz w:val="24"/>
              </w:rPr>
            </w:pPr>
            <w:r>
              <w:rPr>
                <w:rFonts w:hint="eastAsia" w:ascii="仿宋" w:hAnsi="仿宋" w:eastAsia="仿宋" w:cs="微软雅黑"/>
                <w:sz w:val="24"/>
              </w:rPr>
              <w:t>应对线路工程包括的管道本体、管道敷设、人员密集场所高后果区、地质灾害、地震、山岭隧道、采矿区、河流大、中型穿（跨）越、与架空输电线路并行交叉、与铁路并行交叉、与公路并行交叉、与其他管道并行交叉、标识与伴行路和阀室进行危险有害因素辨识。</w:t>
            </w:r>
          </w:p>
        </w:tc>
        <w:tc>
          <w:tcPr>
            <w:tcW w:w="578" w:type="pct"/>
            <w:shd w:val="clear" w:color="auto" w:fill="FFFFFF" w:themeFill="background1"/>
            <w:noWrap/>
            <w:vAlign w:val="center"/>
          </w:tcPr>
          <w:p w14:paraId="2A8F918D">
            <w:pPr>
              <w:pStyle w:val="4"/>
              <w:jc w:val="center"/>
              <w:rPr>
                <w:rFonts w:hint="eastAsia" w:ascii="仿宋" w:hAnsi="仿宋" w:eastAsia="仿宋" w:cs="微软雅黑"/>
                <w:color w:val="000000"/>
                <w:sz w:val="24"/>
                <w:szCs w:val="24"/>
              </w:rPr>
            </w:pPr>
            <w:r>
              <w:rPr>
                <w:rFonts w:ascii="仿宋" w:hAnsi="仿宋" w:eastAsia="仿宋"/>
                <w:sz w:val="24"/>
                <w:szCs w:val="24"/>
              </w:rPr>
              <w:t xml:space="preserve">7.3 </w:t>
            </w:r>
            <w:r>
              <w:rPr>
                <w:rFonts w:hint="eastAsia" w:ascii="仿宋" w:hAnsi="仿宋" w:eastAsia="仿宋"/>
                <w:sz w:val="24"/>
                <w:szCs w:val="24"/>
              </w:rPr>
              <w:t>线路工程</w:t>
            </w:r>
          </w:p>
        </w:tc>
        <w:tc>
          <w:tcPr>
            <w:tcW w:w="1473" w:type="pct"/>
            <w:shd w:val="clear" w:color="auto" w:fill="FFFFFF" w:themeFill="background1"/>
            <w:vAlign w:val="center"/>
          </w:tcPr>
          <w:p w14:paraId="60CFA0CB">
            <w:pPr>
              <w:pStyle w:val="35"/>
              <w:spacing w:line="240" w:lineRule="auto"/>
              <w:ind w:firstLine="0" w:firstLineChars="0"/>
              <w:rPr>
                <w:rFonts w:hint="eastAsia" w:ascii="仿宋" w:hAnsi="仿宋" w:eastAsia="仿宋"/>
                <w:color w:val="auto"/>
                <w:sz w:val="24"/>
                <w:szCs w:val="24"/>
              </w:rPr>
            </w:pPr>
            <w:r>
              <w:rPr>
                <w:rFonts w:hint="eastAsia" w:ascii="仿宋" w:hAnsi="仿宋" w:eastAsia="仿宋"/>
                <w:color w:val="auto"/>
                <w:kern w:val="0"/>
                <w:sz w:val="24"/>
                <w:szCs w:val="24"/>
              </w:rPr>
              <w:t>对线路工程包括的管道本体、管道敷设、人员密集型高后果区、地质灾害、地震、山岭穿越、采矿区、水域大、中型穿（跨）越、与架空输电线路并行交叉、与铁路并行交叉、与公路并行交叉、与其他管道并行交叉、标识与伴行道路和阀室进行危险有害因素辨识。</w:t>
            </w:r>
          </w:p>
        </w:tc>
        <w:tc>
          <w:tcPr>
            <w:tcW w:w="768" w:type="pct"/>
            <w:shd w:val="clear" w:color="auto" w:fill="FFFFFF" w:themeFill="background1"/>
            <w:vAlign w:val="center"/>
          </w:tcPr>
          <w:p w14:paraId="18586C08">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0AF619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7ACDA03E">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3D8958F8">
            <w:pPr>
              <w:jc w:val="center"/>
              <w:textAlignment w:val="center"/>
              <w:rPr>
                <w:rFonts w:hint="eastAsia" w:ascii="仿宋" w:hAnsi="仿宋" w:eastAsia="仿宋" w:cs="微软雅黑"/>
                <w:sz w:val="24"/>
              </w:rPr>
            </w:pPr>
            <w:r>
              <w:rPr>
                <w:rFonts w:hint="eastAsia" w:ascii="仿宋" w:hAnsi="仿宋" w:eastAsia="仿宋" w:cs="微软雅黑"/>
                <w:sz w:val="24"/>
              </w:rPr>
              <w:t>7.4 站场工程</w:t>
            </w:r>
          </w:p>
        </w:tc>
        <w:tc>
          <w:tcPr>
            <w:tcW w:w="1479" w:type="pct"/>
            <w:shd w:val="clear" w:color="auto" w:fill="FFFFFF" w:themeFill="background1"/>
            <w:vAlign w:val="center"/>
          </w:tcPr>
          <w:p w14:paraId="5926F20B">
            <w:pPr>
              <w:jc w:val="left"/>
              <w:textAlignment w:val="center"/>
              <w:rPr>
                <w:rFonts w:hint="eastAsia" w:ascii="仿宋" w:hAnsi="仿宋" w:eastAsia="仿宋" w:cs="微软雅黑"/>
                <w:sz w:val="24"/>
              </w:rPr>
            </w:pPr>
            <w:r>
              <w:rPr>
                <w:rFonts w:hint="eastAsia" w:ascii="仿宋" w:hAnsi="仿宋" w:eastAsia="仿宋" w:cs="微软雅黑"/>
                <w:sz w:val="24"/>
              </w:rPr>
              <w:t>应对站场工程包括的区域布置、平面及竖向布置、输送工艺、站场工艺和储运设备进行危险有害因素辨识。</w:t>
            </w:r>
          </w:p>
        </w:tc>
        <w:tc>
          <w:tcPr>
            <w:tcW w:w="578" w:type="pct"/>
            <w:shd w:val="clear" w:color="auto" w:fill="FFFFFF" w:themeFill="background1"/>
            <w:noWrap/>
            <w:vAlign w:val="center"/>
          </w:tcPr>
          <w:p w14:paraId="46206291">
            <w:pPr>
              <w:pStyle w:val="4"/>
              <w:jc w:val="center"/>
              <w:rPr>
                <w:rFonts w:hint="eastAsia" w:ascii="仿宋" w:hAnsi="仿宋" w:eastAsia="仿宋" w:cs="微软雅黑"/>
                <w:color w:val="000000"/>
                <w:sz w:val="24"/>
                <w:szCs w:val="24"/>
              </w:rPr>
            </w:pPr>
            <w:r>
              <w:rPr>
                <w:rFonts w:ascii="仿宋" w:hAnsi="仿宋" w:eastAsia="仿宋"/>
                <w:sz w:val="24"/>
                <w:szCs w:val="24"/>
              </w:rPr>
              <w:t>7.4</w:t>
            </w:r>
            <w:r>
              <w:rPr>
                <w:rFonts w:hint="eastAsia" w:ascii="仿宋" w:hAnsi="仿宋" w:eastAsia="仿宋"/>
                <w:sz w:val="24"/>
                <w:szCs w:val="24"/>
              </w:rPr>
              <w:t xml:space="preserve"> 站场工程</w:t>
            </w:r>
          </w:p>
        </w:tc>
        <w:tc>
          <w:tcPr>
            <w:tcW w:w="1473" w:type="pct"/>
            <w:shd w:val="clear" w:color="auto" w:fill="FFFFFF" w:themeFill="background1"/>
            <w:vAlign w:val="center"/>
          </w:tcPr>
          <w:p w14:paraId="637234F5">
            <w:pPr>
              <w:pStyle w:val="35"/>
              <w:spacing w:line="240" w:lineRule="auto"/>
              <w:ind w:firstLine="0" w:firstLineChars="0"/>
              <w:rPr>
                <w:rFonts w:hint="eastAsia" w:ascii="仿宋" w:hAnsi="仿宋" w:eastAsia="仿宋" w:cs="微软雅黑"/>
                <w:sz w:val="24"/>
                <w:szCs w:val="24"/>
              </w:rPr>
            </w:pPr>
            <w:r>
              <w:rPr>
                <w:rFonts w:hint="eastAsia" w:ascii="仿宋" w:hAnsi="仿宋" w:eastAsia="仿宋"/>
                <w:color w:val="auto"/>
                <w:kern w:val="0"/>
                <w:sz w:val="24"/>
                <w:szCs w:val="24"/>
              </w:rPr>
              <w:t>对站场工程包括的区域布置、平面及竖向布置、输送工艺、站场工艺和储运设备进行危险有害因素辨识。</w:t>
            </w:r>
          </w:p>
        </w:tc>
        <w:tc>
          <w:tcPr>
            <w:tcW w:w="768" w:type="pct"/>
            <w:shd w:val="clear" w:color="auto" w:fill="FFFFFF" w:themeFill="background1"/>
            <w:vAlign w:val="center"/>
          </w:tcPr>
          <w:p w14:paraId="2F668481">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5B001C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1E2E359E">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6DCBBE32">
            <w:pPr>
              <w:jc w:val="center"/>
              <w:textAlignment w:val="center"/>
              <w:rPr>
                <w:rFonts w:hint="eastAsia" w:ascii="仿宋" w:hAnsi="仿宋" w:eastAsia="仿宋" w:cs="微软雅黑"/>
                <w:sz w:val="24"/>
              </w:rPr>
            </w:pPr>
            <w:r>
              <w:rPr>
                <w:rFonts w:hint="eastAsia" w:ascii="仿宋" w:hAnsi="仿宋" w:eastAsia="仿宋" w:cs="微软雅黑"/>
                <w:sz w:val="24"/>
              </w:rPr>
              <w:t>7.5 公用工程</w:t>
            </w:r>
          </w:p>
        </w:tc>
        <w:tc>
          <w:tcPr>
            <w:tcW w:w="1479" w:type="pct"/>
            <w:shd w:val="clear" w:color="auto" w:fill="FFFFFF" w:themeFill="background1"/>
            <w:vAlign w:val="center"/>
          </w:tcPr>
          <w:p w14:paraId="3C4C6F2A">
            <w:pPr>
              <w:jc w:val="left"/>
              <w:textAlignment w:val="center"/>
              <w:rPr>
                <w:rFonts w:hint="eastAsia" w:ascii="仿宋" w:hAnsi="仿宋" w:eastAsia="仿宋" w:cs="微软雅黑"/>
                <w:sz w:val="24"/>
              </w:rPr>
            </w:pPr>
            <w:r>
              <w:rPr>
                <w:rFonts w:hint="eastAsia" w:ascii="仿宋" w:hAnsi="仿宋" w:eastAsia="仿宋" w:cs="微软雅黑"/>
                <w:sz w:val="24"/>
              </w:rPr>
              <w:t>应对公用工程包括的自控、通信、供配电、防腐与保温、采暖通风和建(构)筑物进行危险有害因素辨识。</w:t>
            </w:r>
          </w:p>
        </w:tc>
        <w:tc>
          <w:tcPr>
            <w:tcW w:w="578" w:type="pct"/>
            <w:shd w:val="clear" w:color="auto" w:fill="FFFFFF" w:themeFill="background1"/>
            <w:noWrap/>
            <w:vAlign w:val="center"/>
          </w:tcPr>
          <w:p w14:paraId="5B51606B">
            <w:pPr>
              <w:pStyle w:val="4"/>
              <w:jc w:val="center"/>
              <w:rPr>
                <w:rFonts w:hint="eastAsia" w:ascii="仿宋" w:hAnsi="仿宋" w:eastAsia="仿宋" w:cs="微软雅黑"/>
                <w:color w:val="000000"/>
                <w:sz w:val="24"/>
                <w:szCs w:val="24"/>
              </w:rPr>
            </w:pPr>
            <w:r>
              <w:rPr>
                <w:rFonts w:ascii="仿宋" w:hAnsi="仿宋" w:eastAsia="仿宋"/>
                <w:sz w:val="24"/>
                <w:szCs w:val="24"/>
              </w:rPr>
              <w:t>7.5</w:t>
            </w:r>
            <w:r>
              <w:rPr>
                <w:rFonts w:hint="eastAsia" w:ascii="仿宋" w:hAnsi="仿宋" w:eastAsia="仿宋"/>
                <w:sz w:val="24"/>
                <w:szCs w:val="24"/>
              </w:rPr>
              <w:t xml:space="preserve"> 公用工程</w:t>
            </w:r>
          </w:p>
        </w:tc>
        <w:tc>
          <w:tcPr>
            <w:tcW w:w="1473" w:type="pct"/>
            <w:shd w:val="clear" w:color="auto" w:fill="FFFFFF" w:themeFill="background1"/>
            <w:vAlign w:val="center"/>
          </w:tcPr>
          <w:p w14:paraId="5BECD19F">
            <w:pPr>
              <w:pStyle w:val="35"/>
              <w:spacing w:line="240" w:lineRule="auto"/>
              <w:ind w:firstLine="0" w:firstLineChars="0"/>
              <w:rPr>
                <w:rFonts w:hint="eastAsia" w:ascii="仿宋" w:hAnsi="仿宋" w:eastAsia="仿宋" w:cs="微软雅黑"/>
                <w:sz w:val="24"/>
                <w:szCs w:val="24"/>
              </w:rPr>
            </w:pPr>
            <w:r>
              <w:rPr>
                <w:rFonts w:hint="eastAsia" w:ascii="仿宋" w:hAnsi="仿宋" w:eastAsia="仿宋"/>
                <w:color w:val="auto"/>
                <w:kern w:val="0"/>
                <w:sz w:val="24"/>
                <w:szCs w:val="24"/>
              </w:rPr>
              <w:t>对公用工程包括的自控、通信、供配电、防腐与保温、采暖通风和建（构）筑物进行危险有害因素辨识。</w:t>
            </w:r>
          </w:p>
        </w:tc>
        <w:tc>
          <w:tcPr>
            <w:tcW w:w="768" w:type="pct"/>
            <w:shd w:val="clear" w:color="auto" w:fill="FFFFFF" w:themeFill="background1"/>
            <w:vAlign w:val="center"/>
          </w:tcPr>
          <w:p w14:paraId="2732980E">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70836A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2E3F9182">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57BDE9B6">
            <w:pPr>
              <w:jc w:val="center"/>
              <w:textAlignment w:val="center"/>
              <w:rPr>
                <w:rFonts w:hint="eastAsia" w:ascii="仿宋" w:hAnsi="仿宋" w:eastAsia="仿宋" w:cs="微软雅黑"/>
                <w:sz w:val="24"/>
              </w:rPr>
            </w:pPr>
            <w:r>
              <w:rPr>
                <w:rFonts w:hint="eastAsia" w:ascii="仿宋" w:hAnsi="仿宋" w:eastAsia="仿宋" w:cs="微软雅黑"/>
                <w:sz w:val="24"/>
              </w:rPr>
              <w:t>7.6 建设项目相互影响</w:t>
            </w:r>
          </w:p>
        </w:tc>
        <w:tc>
          <w:tcPr>
            <w:tcW w:w="1479" w:type="pct"/>
            <w:shd w:val="clear" w:color="auto" w:fill="FFFFFF" w:themeFill="background1"/>
            <w:vAlign w:val="center"/>
          </w:tcPr>
          <w:p w14:paraId="2BBBE1E1">
            <w:pPr>
              <w:jc w:val="left"/>
              <w:textAlignment w:val="center"/>
              <w:rPr>
                <w:rFonts w:hint="eastAsia" w:ascii="仿宋" w:hAnsi="仿宋" w:eastAsia="仿宋" w:cs="微软雅黑"/>
                <w:sz w:val="24"/>
              </w:rPr>
            </w:pPr>
            <w:r>
              <w:rPr>
                <w:rFonts w:hint="eastAsia" w:ascii="仿宋" w:hAnsi="仿宋" w:eastAsia="仿宋" w:cs="微软雅黑"/>
                <w:sz w:val="24"/>
              </w:rPr>
              <w:t>建设项目与已有项目合建、毗邻，应分析各建设项目相互影响及可能产生的危险和有害因素，说明主要分析结果。</w:t>
            </w:r>
          </w:p>
        </w:tc>
        <w:tc>
          <w:tcPr>
            <w:tcW w:w="578" w:type="pct"/>
            <w:shd w:val="clear" w:color="auto" w:fill="FFFFFF" w:themeFill="background1"/>
            <w:noWrap/>
            <w:vAlign w:val="center"/>
          </w:tcPr>
          <w:p w14:paraId="61D54AC1">
            <w:pPr>
              <w:pStyle w:val="4"/>
              <w:jc w:val="center"/>
              <w:rPr>
                <w:rFonts w:hint="eastAsia" w:ascii="仿宋" w:hAnsi="仿宋" w:eastAsia="仿宋" w:cs="微软雅黑"/>
                <w:color w:val="000000"/>
                <w:sz w:val="24"/>
                <w:szCs w:val="24"/>
              </w:rPr>
            </w:pPr>
            <w:r>
              <w:rPr>
                <w:rFonts w:ascii="仿宋" w:hAnsi="仿宋" w:eastAsia="仿宋"/>
                <w:sz w:val="24"/>
                <w:szCs w:val="24"/>
              </w:rPr>
              <w:t xml:space="preserve">7.6 </w:t>
            </w:r>
            <w:r>
              <w:rPr>
                <w:rFonts w:hint="eastAsia" w:ascii="仿宋" w:hAnsi="仿宋" w:eastAsia="仿宋"/>
                <w:sz w:val="24"/>
                <w:szCs w:val="24"/>
              </w:rPr>
              <w:t>建设项目相互影响</w:t>
            </w:r>
          </w:p>
        </w:tc>
        <w:tc>
          <w:tcPr>
            <w:tcW w:w="1473" w:type="pct"/>
            <w:shd w:val="clear" w:color="auto" w:fill="FFFFFF" w:themeFill="background1"/>
            <w:vAlign w:val="center"/>
          </w:tcPr>
          <w:p w14:paraId="4EA1BC08">
            <w:pPr>
              <w:pStyle w:val="35"/>
              <w:spacing w:line="240" w:lineRule="auto"/>
              <w:ind w:firstLine="0" w:firstLineChars="0"/>
              <w:rPr>
                <w:rFonts w:hint="eastAsia" w:ascii="仿宋" w:hAnsi="仿宋" w:eastAsia="仿宋" w:cs="微软雅黑"/>
                <w:sz w:val="24"/>
                <w:szCs w:val="24"/>
              </w:rPr>
            </w:pPr>
            <w:r>
              <w:rPr>
                <w:rFonts w:hint="eastAsia" w:ascii="仿宋" w:hAnsi="仿宋" w:eastAsia="仿宋"/>
                <w:color w:val="auto"/>
                <w:kern w:val="0"/>
                <w:sz w:val="24"/>
                <w:szCs w:val="24"/>
              </w:rPr>
              <w:t>建设项目与</w:t>
            </w:r>
            <w:r>
              <w:rPr>
                <w:rFonts w:ascii="仿宋" w:hAnsi="仿宋" w:eastAsia="仿宋"/>
                <w:color w:val="auto"/>
                <w:kern w:val="0"/>
                <w:sz w:val="24"/>
                <w:szCs w:val="24"/>
              </w:rPr>
              <w:t>已有</w:t>
            </w:r>
            <w:r>
              <w:rPr>
                <w:rFonts w:hint="eastAsia" w:ascii="仿宋" w:hAnsi="仿宋" w:eastAsia="仿宋"/>
                <w:color w:val="auto"/>
                <w:kern w:val="0"/>
                <w:sz w:val="24"/>
                <w:szCs w:val="24"/>
              </w:rPr>
              <w:t>项目合建、毗邻，应分析各建设项目相互影响及可能产生的危险和有害因素，说明分析结果。</w:t>
            </w:r>
          </w:p>
        </w:tc>
        <w:tc>
          <w:tcPr>
            <w:tcW w:w="768" w:type="pct"/>
            <w:shd w:val="clear" w:color="auto" w:fill="FFFFFF" w:themeFill="background1"/>
            <w:vAlign w:val="center"/>
          </w:tcPr>
          <w:p w14:paraId="2DB76AA8">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21FD1D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7C8C19B4">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25C30FCB">
            <w:pPr>
              <w:jc w:val="center"/>
              <w:textAlignment w:val="center"/>
              <w:rPr>
                <w:rFonts w:hint="eastAsia" w:ascii="仿宋" w:hAnsi="仿宋" w:eastAsia="仿宋" w:cs="微软雅黑"/>
                <w:sz w:val="24"/>
              </w:rPr>
            </w:pPr>
            <w:r>
              <w:rPr>
                <w:rFonts w:hint="eastAsia" w:ascii="仿宋" w:hAnsi="仿宋" w:eastAsia="仿宋" w:cs="微软雅黑"/>
                <w:sz w:val="24"/>
              </w:rPr>
              <w:t>7.7 重大危险源辨识</w:t>
            </w:r>
          </w:p>
        </w:tc>
        <w:tc>
          <w:tcPr>
            <w:tcW w:w="1479" w:type="pct"/>
            <w:shd w:val="clear" w:color="auto" w:fill="FFFFFF" w:themeFill="background1"/>
            <w:vAlign w:val="center"/>
          </w:tcPr>
          <w:p w14:paraId="4741ACE5">
            <w:pPr>
              <w:jc w:val="left"/>
              <w:textAlignment w:val="center"/>
              <w:rPr>
                <w:rFonts w:hint="eastAsia" w:ascii="仿宋" w:hAnsi="仿宋" w:eastAsia="仿宋" w:cs="微软雅黑"/>
                <w:sz w:val="24"/>
              </w:rPr>
            </w:pPr>
            <w:r>
              <w:rPr>
                <w:rFonts w:hint="eastAsia" w:ascii="仿宋" w:hAnsi="仿宋" w:eastAsia="仿宋" w:cs="微软雅黑"/>
                <w:sz w:val="24"/>
              </w:rPr>
              <w:t>建设项目范围内的油库应按照GB 18218进行危险化学品重大危险源辨识。</w:t>
            </w:r>
          </w:p>
        </w:tc>
        <w:tc>
          <w:tcPr>
            <w:tcW w:w="578" w:type="pct"/>
            <w:shd w:val="clear" w:color="auto" w:fill="FFFFFF" w:themeFill="background1"/>
            <w:noWrap/>
            <w:vAlign w:val="center"/>
          </w:tcPr>
          <w:p w14:paraId="3D92B857">
            <w:pPr>
              <w:pStyle w:val="4"/>
              <w:jc w:val="center"/>
              <w:rPr>
                <w:rFonts w:hint="eastAsia" w:ascii="仿宋" w:hAnsi="仿宋" w:eastAsia="仿宋" w:cs="微软雅黑"/>
                <w:color w:val="000000"/>
                <w:sz w:val="24"/>
                <w:szCs w:val="24"/>
              </w:rPr>
            </w:pPr>
            <w:r>
              <w:rPr>
                <w:rFonts w:ascii="仿宋" w:hAnsi="仿宋" w:eastAsia="仿宋"/>
                <w:sz w:val="24"/>
                <w:szCs w:val="24"/>
              </w:rPr>
              <w:t xml:space="preserve">7.7 </w:t>
            </w:r>
            <w:r>
              <w:rPr>
                <w:rFonts w:hint="eastAsia" w:ascii="仿宋" w:hAnsi="仿宋" w:eastAsia="仿宋"/>
                <w:sz w:val="24"/>
                <w:szCs w:val="24"/>
              </w:rPr>
              <w:t>重大危险源辨识</w:t>
            </w:r>
          </w:p>
        </w:tc>
        <w:tc>
          <w:tcPr>
            <w:tcW w:w="1473" w:type="pct"/>
            <w:shd w:val="clear" w:color="auto" w:fill="FFFFFF" w:themeFill="background1"/>
            <w:vAlign w:val="center"/>
          </w:tcPr>
          <w:p w14:paraId="40B6B1B4">
            <w:pPr>
              <w:pStyle w:val="35"/>
              <w:spacing w:line="240" w:lineRule="auto"/>
              <w:ind w:firstLine="0" w:firstLineChars="0"/>
              <w:rPr>
                <w:rFonts w:hint="eastAsia" w:ascii="仿宋" w:hAnsi="仿宋" w:eastAsia="仿宋" w:cs="微软雅黑"/>
                <w:sz w:val="24"/>
                <w:szCs w:val="24"/>
              </w:rPr>
            </w:pPr>
            <w:r>
              <w:rPr>
                <w:rFonts w:hint="eastAsia" w:ascii="仿宋" w:hAnsi="仿宋" w:eastAsia="仿宋"/>
                <w:color w:val="auto"/>
                <w:kern w:val="0"/>
                <w:sz w:val="24"/>
                <w:szCs w:val="24"/>
              </w:rPr>
              <w:t>建设</w:t>
            </w:r>
            <w:r>
              <w:rPr>
                <w:rFonts w:ascii="仿宋" w:hAnsi="仿宋" w:eastAsia="仿宋"/>
                <w:color w:val="auto"/>
                <w:kern w:val="0"/>
                <w:sz w:val="24"/>
                <w:szCs w:val="24"/>
              </w:rPr>
              <w:t>项目范围内的</w:t>
            </w:r>
            <w:r>
              <w:rPr>
                <w:rFonts w:hint="eastAsia" w:ascii="仿宋" w:hAnsi="仿宋" w:eastAsia="仿宋"/>
                <w:color w:val="auto"/>
                <w:kern w:val="0"/>
                <w:sz w:val="24"/>
                <w:szCs w:val="24"/>
              </w:rPr>
              <w:t>油品站场按</w:t>
            </w:r>
            <w:r>
              <w:rPr>
                <w:rStyle w:val="156"/>
                <w:rFonts w:hint="eastAsia" w:ascii="仿宋" w:hAnsi="仿宋" w:eastAsia="仿宋"/>
                <w:sz w:val="24"/>
                <w:szCs w:val="24"/>
              </w:rPr>
              <w:t>照</w:t>
            </w:r>
            <w:r>
              <w:rPr>
                <w:rFonts w:ascii="仿宋" w:hAnsi="仿宋" w:eastAsia="仿宋"/>
                <w:color w:val="auto"/>
                <w:kern w:val="0"/>
                <w:sz w:val="24"/>
                <w:szCs w:val="24"/>
              </w:rPr>
              <w:t>GB 18218</w:t>
            </w:r>
            <w:r>
              <w:rPr>
                <w:rStyle w:val="156"/>
                <w:rFonts w:hint="eastAsia" w:ascii="仿宋" w:hAnsi="仿宋" w:eastAsia="仿宋"/>
                <w:sz w:val="24"/>
                <w:szCs w:val="24"/>
              </w:rPr>
              <w:t>进</w:t>
            </w:r>
            <w:r>
              <w:rPr>
                <w:rFonts w:hint="eastAsia" w:ascii="仿宋" w:hAnsi="仿宋" w:eastAsia="仿宋"/>
                <w:color w:val="auto"/>
                <w:kern w:val="0"/>
                <w:sz w:val="24"/>
                <w:szCs w:val="24"/>
              </w:rPr>
              <w:t>行危险化学品重大危险源辨识。</w:t>
            </w:r>
          </w:p>
        </w:tc>
        <w:tc>
          <w:tcPr>
            <w:tcW w:w="768" w:type="pct"/>
            <w:shd w:val="clear" w:color="auto" w:fill="FFFFFF" w:themeFill="background1"/>
            <w:vAlign w:val="center"/>
          </w:tcPr>
          <w:p w14:paraId="3BCC26E6">
            <w:pPr>
              <w:jc w:val="left"/>
              <w:textAlignment w:val="center"/>
              <w:rPr>
                <w:rFonts w:hint="eastAsia" w:ascii="仿宋" w:hAnsi="仿宋" w:eastAsia="仿宋" w:cs="微软雅黑"/>
                <w:sz w:val="24"/>
              </w:rPr>
            </w:pPr>
            <w:r>
              <w:rPr>
                <w:rFonts w:hint="eastAsia" w:ascii="仿宋" w:hAnsi="仿宋" w:eastAsia="仿宋" w:cs="微软雅黑"/>
                <w:sz w:val="24"/>
              </w:rPr>
              <w:t>进一步明确了油品站场相关描述。</w:t>
            </w:r>
          </w:p>
        </w:tc>
      </w:tr>
      <w:tr w14:paraId="166BB5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06653A79">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7480D6CC">
            <w:pPr>
              <w:jc w:val="center"/>
              <w:textAlignment w:val="center"/>
              <w:rPr>
                <w:rFonts w:hint="eastAsia" w:ascii="仿宋" w:hAnsi="仿宋" w:eastAsia="仿宋" w:cs="微软雅黑"/>
                <w:sz w:val="24"/>
              </w:rPr>
            </w:pPr>
            <w:r>
              <w:rPr>
                <w:rFonts w:hint="eastAsia" w:ascii="仿宋" w:hAnsi="仿宋" w:eastAsia="仿宋" w:cs="微软雅黑"/>
                <w:sz w:val="24"/>
              </w:rPr>
              <w:t>7.8 辨识结果汇总</w:t>
            </w:r>
          </w:p>
        </w:tc>
        <w:tc>
          <w:tcPr>
            <w:tcW w:w="1479" w:type="pct"/>
            <w:shd w:val="clear" w:color="auto" w:fill="FFFFFF" w:themeFill="background1"/>
            <w:vAlign w:val="center"/>
          </w:tcPr>
          <w:p w14:paraId="0DBD3BB6">
            <w:pPr>
              <w:jc w:val="left"/>
              <w:textAlignment w:val="center"/>
              <w:rPr>
                <w:rFonts w:hint="eastAsia" w:ascii="仿宋" w:hAnsi="仿宋" w:eastAsia="仿宋" w:cs="微软雅黑"/>
                <w:sz w:val="24"/>
              </w:rPr>
            </w:pPr>
          </w:p>
        </w:tc>
        <w:tc>
          <w:tcPr>
            <w:tcW w:w="578" w:type="pct"/>
            <w:shd w:val="clear" w:color="auto" w:fill="FFFFFF" w:themeFill="background1"/>
            <w:noWrap/>
            <w:vAlign w:val="center"/>
          </w:tcPr>
          <w:p w14:paraId="2FA8624D">
            <w:pPr>
              <w:pStyle w:val="4"/>
              <w:jc w:val="center"/>
              <w:rPr>
                <w:rFonts w:hint="eastAsia" w:ascii="仿宋" w:hAnsi="仿宋" w:eastAsia="仿宋" w:cs="微软雅黑"/>
                <w:color w:val="000000"/>
                <w:sz w:val="24"/>
                <w:szCs w:val="24"/>
              </w:rPr>
            </w:pPr>
            <w:r>
              <w:rPr>
                <w:rFonts w:ascii="仿宋" w:hAnsi="仿宋" w:eastAsia="仿宋"/>
                <w:sz w:val="24"/>
                <w:szCs w:val="24"/>
              </w:rPr>
              <w:t xml:space="preserve">7.8 </w:t>
            </w:r>
            <w:r>
              <w:rPr>
                <w:rFonts w:hint="eastAsia" w:ascii="仿宋" w:hAnsi="仿宋" w:eastAsia="仿宋"/>
                <w:sz w:val="24"/>
                <w:szCs w:val="24"/>
              </w:rPr>
              <w:t>辨识结果汇总</w:t>
            </w:r>
          </w:p>
        </w:tc>
        <w:tc>
          <w:tcPr>
            <w:tcW w:w="1473" w:type="pct"/>
            <w:shd w:val="clear" w:color="auto" w:fill="FFFFFF" w:themeFill="background1"/>
            <w:vAlign w:val="center"/>
          </w:tcPr>
          <w:p w14:paraId="69CFEBC0">
            <w:pPr>
              <w:pStyle w:val="35"/>
              <w:spacing w:line="240" w:lineRule="auto"/>
              <w:ind w:firstLine="0" w:firstLineChars="0"/>
              <w:rPr>
                <w:rFonts w:hint="eastAsia" w:ascii="仿宋" w:hAnsi="仿宋" w:eastAsia="仿宋" w:cs="微软雅黑"/>
                <w:sz w:val="24"/>
                <w:szCs w:val="24"/>
              </w:rPr>
            </w:pPr>
            <w:r>
              <w:rPr>
                <w:rFonts w:hint="eastAsia" w:ascii="仿宋" w:hAnsi="仿宋" w:eastAsia="仿宋"/>
                <w:color w:val="auto"/>
                <w:kern w:val="0"/>
                <w:sz w:val="24"/>
                <w:szCs w:val="24"/>
              </w:rPr>
              <w:t>按施工和生产运行阶段分别汇总存在的主要危险有害因素。</w:t>
            </w:r>
          </w:p>
        </w:tc>
        <w:tc>
          <w:tcPr>
            <w:tcW w:w="768" w:type="pct"/>
            <w:shd w:val="clear" w:color="auto" w:fill="FFFFFF" w:themeFill="background1"/>
            <w:vAlign w:val="center"/>
          </w:tcPr>
          <w:p w14:paraId="68942566">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296544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3D202FCC">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16D67596">
            <w:pPr>
              <w:jc w:val="center"/>
              <w:textAlignment w:val="center"/>
              <w:rPr>
                <w:rFonts w:hint="eastAsia" w:ascii="仿宋" w:hAnsi="仿宋" w:eastAsia="仿宋" w:cs="微软雅黑"/>
                <w:sz w:val="24"/>
              </w:rPr>
            </w:pPr>
            <w:r>
              <w:rPr>
                <w:rFonts w:hint="eastAsia" w:ascii="仿宋" w:hAnsi="仿宋" w:eastAsia="仿宋" w:cs="微软雅黑"/>
                <w:sz w:val="24"/>
              </w:rPr>
              <w:t>7.8.1</w:t>
            </w:r>
          </w:p>
        </w:tc>
        <w:tc>
          <w:tcPr>
            <w:tcW w:w="1479" w:type="pct"/>
            <w:shd w:val="clear" w:color="auto" w:fill="FFFFFF" w:themeFill="background1"/>
            <w:vAlign w:val="center"/>
          </w:tcPr>
          <w:p w14:paraId="3C69B21E">
            <w:pPr>
              <w:jc w:val="left"/>
              <w:textAlignment w:val="center"/>
              <w:rPr>
                <w:rFonts w:hint="eastAsia" w:ascii="仿宋" w:hAnsi="仿宋" w:eastAsia="仿宋" w:cs="微软雅黑"/>
                <w:sz w:val="24"/>
              </w:rPr>
            </w:pPr>
            <w:r>
              <w:rPr>
                <w:rFonts w:hint="eastAsia" w:ascii="仿宋" w:hAnsi="仿宋" w:eastAsia="仿宋" w:cs="微软雅黑"/>
                <w:sz w:val="24"/>
              </w:rPr>
              <w:t>应按施工和生产运行阶段存在的主要危险有害因素分布汇总。</w:t>
            </w:r>
          </w:p>
        </w:tc>
        <w:tc>
          <w:tcPr>
            <w:tcW w:w="578" w:type="pct"/>
            <w:shd w:val="clear" w:color="auto" w:fill="FFFFFF" w:themeFill="background1"/>
            <w:noWrap/>
            <w:vAlign w:val="center"/>
          </w:tcPr>
          <w:p w14:paraId="3DE2EC56">
            <w:pPr>
              <w:jc w:val="center"/>
              <w:textAlignment w:val="center"/>
              <w:rPr>
                <w:rFonts w:hint="eastAsia" w:ascii="仿宋" w:hAnsi="仿宋" w:eastAsia="仿宋" w:cs="微软雅黑"/>
                <w:sz w:val="24"/>
              </w:rPr>
            </w:pPr>
          </w:p>
        </w:tc>
        <w:tc>
          <w:tcPr>
            <w:tcW w:w="1473" w:type="pct"/>
            <w:shd w:val="clear" w:color="auto" w:fill="FFFFFF" w:themeFill="background1"/>
            <w:vAlign w:val="center"/>
          </w:tcPr>
          <w:p w14:paraId="45916500">
            <w:pPr>
              <w:jc w:val="left"/>
              <w:textAlignment w:val="center"/>
              <w:rPr>
                <w:rFonts w:hint="eastAsia" w:ascii="仿宋" w:hAnsi="仿宋" w:eastAsia="仿宋" w:cs="微软雅黑"/>
                <w:sz w:val="24"/>
              </w:rPr>
            </w:pPr>
          </w:p>
        </w:tc>
        <w:tc>
          <w:tcPr>
            <w:tcW w:w="768" w:type="pct"/>
            <w:shd w:val="clear" w:color="auto" w:fill="FFFFFF" w:themeFill="background1"/>
            <w:vAlign w:val="center"/>
          </w:tcPr>
          <w:p w14:paraId="75DC8EF5">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27AF7C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2D080ABF">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289104D3">
            <w:pPr>
              <w:jc w:val="center"/>
              <w:textAlignment w:val="center"/>
              <w:rPr>
                <w:rFonts w:hint="eastAsia" w:ascii="仿宋" w:hAnsi="仿宋" w:eastAsia="仿宋" w:cs="微软雅黑"/>
                <w:sz w:val="24"/>
              </w:rPr>
            </w:pPr>
            <w:r>
              <w:rPr>
                <w:rFonts w:hint="eastAsia" w:ascii="仿宋" w:hAnsi="仿宋" w:eastAsia="仿宋" w:cs="微软雅黑"/>
                <w:sz w:val="24"/>
              </w:rPr>
              <w:t>7.8.2</w:t>
            </w:r>
          </w:p>
        </w:tc>
        <w:tc>
          <w:tcPr>
            <w:tcW w:w="1479" w:type="pct"/>
            <w:shd w:val="clear" w:color="auto" w:fill="FFFFFF" w:themeFill="background1"/>
            <w:vAlign w:val="center"/>
          </w:tcPr>
          <w:p w14:paraId="5E72D869">
            <w:pPr>
              <w:jc w:val="left"/>
              <w:textAlignment w:val="center"/>
              <w:rPr>
                <w:rFonts w:hint="eastAsia" w:ascii="仿宋" w:hAnsi="仿宋" w:eastAsia="仿宋" w:cs="微软雅黑"/>
                <w:sz w:val="24"/>
              </w:rPr>
            </w:pPr>
            <w:r>
              <w:rPr>
                <w:rFonts w:hint="eastAsia" w:ascii="仿宋" w:hAnsi="仿宋" w:eastAsia="仿宋" w:cs="微软雅黑"/>
                <w:sz w:val="24"/>
              </w:rPr>
              <w:t>应按照危险有害因素辨识结果，针对生产安全事故、自然灾害事件列出需要编制现场应急处置方案的建议。</w:t>
            </w:r>
          </w:p>
        </w:tc>
        <w:tc>
          <w:tcPr>
            <w:tcW w:w="578" w:type="pct"/>
            <w:shd w:val="clear" w:color="auto" w:fill="FFFFFF" w:themeFill="background1"/>
            <w:noWrap/>
            <w:vAlign w:val="center"/>
          </w:tcPr>
          <w:p w14:paraId="76E5121A">
            <w:pPr>
              <w:jc w:val="center"/>
              <w:textAlignment w:val="center"/>
              <w:rPr>
                <w:rFonts w:hint="eastAsia" w:ascii="仿宋" w:hAnsi="仿宋" w:eastAsia="仿宋" w:cs="微软雅黑"/>
                <w:sz w:val="24"/>
              </w:rPr>
            </w:pPr>
          </w:p>
        </w:tc>
        <w:tc>
          <w:tcPr>
            <w:tcW w:w="1473" w:type="pct"/>
            <w:shd w:val="clear" w:color="auto" w:fill="FFFFFF" w:themeFill="background1"/>
            <w:vAlign w:val="center"/>
          </w:tcPr>
          <w:p w14:paraId="4CF4671B">
            <w:pPr>
              <w:jc w:val="left"/>
              <w:textAlignment w:val="center"/>
              <w:rPr>
                <w:rFonts w:hint="eastAsia" w:ascii="仿宋" w:hAnsi="仿宋" w:eastAsia="仿宋" w:cs="微软雅黑"/>
                <w:sz w:val="24"/>
              </w:rPr>
            </w:pPr>
          </w:p>
        </w:tc>
        <w:tc>
          <w:tcPr>
            <w:tcW w:w="768" w:type="pct"/>
            <w:shd w:val="clear" w:color="auto" w:fill="FFFFFF" w:themeFill="background1"/>
            <w:vAlign w:val="center"/>
          </w:tcPr>
          <w:p w14:paraId="572453CB">
            <w:pPr>
              <w:jc w:val="left"/>
              <w:textAlignment w:val="center"/>
              <w:rPr>
                <w:rFonts w:hint="eastAsia" w:ascii="仿宋" w:hAnsi="仿宋" w:eastAsia="仿宋" w:cs="微软雅黑"/>
                <w:sz w:val="24"/>
              </w:rPr>
            </w:pPr>
            <w:r>
              <w:rPr>
                <w:rFonts w:hint="eastAsia" w:ascii="仿宋" w:hAnsi="仿宋" w:eastAsia="仿宋" w:cs="微软雅黑"/>
                <w:sz w:val="24"/>
              </w:rPr>
              <w:t>删除该建议内容，调整至第9.6应急预案章节。</w:t>
            </w:r>
          </w:p>
        </w:tc>
      </w:tr>
      <w:tr w14:paraId="02E140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1249CC9F">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343BA75C">
            <w:pPr>
              <w:jc w:val="center"/>
              <w:textAlignment w:val="center"/>
              <w:rPr>
                <w:rFonts w:hint="eastAsia" w:ascii="仿宋" w:hAnsi="仿宋" w:eastAsia="仿宋" w:cs="微软雅黑"/>
                <w:sz w:val="24"/>
              </w:rPr>
            </w:pPr>
            <w:r>
              <w:rPr>
                <w:rFonts w:hint="eastAsia" w:ascii="仿宋" w:hAnsi="仿宋" w:eastAsia="仿宋" w:cs="微软雅黑"/>
                <w:sz w:val="24"/>
              </w:rPr>
              <w:t>8 单元安全评价</w:t>
            </w:r>
          </w:p>
        </w:tc>
        <w:tc>
          <w:tcPr>
            <w:tcW w:w="1479" w:type="pct"/>
            <w:shd w:val="clear" w:color="auto" w:fill="FFFFFF" w:themeFill="background1"/>
            <w:vAlign w:val="center"/>
          </w:tcPr>
          <w:p w14:paraId="6F9045B7">
            <w:pPr>
              <w:jc w:val="left"/>
              <w:textAlignment w:val="center"/>
              <w:rPr>
                <w:rFonts w:hint="eastAsia" w:ascii="仿宋" w:hAnsi="仿宋" w:eastAsia="仿宋" w:cs="微软雅黑"/>
                <w:sz w:val="24"/>
              </w:rPr>
            </w:pPr>
          </w:p>
        </w:tc>
        <w:tc>
          <w:tcPr>
            <w:tcW w:w="578" w:type="pct"/>
            <w:shd w:val="clear" w:color="auto" w:fill="FFFFFF" w:themeFill="background1"/>
            <w:noWrap/>
            <w:vAlign w:val="center"/>
          </w:tcPr>
          <w:p w14:paraId="0CCF80C2">
            <w:pPr>
              <w:pStyle w:val="3"/>
              <w:jc w:val="center"/>
              <w:rPr>
                <w:rFonts w:hint="eastAsia" w:ascii="仿宋" w:hAnsi="仿宋" w:eastAsia="仿宋" w:cs="微软雅黑"/>
                <w:color w:val="000000"/>
                <w:sz w:val="24"/>
                <w:szCs w:val="24"/>
              </w:rPr>
            </w:pPr>
            <w:r>
              <w:rPr>
                <w:rFonts w:ascii="仿宋" w:hAnsi="仿宋" w:eastAsia="仿宋"/>
                <w:sz w:val="24"/>
                <w:szCs w:val="24"/>
              </w:rPr>
              <w:t xml:space="preserve">8 </w:t>
            </w:r>
            <w:r>
              <w:rPr>
                <w:rFonts w:hint="eastAsia" w:ascii="仿宋" w:hAnsi="仿宋" w:eastAsia="仿宋"/>
                <w:sz w:val="24"/>
                <w:szCs w:val="24"/>
              </w:rPr>
              <w:t>单元安全评价</w:t>
            </w:r>
          </w:p>
        </w:tc>
        <w:tc>
          <w:tcPr>
            <w:tcW w:w="1473" w:type="pct"/>
            <w:shd w:val="clear" w:color="auto" w:fill="FFFFFF" w:themeFill="background1"/>
            <w:vAlign w:val="center"/>
          </w:tcPr>
          <w:p w14:paraId="0F8B4EF2">
            <w:pPr>
              <w:jc w:val="left"/>
              <w:textAlignment w:val="center"/>
              <w:rPr>
                <w:rFonts w:hint="eastAsia" w:ascii="仿宋" w:hAnsi="仿宋" w:eastAsia="仿宋" w:cs="微软雅黑"/>
                <w:sz w:val="24"/>
              </w:rPr>
            </w:pPr>
          </w:p>
        </w:tc>
        <w:tc>
          <w:tcPr>
            <w:tcW w:w="768" w:type="pct"/>
            <w:shd w:val="clear" w:color="auto" w:fill="FFFFFF" w:themeFill="background1"/>
            <w:vAlign w:val="center"/>
          </w:tcPr>
          <w:p w14:paraId="6E6063CA">
            <w:pPr>
              <w:jc w:val="left"/>
              <w:textAlignment w:val="center"/>
              <w:rPr>
                <w:rFonts w:hint="eastAsia" w:ascii="仿宋" w:hAnsi="仿宋" w:eastAsia="仿宋" w:cs="微软雅黑"/>
                <w:sz w:val="24"/>
              </w:rPr>
            </w:pPr>
            <w:r>
              <w:rPr>
                <w:rFonts w:hint="eastAsia" w:ascii="仿宋" w:hAnsi="仿宋" w:eastAsia="仿宋" w:cs="微软雅黑"/>
                <w:sz w:val="24"/>
              </w:rPr>
              <w:t>无变化</w:t>
            </w:r>
          </w:p>
        </w:tc>
      </w:tr>
      <w:tr w14:paraId="00233C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166DD1C7">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0E156B0F">
            <w:pPr>
              <w:jc w:val="center"/>
              <w:textAlignment w:val="center"/>
              <w:rPr>
                <w:rFonts w:hint="eastAsia" w:ascii="仿宋" w:hAnsi="仿宋" w:eastAsia="仿宋" w:cs="微软雅黑"/>
                <w:sz w:val="24"/>
              </w:rPr>
            </w:pPr>
            <w:r>
              <w:rPr>
                <w:rFonts w:hint="eastAsia" w:ascii="仿宋" w:hAnsi="仿宋" w:eastAsia="仿宋" w:cs="微软雅黑"/>
                <w:sz w:val="24"/>
              </w:rPr>
              <w:t>8.1 一般规定</w:t>
            </w:r>
          </w:p>
        </w:tc>
        <w:tc>
          <w:tcPr>
            <w:tcW w:w="1479" w:type="pct"/>
            <w:shd w:val="clear" w:color="auto" w:fill="FFFFFF" w:themeFill="background1"/>
            <w:vAlign w:val="center"/>
          </w:tcPr>
          <w:p w14:paraId="66B8C58F">
            <w:pPr>
              <w:jc w:val="left"/>
              <w:textAlignment w:val="center"/>
              <w:rPr>
                <w:rFonts w:hint="eastAsia" w:ascii="仿宋" w:hAnsi="仿宋" w:eastAsia="仿宋" w:cs="微软雅黑"/>
                <w:sz w:val="24"/>
              </w:rPr>
            </w:pPr>
          </w:p>
        </w:tc>
        <w:tc>
          <w:tcPr>
            <w:tcW w:w="578" w:type="pct"/>
            <w:shd w:val="clear" w:color="auto" w:fill="FFFFFF" w:themeFill="background1"/>
            <w:noWrap/>
            <w:vAlign w:val="center"/>
          </w:tcPr>
          <w:p w14:paraId="597FF81B">
            <w:pPr>
              <w:pStyle w:val="4"/>
              <w:jc w:val="center"/>
              <w:rPr>
                <w:rFonts w:hint="eastAsia" w:ascii="仿宋" w:hAnsi="仿宋" w:eastAsia="仿宋" w:cs="微软雅黑"/>
                <w:color w:val="000000"/>
                <w:sz w:val="24"/>
                <w:szCs w:val="24"/>
              </w:rPr>
            </w:pPr>
            <w:r>
              <w:rPr>
                <w:rFonts w:ascii="仿宋" w:hAnsi="仿宋" w:eastAsia="仿宋"/>
                <w:sz w:val="24"/>
                <w:szCs w:val="24"/>
              </w:rPr>
              <w:t xml:space="preserve">8.1 </w:t>
            </w:r>
            <w:r>
              <w:rPr>
                <w:rFonts w:hint="eastAsia" w:ascii="仿宋" w:hAnsi="仿宋" w:eastAsia="仿宋"/>
                <w:sz w:val="24"/>
                <w:szCs w:val="24"/>
              </w:rPr>
              <w:t>通用要求</w:t>
            </w:r>
          </w:p>
        </w:tc>
        <w:tc>
          <w:tcPr>
            <w:tcW w:w="1473" w:type="pct"/>
            <w:shd w:val="clear" w:color="auto" w:fill="FFFFFF" w:themeFill="background1"/>
            <w:vAlign w:val="center"/>
          </w:tcPr>
          <w:p w14:paraId="1D5E1900">
            <w:pPr>
              <w:jc w:val="left"/>
              <w:textAlignment w:val="center"/>
              <w:rPr>
                <w:rFonts w:hint="eastAsia" w:ascii="仿宋" w:hAnsi="仿宋" w:eastAsia="仿宋" w:cs="微软雅黑"/>
                <w:sz w:val="24"/>
              </w:rPr>
            </w:pPr>
          </w:p>
        </w:tc>
        <w:tc>
          <w:tcPr>
            <w:tcW w:w="768" w:type="pct"/>
            <w:shd w:val="clear" w:color="auto" w:fill="FFFFFF" w:themeFill="background1"/>
            <w:vAlign w:val="center"/>
          </w:tcPr>
          <w:p w14:paraId="3DF1CBC6">
            <w:pPr>
              <w:jc w:val="left"/>
              <w:textAlignment w:val="center"/>
              <w:rPr>
                <w:rFonts w:hint="eastAsia" w:ascii="仿宋" w:hAnsi="仿宋" w:eastAsia="仿宋" w:cs="微软雅黑"/>
                <w:sz w:val="24"/>
              </w:rPr>
            </w:pPr>
            <w:r>
              <w:rPr>
                <w:rFonts w:hint="eastAsia" w:ascii="仿宋" w:hAnsi="仿宋" w:eastAsia="仿宋" w:cs="微软雅黑"/>
                <w:sz w:val="24"/>
              </w:rPr>
              <w:t>一般规定修改为通用要求。</w:t>
            </w:r>
          </w:p>
        </w:tc>
      </w:tr>
      <w:tr w14:paraId="0895DF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62CD39DA">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76313EE7">
            <w:pPr>
              <w:jc w:val="center"/>
              <w:textAlignment w:val="center"/>
              <w:rPr>
                <w:rFonts w:hint="eastAsia" w:ascii="仿宋" w:hAnsi="仿宋" w:eastAsia="仿宋" w:cs="微软雅黑"/>
                <w:sz w:val="24"/>
              </w:rPr>
            </w:pPr>
            <w:r>
              <w:rPr>
                <w:rFonts w:hint="eastAsia" w:ascii="仿宋" w:hAnsi="仿宋" w:eastAsia="仿宋" w:cs="微软雅黑"/>
                <w:sz w:val="24"/>
              </w:rPr>
              <w:t>8.1.1</w:t>
            </w:r>
          </w:p>
        </w:tc>
        <w:tc>
          <w:tcPr>
            <w:tcW w:w="1479" w:type="pct"/>
            <w:shd w:val="clear" w:color="auto" w:fill="FFFFFF" w:themeFill="background1"/>
            <w:vAlign w:val="center"/>
          </w:tcPr>
          <w:p w14:paraId="5A4722EC">
            <w:pPr>
              <w:jc w:val="left"/>
              <w:textAlignment w:val="center"/>
              <w:rPr>
                <w:rFonts w:hint="eastAsia" w:ascii="仿宋" w:hAnsi="仿宋" w:eastAsia="仿宋" w:cs="微软雅黑"/>
                <w:sz w:val="24"/>
              </w:rPr>
            </w:pPr>
            <w:r>
              <w:rPr>
                <w:rFonts w:hint="eastAsia" w:ascii="仿宋" w:hAnsi="仿宋" w:eastAsia="仿宋" w:cs="微软雅黑"/>
                <w:sz w:val="24"/>
              </w:rPr>
              <w:t>针对单元评价内不同的评价对象应分别选用适用的评价方法。</w:t>
            </w:r>
          </w:p>
        </w:tc>
        <w:tc>
          <w:tcPr>
            <w:tcW w:w="578" w:type="pct"/>
            <w:shd w:val="clear" w:color="auto" w:fill="FFFFFF" w:themeFill="background1"/>
            <w:noWrap/>
            <w:vAlign w:val="center"/>
          </w:tcPr>
          <w:p w14:paraId="76138D13">
            <w:pPr>
              <w:jc w:val="center"/>
              <w:textAlignment w:val="center"/>
              <w:rPr>
                <w:rFonts w:hint="eastAsia" w:ascii="仿宋" w:hAnsi="仿宋" w:eastAsia="仿宋" w:cs="微软雅黑"/>
                <w:sz w:val="24"/>
              </w:rPr>
            </w:pPr>
            <w:r>
              <w:rPr>
                <w:rFonts w:ascii="仿宋" w:hAnsi="仿宋" w:eastAsia="仿宋"/>
                <w:color w:val="000000" w:themeColor="text1"/>
                <w:sz w:val="24"/>
                <w14:textFill>
                  <w14:solidFill>
                    <w14:schemeClr w14:val="tx1"/>
                  </w14:solidFill>
                </w14:textFill>
              </w:rPr>
              <w:t>8.1.1</w:t>
            </w:r>
          </w:p>
        </w:tc>
        <w:tc>
          <w:tcPr>
            <w:tcW w:w="1473" w:type="pct"/>
            <w:shd w:val="clear" w:color="auto" w:fill="FFFFFF" w:themeFill="background1"/>
            <w:vAlign w:val="center"/>
          </w:tcPr>
          <w:p w14:paraId="67180DD5">
            <w:pPr>
              <w:pStyle w:val="65"/>
              <w:ind w:firstLine="0" w:firstLineChars="0"/>
              <w:jc w:val="left"/>
              <w:rPr>
                <w:rFonts w:hint="eastAsia" w:ascii="仿宋" w:hAnsi="仿宋" w:eastAsia="仿宋" w:cs="微软雅黑"/>
                <w:color w:val="000000"/>
                <w:sz w:val="24"/>
              </w:rPr>
            </w:pPr>
            <w:r>
              <w:rPr>
                <w:rFonts w:hint="eastAsia" w:ascii="仿宋" w:hAnsi="仿宋" w:eastAsia="仿宋"/>
                <w:color w:val="000000" w:themeColor="text1"/>
                <w:sz w:val="24"/>
                <w:szCs w:val="24"/>
                <w14:textFill>
                  <w14:solidFill>
                    <w14:schemeClr w14:val="tx1"/>
                  </w14:solidFill>
                </w14:textFill>
              </w:rPr>
              <w:t>针对单元评价内不同的评价对象分别选用适用的评价方法。</w:t>
            </w:r>
          </w:p>
        </w:tc>
        <w:tc>
          <w:tcPr>
            <w:tcW w:w="768" w:type="pct"/>
            <w:shd w:val="clear" w:color="auto" w:fill="FFFFFF" w:themeFill="background1"/>
            <w:vAlign w:val="center"/>
          </w:tcPr>
          <w:p w14:paraId="20D78F01">
            <w:pPr>
              <w:jc w:val="left"/>
              <w:textAlignment w:val="center"/>
              <w:rPr>
                <w:rFonts w:hint="eastAsia" w:ascii="仿宋" w:hAnsi="仿宋" w:eastAsia="仿宋" w:cs="微软雅黑"/>
                <w:sz w:val="24"/>
              </w:rPr>
            </w:pPr>
            <w:r>
              <w:rPr>
                <w:rFonts w:hint="eastAsia" w:ascii="仿宋" w:hAnsi="仿宋" w:eastAsia="仿宋" w:cs="微软雅黑"/>
                <w:sz w:val="24"/>
              </w:rPr>
              <w:t>无变化</w:t>
            </w:r>
          </w:p>
        </w:tc>
      </w:tr>
      <w:tr w14:paraId="62D178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789AA659">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5FECA01D">
            <w:pPr>
              <w:jc w:val="center"/>
              <w:textAlignment w:val="center"/>
              <w:rPr>
                <w:rFonts w:hint="eastAsia" w:ascii="仿宋" w:hAnsi="仿宋" w:eastAsia="仿宋" w:cs="微软雅黑"/>
                <w:sz w:val="24"/>
              </w:rPr>
            </w:pPr>
            <w:r>
              <w:rPr>
                <w:rFonts w:hint="eastAsia" w:ascii="仿宋" w:hAnsi="仿宋" w:eastAsia="仿宋" w:cs="微软雅黑"/>
                <w:sz w:val="24"/>
              </w:rPr>
              <w:t>8.1.2</w:t>
            </w:r>
          </w:p>
        </w:tc>
        <w:tc>
          <w:tcPr>
            <w:tcW w:w="1479" w:type="pct"/>
            <w:shd w:val="clear" w:color="auto" w:fill="FFFFFF" w:themeFill="background1"/>
            <w:vAlign w:val="center"/>
          </w:tcPr>
          <w:p w14:paraId="13C75513">
            <w:pPr>
              <w:jc w:val="left"/>
              <w:textAlignment w:val="center"/>
              <w:rPr>
                <w:rFonts w:hint="eastAsia" w:ascii="仿宋" w:hAnsi="仿宋" w:eastAsia="仿宋" w:cs="微软雅黑"/>
                <w:sz w:val="24"/>
              </w:rPr>
            </w:pPr>
            <w:r>
              <w:rPr>
                <w:rFonts w:hint="eastAsia" w:ascii="仿宋" w:hAnsi="仿宋" w:eastAsia="仿宋" w:cs="微软雅黑"/>
                <w:sz w:val="24"/>
              </w:rPr>
              <w:t>据调研、查阅有关资料和实地查看的结果，分析《可行性研究报告》中已有安全措施的可行性，提出建设项目的补充安全对策措施，得出评价结论。</w:t>
            </w:r>
          </w:p>
        </w:tc>
        <w:tc>
          <w:tcPr>
            <w:tcW w:w="578" w:type="pct"/>
            <w:shd w:val="clear" w:color="auto" w:fill="FFFFFF" w:themeFill="background1"/>
            <w:noWrap/>
            <w:vAlign w:val="center"/>
          </w:tcPr>
          <w:p w14:paraId="611779E4">
            <w:pPr>
              <w:jc w:val="center"/>
              <w:textAlignment w:val="center"/>
              <w:rPr>
                <w:rFonts w:hint="eastAsia" w:ascii="仿宋" w:hAnsi="仿宋" w:eastAsia="仿宋" w:cs="微软雅黑"/>
                <w:sz w:val="24"/>
              </w:rPr>
            </w:pPr>
            <w:r>
              <w:rPr>
                <w:rFonts w:hint="eastAsia" w:ascii="仿宋" w:hAnsi="仿宋" w:eastAsia="仿宋" w:cs="微软雅黑"/>
                <w:sz w:val="24"/>
              </w:rPr>
              <w:t>8.1.2</w:t>
            </w:r>
          </w:p>
        </w:tc>
        <w:tc>
          <w:tcPr>
            <w:tcW w:w="1473" w:type="pct"/>
            <w:shd w:val="clear" w:color="auto" w:fill="FFFFFF" w:themeFill="background1"/>
            <w:vAlign w:val="center"/>
          </w:tcPr>
          <w:p w14:paraId="5CABFE50">
            <w:pPr>
              <w:jc w:val="left"/>
              <w:textAlignment w:val="center"/>
              <w:rPr>
                <w:rFonts w:hint="eastAsia" w:ascii="仿宋" w:hAnsi="仿宋" w:eastAsia="仿宋" w:cs="微软雅黑"/>
                <w:sz w:val="24"/>
              </w:rPr>
            </w:pPr>
            <w:r>
              <w:rPr>
                <w:rFonts w:hint="eastAsia" w:ascii="仿宋" w:hAnsi="仿宋" w:eastAsia="仿宋"/>
                <w:color w:val="000000" w:themeColor="text1"/>
                <w:sz w:val="24"/>
                <w14:textFill>
                  <w14:solidFill>
                    <w14:schemeClr w14:val="tx1"/>
                  </w14:solidFill>
                </w14:textFill>
              </w:rPr>
              <w:t>根据调研、查阅有关资料和实地查看的结果，分析可行性研究报告中已有安全措施的可行性，针对建设项目补充提出安全对策措施，得出评价结论。</w:t>
            </w:r>
          </w:p>
        </w:tc>
        <w:tc>
          <w:tcPr>
            <w:tcW w:w="768" w:type="pct"/>
            <w:shd w:val="clear" w:color="auto" w:fill="FFFFFF" w:themeFill="background1"/>
            <w:vAlign w:val="center"/>
          </w:tcPr>
          <w:p w14:paraId="4D481EC6">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47294A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19032084">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2803192F">
            <w:pPr>
              <w:jc w:val="center"/>
              <w:textAlignment w:val="center"/>
              <w:rPr>
                <w:rFonts w:hint="eastAsia" w:ascii="仿宋" w:hAnsi="仿宋" w:eastAsia="仿宋" w:cs="微软雅黑"/>
                <w:sz w:val="24"/>
              </w:rPr>
            </w:pPr>
            <w:r>
              <w:rPr>
                <w:rFonts w:hint="eastAsia" w:ascii="仿宋" w:hAnsi="仿宋" w:eastAsia="仿宋" w:cs="微软雅黑"/>
                <w:sz w:val="24"/>
              </w:rPr>
              <w:t>8.1.3</w:t>
            </w:r>
          </w:p>
        </w:tc>
        <w:tc>
          <w:tcPr>
            <w:tcW w:w="1479" w:type="pct"/>
            <w:shd w:val="clear" w:color="auto" w:fill="FFFFFF" w:themeFill="background1"/>
            <w:vAlign w:val="center"/>
          </w:tcPr>
          <w:p w14:paraId="19E9E084">
            <w:pPr>
              <w:jc w:val="left"/>
              <w:textAlignment w:val="center"/>
              <w:rPr>
                <w:rFonts w:hint="eastAsia" w:ascii="仿宋" w:hAnsi="仿宋" w:eastAsia="仿宋" w:cs="微软雅黑"/>
                <w:sz w:val="24"/>
              </w:rPr>
            </w:pPr>
            <w:r>
              <w:rPr>
                <w:rFonts w:hint="eastAsia" w:ascii="仿宋" w:hAnsi="仿宋" w:eastAsia="仿宋" w:cs="微软雅黑"/>
                <w:sz w:val="24"/>
              </w:rPr>
              <w:t>根据与安全生产相关的其他评价工作完成情况，应对安全设施设计提出相应的安全对策与建议。</w:t>
            </w:r>
          </w:p>
        </w:tc>
        <w:tc>
          <w:tcPr>
            <w:tcW w:w="578" w:type="pct"/>
            <w:shd w:val="clear" w:color="auto" w:fill="FFFFFF" w:themeFill="background1"/>
            <w:noWrap/>
            <w:vAlign w:val="center"/>
          </w:tcPr>
          <w:p w14:paraId="3C56E386">
            <w:pPr>
              <w:jc w:val="center"/>
              <w:textAlignment w:val="center"/>
              <w:rPr>
                <w:rFonts w:hint="eastAsia" w:ascii="仿宋" w:hAnsi="仿宋" w:eastAsia="仿宋" w:cs="微软雅黑"/>
                <w:sz w:val="24"/>
              </w:rPr>
            </w:pPr>
            <w:r>
              <w:rPr>
                <w:rFonts w:hint="eastAsia" w:ascii="仿宋" w:hAnsi="仿宋" w:eastAsia="仿宋" w:cs="微软雅黑"/>
                <w:sz w:val="24"/>
              </w:rPr>
              <w:t>8.1.3</w:t>
            </w:r>
          </w:p>
        </w:tc>
        <w:tc>
          <w:tcPr>
            <w:tcW w:w="1473" w:type="pct"/>
            <w:shd w:val="clear" w:color="auto" w:fill="FFFFFF" w:themeFill="background1"/>
            <w:vAlign w:val="center"/>
          </w:tcPr>
          <w:p w14:paraId="6C634EAA">
            <w:pPr>
              <w:jc w:val="left"/>
              <w:textAlignment w:val="center"/>
              <w:rPr>
                <w:rFonts w:hint="eastAsia" w:ascii="仿宋" w:hAnsi="仿宋" w:eastAsia="仿宋" w:cs="微软雅黑"/>
                <w:sz w:val="24"/>
              </w:rPr>
            </w:pPr>
            <w:r>
              <w:rPr>
                <w:rFonts w:hint="eastAsia" w:ascii="仿宋" w:hAnsi="仿宋" w:eastAsia="仿宋"/>
                <w:color w:val="000000" w:themeColor="text1"/>
                <w:sz w:val="24"/>
                <w14:textFill>
                  <w14:solidFill>
                    <w14:schemeClr w14:val="tx1"/>
                  </w14:solidFill>
                </w14:textFill>
              </w:rPr>
              <w:t>根据与安全生产相关的其他评价工作开展情况，对安全设施设计提出相应的安全对策与</w:t>
            </w:r>
            <w:r>
              <w:rPr>
                <w:rFonts w:ascii="仿宋" w:hAnsi="仿宋" w:eastAsia="仿宋"/>
                <w:color w:val="000000" w:themeColor="text1"/>
                <w:sz w:val="24"/>
                <w14:textFill>
                  <w14:solidFill>
                    <w14:schemeClr w14:val="tx1"/>
                  </w14:solidFill>
                </w14:textFill>
              </w:rPr>
              <w:t>建议</w:t>
            </w:r>
            <w:r>
              <w:rPr>
                <w:rFonts w:hint="eastAsia" w:ascii="仿宋" w:hAnsi="仿宋" w:eastAsia="仿宋"/>
                <w:color w:val="000000" w:themeColor="text1"/>
                <w:sz w:val="24"/>
                <w14:textFill>
                  <w14:solidFill>
                    <w14:schemeClr w14:val="tx1"/>
                  </w14:solidFill>
                </w14:textFill>
              </w:rPr>
              <w:t>。</w:t>
            </w:r>
          </w:p>
        </w:tc>
        <w:tc>
          <w:tcPr>
            <w:tcW w:w="768" w:type="pct"/>
            <w:shd w:val="clear" w:color="auto" w:fill="FFFFFF" w:themeFill="background1"/>
            <w:vAlign w:val="center"/>
          </w:tcPr>
          <w:p w14:paraId="38CDB86F">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4E95EE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1624713A">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0F1885A1">
            <w:pPr>
              <w:jc w:val="center"/>
              <w:textAlignment w:val="center"/>
              <w:rPr>
                <w:rFonts w:hint="eastAsia" w:ascii="仿宋" w:hAnsi="仿宋" w:eastAsia="仿宋" w:cs="微软雅黑"/>
                <w:sz w:val="24"/>
              </w:rPr>
            </w:pPr>
          </w:p>
        </w:tc>
        <w:tc>
          <w:tcPr>
            <w:tcW w:w="1479" w:type="pct"/>
            <w:shd w:val="clear" w:color="auto" w:fill="FFFFFF" w:themeFill="background1"/>
            <w:vAlign w:val="center"/>
          </w:tcPr>
          <w:p w14:paraId="3ACB36DF">
            <w:pPr>
              <w:jc w:val="left"/>
              <w:textAlignment w:val="center"/>
              <w:rPr>
                <w:rFonts w:hint="eastAsia" w:ascii="仿宋" w:hAnsi="仿宋" w:eastAsia="仿宋" w:cs="微软雅黑"/>
                <w:sz w:val="24"/>
              </w:rPr>
            </w:pPr>
          </w:p>
        </w:tc>
        <w:tc>
          <w:tcPr>
            <w:tcW w:w="578" w:type="pct"/>
            <w:shd w:val="clear" w:color="auto" w:fill="FFFFFF" w:themeFill="background1"/>
            <w:noWrap/>
            <w:vAlign w:val="center"/>
          </w:tcPr>
          <w:p w14:paraId="2104EA7F">
            <w:pPr>
              <w:pStyle w:val="4"/>
              <w:jc w:val="center"/>
              <w:rPr>
                <w:rFonts w:hint="eastAsia" w:ascii="仿宋" w:hAnsi="仿宋" w:eastAsia="仿宋" w:cs="微软雅黑"/>
                <w:color w:val="000000"/>
                <w:sz w:val="24"/>
                <w:szCs w:val="24"/>
              </w:rPr>
            </w:pPr>
            <w:r>
              <w:rPr>
                <w:rFonts w:ascii="仿宋" w:hAnsi="仿宋" w:eastAsia="仿宋"/>
                <w:sz w:val="24"/>
                <w:szCs w:val="24"/>
              </w:rPr>
              <w:t xml:space="preserve">8.2 </w:t>
            </w:r>
            <w:r>
              <w:rPr>
                <w:rFonts w:hint="eastAsia" w:ascii="仿宋" w:hAnsi="仿宋" w:eastAsia="仿宋"/>
                <w:sz w:val="24"/>
                <w:szCs w:val="24"/>
              </w:rPr>
              <w:t>基本安全条件</w:t>
            </w:r>
          </w:p>
        </w:tc>
        <w:tc>
          <w:tcPr>
            <w:tcW w:w="1473" w:type="pct"/>
            <w:shd w:val="clear" w:color="auto" w:fill="FFFFFF" w:themeFill="background1"/>
            <w:vAlign w:val="center"/>
          </w:tcPr>
          <w:p w14:paraId="54A4C9AD">
            <w:pPr>
              <w:jc w:val="left"/>
              <w:textAlignment w:val="center"/>
              <w:rPr>
                <w:rFonts w:hint="eastAsia" w:ascii="仿宋" w:hAnsi="仿宋" w:eastAsia="仿宋"/>
                <w:color w:val="000000" w:themeColor="text1"/>
                <w:sz w:val="24"/>
                <w14:textFill>
                  <w14:solidFill>
                    <w14:schemeClr w14:val="tx1"/>
                  </w14:solidFill>
                </w14:textFill>
              </w:rPr>
            </w:pPr>
          </w:p>
        </w:tc>
        <w:tc>
          <w:tcPr>
            <w:tcW w:w="768" w:type="pct"/>
            <w:vMerge w:val="restart"/>
            <w:shd w:val="clear" w:color="auto" w:fill="FFFFFF" w:themeFill="background1"/>
            <w:vAlign w:val="center"/>
          </w:tcPr>
          <w:p w14:paraId="50D9CCE3">
            <w:pPr>
              <w:jc w:val="left"/>
              <w:textAlignment w:val="center"/>
              <w:rPr>
                <w:rFonts w:hint="eastAsia" w:ascii="仿宋" w:hAnsi="仿宋" w:eastAsia="仿宋" w:cs="微软雅黑"/>
                <w:sz w:val="24"/>
              </w:rPr>
            </w:pPr>
            <w:r>
              <w:rPr>
                <w:rFonts w:hint="eastAsia" w:ascii="仿宋" w:hAnsi="仿宋" w:eastAsia="仿宋" w:cs="微软雅黑"/>
                <w:sz w:val="24"/>
              </w:rPr>
              <w:t>增加基本安全条件评价单元的相关要求及内容。</w:t>
            </w:r>
          </w:p>
        </w:tc>
      </w:tr>
      <w:tr w14:paraId="0D6B8E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68ED084F">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6864B948">
            <w:pPr>
              <w:jc w:val="center"/>
              <w:textAlignment w:val="center"/>
              <w:rPr>
                <w:rFonts w:hint="eastAsia" w:ascii="仿宋" w:hAnsi="仿宋" w:eastAsia="仿宋" w:cs="微软雅黑"/>
                <w:sz w:val="24"/>
              </w:rPr>
            </w:pPr>
          </w:p>
        </w:tc>
        <w:tc>
          <w:tcPr>
            <w:tcW w:w="1479" w:type="pct"/>
            <w:shd w:val="clear" w:color="auto" w:fill="FFFFFF" w:themeFill="background1"/>
            <w:vAlign w:val="center"/>
          </w:tcPr>
          <w:p w14:paraId="7B24DF49">
            <w:pPr>
              <w:jc w:val="left"/>
              <w:textAlignment w:val="center"/>
              <w:rPr>
                <w:rFonts w:hint="eastAsia" w:ascii="仿宋" w:hAnsi="仿宋" w:eastAsia="仿宋" w:cs="微软雅黑"/>
                <w:sz w:val="24"/>
              </w:rPr>
            </w:pPr>
          </w:p>
        </w:tc>
        <w:tc>
          <w:tcPr>
            <w:tcW w:w="578" w:type="pct"/>
            <w:shd w:val="clear" w:color="auto" w:fill="FFFFFF" w:themeFill="background1"/>
            <w:noWrap/>
            <w:vAlign w:val="center"/>
          </w:tcPr>
          <w:p w14:paraId="5096F572">
            <w:pPr>
              <w:jc w:val="center"/>
              <w:textAlignment w:val="center"/>
              <w:rPr>
                <w:rFonts w:hint="eastAsia" w:ascii="仿宋" w:hAnsi="仿宋" w:eastAsia="仿宋" w:cs="微软雅黑"/>
                <w:sz w:val="24"/>
              </w:rPr>
            </w:pPr>
            <w:r>
              <w:rPr>
                <w:rFonts w:ascii="仿宋" w:hAnsi="仿宋" w:eastAsia="仿宋"/>
                <w:color w:val="000000" w:themeColor="text1"/>
                <w:sz w:val="24"/>
                <w14:textFill>
                  <w14:solidFill>
                    <w14:schemeClr w14:val="tx1"/>
                  </w14:solidFill>
                </w14:textFill>
              </w:rPr>
              <w:t>8.2.</w:t>
            </w:r>
            <w:r>
              <w:rPr>
                <w:rFonts w:hint="eastAsia" w:ascii="仿宋" w:hAnsi="仿宋" w:eastAsia="仿宋"/>
                <w:color w:val="000000" w:themeColor="text1"/>
                <w:sz w:val="24"/>
                <w14:textFill>
                  <w14:solidFill>
                    <w14:schemeClr w14:val="tx1"/>
                  </w14:solidFill>
                </w14:textFill>
              </w:rPr>
              <w:t>1</w:t>
            </w:r>
          </w:p>
        </w:tc>
        <w:tc>
          <w:tcPr>
            <w:tcW w:w="1473" w:type="pct"/>
            <w:shd w:val="clear" w:color="auto" w:fill="FFFFFF" w:themeFill="background1"/>
            <w:vAlign w:val="center"/>
          </w:tcPr>
          <w:p w14:paraId="4A52EF0E">
            <w:pPr>
              <w:jc w:val="left"/>
              <w:textAlignment w:val="center"/>
              <w:rPr>
                <w:rFonts w:hint="eastAsia" w:ascii="仿宋" w:hAnsi="仿宋" w:eastAsia="仿宋"/>
                <w:color w:val="000000" w:themeColor="text1"/>
                <w:sz w:val="24"/>
                <w14:textFill>
                  <w14:solidFill>
                    <w14:schemeClr w14:val="tx1"/>
                  </w14:solidFill>
                </w14:textFill>
              </w:rPr>
            </w:pPr>
            <w:r>
              <w:rPr>
                <w:rStyle w:val="156"/>
                <w:rFonts w:hint="eastAsia" w:ascii="仿宋" w:hAnsi="仿宋" w:eastAsia="仿宋"/>
                <w:sz w:val="24"/>
                <w:szCs w:val="24"/>
              </w:rPr>
              <w:t>对建设项目核准文件、沿线路由规划许可、站场规划选址许可、可行性研究报告批复情况进行合规性评价。</w:t>
            </w:r>
          </w:p>
        </w:tc>
        <w:tc>
          <w:tcPr>
            <w:tcW w:w="768" w:type="pct"/>
            <w:vMerge w:val="continue"/>
            <w:shd w:val="clear" w:color="auto" w:fill="FFFFFF" w:themeFill="background1"/>
            <w:vAlign w:val="center"/>
          </w:tcPr>
          <w:p w14:paraId="6AA9C15A">
            <w:pPr>
              <w:jc w:val="left"/>
              <w:textAlignment w:val="center"/>
              <w:rPr>
                <w:rFonts w:hint="eastAsia" w:ascii="仿宋" w:hAnsi="仿宋" w:eastAsia="仿宋" w:cs="微软雅黑"/>
                <w:sz w:val="24"/>
              </w:rPr>
            </w:pPr>
          </w:p>
        </w:tc>
      </w:tr>
      <w:tr w14:paraId="3B2448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724CB19F">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034724DD">
            <w:pPr>
              <w:jc w:val="center"/>
              <w:textAlignment w:val="center"/>
              <w:rPr>
                <w:rFonts w:hint="eastAsia" w:ascii="仿宋" w:hAnsi="仿宋" w:eastAsia="仿宋" w:cs="微软雅黑"/>
                <w:sz w:val="24"/>
              </w:rPr>
            </w:pPr>
          </w:p>
        </w:tc>
        <w:tc>
          <w:tcPr>
            <w:tcW w:w="1479" w:type="pct"/>
            <w:shd w:val="clear" w:color="auto" w:fill="FFFFFF" w:themeFill="background1"/>
            <w:vAlign w:val="center"/>
          </w:tcPr>
          <w:p w14:paraId="5B5DEEC0">
            <w:pPr>
              <w:jc w:val="left"/>
              <w:textAlignment w:val="center"/>
              <w:rPr>
                <w:rFonts w:hint="eastAsia" w:ascii="仿宋" w:hAnsi="仿宋" w:eastAsia="仿宋" w:cs="微软雅黑"/>
                <w:sz w:val="24"/>
              </w:rPr>
            </w:pPr>
          </w:p>
        </w:tc>
        <w:tc>
          <w:tcPr>
            <w:tcW w:w="578" w:type="pct"/>
            <w:shd w:val="clear" w:color="auto" w:fill="FFFFFF" w:themeFill="background1"/>
            <w:noWrap/>
            <w:vAlign w:val="center"/>
          </w:tcPr>
          <w:p w14:paraId="3D9D2BFF">
            <w:pPr>
              <w:jc w:val="center"/>
              <w:textAlignment w:val="center"/>
              <w:rPr>
                <w:rFonts w:hint="eastAsia" w:ascii="仿宋" w:hAnsi="仿宋" w:eastAsia="仿宋" w:cs="微软雅黑"/>
                <w:sz w:val="24"/>
              </w:rPr>
            </w:pPr>
            <w:r>
              <w:rPr>
                <w:rFonts w:ascii="仿宋" w:hAnsi="仿宋" w:eastAsia="仿宋"/>
                <w:color w:val="000000" w:themeColor="text1"/>
                <w:sz w:val="24"/>
                <w14:textFill>
                  <w14:solidFill>
                    <w14:schemeClr w14:val="tx1"/>
                  </w14:solidFill>
                </w14:textFill>
              </w:rPr>
              <w:t>8.2.</w:t>
            </w:r>
            <w:r>
              <w:rPr>
                <w:rFonts w:hint="eastAsia" w:ascii="仿宋" w:hAnsi="仿宋" w:eastAsia="仿宋"/>
                <w:color w:val="000000" w:themeColor="text1"/>
                <w:sz w:val="24"/>
                <w14:textFill>
                  <w14:solidFill>
                    <w14:schemeClr w14:val="tx1"/>
                  </w14:solidFill>
                </w14:textFill>
              </w:rPr>
              <w:t>2</w:t>
            </w:r>
          </w:p>
        </w:tc>
        <w:tc>
          <w:tcPr>
            <w:tcW w:w="1473" w:type="pct"/>
            <w:shd w:val="clear" w:color="auto" w:fill="FFFFFF" w:themeFill="background1"/>
            <w:vAlign w:val="center"/>
          </w:tcPr>
          <w:p w14:paraId="51ADA3DC">
            <w:pPr>
              <w:pStyle w:val="65"/>
              <w:ind w:firstLine="0" w:firstLineChars="0"/>
              <w:jc w:val="left"/>
              <w:rPr>
                <w:rFonts w:hint="eastAsia" w:ascii="仿宋" w:hAnsi="仿宋" w:eastAsia="仿宋"/>
                <w:color w:val="000000" w:themeColor="text1"/>
                <w:sz w:val="24"/>
                <w14:textFill>
                  <w14:solidFill>
                    <w14:schemeClr w14:val="tx1"/>
                  </w14:solidFill>
                </w14:textFill>
              </w:rPr>
            </w:pPr>
            <w:r>
              <w:rPr>
                <w:rFonts w:hint="eastAsia" w:ascii="仿宋" w:hAnsi="仿宋" w:eastAsia="仿宋"/>
                <w:sz w:val="24"/>
                <w:szCs w:val="24"/>
              </w:rPr>
              <w:t>国内首次采用的新工艺、新技术、新材料和新设备，应对安全可靠性论证情况进行合规性评价。</w:t>
            </w:r>
          </w:p>
        </w:tc>
        <w:tc>
          <w:tcPr>
            <w:tcW w:w="768" w:type="pct"/>
            <w:vMerge w:val="continue"/>
            <w:shd w:val="clear" w:color="auto" w:fill="FFFFFF" w:themeFill="background1"/>
            <w:vAlign w:val="center"/>
          </w:tcPr>
          <w:p w14:paraId="0D74210B">
            <w:pPr>
              <w:jc w:val="left"/>
              <w:textAlignment w:val="center"/>
              <w:rPr>
                <w:rFonts w:hint="eastAsia" w:ascii="仿宋" w:hAnsi="仿宋" w:eastAsia="仿宋" w:cs="微软雅黑"/>
                <w:sz w:val="24"/>
              </w:rPr>
            </w:pPr>
          </w:p>
        </w:tc>
      </w:tr>
      <w:tr w14:paraId="265379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7A02698D">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4998411B">
            <w:pPr>
              <w:jc w:val="center"/>
              <w:textAlignment w:val="center"/>
              <w:rPr>
                <w:rFonts w:hint="eastAsia" w:ascii="仿宋" w:hAnsi="仿宋" w:eastAsia="仿宋" w:cs="微软雅黑"/>
                <w:sz w:val="24"/>
              </w:rPr>
            </w:pPr>
          </w:p>
        </w:tc>
        <w:tc>
          <w:tcPr>
            <w:tcW w:w="1479" w:type="pct"/>
            <w:shd w:val="clear" w:color="auto" w:fill="FFFFFF" w:themeFill="background1"/>
            <w:vAlign w:val="center"/>
          </w:tcPr>
          <w:p w14:paraId="71067E73">
            <w:pPr>
              <w:jc w:val="left"/>
              <w:textAlignment w:val="center"/>
              <w:rPr>
                <w:rFonts w:hint="eastAsia" w:ascii="仿宋" w:hAnsi="仿宋" w:eastAsia="仿宋" w:cs="微软雅黑"/>
                <w:sz w:val="24"/>
              </w:rPr>
            </w:pPr>
          </w:p>
        </w:tc>
        <w:tc>
          <w:tcPr>
            <w:tcW w:w="578" w:type="pct"/>
            <w:shd w:val="clear" w:color="auto" w:fill="FFFFFF" w:themeFill="background1"/>
            <w:noWrap/>
            <w:vAlign w:val="center"/>
          </w:tcPr>
          <w:p w14:paraId="212DF339">
            <w:pPr>
              <w:jc w:val="center"/>
              <w:textAlignment w:val="center"/>
              <w:rPr>
                <w:rFonts w:hint="eastAsia" w:ascii="仿宋" w:hAnsi="仿宋" w:eastAsia="仿宋" w:cs="微软雅黑"/>
                <w:sz w:val="24"/>
              </w:rPr>
            </w:pPr>
            <w:r>
              <w:rPr>
                <w:rFonts w:ascii="仿宋" w:hAnsi="仿宋" w:eastAsia="仿宋"/>
                <w:color w:val="000000" w:themeColor="text1"/>
                <w:sz w:val="24"/>
                <w14:textFill>
                  <w14:solidFill>
                    <w14:schemeClr w14:val="tx1"/>
                  </w14:solidFill>
                </w14:textFill>
              </w:rPr>
              <w:t>8.2.</w:t>
            </w:r>
            <w:r>
              <w:rPr>
                <w:rFonts w:hint="eastAsia" w:ascii="仿宋" w:hAnsi="仿宋" w:eastAsia="仿宋"/>
                <w:color w:val="000000" w:themeColor="text1"/>
                <w:sz w:val="24"/>
                <w14:textFill>
                  <w14:solidFill>
                    <w14:schemeClr w14:val="tx1"/>
                  </w14:solidFill>
                </w14:textFill>
              </w:rPr>
              <w:t>3</w:t>
            </w:r>
          </w:p>
        </w:tc>
        <w:tc>
          <w:tcPr>
            <w:tcW w:w="1473" w:type="pct"/>
            <w:shd w:val="clear" w:color="auto" w:fill="FFFFFF" w:themeFill="background1"/>
            <w:vAlign w:val="center"/>
          </w:tcPr>
          <w:p w14:paraId="7AD8857B">
            <w:pPr>
              <w:pStyle w:val="65"/>
              <w:ind w:firstLine="0" w:firstLineChars="0"/>
              <w:jc w:val="left"/>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sz w:val="24"/>
                <w:szCs w:val="24"/>
              </w:rPr>
              <w:t>辨识建设项目采用淘汰落后工艺、技术、设备、材料等情况并进行合规性评价。</w:t>
            </w:r>
          </w:p>
        </w:tc>
        <w:tc>
          <w:tcPr>
            <w:tcW w:w="768" w:type="pct"/>
            <w:vMerge w:val="continue"/>
            <w:shd w:val="clear" w:color="auto" w:fill="FFFFFF" w:themeFill="background1"/>
            <w:vAlign w:val="center"/>
          </w:tcPr>
          <w:p w14:paraId="5F85AD3A">
            <w:pPr>
              <w:jc w:val="left"/>
              <w:textAlignment w:val="center"/>
              <w:rPr>
                <w:rFonts w:hint="eastAsia" w:ascii="仿宋" w:hAnsi="仿宋" w:eastAsia="仿宋" w:cs="微软雅黑"/>
                <w:sz w:val="24"/>
              </w:rPr>
            </w:pPr>
          </w:p>
        </w:tc>
      </w:tr>
      <w:tr w14:paraId="785FA7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6B688E11">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251F2454">
            <w:pPr>
              <w:jc w:val="center"/>
              <w:textAlignment w:val="center"/>
              <w:rPr>
                <w:rFonts w:hint="eastAsia" w:ascii="仿宋" w:hAnsi="仿宋" w:eastAsia="仿宋" w:cs="微软雅黑"/>
                <w:sz w:val="24"/>
              </w:rPr>
            </w:pPr>
            <w:r>
              <w:rPr>
                <w:rFonts w:hint="eastAsia" w:ascii="仿宋" w:hAnsi="仿宋" w:eastAsia="仿宋" w:cs="微软雅黑"/>
                <w:sz w:val="24"/>
              </w:rPr>
              <w:t>8.2 线路工程</w:t>
            </w:r>
          </w:p>
        </w:tc>
        <w:tc>
          <w:tcPr>
            <w:tcW w:w="1479" w:type="pct"/>
            <w:shd w:val="clear" w:color="auto" w:fill="FFFFFF" w:themeFill="background1"/>
            <w:vAlign w:val="center"/>
          </w:tcPr>
          <w:p w14:paraId="36C171A0">
            <w:pPr>
              <w:jc w:val="left"/>
              <w:textAlignment w:val="center"/>
              <w:rPr>
                <w:rFonts w:hint="eastAsia" w:ascii="仿宋" w:hAnsi="仿宋" w:eastAsia="仿宋" w:cs="微软雅黑"/>
                <w:sz w:val="24"/>
              </w:rPr>
            </w:pPr>
          </w:p>
        </w:tc>
        <w:tc>
          <w:tcPr>
            <w:tcW w:w="578" w:type="pct"/>
            <w:shd w:val="clear" w:color="auto" w:fill="FFFFFF" w:themeFill="background1"/>
            <w:noWrap/>
            <w:vAlign w:val="center"/>
          </w:tcPr>
          <w:p w14:paraId="3630C910">
            <w:pPr>
              <w:pStyle w:val="4"/>
              <w:jc w:val="center"/>
              <w:rPr>
                <w:rFonts w:hint="eastAsia" w:ascii="仿宋" w:hAnsi="仿宋" w:eastAsia="仿宋" w:cs="微软雅黑"/>
                <w:color w:val="000000"/>
                <w:sz w:val="24"/>
                <w:szCs w:val="24"/>
              </w:rPr>
            </w:pPr>
            <w:r>
              <w:rPr>
                <w:rFonts w:hint="eastAsia" w:ascii="仿宋" w:hAnsi="仿宋" w:eastAsia="仿宋"/>
                <w:sz w:val="24"/>
                <w:szCs w:val="24"/>
              </w:rPr>
              <w:t>8.</w:t>
            </w:r>
            <w:r>
              <w:rPr>
                <w:rFonts w:ascii="仿宋" w:hAnsi="仿宋" w:eastAsia="仿宋"/>
                <w:sz w:val="24"/>
                <w:szCs w:val="24"/>
              </w:rPr>
              <w:t xml:space="preserve">3 </w:t>
            </w:r>
            <w:r>
              <w:rPr>
                <w:rFonts w:hint="eastAsia" w:ascii="仿宋" w:hAnsi="仿宋" w:eastAsia="仿宋"/>
                <w:sz w:val="24"/>
                <w:szCs w:val="24"/>
              </w:rPr>
              <w:t>线路工程</w:t>
            </w:r>
          </w:p>
        </w:tc>
        <w:tc>
          <w:tcPr>
            <w:tcW w:w="1473" w:type="pct"/>
            <w:shd w:val="clear" w:color="auto" w:fill="FFFFFF" w:themeFill="background1"/>
            <w:vAlign w:val="center"/>
          </w:tcPr>
          <w:p w14:paraId="089E3EA9">
            <w:pPr>
              <w:jc w:val="left"/>
              <w:textAlignment w:val="center"/>
              <w:rPr>
                <w:rFonts w:hint="eastAsia" w:ascii="仿宋" w:hAnsi="仿宋" w:eastAsia="仿宋" w:cs="微软雅黑"/>
                <w:sz w:val="24"/>
              </w:rPr>
            </w:pPr>
          </w:p>
        </w:tc>
        <w:tc>
          <w:tcPr>
            <w:tcW w:w="768" w:type="pct"/>
            <w:shd w:val="clear" w:color="auto" w:fill="FFFFFF" w:themeFill="background1"/>
            <w:vAlign w:val="center"/>
          </w:tcPr>
          <w:p w14:paraId="39D696B0">
            <w:pPr>
              <w:jc w:val="left"/>
              <w:textAlignment w:val="center"/>
              <w:rPr>
                <w:rFonts w:hint="eastAsia" w:ascii="仿宋" w:hAnsi="仿宋" w:eastAsia="仿宋" w:cs="微软雅黑"/>
                <w:sz w:val="24"/>
              </w:rPr>
            </w:pPr>
            <w:r>
              <w:rPr>
                <w:rFonts w:hint="eastAsia" w:ascii="仿宋" w:hAnsi="仿宋" w:eastAsia="仿宋" w:cs="微软雅黑"/>
                <w:sz w:val="24"/>
              </w:rPr>
              <w:t>梳理了章节顺序。</w:t>
            </w:r>
          </w:p>
        </w:tc>
      </w:tr>
      <w:tr w14:paraId="4A5894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08B2FAA5">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55463E84">
            <w:pPr>
              <w:jc w:val="center"/>
              <w:textAlignment w:val="center"/>
              <w:rPr>
                <w:rFonts w:hint="eastAsia" w:ascii="仿宋" w:hAnsi="仿宋" w:eastAsia="仿宋" w:cs="微软雅黑"/>
                <w:sz w:val="24"/>
              </w:rPr>
            </w:pPr>
            <w:r>
              <w:rPr>
                <w:rFonts w:hint="eastAsia" w:ascii="仿宋" w:hAnsi="仿宋" w:eastAsia="仿宋" w:cs="微软雅黑"/>
                <w:sz w:val="24"/>
              </w:rPr>
              <w:t>8.2.1 管道本体</w:t>
            </w:r>
          </w:p>
        </w:tc>
        <w:tc>
          <w:tcPr>
            <w:tcW w:w="1479" w:type="pct"/>
            <w:shd w:val="clear" w:color="auto" w:fill="FFFFFF" w:themeFill="background1"/>
            <w:vAlign w:val="center"/>
          </w:tcPr>
          <w:p w14:paraId="02D93F19">
            <w:pPr>
              <w:jc w:val="left"/>
              <w:textAlignment w:val="center"/>
              <w:rPr>
                <w:rFonts w:hint="eastAsia" w:ascii="仿宋" w:hAnsi="仿宋" w:eastAsia="仿宋" w:cs="微软雅黑"/>
                <w:sz w:val="24"/>
              </w:rPr>
            </w:pPr>
            <w:r>
              <w:rPr>
                <w:rFonts w:hint="eastAsia" w:ascii="仿宋" w:hAnsi="仿宋" w:eastAsia="仿宋" w:cs="微软雅黑"/>
                <w:sz w:val="24"/>
              </w:rPr>
              <w:t>应分析管材选取、强度设计系数、输送温度与输送介质的匹配性，按照GB 50251或GB 50253等的规定进行可行性评价；若采用新材料，应说明新材料的安全可靠性论证情况。</w:t>
            </w:r>
          </w:p>
        </w:tc>
        <w:tc>
          <w:tcPr>
            <w:tcW w:w="578" w:type="pct"/>
            <w:shd w:val="clear" w:color="auto" w:fill="FFFFFF" w:themeFill="background1"/>
            <w:noWrap/>
            <w:vAlign w:val="center"/>
          </w:tcPr>
          <w:p w14:paraId="63566032">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 xml:space="preserve">8.3.1 </w:t>
            </w:r>
            <w:r>
              <w:rPr>
                <w:rFonts w:hint="eastAsia" w:ascii="仿宋" w:hAnsi="仿宋" w:eastAsia="仿宋"/>
                <w:sz w:val="24"/>
                <w:szCs w:val="24"/>
              </w:rPr>
              <w:t>管道本体</w:t>
            </w:r>
          </w:p>
        </w:tc>
        <w:tc>
          <w:tcPr>
            <w:tcW w:w="1473" w:type="pct"/>
            <w:shd w:val="clear" w:color="auto" w:fill="FFFFFF" w:themeFill="background1"/>
            <w:vAlign w:val="center"/>
          </w:tcPr>
          <w:p w14:paraId="03B54E43">
            <w:pPr>
              <w:pStyle w:val="35"/>
              <w:spacing w:line="240" w:lineRule="auto"/>
              <w:ind w:firstLine="0" w:firstLineChars="0"/>
              <w:rPr>
                <w:rFonts w:hint="eastAsia" w:ascii="仿宋" w:hAnsi="仿宋" w:eastAsia="仿宋" w:cs="微软雅黑"/>
                <w:sz w:val="24"/>
                <w:szCs w:val="24"/>
              </w:rPr>
            </w:pPr>
            <w:r>
              <w:rPr>
                <w:rFonts w:hint="eastAsia" w:ascii="仿宋" w:hAnsi="仿宋" w:eastAsia="仿宋"/>
                <w:color w:val="auto"/>
                <w:kern w:val="0"/>
                <w:sz w:val="24"/>
                <w:szCs w:val="24"/>
              </w:rPr>
              <w:t>分析管材选取、强度设计系数、输送温度与输送介质的匹配性，按照</w:t>
            </w:r>
            <w:r>
              <w:rPr>
                <w:rFonts w:ascii="仿宋" w:hAnsi="仿宋" w:eastAsia="仿宋"/>
                <w:color w:val="auto"/>
                <w:kern w:val="0"/>
                <w:sz w:val="24"/>
                <w:szCs w:val="24"/>
              </w:rPr>
              <w:t>GB 50251</w:t>
            </w:r>
            <w:r>
              <w:rPr>
                <w:rFonts w:hint="eastAsia" w:ascii="仿宋" w:hAnsi="仿宋" w:eastAsia="仿宋"/>
                <w:color w:val="auto"/>
                <w:kern w:val="0"/>
                <w:sz w:val="24"/>
                <w:szCs w:val="24"/>
              </w:rPr>
              <w:t>或</w:t>
            </w:r>
            <w:r>
              <w:rPr>
                <w:rFonts w:ascii="仿宋" w:hAnsi="仿宋" w:eastAsia="仿宋"/>
                <w:color w:val="auto"/>
                <w:kern w:val="0"/>
                <w:sz w:val="24"/>
                <w:szCs w:val="24"/>
              </w:rPr>
              <w:t>GB 50253</w:t>
            </w:r>
            <w:r>
              <w:rPr>
                <w:rFonts w:hint="eastAsia" w:ascii="仿宋" w:hAnsi="仿宋" w:eastAsia="仿宋"/>
                <w:color w:val="auto"/>
                <w:kern w:val="0"/>
                <w:sz w:val="24"/>
                <w:szCs w:val="24"/>
              </w:rPr>
              <w:t>等的规定进行合规性评价。</w:t>
            </w:r>
          </w:p>
        </w:tc>
        <w:tc>
          <w:tcPr>
            <w:tcW w:w="768" w:type="pct"/>
            <w:shd w:val="clear" w:color="auto" w:fill="FFFFFF" w:themeFill="background1"/>
            <w:vAlign w:val="center"/>
          </w:tcPr>
          <w:p w14:paraId="5D8820A0">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进一步规范了文字的表述形式；新材料安全可靠性论证等内容调整至安全条件评价单元。</w:t>
            </w:r>
          </w:p>
        </w:tc>
      </w:tr>
      <w:tr w14:paraId="0A0E12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43452446">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4E8D795B">
            <w:pPr>
              <w:jc w:val="center"/>
              <w:textAlignment w:val="center"/>
              <w:rPr>
                <w:rFonts w:hint="eastAsia" w:ascii="仿宋" w:hAnsi="仿宋" w:eastAsia="仿宋" w:cs="微软雅黑"/>
                <w:sz w:val="24"/>
              </w:rPr>
            </w:pPr>
            <w:r>
              <w:rPr>
                <w:rFonts w:hint="eastAsia" w:ascii="仿宋" w:hAnsi="仿宋" w:eastAsia="仿宋" w:cs="微软雅黑"/>
                <w:sz w:val="24"/>
              </w:rPr>
              <w:t>8.2.2 管道敷设</w:t>
            </w:r>
          </w:p>
        </w:tc>
        <w:tc>
          <w:tcPr>
            <w:tcW w:w="1479" w:type="pct"/>
            <w:shd w:val="clear" w:color="auto" w:fill="FFFFFF" w:themeFill="background1"/>
            <w:vAlign w:val="center"/>
          </w:tcPr>
          <w:p w14:paraId="24756F6D">
            <w:pPr>
              <w:jc w:val="left"/>
              <w:textAlignment w:val="center"/>
              <w:rPr>
                <w:rFonts w:hint="eastAsia" w:ascii="仿宋" w:hAnsi="仿宋" w:eastAsia="仿宋" w:cs="微软雅黑"/>
                <w:sz w:val="24"/>
              </w:rPr>
            </w:pPr>
            <w:r>
              <w:rPr>
                <w:rFonts w:hint="eastAsia" w:ascii="仿宋" w:hAnsi="仿宋" w:eastAsia="仿宋" w:cs="微软雅黑"/>
                <w:sz w:val="24"/>
              </w:rPr>
              <w:t>应按照表10的统计结果分析管道敷设方式、埋深以及管道经过水田、岩石类、旱地等地区的最小覆土厚度，依据GB 50251或GB 50253等要求进行合规性评价。</w:t>
            </w:r>
          </w:p>
        </w:tc>
        <w:tc>
          <w:tcPr>
            <w:tcW w:w="578" w:type="pct"/>
            <w:shd w:val="clear" w:color="auto" w:fill="FFFFFF" w:themeFill="background1"/>
            <w:noWrap/>
            <w:vAlign w:val="center"/>
          </w:tcPr>
          <w:p w14:paraId="48407A7E">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 xml:space="preserve">8.3.2 </w:t>
            </w:r>
            <w:r>
              <w:rPr>
                <w:rFonts w:hint="eastAsia" w:ascii="仿宋" w:hAnsi="仿宋" w:eastAsia="仿宋"/>
                <w:sz w:val="24"/>
                <w:szCs w:val="24"/>
              </w:rPr>
              <w:t>管道敷设</w:t>
            </w:r>
          </w:p>
        </w:tc>
        <w:tc>
          <w:tcPr>
            <w:tcW w:w="1473" w:type="pct"/>
            <w:shd w:val="clear" w:color="auto" w:fill="FFFFFF" w:themeFill="background1"/>
            <w:vAlign w:val="center"/>
          </w:tcPr>
          <w:p w14:paraId="6CA82211">
            <w:pPr>
              <w:jc w:val="left"/>
              <w:textAlignment w:val="center"/>
              <w:rPr>
                <w:rFonts w:hint="eastAsia" w:ascii="仿宋" w:hAnsi="仿宋" w:eastAsia="仿宋" w:cs="微软雅黑"/>
                <w:sz w:val="24"/>
              </w:rPr>
            </w:pPr>
          </w:p>
        </w:tc>
        <w:tc>
          <w:tcPr>
            <w:tcW w:w="768" w:type="pct"/>
            <w:shd w:val="clear" w:color="auto" w:fill="FFFFFF" w:themeFill="background1"/>
            <w:vAlign w:val="center"/>
          </w:tcPr>
          <w:p w14:paraId="092FCE68">
            <w:pPr>
              <w:jc w:val="left"/>
              <w:textAlignment w:val="center"/>
              <w:rPr>
                <w:rFonts w:hint="eastAsia" w:ascii="仿宋" w:hAnsi="仿宋" w:eastAsia="仿宋" w:cs="微软雅黑"/>
                <w:sz w:val="24"/>
              </w:rPr>
            </w:pPr>
            <w:r>
              <w:rPr>
                <w:rFonts w:hint="eastAsia" w:ascii="仿宋" w:hAnsi="仿宋" w:eastAsia="仿宋" w:cs="微软雅黑"/>
                <w:sz w:val="24"/>
              </w:rPr>
              <w:t>梳理了章节顺序。</w:t>
            </w:r>
          </w:p>
        </w:tc>
      </w:tr>
      <w:tr w14:paraId="4D35ED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58E38EE4">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2CEDAC80">
            <w:pPr>
              <w:jc w:val="center"/>
              <w:textAlignment w:val="center"/>
              <w:rPr>
                <w:rFonts w:hint="eastAsia" w:ascii="仿宋" w:hAnsi="仿宋" w:eastAsia="仿宋" w:cs="微软雅黑"/>
                <w:sz w:val="24"/>
              </w:rPr>
            </w:pPr>
          </w:p>
        </w:tc>
        <w:tc>
          <w:tcPr>
            <w:tcW w:w="1479" w:type="pct"/>
            <w:shd w:val="clear" w:color="auto" w:fill="FFFFFF" w:themeFill="background1"/>
            <w:vAlign w:val="center"/>
          </w:tcPr>
          <w:p w14:paraId="34FF8504">
            <w:pPr>
              <w:jc w:val="left"/>
              <w:textAlignment w:val="center"/>
              <w:rPr>
                <w:rFonts w:hint="eastAsia" w:ascii="仿宋" w:hAnsi="仿宋" w:eastAsia="仿宋" w:cs="微软雅黑"/>
                <w:sz w:val="24"/>
              </w:rPr>
            </w:pPr>
          </w:p>
        </w:tc>
        <w:tc>
          <w:tcPr>
            <w:tcW w:w="578" w:type="pct"/>
            <w:shd w:val="clear" w:color="auto" w:fill="FFFFFF" w:themeFill="background1"/>
            <w:noWrap/>
            <w:vAlign w:val="center"/>
          </w:tcPr>
          <w:p w14:paraId="499EAE1D">
            <w:pPr>
              <w:jc w:val="center"/>
              <w:textAlignment w:val="center"/>
              <w:rPr>
                <w:rFonts w:hint="eastAsia" w:ascii="仿宋" w:hAnsi="仿宋" w:eastAsia="仿宋" w:cs="微软雅黑"/>
                <w:sz w:val="24"/>
              </w:rPr>
            </w:pPr>
            <w:r>
              <w:rPr>
                <w:rFonts w:ascii="仿宋" w:hAnsi="仿宋" w:eastAsia="仿宋"/>
                <w:color w:val="000000" w:themeColor="text1"/>
                <w:sz w:val="24"/>
                <w14:textFill>
                  <w14:solidFill>
                    <w14:schemeClr w14:val="tx1"/>
                  </w14:solidFill>
                </w14:textFill>
              </w:rPr>
              <w:t>8.3.2.1</w:t>
            </w:r>
          </w:p>
        </w:tc>
        <w:tc>
          <w:tcPr>
            <w:tcW w:w="1473" w:type="pct"/>
            <w:shd w:val="clear" w:color="auto" w:fill="FFFFFF" w:themeFill="background1"/>
            <w:vAlign w:val="center"/>
          </w:tcPr>
          <w:p w14:paraId="678A6932">
            <w:pPr>
              <w:pStyle w:val="65"/>
              <w:ind w:firstLine="0" w:firstLineChars="0"/>
              <w:jc w:val="left"/>
              <w:rPr>
                <w:rFonts w:hint="eastAsia" w:ascii="仿宋" w:hAnsi="仿宋" w:eastAsia="仿宋" w:cs="微软雅黑"/>
                <w:color w:val="000000"/>
                <w:sz w:val="24"/>
                <w:szCs w:val="24"/>
              </w:rPr>
            </w:pPr>
            <w:r>
              <w:rPr>
                <w:rFonts w:hint="eastAsia" w:ascii="仿宋" w:hAnsi="仿宋" w:eastAsia="仿宋"/>
                <w:kern w:val="2"/>
                <w:sz w:val="24"/>
                <w:szCs w:val="24"/>
                <w:u w:color="000000"/>
              </w:rPr>
              <w:t>分析管道敷设方式、间距、埋深以及管道经过水田、岩石类、旱地等地区的最小覆土厚度，按照GB 50251或GB 50253等的规定进行合规性评价。</w:t>
            </w:r>
          </w:p>
        </w:tc>
        <w:tc>
          <w:tcPr>
            <w:tcW w:w="768" w:type="pct"/>
            <w:shd w:val="clear" w:color="auto" w:fill="FFFFFF" w:themeFill="background1"/>
            <w:vAlign w:val="center"/>
          </w:tcPr>
          <w:p w14:paraId="43F29B20">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193E14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28D3B7B5">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5D3B6621">
            <w:pPr>
              <w:jc w:val="center"/>
              <w:textAlignment w:val="center"/>
              <w:rPr>
                <w:rFonts w:hint="eastAsia" w:ascii="仿宋" w:hAnsi="仿宋" w:eastAsia="仿宋" w:cs="微软雅黑"/>
                <w:sz w:val="24"/>
              </w:rPr>
            </w:pPr>
          </w:p>
        </w:tc>
        <w:tc>
          <w:tcPr>
            <w:tcW w:w="1479" w:type="pct"/>
            <w:shd w:val="clear" w:color="auto" w:fill="FFFFFF" w:themeFill="background1"/>
            <w:vAlign w:val="center"/>
          </w:tcPr>
          <w:p w14:paraId="4AC9F5DA">
            <w:pPr>
              <w:jc w:val="left"/>
              <w:textAlignment w:val="center"/>
              <w:rPr>
                <w:rFonts w:hint="eastAsia" w:ascii="仿宋" w:hAnsi="仿宋" w:eastAsia="仿宋" w:cs="微软雅黑"/>
                <w:sz w:val="24"/>
              </w:rPr>
            </w:pPr>
          </w:p>
        </w:tc>
        <w:tc>
          <w:tcPr>
            <w:tcW w:w="578" w:type="pct"/>
            <w:shd w:val="clear" w:color="auto" w:fill="FFFFFF" w:themeFill="background1"/>
            <w:noWrap/>
            <w:vAlign w:val="center"/>
          </w:tcPr>
          <w:p w14:paraId="40E97B52">
            <w:pPr>
              <w:jc w:val="center"/>
              <w:textAlignment w:val="center"/>
              <w:rPr>
                <w:rFonts w:hint="eastAsia" w:ascii="仿宋" w:hAnsi="仿宋" w:eastAsia="仿宋" w:cs="微软雅黑"/>
                <w:sz w:val="24"/>
              </w:rPr>
            </w:pPr>
            <w:r>
              <w:rPr>
                <w:rFonts w:ascii="仿宋" w:hAnsi="仿宋" w:eastAsia="仿宋"/>
                <w:color w:val="000000" w:themeColor="text1"/>
                <w:sz w:val="24"/>
                <w14:textFill>
                  <w14:solidFill>
                    <w14:schemeClr w14:val="tx1"/>
                  </w14:solidFill>
                </w14:textFill>
              </w:rPr>
              <w:t>8.3.2.2</w:t>
            </w:r>
          </w:p>
        </w:tc>
        <w:tc>
          <w:tcPr>
            <w:tcW w:w="1473" w:type="pct"/>
            <w:shd w:val="clear" w:color="auto" w:fill="FFFFFF" w:themeFill="background1"/>
            <w:vAlign w:val="center"/>
          </w:tcPr>
          <w:p w14:paraId="582CCB6F">
            <w:pPr>
              <w:jc w:val="left"/>
              <w:textAlignment w:val="center"/>
              <w:rPr>
                <w:rFonts w:hint="eastAsia" w:ascii="仿宋" w:hAnsi="仿宋" w:eastAsia="仿宋" w:cs="微软雅黑"/>
                <w:sz w:val="24"/>
              </w:rPr>
            </w:pPr>
            <w:r>
              <w:rPr>
                <w:rFonts w:hint="eastAsia" w:ascii="仿宋" w:hAnsi="仿宋" w:eastAsia="仿宋"/>
                <w:sz w:val="24"/>
              </w:rPr>
              <w:t>分析顺坡敷设，沿沟谷敷设，沿山脊敷设，石方段、爆破段敷设和定向钻穿越段等特殊地段管道敷设的技术要求和措施，按照GB 50251或GB 50253等的规定进行合规性评价；黄土、冻土地区管道敷设按照S</w:t>
            </w:r>
            <w:r>
              <w:rPr>
                <w:rFonts w:ascii="仿宋" w:hAnsi="仿宋" w:eastAsia="仿宋"/>
                <w:sz w:val="24"/>
              </w:rPr>
              <w:t>Y/T 7363</w:t>
            </w:r>
            <w:r>
              <w:rPr>
                <w:rFonts w:hint="eastAsia" w:ascii="仿宋" w:hAnsi="仿宋" w:eastAsia="仿宋"/>
                <w:sz w:val="24"/>
              </w:rPr>
              <w:t>、S</w:t>
            </w:r>
            <w:r>
              <w:rPr>
                <w:rFonts w:ascii="仿宋" w:hAnsi="仿宋" w:eastAsia="仿宋"/>
                <w:sz w:val="24"/>
              </w:rPr>
              <w:t>Y/T 7364</w:t>
            </w:r>
            <w:r>
              <w:rPr>
                <w:rFonts w:hint="eastAsia" w:ascii="仿宋" w:hAnsi="仿宋" w:eastAsia="仿宋"/>
                <w:sz w:val="24"/>
              </w:rPr>
              <w:t>等的规定进行合规性评价。</w:t>
            </w:r>
          </w:p>
        </w:tc>
        <w:tc>
          <w:tcPr>
            <w:tcW w:w="768" w:type="pct"/>
            <w:shd w:val="clear" w:color="auto" w:fill="FFFFFF" w:themeFill="background1"/>
            <w:vAlign w:val="center"/>
          </w:tcPr>
          <w:p w14:paraId="49854893">
            <w:pPr>
              <w:jc w:val="left"/>
              <w:textAlignment w:val="center"/>
              <w:rPr>
                <w:rFonts w:hint="eastAsia" w:ascii="仿宋" w:hAnsi="仿宋" w:eastAsia="仿宋" w:cs="微软雅黑"/>
                <w:sz w:val="24"/>
              </w:rPr>
            </w:pPr>
            <w:r>
              <w:rPr>
                <w:rFonts w:hint="eastAsia" w:ascii="仿宋" w:hAnsi="仿宋" w:eastAsia="仿宋" w:cs="微软雅黑"/>
                <w:sz w:val="24"/>
              </w:rPr>
              <w:t>细化了特殊地段管道敷设的相关要求，及评价性内容。</w:t>
            </w:r>
          </w:p>
        </w:tc>
      </w:tr>
      <w:tr w14:paraId="4BEFEF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7DB00D47">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65FA47B7">
            <w:pPr>
              <w:jc w:val="center"/>
              <w:textAlignment w:val="center"/>
              <w:rPr>
                <w:rFonts w:hint="eastAsia" w:ascii="仿宋" w:hAnsi="仿宋" w:eastAsia="仿宋" w:cs="微软雅黑"/>
                <w:sz w:val="24"/>
              </w:rPr>
            </w:pPr>
            <w:r>
              <w:rPr>
                <w:rFonts w:hint="eastAsia" w:ascii="仿宋" w:hAnsi="仿宋" w:eastAsia="仿宋" w:cs="微软雅黑"/>
                <w:sz w:val="24"/>
              </w:rPr>
              <w:t>8.2.3 人员密集场所高后果区</w:t>
            </w:r>
          </w:p>
        </w:tc>
        <w:tc>
          <w:tcPr>
            <w:tcW w:w="1479" w:type="pct"/>
            <w:shd w:val="clear" w:color="auto" w:fill="FFFFFF" w:themeFill="background1"/>
            <w:vAlign w:val="center"/>
          </w:tcPr>
          <w:p w14:paraId="4D9E191D">
            <w:pPr>
              <w:jc w:val="left"/>
              <w:textAlignment w:val="center"/>
              <w:rPr>
                <w:rFonts w:hint="eastAsia" w:ascii="仿宋" w:hAnsi="仿宋" w:eastAsia="仿宋" w:cs="微软雅黑"/>
                <w:sz w:val="24"/>
              </w:rPr>
            </w:pPr>
            <w:r>
              <w:rPr>
                <w:rFonts w:hint="eastAsia" w:ascii="仿宋" w:hAnsi="仿宋" w:eastAsia="仿宋" w:cs="微软雅黑"/>
                <w:sz w:val="24"/>
              </w:rPr>
              <w:t>应分析建设项目与周边人员密集场所的间距和高后果区识别等情况，按照GB 50183、GB 32167、GB 50251或GB 50253等的规定进行合规性评价，提出避绕人员密集场所的建议，对无法避绕的高后果区应提出相应的对策措施。</w:t>
            </w:r>
          </w:p>
        </w:tc>
        <w:tc>
          <w:tcPr>
            <w:tcW w:w="578" w:type="pct"/>
            <w:shd w:val="clear" w:color="auto" w:fill="FFFFFF" w:themeFill="background1"/>
            <w:noWrap/>
            <w:vAlign w:val="center"/>
          </w:tcPr>
          <w:p w14:paraId="45363B03">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8.3.3</w:t>
            </w:r>
            <w:r>
              <w:rPr>
                <w:rFonts w:hint="eastAsia" w:ascii="仿宋" w:hAnsi="仿宋" w:eastAsia="仿宋"/>
                <w:sz w:val="24"/>
                <w:szCs w:val="24"/>
              </w:rPr>
              <w:t xml:space="preserve"> 人员密集型</w:t>
            </w:r>
            <w:r>
              <w:rPr>
                <w:rFonts w:ascii="仿宋" w:hAnsi="仿宋" w:eastAsia="仿宋"/>
                <w:sz w:val="24"/>
                <w:szCs w:val="24"/>
              </w:rPr>
              <w:t>高后果区</w:t>
            </w:r>
          </w:p>
        </w:tc>
        <w:tc>
          <w:tcPr>
            <w:tcW w:w="1473" w:type="pct"/>
            <w:shd w:val="clear" w:color="auto" w:fill="FFFFFF" w:themeFill="background1"/>
            <w:vAlign w:val="center"/>
          </w:tcPr>
          <w:p w14:paraId="4C82B4E3">
            <w:pPr>
              <w:jc w:val="left"/>
              <w:textAlignment w:val="center"/>
              <w:rPr>
                <w:rFonts w:hint="eastAsia" w:ascii="仿宋" w:hAnsi="仿宋" w:eastAsia="仿宋" w:cs="微软雅黑"/>
                <w:sz w:val="24"/>
              </w:rPr>
            </w:pPr>
          </w:p>
        </w:tc>
        <w:tc>
          <w:tcPr>
            <w:tcW w:w="768" w:type="pct"/>
            <w:shd w:val="clear" w:color="auto" w:fill="FFFFFF" w:themeFill="background1"/>
            <w:vAlign w:val="center"/>
          </w:tcPr>
          <w:p w14:paraId="4D62374A">
            <w:pPr>
              <w:jc w:val="left"/>
              <w:textAlignment w:val="center"/>
              <w:rPr>
                <w:rFonts w:hint="eastAsia" w:ascii="仿宋" w:hAnsi="仿宋" w:eastAsia="仿宋" w:cs="微软雅黑"/>
                <w:sz w:val="24"/>
              </w:rPr>
            </w:pPr>
            <w:r>
              <w:rPr>
                <w:rFonts w:hint="eastAsia" w:ascii="仿宋" w:hAnsi="仿宋" w:eastAsia="仿宋" w:cs="微软雅黑"/>
                <w:sz w:val="24"/>
              </w:rPr>
              <w:t>梳理了章节顺序。</w:t>
            </w:r>
          </w:p>
        </w:tc>
      </w:tr>
      <w:tr w14:paraId="029413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4EB16430">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065D6952">
            <w:pPr>
              <w:jc w:val="center"/>
              <w:textAlignment w:val="center"/>
              <w:rPr>
                <w:rFonts w:hint="eastAsia" w:ascii="仿宋" w:hAnsi="仿宋" w:eastAsia="仿宋" w:cs="微软雅黑"/>
                <w:sz w:val="24"/>
              </w:rPr>
            </w:pPr>
          </w:p>
        </w:tc>
        <w:tc>
          <w:tcPr>
            <w:tcW w:w="1479" w:type="pct"/>
            <w:shd w:val="clear" w:color="auto" w:fill="FFFFFF" w:themeFill="background1"/>
            <w:vAlign w:val="center"/>
          </w:tcPr>
          <w:p w14:paraId="489E2723">
            <w:pPr>
              <w:jc w:val="left"/>
              <w:textAlignment w:val="center"/>
              <w:rPr>
                <w:rFonts w:hint="eastAsia" w:ascii="仿宋" w:hAnsi="仿宋" w:eastAsia="仿宋" w:cs="微软雅黑"/>
                <w:sz w:val="24"/>
              </w:rPr>
            </w:pPr>
          </w:p>
        </w:tc>
        <w:tc>
          <w:tcPr>
            <w:tcW w:w="578" w:type="pct"/>
            <w:shd w:val="clear" w:color="auto" w:fill="FFFFFF" w:themeFill="background1"/>
            <w:noWrap/>
            <w:vAlign w:val="center"/>
          </w:tcPr>
          <w:p w14:paraId="765033F7">
            <w:pPr>
              <w:jc w:val="center"/>
              <w:textAlignment w:val="center"/>
              <w:rPr>
                <w:rFonts w:hint="eastAsia" w:ascii="仿宋" w:hAnsi="仿宋" w:eastAsia="仿宋" w:cs="微软雅黑"/>
                <w:sz w:val="24"/>
              </w:rPr>
            </w:pPr>
            <w:r>
              <w:rPr>
                <w:rFonts w:ascii="仿宋" w:hAnsi="仿宋" w:eastAsia="仿宋"/>
                <w:color w:val="000000" w:themeColor="text1"/>
                <w:sz w:val="24"/>
                <w14:textFill>
                  <w14:solidFill>
                    <w14:schemeClr w14:val="tx1"/>
                  </w14:solidFill>
                </w14:textFill>
              </w:rPr>
              <w:t>8.3.3.1</w:t>
            </w:r>
          </w:p>
        </w:tc>
        <w:tc>
          <w:tcPr>
            <w:tcW w:w="1473" w:type="pct"/>
            <w:shd w:val="clear" w:color="auto" w:fill="FFFFFF" w:themeFill="background1"/>
            <w:vAlign w:val="center"/>
          </w:tcPr>
          <w:p w14:paraId="7DE68B27">
            <w:pPr>
              <w:jc w:val="left"/>
              <w:textAlignment w:val="center"/>
              <w:rPr>
                <w:rFonts w:hint="eastAsia" w:ascii="仿宋" w:hAnsi="仿宋" w:eastAsia="仿宋" w:cs="微软雅黑"/>
                <w:sz w:val="24"/>
              </w:rPr>
            </w:pPr>
            <w:r>
              <w:rPr>
                <w:rFonts w:hint="eastAsia" w:ascii="仿宋" w:hAnsi="仿宋" w:eastAsia="仿宋"/>
                <w:sz w:val="24"/>
              </w:rPr>
              <w:t>分析建设项目与周边特定场所的间距和人员密集型高后果区识别等情况，按照</w:t>
            </w:r>
            <w:r>
              <w:rPr>
                <w:rFonts w:ascii="仿宋" w:hAnsi="仿宋" w:eastAsia="仿宋"/>
                <w:sz w:val="24"/>
              </w:rPr>
              <w:t>GB 50183</w:t>
            </w:r>
            <w:r>
              <w:rPr>
                <w:rFonts w:hint="eastAsia" w:ascii="仿宋" w:hAnsi="仿宋" w:eastAsia="仿宋"/>
                <w:sz w:val="24"/>
              </w:rPr>
              <w:t>、</w:t>
            </w:r>
            <w:r>
              <w:rPr>
                <w:rFonts w:ascii="仿宋" w:hAnsi="仿宋" w:eastAsia="仿宋"/>
                <w:sz w:val="24"/>
              </w:rPr>
              <w:t>GB 32167</w:t>
            </w:r>
            <w:r>
              <w:rPr>
                <w:rFonts w:hint="eastAsia" w:ascii="仿宋" w:hAnsi="仿宋" w:eastAsia="仿宋"/>
                <w:sz w:val="24"/>
              </w:rPr>
              <w:t>、</w:t>
            </w:r>
            <w:r>
              <w:rPr>
                <w:rFonts w:ascii="仿宋" w:hAnsi="仿宋" w:eastAsia="仿宋"/>
                <w:sz w:val="24"/>
              </w:rPr>
              <w:t>GB 50251</w:t>
            </w:r>
            <w:r>
              <w:rPr>
                <w:rFonts w:hint="eastAsia" w:ascii="仿宋" w:hAnsi="仿宋" w:eastAsia="仿宋"/>
                <w:sz w:val="24"/>
              </w:rPr>
              <w:t>或</w:t>
            </w:r>
            <w:r>
              <w:rPr>
                <w:rFonts w:ascii="仿宋" w:hAnsi="仿宋" w:eastAsia="仿宋"/>
                <w:sz w:val="24"/>
              </w:rPr>
              <w:t>GB 50253</w:t>
            </w:r>
            <w:r>
              <w:rPr>
                <w:rFonts w:hint="eastAsia" w:ascii="仿宋" w:hAnsi="仿宋" w:eastAsia="仿宋"/>
                <w:sz w:val="24"/>
              </w:rPr>
              <w:t>等的规定进行合规性评价，并对人员密集型高后果区提出安全防护措施。</w:t>
            </w:r>
          </w:p>
        </w:tc>
        <w:tc>
          <w:tcPr>
            <w:tcW w:w="768" w:type="pct"/>
            <w:shd w:val="clear" w:color="auto" w:fill="FFFFFF" w:themeFill="background1"/>
            <w:vAlign w:val="center"/>
          </w:tcPr>
          <w:p w14:paraId="10756443">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78338E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05AA4E88">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71937539">
            <w:pPr>
              <w:jc w:val="center"/>
              <w:textAlignment w:val="center"/>
              <w:rPr>
                <w:rFonts w:hint="eastAsia" w:ascii="仿宋" w:hAnsi="仿宋" w:eastAsia="仿宋" w:cs="微软雅黑"/>
                <w:sz w:val="24"/>
              </w:rPr>
            </w:pPr>
          </w:p>
        </w:tc>
        <w:tc>
          <w:tcPr>
            <w:tcW w:w="1479" w:type="pct"/>
            <w:shd w:val="clear" w:color="auto" w:fill="FFFFFF" w:themeFill="background1"/>
            <w:vAlign w:val="center"/>
          </w:tcPr>
          <w:p w14:paraId="4104F6EC">
            <w:pPr>
              <w:jc w:val="left"/>
              <w:textAlignment w:val="center"/>
              <w:rPr>
                <w:rFonts w:hint="eastAsia" w:ascii="仿宋" w:hAnsi="仿宋" w:eastAsia="仿宋" w:cs="微软雅黑"/>
                <w:sz w:val="24"/>
              </w:rPr>
            </w:pPr>
          </w:p>
        </w:tc>
        <w:tc>
          <w:tcPr>
            <w:tcW w:w="578" w:type="pct"/>
            <w:shd w:val="clear" w:color="auto" w:fill="FFFFFF" w:themeFill="background1"/>
            <w:noWrap/>
            <w:vAlign w:val="center"/>
          </w:tcPr>
          <w:p w14:paraId="76818396">
            <w:pPr>
              <w:jc w:val="center"/>
              <w:textAlignment w:val="center"/>
              <w:rPr>
                <w:rFonts w:hint="eastAsia" w:ascii="仿宋" w:hAnsi="仿宋" w:eastAsia="仿宋" w:cs="微软雅黑"/>
                <w:sz w:val="24"/>
              </w:rPr>
            </w:pPr>
            <w:r>
              <w:rPr>
                <w:rFonts w:ascii="仿宋" w:hAnsi="仿宋" w:eastAsia="仿宋"/>
                <w:color w:val="000000" w:themeColor="text1"/>
                <w:sz w:val="24"/>
                <w14:textFill>
                  <w14:solidFill>
                    <w14:schemeClr w14:val="tx1"/>
                  </w14:solidFill>
                </w14:textFill>
              </w:rPr>
              <w:t>8.3.3.2</w:t>
            </w:r>
          </w:p>
        </w:tc>
        <w:tc>
          <w:tcPr>
            <w:tcW w:w="1473" w:type="pct"/>
            <w:shd w:val="clear" w:color="auto" w:fill="FFFFFF" w:themeFill="background1"/>
            <w:vAlign w:val="center"/>
          </w:tcPr>
          <w:p w14:paraId="61A2191C">
            <w:pPr>
              <w:jc w:val="left"/>
              <w:textAlignment w:val="center"/>
              <w:rPr>
                <w:rFonts w:hint="eastAsia" w:ascii="仿宋" w:hAnsi="仿宋" w:eastAsia="仿宋" w:cs="微软雅黑"/>
                <w:sz w:val="24"/>
              </w:rPr>
            </w:pPr>
            <w:r>
              <w:rPr>
                <w:rFonts w:hint="eastAsia" w:ascii="仿宋" w:hAnsi="仿宋" w:eastAsia="仿宋"/>
                <w:sz w:val="24"/>
              </w:rPr>
              <w:t>按照附录B对Ⅲ级人员密集型高后果区管段开展定量风险评价，周边防护目标所承受的个人风险应符合附录C的要求。</w:t>
            </w:r>
          </w:p>
        </w:tc>
        <w:tc>
          <w:tcPr>
            <w:tcW w:w="768" w:type="pct"/>
            <w:shd w:val="clear" w:color="auto" w:fill="FFFFFF" w:themeFill="background1"/>
            <w:vAlign w:val="center"/>
          </w:tcPr>
          <w:p w14:paraId="22AA3EAF">
            <w:pPr>
              <w:jc w:val="left"/>
              <w:textAlignment w:val="center"/>
              <w:rPr>
                <w:rFonts w:hint="eastAsia" w:ascii="仿宋" w:hAnsi="仿宋" w:eastAsia="仿宋" w:cs="微软雅黑"/>
                <w:sz w:val="24"/>
              </w:rPr>
            </w:pPr>
            <w:r>
              <w:rPr>
                <w:rFonts w:hint="eastAsia" w:ascii="仿宋" w:hAnsi="仿宋" w:eastAsia="仿宋" w:cs="微软雅黑"/>
                <w:sz w:val="24"/>
              </w:rPr>
              <w:t>增加了对Ⅲ级人员密集型高后果区管段开展定量风险评价的相关要求。</w:t>
            </w:r>
          </w:p>
        </w:tc>
      </w:tr>
      <w:tr w14:paraId="1CA9A1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6CF07BEE">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60CF4907">
            <w:pPr>
              <w:jc w:val="center"/>
              <w:textAlignment w:val="center"/>
              <w:rPr>
                <w:rFonts w:hint="eastAsia" w:ascii="仿宋" w:hAnsi="仿宋" w:eastAsia="仿宋" w:cs="微软雅黑"/>
                <w:sz w:val="24"/>
              </w:rPr>
            </w:pPr>
            <w:r>
              <w:rPr>
                <w:rFonts w:hint="eastAsia" w:ascii="仿宋" w:hAnsi="仿宋" w:eastAsia="仿宋" w:cs="微软雅黑"/>
                <w:sz w:val="24"/>
              </w:rPr>
              <w:t>8.2.4 地质灾害</w:t>
            </w:r>
          </w:p>
        </w:tc>
        <w:tc>
          <w:tcPr>
            <w:tcW w:w="1479" w:type="pct"/>
            <w:shd w:val="clear" w:color="auto" w:fill="FFFFFF" w:themeFill="background1"/>
            <w:vAlign w:val="center"/>
          </w:tcPr>
          <w:p w14:paraId="0B317D38">
            <w:pPr>
              <w:jc w:val="left"/>
              <w:textAlignment w:val="center"/>
              <w:rPr>
                <w:rFonts w:hint="eastAsia" w:ascii="仿宋" w:hAnsi="仿宋" w:eastAsia="仿宋" w:cs="微软雅黑"/>
                <w:sz w:val="24"/>
              </w:rPr>
            </w:pPr>
            <w:r>
              <w:rPr>
                <w:rFonts w:hint="eastAsia" w:ascii="仿宋" w:hAnsi="仿宋" w:eastAsia="仿宋" w:cs="微软雅黑"/>
                <w:sz w:val="24"/>
              </w:rPr>
              <w:t>应分析建设项目经过的地质灾害区或不良地质区（参考地质灾害危险性评估报告），如滑坡、危岩和崩塌、泥石流、地面沉降与地裂缝、岩溶、湿陷性黄土等，进行合规性评价。</w:t>
            </w:r>
          </w:p>
        </w:tc>
        <w:tc>
          <w:tcPr>
            <w:tcW w:w="578" w:type="pct"/>
            <w:shd w:val="clear" w:color="auto" w:fill="FFFFFF" w:themeFill="background1"/>
            <w:noWrap/>
            <w:vAlign w:val="center"/>
          </w:tcPr>
          <w:p w14:paraId="049D817F">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8.3.4</w:t>
            </w:r>
            <w:r>
              <w:rPr>
                <w:rFonts w:hint="eastAsia" w:ascii="仿宋" w:hAnsi="仿宋" w:eastAsia="仿宋"/>
                <w:sz w:val="24"/>
                <w:szCs w:val="24"/>
              </w:rPr>
              <w:t xml:space="preserve"> 地质灾害</w:t>
            </w:r>
          </w:p>
        </w:tc>
        <w:tc>
          <w:tcPr>
            <w:tcW w:w="1473" w:type="pct"/>
            <w:shd w:val="clear" w:color="auto" w:fill="FFFFFF" w:themeFill="background1"/>
            <w:vAlign w:val="center"/>
          </w:tcPr>
          <w:p w14:paraId="297DA8CC">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分析建设项目经过的地质灾害区或不良地质区（结合地质灾害危险性评估报告），如滑坡、崩塌、泥石流、采空塌陷、岩溶塌陷、地裂缝、地面沉降、不稳定斜坡等，进行合规性评价。</w:t>
            </w:r>
          </w:p>
        </w:tc>
        <w:tc>
          <w:tcPr>
            <w:tcW w:w="768" w:type="pct"/>
            <w:shd w:val="clear" w:color="auto" w:fill="FFFFFF" w:themeFill="background1"/>
            <w:vAlign w:val="center"/>
          </w:tcPr>
          <w:p w14:paraId="54C174C6">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3E0298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32A68A77">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3A1AC994">
            <w:pPr>
              <w:jc w:val="center"/>
              <w:textAlignment w:val="center"/>
              <w:rPr>
                <w:rFonts w:hint="eastAsia" w:ascii="仿宋" w:hAnsi="仿宋" w:eastAsia="仿宋" w:cs="微软雅黑"/>
                <w:sz w:val="24"/>
              </w:rPr>
            </w:pPr>
            <w:r>
              <w:rPr>
                <w:rFonts w:hint="eastAsia" w:ascii="仿宋" w:hAnsi="仿宋" w:eastAsia="仿宋" w:cs="微软雅黑"/>
                <w:sz w:val="24"/>
              </w:rPr>
              <w:t>8.2.5 地震</w:t>
            </w:r>
          </w:p>
        </w:tc>
        <w:tc>
          <w:tcPr>
            <w:tcW w:w="1479" w:type="pct"/>
            <w:shd w:val="clear" w:color="auto" w:fill="FFFFFF" w:themeFill="background1"/>
            <w:vAlign w:val="center"/>
          </w:tcPr>
          <w:p w14:paraId="30B3FE25">
            <w:pPr>
              <w:jc w:val="left"/>
              <w:textAlignment w:val="center"/>
              <w:rPr>
                <w:rFonts w:hint="eastAsia" w:ascii="仿宋" w:hAnsi="仿宋" w:eastAsia="仿宋" w:cs="微软雅黑"/>
                <w:sz w:val="24"/>
              </w:rPr>
            </w:pPr>
            <w:r>
              <w:rPr>
                <w:rFonts w:hint="eastAsia" w:ascii="仿宋" w:hAnsi="仿宋" w:eastAsia="仿宋" w:cs="微软雅黑"/>
                <w:sz w:val="24"/>
              </w:rPr>
              <w:t>应分析建设项目沿线的地震烈度和经过的全新世活动断裂带（参考地震安全性评价报告），按照GB/T 17742、GB 18306等的规定进行合规性评价。</w:t>
            </w:r>
          </w:p>
        </w:tc>
        <w:tc>
          <w:tcPr>
            <w:tcW w:w="578" w:type="pct"/>
            <w:shd w:val="clear" w:color="auto" w:fill="FFFFFF" w:themeFill="background1"/>
            <w:noWrap/>
            <w:vAlign w:val="center"/>
          </w:tcPr>
          <w:p w14:paraId="0429A0F2">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8.3.5</w:t>
            </w:r>
            <w:r>
              <w:rPr>
                <w:rFonts w:hint="eastAsia" w:ascii="仿宋" w:hAnsi="仿宋" w:eastAsia="仿宋"/>
                <w:sz w:val="24"/>
                <w:szCs w:val="24"/>
              </w:rPr>
              <w:t xml:space="preserve"> 地震</w:t>
            </w:r>
          </w:p>
        </w:tc>
        <w:tc>
          <w:tcPr>
            <w:tcW w:w="1473" w:type="pct"/>
            <w:shd w:val="clear" w:color="auto" w:fill="FFFFFF" w:themeFill="background1"/>
            <w:vAlign w:val="center"/>
          </w:tcPr>
          <w:p w14:paraId="4C100CAD">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分析建设项目沿线的地震烈度和经过的活动断层（结合地震安全性评价报告），按照</w:t>
            </w:r>
            <w:r>
              <w:rPr>
                <w:rFonts w:ascii="仿宋" w:hAnsi="仿宋" w:eastAsia="仿宋"/>
                <w:sz w:val="24"/>
                <w:szCs w:val="24"/>
              </w:rPr>
              <w:t>GB/T 17742</w:t>
            </w:r>
            <w:r>
              <w:rPr>
                <w:rFonts w:hint="eastAsia" w:ascii="仿宋" w:hAnsi="仿宋" w:eastAsia="仿宋"/>
                <w:sz w:val="24"/>
                <w:szCs w:val="24"/>
              </w:rPr>
              <w:t>、</w:t>
            </w:r>
            <w:r>
              <w:rPr>
                <w:rFonts w:ascii="仿宋" w:hAnsi="仿宋" w:eastAsia="仿宋"/>
                <w:sz w:val="24"/>
                <w:szCs w:val="24"/>
              </w:rPr>
              <w:t>GB 18306</w:t>
            </w:r>
            <w:r>
              <w:rPr>
                <w:rFonts w:hint="eastAsia" w:ascii="仿宋" w:hAnsi="仿宋" w:eastAsia="仿宋"/>
                <w:sz w:val="24"/>
                <w:szCs w:val="24"/>
              </w:rPr>
              <w:t>等的规定进行合规性评价。</w:t>
            </w:r>
          </w:p>
        </w:tc>
        <w:tc>
          <w:tcPr>
            <w:tcW w:w="768" w:type="pct"/>
            <w:shd w:val="clear" w:color="auto" w:fill="FFFFFF" w:themeFill="background1"/>
            <w:vAlign w:val="center"/>
          </w:tcPr>
          <w:p w14:paraId="1EC31B7F">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19F4A2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048F0390">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7D885592">
            <w:pPr>
              <w:jc w:val="center"/>
              <w:textAlignment w:val="center"/>
              <w:rPr>
                <w:rFonts w:hint="eastAsia" w:ascii="仿宋" w:hAnsi="仿宋" w:eastAsia="仿宋" w:cs="微软雅黑"/>
                <w:sz w:val="24"/>
              </w:rPr>
            </w:pPr>
            <w:r>
              <w:rPr>
                <w:rFonts w:hint="eastAsia" w:ascii="仿宋" w:hAnsi="仿宋" w:eastAsia="仿宋" w:cs="微软雅黑"/>
                <w:sz w:val="24"/>
              </w:rPr>
              <w:t>8.2.6 山岭隧道</w:t>
            </w:r>
          </w:p>
        </w:tc>
        <w:tc>
          <w:tcPr>
            <w:tcW w:w="1479" w:type="pct"/>
            <w:shd w:val="clear" w:color="auto" w:fill="FFFFFF" w:themeFill="background1"/>
            <w:vAlign w:val="center"/>
          </w:tcPr>
          <w:p w14:paraId="7247ACF6">
            <w:pPr>
              <w:jc w:val="left"/>
              <w:textAlignment w:val="center"/>
              <w:rPr>
                <w:rFonts w:hint="eastAsia" w:ascii="仿宋" w:hAnsi="仿宋" w:eastAsia="仿宋" w:cs="微软雅黑"/>
                <w:sz w:val="24"/>
              </w:rPr>
            </w:pPr>
            <w:r>
              <w:rPr>
                <w:rFonts w:hint="eastAsia" w:ascii="仿宋" w:hAnsi="仿宋" w:eastAsia="仿宋" w:cs="微软雅黑"/>
                <w:sz w:val="24"/>
              </w:rPr>
              <w:t>应分析建设项目穿越山岭隧道的方案和弃渣存放点情况，进行合规性评价。</w:t>
            </w:r>
          </w:p>
        </w:tc>
        <w:tc>
          <w:tcPr>
            <w:tcW w:w="578" w:type="pct"/>
            <w:shd w:val="clear" w:color="auto" w:fill="FFFFFF" w:themeFill="background1"/>
            <w:noWrap/>
            <w:vAlign w:val="center"/>
          </w:tcPr>
          <w:p w14:paraId="42C33B00">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8.3.6</w:t>
            </w:r>
            <w:r>
              <w:rPr>
                <w:rFonts w:hint="eastAsia" w:ascii="仿宋" w:hAnsi="仿宋" w:eastAsia="仿宋"/>
                <w:sz w:val="24"/>
                <w:szCs w:val="24"/>
              </w:rPr>
              <w:t xml:space="preserve"> 山岭穿越</w:t>
            </w:r>
          </w:p>
        </w:tc>
        <w:tc>
          <w:tcPr>
            <w:tcW w:w="1473" w:type="pct"/>
            <w:shd w:val="clear" w:color="auto" w:fill="FFFFFF" w:themeFill="background1"/>
            <w:vAlign w:val="center"/>
          </w:tcPr>
          <w:p w14:paraId="56BB3C8D">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分析建设项目山岭穿越</w:t>
            </w:r>
            <w:r>
              <w:rPr>
                <w:rFonts w:hint="eastAsia" w:ascii="仿宋" w:hAnsi="仿宋" w:eastAsia="仿宋"/>
                <w:kern w:val="2"/>
                <w:sz w:val="24"/>
                <w:szCs w:val="24"/>
              </w:rPr>
              <w:t>方案、有毒有害气体防护、防腐层保护、弃渣存放点等情况，</w:t>
            </w:r>
            <w:r>
              <w:rPr>
                <w:rFonts w:hint="eastAsia" w:ascii="仿宋" w:hAnsi="仿宋" w:eastAsia="仿宋"/>
                <w:sz w:val="24"/>
                <w:szCs w:val="24"/>
              </w:rPr>
              <w:t>进行合规性评价。</w:t>
            </w:r>
          </w:p>
        </w:tc>
        <w:tc>
          <w:tcPr>
            <w:tcW w:w="768" w:type="pct"/>
            <w:shd w:val="clear" w:color="auto" w:fill="FFFFFF" w:themeFill="background1"/>
            <w:vAlign w:val="center"/>
          </w:tcPr>
          <w:p w14:paraId="680EC6FC">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637E8F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590F3E8B">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38DF4EB6">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8.2.7</w:t>
            </w:r>
            <w:r>
              <w:rPr>
                <w:rFonts w:hint="eastAsia" w:ascii="仿宋" w:hAnsi="仿宋" w:eastAsia="仿宋"/>
                <w:sz w:val="24"/>
                <w:szCs w:val="24"/>
              </w:rPr>
              <w:t xml:space="preserve"> 采矿区</w:t>
            </w:r>
          </w:p>
        </w:tc>
        <w:tc>
          <w:tcPr>
            <w:tcW w:w="1479" w:type="pct"/>
            <w:shd w:val="clear" w:color="auto" w:fill="FFFFFF" w:themeFill="background1"/>
            <w:vAlign w:val="center"/>
          </w:tcPr>
          <w:p w14:paraId="69DB6B64">
            <w:pPr>
              <w:pStyle w:val="155"/>
              <w:ind w:firstLine="485"/>
              <w:rPr>
                <w:rFonts w:hint="eastAsia" w:ascii="仿宋" w:hAnsi="仿宋" w:eastAsia="仿宋" w:cs="微软雅黑"/>
                <w:color w:val="000000"/>
                <w:sz w:val="24"/>
                <w:szCs w:val="24"/>
              </w:rPr>
            </w:pPr>
            <w:r>
              <w:rPr>
                <w:rFonts w:hint="eastAsia" w:ascii="仿宋" w:hAnsi="仿宋" w:eastAsia="仿宋"/>
                <w:sz w:val="24"/>
                <w:szCs w:val="24"/>
              </w:rPr>
              <w:t>应分析建设项目经过采矿区（固体、液体、气体）的情况（参考压覆矿产资源评估报告），进行合规性评价。</w:t>
            </w:r>
          </w:p>
        </w:tc>
        <w:tc>
          <w:tcPr>
            <w:tcW w:w="578" w:type="pct"/>
            <w:shd w:val="clear" w:color="auto" w:fill="FFFFFF" w:themeFill="background1"/>
            <w:noWrap/>
            <w:vAlign w:val="center"/>
          </w:tcPr>
          <w:p w14:paraId="21B3BBEA">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8.3.7</w:t>
            </w:r>
            <w:r>
              <w:rPr>
                <w:rFonts w:hint="eastAsia" w:ascii="仿宋" w:hAnsi="仿宋" w:eastAsia="仿宋"/>
                <w:sz w:val="24"/>
                <w:szCs w:val="24"/>
              </w:rPr>
              <w:t xml:space="preserve"> 采矿区</w:t>
            </w:r>
          </w:p>
        </w:tc>
        <w:tc>
          <w:tcPr>
            <w:tcW w:w="1473" w:type="pct"/>
            <w:shd w:val="clear" w:color="auto" w:fill="FFFFFF" w:themeFill="background1"/>
            <w:vAlign w:val="center"/>
          </w:tcPr>
          <w:p w14:paraId="073CB8A8">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分析建设项目经过采矿区（固体、液体、气体）的情况（结合压覆矿产资源评估报告），进行合规性评价。</w:t>
            </w:r>
          </w:p>
        </w:tc>
        <w:tc>
          <w:tcPr>
            <w:tcW w:w="768" w:type="pct"/>
            <w:shd w:val="clear" w:color="auto" w:fill="FFFFFF" w:themeFill="background1"/>
            <w:vAlign w:val="center"/>
          </w:tcPr>
          <w:p w14:paraId="3F84C4CC">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5AE894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095B3B04">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0BF3C765">
            <w:pPr>
              <w:pStyle w:val="153"/>
              <w:spacing w:before="156" w:after="156"/>
              <w:jc w:val="center"/>
              <w:rPr>
                <w:rFonts w:hint="eastAsia" w:ascii="仿宋" w:hAnsi="仿宋" w:eastAsia="仿宋" w:cs="微软雅黑"/>
                <w:color w:val="000000"/>
                <w:sz w:val="24"/>
                <w:szCs w:val="24"/>
                <w:lang w:val="en-US"/>
              </w:rPr>
            </w:pPr>
            <w:r>
              <w:rPr>
                <w:rFonts w:ascii="仿宋" w:hAnsi="仿宋" w:eastAsia="仿宋"/>
                <w:sz w:val="24"/>
                <w:szCs w:val="24"/>
                <w:lang w:val="en-US"/>
              </w:rPr>
              <w:t>8.2.8</w:t>
            </w:r>
            <w:r>
              <w:rPr>
                <w:rFonts w:hint="eastAsia" w:ascii="仿宋" w:hAnsi="仿宋" w:eastAsia="仿宋"/>
                <w:sz w:val="24"/>
                <w:szCs w:val="24"/>
                <w:lang w:val="en-US"/>
              </w:rPr>
              <w:t xml:space="preserve"> </w:t>
            </w:r>
            <w:r>
              <w:rPr>
                <w:rFonts w:hint="eastAsia" w:ascii="仿宋" w:hAnsi="仿宋" w:eastAsia="仿宋"/>
                <w:sz w:val="24"/>
                <w:szCs w:val="24"/>
              </w:rPr>
              <w:t>河流大、中型穿</w:t>
            </w:r>
            <w:r>
              <w:rPr>
                <w:rFonts w:hint="eastAsia" w:ascii="仿宋" w:hAnsi="仿宋" w:eastAsia="仿宋"/>
                <w:sz w:val="24"/>
                <w:szCs w:val="24"/>
                <w:lang w:val="en-US"/>
              </w:rPr>
              <w:t>（</w:t>
            </w:r>
            <w:r>
              <w:rPr>
                <w:rFonts w:hint="eastAsia" w:ascii="仿宋" w:hAnsi="仿宋" w:eastAsia="仿宋"/>
                <w:sz w:val="24"/>
                <w:szCs w:val="24"/>
              </w:rPr>
              <w:t>跨</w:t>
            </w:r>
            <w:r>
              <w:rPr>
                <w:rFonts w:hint="eastAsia" w:ascii="仿宋" w:hAnsi="仿宋" w:eastAsia="仿宋"/>
                <w:sz w:val="24"/>
                <w:szCs w:val="24"/>
                <w:lang w:val="en-US"/>
              </w:rPr>
              <w:t>）</w:t>
            </w:r>
            <w:r>
              <w:rPr>
                <w:rFonts w:hint="eastAsia" w:ascii="仿宋" w:hAnsi="仿宋" w:eastAsia="仿宋"/>
                <w:sz w:val="24"/>
                <w:szCs w:val="24"/>
              </w:rPr>
              <w:t>越</w:t>
            </w:r>
          </w:p>
        </w:tc>
        <w:tc>
          <w:tcPr>
            <w:tcW w:w="1479" w:type="pct"/>
            <w:shd w:val="clear" w:color="auto" w:fill="FFFFFF" w:themeFill="background1"/>
            <w:vAlign w:val="center"/>
          </w:tcPr>
          <w:p w14:paraId="22353759">
            <w:pPr>
              <w:pStyle w:val="155"/>
              <w:ind w:firstLine="485"/>
              <w:rPr>
                <w:rFonts w:hint="eastAsia" w:ascii="仿宋" w:hAnsi="仿宋" w:eastAsia="仿宋" w:cs="微软雅黑"/>
                <w:color w:val="000000"/>
                <w:sz w:val="24"/>
                <w:szCs w:val="24"/>
              </w:rPr>
            </w:pPr>
            <w:r>
              <w:rPr>
                <w:rFonts w:hint="eastAsia" w:ascii="仿宋" w:hAnsi="仿宋" w:eastAsia="仿宋"/>
                <w:sz w:val="24"/>
                <w:szCs w:val="24"/>
              </w:rPr>
              <w:t>应分析建设项目穿（跨）越大、中型河流情况（参考通航安全性评价报告），按照</w:t>
            </w:r>
            <w:r>
              <w:rPr>
                <w:rFonts w:ascii="仿宋" w:hAnsi="仿宋" w:eastAsia="仿宋"/>
                <w:sz w:val="24"/>
                <w:szCs w:val="24"/>
              </w:rPr>
              <w:t>GB 50423</w:t>
            </w:r>
            <w:r>
              <w:rPr>
                <w:rFonts w:hint="eastAsia" w:ascii="仿宋" w:hAnsi="仿宋" w:eastAsia="仿宋"/>
                <w:sz w:val="24"/>
                <w:szCs w:val="24"/>
              </w:rPr>
              <w:t>和</w:t>
            </w:r>
            <w:r>
              <w:rPr>
                <w:rFonts w:ascii="仿宋" w:hAnsi="仿宋" w:eastAsia="仿宋"/>
                <w:sz w:val="24"/>
                <w:szCs w:val="24"/>
              </w:rPr>
              <w:t>GB 50459</w:t>
            </w:r>
            <w:r>
              <w:rPr>
                <w:rFonts w:hint="eastAsia" w:ascii="仿宋" w:hAnsi="仿宋" w:eastAsia="仿宋"/>
                <w:sz w:val="24"/>
                <w:szCs w:val="24"/>
              </w:rPr>
              <w:t>等的规定进行合规性评价。</w:t>
            </w:r>
          </w:p>
        </w:tc>
        <w:tc>
          <w:tcPr>
            <w:tcW w:w="578" w:type="pct"/>
            <w:shd w:val="clear" w:color="auto" w:fill="FFFFFF" w:themeFill="background1"/>
            <w:noWrap/>
            <w:vAlign w:val="center"/>
          </w:tcPr>
          <w:p w14:paraId="6E991A03">
            <w:pPr>
              <w:pStyle w:val="153"/>
              <w:spacing w:before="156" w:after="156"/>
              <w:jc w:val="center"/>
              <w:rPr>
                <w:rFonts w:hint="eastAsia" w:ascii="仿宋" w:hAnsi="仿宋" w:eastAsia="仿宋" w:cs="微软雅黑"/>
                <w:color w:val="000000"/>
                <w:sz w:val="24"/>
                <w:szCs w:val="24"/>
                <w:lang w:val="en-US"/>
              </w:rPr>
            </w:pPr>
            <w:r>
              <w:rPr>
                <w:rFonts w:ascii="仿宋" w:hAnsi="仿宋" w:eastAsia="仿宋"/>
                <w:sz w:val="24"/>
                <w:szCs w:val="24"/>
                <w:lang w:val="en-US"/>
              </w:rPr>
              <w:t xml:space="preserve">8.3.8 </w:t>
            </w:r>
            <w:r>
              <w:rPr>
                <w:rFonts w:hint="eastAsia" w:ascii="仿宋" w:hAnsi="仿宋" w:eastAsia="仿宋"/>
                <w:sz w:val="24"/>
                <w:szCs w:val="24"/>
              </w:rPr>
              <w:t>水域大、中型穿</w:t>
            </w:r>
            <w:r>
              <w:rPr>
                <w:rFonts w:hint="eastAsia" w:ascii="仿宋" w:hAnsi="仿宋" w:eastAsia="仿宋"/>
                <w:sz w:val="24"/>
                <w:szCs w:val="24"/>
                <w:lang w:val="en-US"/>
              </w:rPr>
              <w:t>（</w:t>
            </w:r>
            <w:r>
              <w:rPr>
                <w:rFonts w:hint="eastAsia" w:ascii="仿宋" w:hAnsi="仿宋" w:eastAsia="仿宋"/>
                <w:sz w:val="24"/>
                <w:szCs w:val="24"/>
              </w:rPr>
              <w:t>跨</w:t>
            </w:r>
            <w:r>
              <w:rPr>
                <w:rFonts w:hint="eastAsia" w:ascii="仿宋" w:hAnsi="仿宋" w:eastAsia="仿宋"/>
                <w:sz w:val="24"/>
                <w:szCs w:val="24"/>
                <w:lang w:val="en-US"/>
              </w:rPr>
              <w:t>）</w:t>
            </w:r>
            <w:r>
              <w:rPr>
                <w:rFonts w:hint="eastAsia" w:ascii="仿宋" w:hAnsi="仿宋" w:eastAsia="仿宋"/>
                <w:sz w:val="24"/>
                <w:szCs w:val="24"/>
              </w:rPr>
              <w:t>越</w:t>
            </w:r>
          </w:p>
        </w:tc>
        <w:tc>
          <w:tcPr>
            <w:tcW w:w="1473" w:type="pct"/>
            <w:shd w:val="clear" w:color="auto" w:fill="FFFFFF" w:themeFill="background1"/>
            <w:vAlign w:val="center"/>
          </w:tcPr>
          <w:p w14:paraId="0287C647">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分析建设项目水域大、中型穿（跨）越情况（结合通航安全性评价报告），按照</w:t>
            </w:r>
            <w:r>
              <w:rPr>
                <w:rFonts w:ascii="仿宋" w:hAnsi="仿宋" w:eastAsia="仿宋"/>
                <w:sz w:val="24"/>
                <w:szCs w:val="24"/>
              </w:rPr>
              <w:t>GB 50423</w:t>
            </w:r>
            <w:r>
              <w:rPr>
                <w:rFonts w:hint="eastAsia" w:ascii="仿宋" w:hAnsi="仿宋" w:eastAsia="仿宋"/>
                <w:sz w:val="24"/>
                <w:szCs w:val="24"/>
              </w:rPr>
              <w:t>和</w:t>
            </w:r>
            <w:r>
              <w:rPr>
                <w:rFonts w:ascii="仿宋" w:hAnsi="仿宋" w:eastAsia="仿宋"/>
                <w:sz w:val="24"/>
                <w:szCs w:val="24"/>
              </w:rPr>
              <w:t>GB/T 50459</w:t>
            </w:r>
            <w:r>
              <w:rPr>
                <w:rFonts w:hint="eastAsia" w:ascii="仿宋" w:hAnsi="仿宋" w:eastAsia="仿宋"/>
                <w:sz w:val="24"/>
                <w:szCs w:val="24"/>
              </w:rPr>
              <w:t>等的规定进行合规性评价。</w:t>
            </w:r>
          </w:p>
        </w:tc>
        <w:tc>
          <w:tcPr>
            <w:tcW w:w="768" w:type="pct"/>
            <w:shd w:val="clear" w:color="auto" w:fill="FFFFFF" w:themeFill="background1"/>
            <w:vAlign w:val="center"/>
          </w:tcPr>
          <w:p w14:paraId="2DCE3589">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54E17A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27A51B04">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040A2BAB">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8.2.9</w:t>
            </w:r>
            <w:r>
              <w:rPr>
                <w:rFonts w:hint="eastAsia" w:ascii="仿宋" w:hAnsi="仿宋" w:eastAsia="仿宋"/>
                <w:sz w:val="24"/>
                <w:szCs w:val="24"/>
              </w:rPr>
              <w:t xml:space="preserve"> 与架空输电线路并行交叉</w:t>
            </w:r>
          </w:p>
        </w:tc>
        <w:tc>
          <w:tcPr>
            <w:tcW w:w="1479" w:type="pct"/>
            <w:shd w:val="clear" w:color="auto" w:fill="FFFFFF" w:themeFill="background1"/>
            <w:vAlign w:val="center"/>
          </w:tcPr>
          <w:p w14:paraId="1539EFFA">
            <w:pPr>
              <w:pStyle w:val="155"/>
              <w:ind w:firstLine="485"/>
              <w:rPr>
                <w:rFonts w:hint="eastAsia" w:ascii="仿宋" w:hAnsi="仿宋" w:eastAsia="仿宋" w:cs="微软雅黑"/>
                <w:color w:val="000000"/>
                <w:sz w:val="24"/>
                <w:szCs w:val="24"/>
              </w:rPr>
            </w:pPr>
            <w:r>
              <w:rPr>
                <w:rFonts w:hint="eastAsia" w:ascii="仿宋" w:hAnsi="仿宋" w:eastAsia="仿宋"/>
                <w:sz w:val="24"/>
                <w:szCs w:val="24"/>
              </w:rPr>
              <w:t>应分析建设项目与架空输电线路并行、交叉情况，按照</w:t>
            </w:r>
            <w:r>
              <w:rPr>
                <w:rFonts w:ascii="仿宋" w:hAnsi="仿宋" w:eastAsia="仿宋"/>
                <w:sz w:val="24"/>
                <w:szCs w:val="24"/>
              </w:rPr>
              <w:t>GB 50061</w:t>
            </w:r>
            <w:r>
              <w:rPr>
                <w:rFonts w:hint="eastAsia" w:ascii="仿宋" w:hAnsi="仿宋" w:eastAsia="仿宋"/>
                <w:sz w:val="24"/>
                <w:szCs w:val="24"/>
              </w:rPr>
              <w:t>、</w:t>
            </w:r>
            <w:r>
              <w:rPr>
                <w:rFonts w:ascii="仿宋" w:hAnsi="仿宋" w:eastAsia="仿宋"/>
                <w:sz w:val="24"/>
                <w:szCs w:val="24"/>
              </w:rPr>
              <w:t>GB 50545</w:t>
            </w:r>
            <w:r>
              <w:rPr>
                <w:rFonts w:hint="eastAsia" w:ascii="仿宋" w:hAnsi="仿宋" w:eastAsia="仿宋"/>
                <w:sz w:val="24"/>
                <w:szCs w:val="24"/>
              </w:rPr>
              <w:t>、</w:t>
            </w:r>
            <w:r>
              <w:rPr>
                <w:rFonts w:ascii="仿宋" w:hAnsi="仿宋" w:eastAsia="仿宋"/>
                <w:sz w:val="24"/>
                <w:szCs w:val="24"/>
              </w:rPr>
              <w:t>GB/T 50698</w:t>
            </w:r>
            <w:r>
              <w:rPr>
                <w:rFonts w:hint="eastAsia" w:ascii="仿宋" w:hAnsi="仿宋" w:eastAsia="仿宋"/>
                <w:sz w:val="24"/>
                <w:szCs w:val="24"/>
              </w:rPr>
              <w:t>和</w:t>
            </w:r>
            <w:r>
              <w:rPr>
                <w:rFonts w:ascii="仿宋" w:hAnsi="仿宋" w:eastAsia="仿宋"/>
                <w:sz w:val="24"/>
                <w:szCs w:val="24"/>
              </w:rPr>
              <w:t>GB/T 21447</w:t>
            </w:r>
            <w:r>
              <w:rPr>
                <w:rFonts w:hint="eastAsia" w:ascii="仿宋" w:hAnsi="仿宋" w:eastAsia="仿宋"/>
                <w:sz w:val="24"/>
                <w:szCs w:val="24"/>
              </w:rPr>
              <w:t>等的规定进行合规性评价。</w:t>
            </w:r>
          </w:p>
        </w:tc>
        <w:tc>
          <w:tcPr>
            <w:tcW w:w="578" w:type="pct"/>
            <w:shd w:val="clear" w:color="auto" w:fill="FFFFFF" w:themeFill="background1"/>
            <w:noWrap/>
            <w:vAlign w:val="center"/>
          </w:tcPr>
          <w:p w14:paraId="6AB80DC7">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8.3.9</w:t>
            </w:r>
            <w:r>
              <w:rPr>
                <w:rFonts w:hint="eastAsia" w:ascii="仿宋" w:hAnsi="仿宋" w:eastAsia="仿宋"/>
                <w:sz w:val="24"/>
                <w:szCs w:val="24"/>
              </w:rPr>
              <w:t xml:space="preserve"> 与架空输电线路并行交叉</w:t>
            </w:r>
          </w:p>
        </w:tc>
        <w:tc>
          <w:tcPr>
            <w:tcW w:w="1473" w:type="pct"/>
            <w:shd w:val="clear" w:color="auto" w:fill="FFFFFF" w:themeFill="background1"/>
            <w:vAlign w:val="center"/>
          </w:tcPr>
          <w:p w14:paraId="31F581D5">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分析建设项目与架空输电线路并行、交叉情况，按照</w:t>
            </w:r>
            <w:r>
              <w:rPr>
                <w:rFonts w:ascii="仿宋" w:hAnsi="仿宋" w:eastAsia="仿宋"/>
                <w:sz w:val="24"/>
                <w:szCs w:val="24"/>
              </w:rPr>
              <w:t>GB 50061</w:t>
            </w:r>
            <w:r>
              <w:rPr>
                <w:rFonts w:hint="eastAsia" w:ascii="仿宋" w:hAnsi="仿宋" w:eastAsia="仿宋"/>
                <w:sz w:val="24"/>
                <w:szCs w:val="24"/>
              </w:rPr>
              <w:t>、</w:t>
            </w:r>
            <w:r>
              <w:rPr>
                <w:rFonts w:ascii="仿宋" w:hAnsi="仿宋" w:eastAsia="仿宋"/>
                <w:sz w:val="24"/>
                <w:szCs w:val="24"/>
              </w:rPr>
              <w:t>GB 50545</w:t>
            </w:r>
            <w:r>
              <w:rPr>
                <w:rFonts w:hint="eastAsia" w:ascii="仿宋" w:hAnsi="仿宋" w:eastAsia="仿宋"/>
                <w:sz w:val="24"/>
                <w:szCs w:val="24"/>
              </w:rPr>
              <w:t>、</w:t>
            </w:r>
            <w:r>
              <w:rPr>
                <w:rFonts w:ascii="仿宋" w:hAnsi="仿宋" w:eastAsia="仿宋"/>
                <w:sz w:val="24"/>
                <w:szCs w:val="24"/>
              </w:rPr>
              <w:t>GB/T 50698</w:t>
            </w:r>
            <w:r>
              <w:rPr>
                <w:rFonts w:hint="eastAsia" w:ascii="仿宋" w:hAnsi="仿宋" w:eastAsia="仿宋"/>
                <w:sz w:val="24"/>
                <w:szCs w:val="24"/>
              </w:rPr>
              <w:t>和</w:t>
            </w:r>
            <w:r>
              <w:rPr>
                <w:rFonts w:ascii="仿宋" w:hAnsi="仿宋" w:eastAsia="仿宋"/>
                <w:sz w:val="24"/>
                <w:szCs w:val="24"/>
              </w:rPr>
              <w:t>GB/T 21447</w:t>
            </w:r>
            <w:r>
              <w:rPr>
                <w:rFonts w:hint="eastAsia" w:ascii="仿宋" w:hAnsi="仿宋" w:eastAsia="仿宋"/>
                <w:sz w:val="24"/>
                <w:szCs w:val="24"/>
              </w:rPr>
              <w:t>等的规定进行合规性评价。</w:t>
            </w:r>
          </w:p>
        </w:tc>
        <w:tc>
          <w:tcPr>
            <w:tcW w:w="768" w:type="pct"/>
            <w:shd w:val="clear" w:color="auto" w:fill="FFFFFF" w:themeFill="background1"/>
            <w:vAlign w:val="center"/>
          </w:tcPr>
          <w:p w14:paraId="3282897E">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341620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692CC2EC">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753EC3C7">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8.2.10</w:t>
            </w:r>
            <w:r>
              <w:rPr>
                <w:rFonts w:hint="eastAsia" w:ascii="仿宋" w:hAnsi="仿宋" w:eastAsia="仿宋"/>
                <w:sz w:val="24"/>
                <w:szCs w:val="24"/>
              </w:rPr>
              <w:t xml:space="preserve"> 与铁路并行交叉</w:t>
            </w:r>
          </w:p>
        </w:tc>
        <w:tc>
          <w:tcPr>
            <w:tcW w:w="1479" w:type="pct"/>
            <w:shd w:val="clear" w:color="auto" w:fill="FFFFFF" w:themeFill="background1"/>
            <w:vAlign w:val="center"/>
          </w:tcPr>
          <w:p w14:paraId="03E9A6A7">
            <w:pPr>
              <w:pStyle w:val="155"/>
              <w:ind w:firstLine="485"/>
              <w:rPr>
                <w:rFonts w:hint="eastAsia" w:ascii="仿宋" w:hAnsi="仿宋" w:eastAsia="仿宋" w:cs="微软雅黑"/>
                <w:color w:val="000000"/>
                <w:sz w:val="24"/>
                <w:szCs w:val="24"/>
              </w:rPr>
            </w:pPr>
            <w:r>
              <w:rPr>
                <w:rFonts w:hint="eastAsia" w:ascii="仿宋" w:hAnsi="仿宋" w:eastAsia="仿宋"/>
                <w:sz w:val="24"/>
                <w:szCs w:val="24"/>
              </w:rPr>
              <w:t>应分析建设项目与铁路并行、交叉情况，按照《铁路安全管理条例》、《油气输送管道与铁路交汇工程技术及管理规定》、</w:t>
            </w:r>
            <w:r>
              <w:rPr>
                <w:rFonts w:ascii="仿宋" w:hAnsi="仿宋" w:eastAsia="仿宋"/>
                <w:sz w:val="24"/>
                <w:szCs w:val="24"/>
              </w:rPr>
              <w:t>GB 50423</w:t>
            </w:r>
            <w:r>
              <w:rPr>
                <w:rFonts w:hint="eastAsia" w:ascii="仿宋" w:hAnsi="仿宋" w:eastAsia="仿宋"/>
                <w:sz w:val="24"/>
                <w:szCs w:val="24"/>
              </w:rPr>
              <w:t>和</w:t>
            </w:r>
            <w:r>
              <w:rPr>
                <w:rFonts w:ascii="仿宋" w:hAnsi="仿宋" w:eastAsia="仿宋"/>
                <w:sz w:val="24"/>
                <w:szCs w:val="24"/>
              </w:rPr>
              <w:t>GB 50459</w:t>
            </w:r>
            <w:r>
              <w:rPr>
                <w:rFonts w:hint="eastAsia" w:ascii="仿宋" w:hAnsi="仿宋" w:eastAsia="仿宋"/>
                <w:sz w:val="24"/>
                <w:szCs w:val="24"/>
              </w:rPr>
              <w:t>等的规定进行合规性评价。</w:t>
            </w:r>
          </w:p>
        </w:tc>
        <w:tc>
          <w:tcPr>
            <w:tcW w:w="578" w:type="pct"/>
            <w:shd w:val="clear" w:color="auto" w:fill="FFFFFF" w:themeFill="background1"/>
            <w:noWrap/>
            <w:vAlign w:val="center"/>
          </w:tcPr>
          <w:p w14:paraId="35AB03CC">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8.3.10</w:t>
            </w:r>
            <w:r>
              <w:rPr>
                <w:rFonts w:hint="eastAsia" w:ascii="仿宋" w:hAnsi="仿宋" w:eastAsia="仿宋"/>
                <w:sz w:val="24"/>
                <w:szCs w:val="24"/>
              </w:rPr>
              <w:t xml:space="preserve"> 与铁路并行交叉</w:t>
            </w:r>
          </w:p>
        </w:tc>
        <w:tc>
          <w:tcPr>
            <w:tcW w:w="1473" w:type="pct"/>
            <w:shd w:val="clear" w:color="auto" w:fill="FFFFFF" w:themeFill="background1"/>
            <w:vAlign w:val="center"/>
          </w:tcPr>
          <w:p w14:paraId="7CBD8C9C">
            <w:pPr>
              <w:pStyle w:val="35"/>
              <w:spacing w:line="240" w:lineRule="auto"/>
              <w:ind w:firstLine="0" w:firstLineChars="0"/>
              <w:rPr>
                <w:rFonts w:hint="eastAsia" w:ascii="仿宋" w:hAnsi="仿宋" w:eastAsia="仿宋" w:cs="微软雅黑"/>
                <w:sz w:val="24"/>
                <w:szCs w:val="24"/>
              </w:rPr>
            </w:pPr>
            <w:r>
              <w:rPr>
                <w:rFonts w:hint="eastAsia" w:ascii="仿宋" w:hAnsi="仿宋" w:eastAsia="仿宋"/>
                <w:color w:val="auto"/>
                <w:kern w:val="0"/>
                <w:sz w:val="24"/>
                <w:szCs w:val="24"/>
              </w:rPr>
              <w:t>分析建设项目与铁路并行、交叉情况，依据《铁路安全管理条例》并按照《油气输送管道与铁路交汇工程技术及管理规定》、</w:t>
            </w:r>
            <w:r>
              <w:rPr>
                <w:rFonts w:ascii="仿宋" w:hAnsi="仿宋" w:eastAsia="仿宋"/>
                <w:color w:val="auto"/>
                <w:kern w:val="0"/>
                <w:sz w:val="24"/>
                <w:szCs w:val="24"/>
              </w:rPr>
              <w:t>GB 50423</w:t>
            </w:r>
            <w:r>
              <w:rPr>
                <w:rFonts w:hint="eastAsia" w:ascii="仿宋" w:hAnsi="仿宋" w:eastAsia="仿宋"/>
                <w:color w:val="auto"/>
                <w:kern w:val="0"/>
                <w:sz w:val="24"/>
                <w:szCs w:val="24"/>
              </w:rPr>
              <w:t>和</w:t>
            </w:r>
            <w:r>
              <w:rPr>
                <w:rFonts w:ascii="仿宋" w:hAnsi="仿宋" w:eastAsia="仿宋"/>
                <w:color w:val="auto"/>
                <w:kern w:val="0"/>
                <w:sz w:val="24"/>
                <w:szCs w:val="24"/>
              </w:rPr>
              <w:t>GB 50459</w:t>
            </w:r>
            <w:r>
              <w:rPr>
                <w:rFonts w:hint="eastAsia" w:ascii="仿宋" w:hAnsi="仿宋" w:eastAsia="仿宋"/>
                <w:color w:val="auto"/>
                <w:kern w:val="0"/>
                <w:sz w:val="24"/>
                <w:szCs w:val="24"/>
              </w:rPr>
              <w:t>等的规定进行合规性评价。</w:t>
            </w:r>
          </w:p>
        </w:tc>
        <w:tc>
          <w:tcPr>
            <w:tcW w:w="768" w:type="pct"/>
            <w:shd w:val="clear" w:color="auto" w:fill="FFFFFF" w:themeFill="background1"/>
            <w:vAlign w:val="center"/>
          </w:tcPr>
          <w:p w14:paraId="0EC84545">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6AEA43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4FEEEC60">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1BEEEC94">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8.2.11</w:t>
            </w:r>
            <w:r>
              <w:rPr>
                <w:rFonts w:hint="eastAsia" w:ascii="仿宋" w:hAnsi="仿宋" w:eastAsia="仿宋"/>
                <w:sz w:val="24"/>
                <w:szCs w:val="24"/>
              </w:rPr>
              <w:t xml:space="preserve"> 与公路并行交叉</w:t>
            </w:r>
          </w:p>
        </w:tc>
        <w:tc>
          <w:tcPr>
            <w:tcW w:w="1479" w:type="pct"/>
            <w:shd w:val="clear" w:color="auto" w:fill="FFFFFF" w:themeFill="background1"/>
            <w:vAlign w:val="center"/>
          </w:tcPr>
          <w:p w14:paraId="37F6AB1B">
            <w:pPr>
              <w:pStyle w:val="155"/>
              <w:ind w:firstLine="485"/>
              <w:rPr>
                <w:rFonts w:hint="eastAsia" w:ascii="仿宋" w:hAnsi="仿宋" w:eastAsia="仿宋" w:cs="微软雅黑"/>
                <w:color w:val="000000"/>
                <w:sz w:val="24"/>
                <w:szCs w:val="24"/>
              </w:rPr>
            </w:pPr>
            <w:r>
              <w:rPr>
                <w:rFonts w:hint="eastAsia" w:ascii="仿宋" w:hAnsi="仿宋" w:eastAsia="仿宋"/>
                <w:sz w:val="24"/>
                <w:szCs w:val="24"/>
              </w:rPr>
              <w:t>应分析建设项目与公路并行、交叉情况，按照《公路安全保护条例》、《关于规范公路桥梁与石油天然气管道交叉工程管理的通知》、</w:t>
            </w:r>
            <w:r>
              <w:rPr>
                <w:rFonts w:ascii="仿宋" w:hAnsi="仿宋" w:eastAsia="仿宋"/>
                <w:sz w:val="24"/>
                <w:szCs w:val="24"/>
              </w:rPr>
              <w:t>GB 50423</w:t>
            </w:r>
            <w:r>
              <w:rPr>
                <w:rFonts w:hint="eastAsia" w:ascii="仿宋" w:hAnsi="仿宋" w:eastAsia="仿宋"/>
                <w:sz w:val="24"/>
                <w:szCs w:val="24"/>
              </w:rPr>
              <w:t>、</w:t>
            </w:r>
            <w:r>
              <w:rPr>
                <w:rFonts w:ascii="仿宋" w:hAnsi="仿宋" w:eastAsia="仿宋"/>
                <w:sz w:val="24"/>
                <w:szCs w:val="24"/>
              </w:rPr>
              <w:t>GB 50460</w:t>
            </w:r>
            <w:r>
              <w:rPr>
                <w:rFonts w:hint="eastAsia" w:ascii="仿宋" w:hAnsi="仿宋" w:eastAsia="仿宋"/>
                <w:sz w:val="24"/>
                <w:szCs w:val="24"/>
              </w:rPr>
              <w:t>等的规定进行合规性评价。</w:t>
            </w:r>
          </w:p>
        </w:tc>
        <w:tc>
          <w:tcPr>
            <w:tcW w:w="578" w:type="pct"/>
            <w:shd w:val="clear" w:color="auto" w:fill="FFFFFF" w:themeFill="background1"/>
            <w:noWrap/>
            <w:vAlign w:val="center"/>
          </w:tcPr>
          <w:p w14:paraId="0D0EED46">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8.3.11</w:t>
            </w:r>
            <w:r>
              <w:rPr>
                <w:rFonts w:hint="eastAsia" w:ascii="仿宋" w:hAnsi="仿宋" w:eastAsia="仿宋"/>
                <w:sz w:val="24"/>
                <w:szCs w:val="24"/>
              </w:rPr>
              <w:t xml:space="preserve"> 与公路并行交叉</w:t>
            </w:r>
          </w:p>
        </w:tc>
        <w:tc>
          <w:tcPr>
            <w:tcW w:w="1473" w:type="pct"/>
            <w:shd w:val="clear" w:color="auto" w:fill="FFFFFF" w:themeFill="background1"/>
            <w:vAlign w:val="center"/>
          </w:tcPr>
          <w:p w14:paraId="10B14E54">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分析建设项目与公路并行、交叉情况，依据《公路安全保护条例》并按照《关于规范公路桥梁与石油天然气管道交叉工程管理的通知》、</w:t>
            </w:r>
            <w:r>
              <w:rPr>
                <w:rFonts w:ascii="仿宋" w:hAnsi="仿宋" w:eastAsia="仿宋"/>
                <w:sz w:val="24"/>
                <w:szCs w:val="24"/>
              </w:rPr>
              <w:t>GB 50423</w:t>
            </w:r>
            <w:r>
              <w:rPr>
                <w:rFonts w:hint="eastAsia" w:ascii="仿宋" w:hAnsi="仿宋" w:eastAsia="仿宋"/>
                <w:sz w:val="24"/>
                <w:szCs w:val="24"/>
              </w:rPr>
              <w:t>、</w:t>
            </w:r>
            <w:r>
              <w:rPr>
                <w:rFonts w:ascii="仿宋" w:hAnsi="仿宋" w:eastAsia="仿宋"/>
                <w:sz w:val="24"/>
                <w:szCs w:val="24"/>
              </w:rPr>
              <w:t>GB 50460</w:t>
            </w:r>
            <w:r>
              <w:rPr>
                <w:rFonts w:hint="eastAsia" w:ascii="仿宋" w:hAnsi="仿宋" w:eastAsia="仿宋"/>
                <w:sz w:val="24"/>
                <w:szCs w:val="24"/>
              </w:rPr>
              <w:t>等的规定进行合规性评价。</w:t>
            </w:r>
          </w:p>
        </w:tc>
        <w:tc>
          <w:tcPr>
            <w:tcW w:w="768" w:type="pct"/>
            <w:shd w:val="clear" w:color="auto" w:fill="FFFFFF" w:themeFill="background1"/>
            <w:vAlign w:val="center"/>
          </w:tcPr>
          <w:p w14:paraId="7D16B352">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67978D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165" w:type="pct"/>
            <w:shd w:val="clear" w:color="auto" w:fill="FFFFFF" w:themeFill="background1"/>
            <w:noWrap/>
            <w:vAlign w:val="center"/>
          </w:tcPr>
          <w:p w14:paraId="382F6918">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0DDF9FF4">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8.2.12</w:t>
            </w:r>
            <w:r>
              <w:rPr>
                <w:rFonts w:hint="eastAsia" w:ascii="仿宋" w:hAnsi="仿宋" w:eastAsia="仿宋"/>
                <w:sz w:val="24"/>
                <w:szCs w:val="24"/>
              </w:rPr>
              <w:t xml:space="preserve"> 与其他管道并行交叉</w:t>
            </w:r>
          </w:p>
        </w:tc>
        <w:tc>
          <w:tcPr>
            <w:tcW w:w="1479" w:type="pct"/>
            <w:shd w:val="clear" w:color="auto" w:fill="FFFFFF" w:themeFill="background1"/>
            <w:vAlign w:val="center"/>
          </w:tcPr>
          <w:p w14:paraId="57080C23">
            <w:pPr>
              <w:pStyle w:val="155"/>
              <w:ind w:firstLine="485"/>
              <w:rPr>
                <w:rFonts w:hint="eastAsia" w:ascii="仿宋" w:hAnsi="仿宋" w:eastAsia="仿宋" w:cs="微软雅黑"/>
                <w:color w:val="000000"/>
                <w:sz w:val="24"/>
                <w:szCs w:val="24"/>
              </w:rPr>
            </w:pPr>
            <w:r>
              <w:rPr>
                <w:rFonts w:hint="eastAsia" w:ascii="仿宋" w:hAnsi="仿宋" w:eastAsia="仿宋"/>
                <w:sz w:val="24"/>
                <w:szCs w:val="24"/>
              </w:rPr>
              <w:t>应分析建设项目与其他管道（含油气管道、市政管道）并行、交叉情况，进行合规性评价。</w:t>
            </w:r>
          </w:p>
        </w:tc>
        <w:tc>
          <w:tcPr>
            <w:tcW w:w="578" w:type="pct"/>
            <w:shd w:val="clear" w:color="auto" w:fill="FFFFFF" w:themeFill="background1"/>
            <w:noWrap/>
            <w:vAlign w:val="center"/>
          </w:tcPr>
          <w:p w14:paraId="6AC672E7">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8.3.12</w:t>
            </w:r>
            <w:r>
              <w:rPr>
                <w:rFonts w:hint="eastAsia" w:ascii="仿宋" w:hAnsi="仿宋" w:eastAsia="仿宋"/>
                <w:sz w:val="24"/>
                <w:szCs w:val="24"/>
              </w:rPr>
              <w:t xml:space="preserve"> 与其他管道并行交叉</w:t>
            </w:r>
          </w:p>
        </w:tc>
        <w:tc>
          <w:tcPr>
            <w:tcW w:w="1473" w:type="pct"/>
            <w:shd w:val="clear" w:color="auto" w:fill="FFFFFF" w:themeFill="background1"/>
            <w:vAlign w:val="center"/>
          </w:tcPr>
          <w:p w14:paraId="5A33001A">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分析建设项目与其他管道（含油气管道、市政管道）并行、交叉情况，进行合规性评价。</w:t>
            </w:r>
          </w:p>
        </w:tc>
        <w:tc>
          <w:tcPr>
            <w:tcW w:w="768" w:type="pct"/>
            <w:shd w:val="clear" w:color="auto" w:fill="FFFFFF" w:themeFill="background1"/>
            <w:vAlign w:val="center"/>
          </w:tcPr>
          <w:p w14:paraId="7197CCC5">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153279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3C2C16A9">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026E2445">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8.2.13</w:t>
            </w:r>
            <w:r>
              <w:rPr>
                <w:rFonts w:hint="eastAsia" w:ascii="仿宋" w:hAnsi="仿宋" w:eastAsia="仿宋"/>
                <w:sz w:val="24"/>
                <w:szCs w:val="24"/>
              </w:rPr>
              <w:t xml:space="preserve"> 标识与伴行路</w:t>
            </w:r>
          </w:p>
        </w:tc>
        <w:tc>
          <w:tcPr>
            <w:tcW w:w="1479" w:type="pct"/>
            <w:shd w:val="clear" w:color="auto" w:fill="FFFFFF" w:themeFill="background1"/>
            <w:vAlign w:val="center"/>
          </w:tcPr>
          <w:p w14:paraId="56721A7F">
            <w:pPr>
              <w:pStyle w:val="155"/>
              <w:ind w:firstLine="485"/>
              <w:rPr>
                <w:rFonts w:hint="eastAsia" w:ascii="仿宋" w:hAnsi="仿宋" w:eastAsia="仿宋" w:cs="微软雅黑"/>
                <w:color w:val="000000"/>
                <w:sz w:val="24"/>
                <w:szCs w:val="24"/>
              </w:rPr>
            </w:pPr>
            <w:r>
              <w:rPr>
                <w:rFonts w:hint="eastAsia" w:ascii="仿宋" w:hAnsi="仿宋" w:eastAsia="仿宋"/>
                <w:sz w:val="24"/>
                <w:szCs w:val="24"/>
              </w:rPr>
              <w:t>应分析管道标识与伴行路设置情况，按照</w:t>
            </w:r>
            <w:r>
              <w:rPr>
                <w:rFonts w:ascii="仿宋" w:hAnsi="仿宋" w:eastAsia="仿宋"/>
                <w:sz w:val="24"/>
                <w:szCs w:val="24"/>
              </w:rPr>
              <w:t>SY/T 6064</w:t>
            </w:r>
            <w:r>
              <w:rPr>
                <w:rFonts w:hint="eastAsia" w:ascii="仿宋" w:hAnsi="仿宋" w:eastAsia="仿宋"/>
                <w:sz w:val="24"/>
                <w:szCs w:val="24"/>
              </w:rPr>
              <w:t>等的规定对标识进行合规性评价，对伴行路进行合规性评价。</w:t>
            </w:r>
          </w:p>
        </w:tc>
        <w:tc>
          <w:tcPr>
            <w:tcW w:w="578" w:type="pct"/>
            <w:shd w:val="clear" w:color="auto" w:fill="FFFFFF" w:themeFill="background1"/>
            <w:noWrap/>
            <w:vAlign w:val="center"/>
          </w:tcPr>
          <w:p w14:paraId="726F5327">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8.3.13</w:t>
            </w:r>
            <w:r>
              <w:rPr>
                <w:rFonts w:hint="eastAsia" w:ascii="仿宋" w:hAnsi="仿宋" w:eastAsia="仿宋"/>
                <w:sz w:val="24"/>
                <w:szCs w:val="24"/>
              </w:rPr>
              <w:t xml:space="preserve"> 标识与伴行道路</w:t>
            </w:r>
          </w:p>
        </w:tc>
        <w:tc>
          <w:tcPr>
            <w:tcW w:w="1473" w:type="pct"/>
            <w:shd w:val="clear" w:color="auto" w:fill="FFFFFF" w:themeFill="background1"/>
            <w:vAlign w:val="center"/>
          </w:tcPr>
          <w:p w14:paraId="33D5E7EB">
            <w:pPr>
              <w:pStyle w:val="155"/>
              <w:ind w:firstLine="0" w:firstLineChars="0"/>
              <w:rPr>
                <w:rFonts w:hint="eastAsia" w:ascii="仿宋" w:hAnsi="仿宋" w:eastAsia="仿宋"/>
                <w:sz w:val="24"/>
                <w:szCs w:val="24"/>
              </w:rPr>
            </w:pPr>
            <w:r>
              <w:rPr>
                <w:rFonts w:hint="eastAsia" w:ascii="仿宋" w:hAnsi="仿宋" w:eastAsia="仿宋"/>
                <w:sz w:val="24"/>
                <w:szCs w:val="24"/>
              </w:rPr>
              <w:t>分析管道标识、高后果区标识和伴行道路设置情况，按照SY/T 6064等的规定对标识进行合规性评价，对高后果区标识和伴行道路设置进行合规性评价。</w:t>
            </w:r>
          </w:p>
        </w:tc>
        <w:tc>
          <w:tcPr>
            <w:tcW w:w="768" w:type="pct"/>
            <w:shd w:val="clear" w:color="auto" w:fill="FFFFFF" w:themeFill="background1"/>
            <w:vAlign w:val="center"/>
          </w:tcPr>
          <w:p w14:paraId="302EF9D0">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2AC8D3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4C6934C5">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7B1A522A">
            <w:pPr>
              <w:pStyle w:val="65"/>
              <w:ind w:firstLine="0" w:firstLineChars="0"/>
              <w:jc w:val="center"/>
              <w:rPr>
                <w:rFonts w:hint="eastAsia" w:ascii="仿宋" w:hAnsi="仿宋" w:eastAsia="仿宋" w:cs="微软雅黑"/>
                <w:color w:val="000000"/>
                <w:sz w:val="24"/>
                <w:szCs w:val="24"/>
              </w:rPr>
            </w:pPr>
            <w:r>
              <w:rPr>
                <w:rFonts w:ascii="仿宋" w:hAnsi="仿宋" w:eastAsia="仿宋"/>
                <w:color w:val="000000" w:themeColor="text1"/>
                <w:sz w:val="24"/>
                <w:szCs w:val="24"/>
                <w14:textFill>
                  <w14:solidFill>
                    <w14:schemeClr w14:val="tx1"/>
                  </w14:solidFill>
                </w14:textFill>
              </w:rPr>
              <w:t>8.2.14</w:t>
            </w:r>
            <w:r>
              <w:rPr>
                <w:rFonts w:hint="eastAsia" w:ascii="仿宋" w:hAnsi="仿宋" w:eastAsia="仿宋"/>
                <w:color w:val="000000" w:themeColor="text1"/>
                <w:sz w:val="24"/>
                <w:szCs w:val="24"/>
                <w14:textFill>
                  <w14:solidFill>
                    <w14:schemeClr w14:val="tx1"/>
                  </w14:solidFill>
                </w14:textFill>
              </w:rPr>
              <w:t xml:space="preserve"> 阀室</w:t>
            </w:r>
          </w:p>
        </w:tc>
        <w:tc>
          <w:tcPr>
            <w:tcW w:w="1479" w:type="pct"/>
            <w:shd w:val="clear" w:color="auto" w:fill="FFFFFF" w:themeFill="background1"/>
            <w:vAlign w:val="center"/>
          </w:tcPr>
          <w:p w14:paraId="3BCF04FA">
            <w:pPr>
              <w:pStyle w:val="155"/>
              <w:ind w:firstLine="485"/>
              <w:rPr>
                <w:rFonts w:hint="eastAsia" w:ascii="仿宋" w:hAnsi="仿宋" w:eastAsia="仿宋"/>
                <w:sz w:val="24"/>
                <w:szCs w:val="24"/>
              </w:rPr>
            </w:pPr>
            <w:r>
              <w:rPr>
                <w:rFonts w:hint="eastAsia" w:ascii="仿宋" w:hAnsi="仿宋" w:eastAsia="仿宋"/>
                <w:sz w:val="24"/>
                <w:szCs w:val="24"/>
              </w:rPr>
              <w:t>应分析阀室（含输气管道的放空立管）设置情况（参考防洪影响评价报告或当地涝灾情况），按照</w:t>
            </w:r>
            <w:r>
              <w:rPr>
                <w:rFonts w:ascii="仿宋" w:hAnsi="仿宋" w:eastAsia="仿宋"/>
                <w:sz w:val="24"/>
                <w:szCs w:val="24"/>
              </w:rPr>
              <w:t>GB 50251</w:t>
            </w:r>
            <w:r>
              <w:rPr>
                <w:rFonts w:hint="eastAsia" w:ascii="仿宋" w:hAnsi="仿宋" w:eastAsia="仿宋"/>
                <w:sz w:val="24"/>
                <w:szCs w:val="24"/>
              </w:rPr>
              <w:t>、</w:t>
            </w:r>
            <w:r>
              <w:rPr>
                <w:rFonts w:ascii="仿宋" w:hAnsi="仿宋" w:eastAsia="仿宋"/>
                <w:sz w:val="24"/>
                <w:szCs w:val="24"/>
              </w:rPr>
              <w:t>GB 50253</w:t>
            </w:r>
            <w:r>
              <w:rPr>
                <w:rFonts w:hint="eastAsia" w:ascii="仿宋" w:hAnsi="仿宋" w:eastAsia="仿宋"/>
                <w:sz w:val="24"/>
                <w:szCs w:val="24"/>
              </w:rPr>
              <w:t>等的规定进行合规性评价。</w:t>
            </w:r>
          </w:p>
          <w:p w14:paraId="0FFEBE12">
            <w:pPr>
              <w:jc w:val="left"/>
              <w:textAlignment w:val="center"/>
              <w:rPr>
                <w:rFonts w:hint="eastAsia" w:ascii="仿宋" w:hAnsi="仿宋" w:eastAsia="仿宋" w:cs="微软雅黑"/>
                <w:sz w:val="24"/>
              </w:rPr>
            </w:pPr>
          </w:p>
        </w:tc>
        <w:tc>
          <w:tcPr>
            <w:tcW w:w="578" w:type="pct"/>
            <w:shd w:val="clear" w:color="auto" w:fill="FFFFFF" w:themeFill="background1"/>
            <w:noWrap/>
            <w:vAlign w:val="center"/>
          </w:tcPr>
          <w:p w14:paraId="3ACE6473">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8.3.14</w:t>
            </w:r>
            <w:r>
              <w:rPr>
                <w:rFonts w:hint="eastAsia" w:ascii="仿宋" w:hAnsi="仿宋" w:eastAsia="仿宋"/>
                <w:sz w:val="24"/>
                <w:szCs w:val="24"/>
              </w:rPr>
              <w:t xml:space="preserve"> 截断阀室</w:t>
            </w:r>
          </w:p>
        </w:tc>
        <w:tc>
          <w:tcPr>
            <w:tcW w:w="1473" w:type="pct"/>
            <w:shd w:val="clear" w:color="auto" w:fill="FFFFFF" w:themeFill="background1"/>
            <w:vAlign w:val="center"/>
          </w:tcPr>
          <w:p w14:paraId="1AF05431">
            <w:pPr>
              <w:pStyle w:val="35"/>
              <w:spacing w:line="240" w:lineRule="auto"/>
              <w:ind w:firstLine="0" w:firstLineChars="0"/>
              <w:rPr>
                <w:rFonts w:hint="eastAsia" w:ascii="仿宋" w:hAnsi="仿宋" w:eastAsia="仿宋"/>
                <w:color w:val="auto"/>
                <w:sz w:val="24"/>
                <w:szCs w:val="24"/>
              </w:rPr>
            </w:pPr>
            <w:r>
              <w:rPr>
                <w:rFonts w:hint="eastAsia" w:ascii="仿宋" w:hAnsi="仿宋" w:eastAsia="仿宋"/>
                <w:color w:val="auto"/>
                <w:kern w:val="0"/>
                <w:sz w:val="24"/>
                <w:szCs w:val="24"/>
              </w:rPr>
              <w:t>分析截断阀室设置情况（结合防洪影响评价报告或当地洪涝情况），按照GB 50251或GB 50253等的规定进行合规性评价。</w:t>
            </w:r>
          </w:p>
        </w:tc>
        <w:tc>
          <w:tcPr>
            <w:tcW w:w="768" w:type="pct"/>
            <w:shd w:val="clear" w:color="auto" w:fill="FFFFFF" w:themeFill="background1"/>
            <w:vAlign w:val="center"/>
          </w:tcPr>
          <w:p w14:paraId="10DA8910">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79941E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755B21B1">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44287F28">
            <w:pPr>
              <w:pStyle w:val="4"/>
              <w:jc w:val="center"/>
              <w:rPr>
                <w:rFonts w:hint="eastAsia" w:ascii="仿宋" w:hAnsi="仿宋" w:eastAsia="仿宋" w:cs="微软雅黑"/>
                <w:color w:val="000000"/>
                <w:sz w:val="24"/>
                <w:szCs w:val="24"/>
              </w:rPr>
            </w:pPr>
            <w:bookmarkStart w:id="336" w:name="_Toc535332671"/>
            <w:r>
              <w:rPr>
                <w:rFonts w:ascii="仿宋" w:hAnsi="仿宋" w:eastAsia="仿宋"/>
                <w:sz w:val="24"/>
                <w:szCs w:val="24"/>
              </w:rPr>
              <w:t>8.3</w:t>
            </w:r>
            <w:r>
              <w:rPr>
                <w:rFonts w:hint="eastAsia" w:ascii="仿宋" w:hAnsi="仿宋" w:eastAsia="仿宋"/>
                <w:sz w:val="24"/>
                <w:szCs w:val="24"/>
              </w:rPr>
              <w:t>站场工程</w:t>
            </w:r>
            <w:bookmarkEnd w:id="336"/>
          </w:p>
        </w:tc>
        <w:tc>
          <w:tcPr>
            <w:tcW w:w="1479" w:type="pct"/>
            <w:shd w:val="clear" w:color="auto" w:fill="FFFFFF" w:themeFill="background1"/>
            <w:vAlign w:val="center"/>
          </w:tcPr>
          <w:p w14:paraId="60A3051C">
            <w:pPr>
              <w:jc w:val="left"/>
              <w:textAlignment w:val="center"/>
              <w:rPr>
                <w:rFonts w:hint="eastAsia" w:ascii="仿宋" w:hAnsi="仿宋" w:eastAsia="仿宋" w:cs="微软雅黑"/>
                <w:sz w:val="24"/>
              </w:rPr>
            </w:pPr>
          </w:p>
        </w:tc>
        <w:tc>
          <w:tcPr>
            <w:tcW w:w="578" w:type="pct"/>
            <w:shd w:val="clear" w:color="auto" w:fill="FFFFFF" w:themeFill="background1"/>
            <w:noWrap/>
            <w:vAlign w:val="center"/>
          </w:tcPr>
          <w:p w14:paraId="6907EC5E">
            <w:pPr>
              <w:pStyle w:val="4"/>
              <w:jc w:val="center"/>
              <w:rPr>
                <w:rFonts w:hint="eastAsia" w:ascii="仿宋" w:hAnsi="仿宋" w:eastAsia="仿宋" w:cs="微软雅黑"/>
                <w:color w:val="000000"/>
                <w:sz w:val="24"/>
                <w:szCs w:val="24"/>
              </w:rPr>
            </w:pPr>
            <w:r>
              <w:rPr>
                <w:rFonts w:ascii="仿宋" w:hAnsi="仿宋" w:eastAsia="仿宋"/>
                <w:color w:val="000000" w:themeColor="text1"/>
                <w:sz w:val="24"/>
                <w:szCs w:val="24"/>
                <w14:textFill>
                  <w14:solidFill>
                    <w14:schemeClr w14:val="tx1"/>
                  </w14:solidFill>
                </w14:textFill>
              </w:rPr>
              <w:t>8.4</w:t>
            </w:r>
            <w:r>
              <w:rPr>
                <w:rFonts w:hint="eastAsia" w:ascii="仿宋" w:hAnsi="仿宋" w:eastAsia="仿宋"/>
                <w:color w:val="000000" w:themeColor="text1"/>
                <w:sz w:val="24"/>
                <w:szCs w:val="24"/>
                <w14:textFill>
                  <w14:solidFill>
                    <w14:schemeClr w14:val="tx1"/>
                  </w14:solidFill>
                </w14:textFill>
              </w:rPr>
              <w:t>站场工程</w:t>
            </w:r>
          </w:p>
        </w:tc>
        <w:tc>
          <w:tcPr>
            <w:tcW w:w="1473" w:type="pct"/>
            <w:shd w:val="clear" w:color="auto" w:fill="FFFFFF" w:themeFill="background1"/>
            <w:vAlign w:val="center"/>
          </w:tcPr>
          <w:p w14:paraId="7003D33F">
            <w:pPr>
              <w:jc w:val="left"/>
              <w:textAlignment w:val="center"/>
              <w:rPr>
                <w:rFonts w:hint="eastAsia" w:ascii="仿宋" w:hAnsi="仿宋" w:eastAsia="仿宋" w:cs="微软雅黑"/>
                <w:sz w:val="24"/>
              </w:rPr>
            </w:pPr>
          </w:p>
        </w:tc>
        <w:tc>
          <w:tcPr>
            <w:tcW w:w="768" w:type="pct"/>
            <w:shd w:val="clear" w:color="auto" w:fill="FFFFFF" w:themeFill="background1"/>
            <w:vAlign w:val="center"/>
          </w:tcPr>
          <w:p w14:paraId="5DCC16D0">
            <w:pPr>
              <w:jc w:val="left"/>
              <w:textAlignment w:val="center"/>
              <w:rPr>
                <w:rFonts w:hint="eastAsia" w:ascii="仿宋" w:hAnsi="仿宋" w:eastAsia="仿宋" w:cs="微软雅黑"/>
                <w:sz w:val="24"/>
              </w:rPr>
            </w:pPr>
            <w:r>
              <w:rPr>
                <w:rFonts w:hint="eastAsia" w:ascii="仿宋" w:hAnsi="仿宋" w:eastAsia="仿宋" w:cs="微软雅黑"/>
                <w:sz w:val="24"/>
              </w:rPr>
              <w:t>梳理了章节顺序。</w:t>
            </w:r>
          </w:p>
        </w:tc>
      </w:tr>
      <w:tr w14:paraId="5178F0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425E2988">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316C2C89">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 xml:space="preserve">8.3.1 </w:t>
            </w:r>
            <w:r>
              <w:rPr>
                <w:rFonts w:hint="eastAsia" w:ascii="仿宋" w:hAnsi="仿宋" w:eastAsia="仿宋"/>
                <w:sz w:val="24"/>
                <w:szCs w:val="24"/>
              </w:rPr>
              <w:t>区域布置</w:t>
            </w:r>
          </w:p>
        </w:tc>
        <w:tc>
          <w:tcPr>
            <w:tcW w:w="1479" w:type="pct"/>
            <w:shd w:val="clear" w:color="auto" w:fill="FFFFFF" w:themeFill="background1"/>
            <w:vAlign w:val="center"/>
          </w:tcPr>
          <w:p w14:paraId="1DF54D5A">
            <w:pPr>
              <w:jc w:val="left"/>
              <w:textAlignment w:val="center"/>
              <w:rPr>
                <w:rFonts w:hint="eastAsia" w:ascii="仿宋" w:hAnsi="仿宋" w:eastAsia="仿宋" w:cs="微软雅黑"/>
                <w:sz w:val="24"/>
              </w:rPr>
            </w:pPr>
          </w:p>
        </w:tc>
        <w:tc>
          <w:tcPr>
            <w:tcW w:w="578" w:type="pct"/>
            <w:shd w:val="clear" w:color="auto" w:fill="FFFFFF" w:themeFill="background1"/>
            <w:noWrap/>
            <w:vAlign w:val="center"/>
          </w:tcPr>
          <w:p w14:paraId="66A53768">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 xml:space="preserve">8.4.1 </w:t>
            </w:r>
            <w:r>
              <w:rPr>
                <w:rFonts w:hint="eastAsia" w:ascii="仿宋" w:hAnsi="仿宋" w:eastAsia="仿宋"/>
                <w:sz w:val="24"/>
                <w:szCs w:val="24"/>
              </w:rPr>
              <w:t>区域布置</w:t>
            </w:r>
          </w:p>
        </w:tc>
        <w:tc>
          <w:tcPr>
            <w:tcW w:w="1473" w:type="pct"/>
            <w:shd w:val="clear" w:color="auto" w:fill="FFFFFF" w:themeFill="background1"/>
            <w:vAlign w:val="center"/>
          </w:tcPr>
          <w:p w14:paraId="6B4B7615">
            <w:pPr>
              <w:jc w:val="left"/>
              <w:textAlignment w:val="center"/>
              <w:rPr>
                <w:rFonts w:hint="eastAsia" w:ascii="仿宋" w:hAnsi="仿宋" w:eastAsia="仿宋" w:cs="微软雅黑"/>
                <w:sz w:val="24"/>
              </w:rPr>
            </w:pPr>
            <w:r>
              <w:rPr>
                <w:rFonts w:hint="eastAsia" w:ascii="仿宋" w:hAnsi="仿宋" w:eastAsia="仿宋" w:cs="微软雅黑"/>
                <w:sz w:val="24"/>
              </w:rPr>
              <w:t>分析站场的区域布置情况，按GB 50183等的规定进行合规性评价，列出站场与周边设施防火间距一览表（见表31）。</w:t>
            </w:r>
          </w:p>
        </w:tc>
        <w:tc>
          <w:tcPr>
            <w:tcW w:w="768" w:type="pct"/>
            <w:shd w:val="clear" w:color="auto" w:fill="FFFFFF" w:themeFill="background1"/>
            <w:vAlign w:val="center"/>
          </w:tcPr>
          <w:p w14:paraId="48FDF3A6">
            <w:pPr>
              <w:jc w:val="left"/>
              <w:textAlignment w:val="center"/>
              <w:rPr>
                <w:rFonts w:hint="eastAsia" w:ascii="仿宋" w:hAnsi="仿宋" w:eastAsia="仿宋" w:cs="微软雅黑"/>
                <w:sz w:val="24"/>
              </w:rPr>
            </w:pPr>
            <w:r>
              <w:rPr>
                <w:rFonts w:hint="eastAsia" w:ascii="仿宋" w:hAnsi="仿宋" w:eastAsia="仿宋" w:cs="微软雅黑"/>
                <w:sz w:val="24"/>
              </w:rPr>
              <w:t>增加了站场及周边设施防火间距一览表。</w:t>
            </w:r>
          </w:p>
        </w:tc>
      </w:tr>
      <w:tr w14:paraId="24FA2C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279E579A">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009374DC">
            <w:pPr>
              <w:jc w:val="center"/>
              <w:textAlignment w:val="center"/>
              <w:rPr>
                <w:rFonts w:hint="eastAsia" w:ascii="仿宋" w:hAnsi="仿宋" w:eastAsia="仿宋" w:cs="微软雅黑"/>
                <w:sz w:val="24"/>
              </w:rPr>
            </w:pPr>
            <w:r>
              <w:rPr>
                <w:rFonts w:ascii="仿宋" w:hAnsi="仿宋" w:eastAsia="仿宋"/>
                <w:color w:val="000000" w:themeColor="text1"/>
                <w:sz w:val="24"/>
                <w14:textFill>
                  <w14:solidFill>
                    <w14:schemeClr w14:val="tx1"/>
                  </w14:solidFill>
                </w14:textFill>
              </w:rPr>
              <w:t>8.3.1.1</w:t>
            </w:r>
          </w:p>
        </w:tc>
        <w:tc>
          <w:tcPr>
            <w:tcW w:w="1479" w:type="pct"/>
            <w:shd w:val="clear" w:color="auto" w:fill="FFFFFF" w:themeFill="background1"/>
            <w:vAlign w:val="center"/>
          </w:tcPr>
          <w:p w14:paraId="33F6BB18">
            <w:pPr>
              <w:jc w:val="left"/>
              <w:textAlignment w:val="center"/>
              <w:rPr>
                <w:rFonts w:hint="eastAsia" w:ascii="仿宋" w:hAnsi="仿宋" w:eastAsia="仿宋" w:cs="微软雅黑"/>
                <w:sz w:val="24"/>
              </w:rPr>
            </w:pPr>
            <w:r>
              <w:rPr>
                <w:rStyle w:val="156"/>
                <w:rFonts w:hint="eastAsia" w:ascii="仿宋" w:hAnsi="仿宋" w:eastAsia="仿宋"/>
                <w:sz w:val="24"/>
                <w:szCs w:val="24"/>
              </w:rPr>
              <w:t>应分析站场（含与输油管道相连的油库、输气站场的放空立管）的区域布置情况，按</w:t>
            </w:r>
            <w:r>
              <w:rPr>
                <w:rStyle w:val="156"/>
                <w:rFonts w:ascii="仿宋" w:hAnsi="仿宋" w:eastAsia="仿宋"/>
                <w:sz w:val="24"/>
                <w:szCs w:val="24"/>
              </w:rPr>
              <w:t>GB 50183</w:t>
            </w:r>
            <w:r>
              <w:rPr>
                <w:rStyle w:val="156"/>
                <w:rFonts w:hint="eastAsia" w:ascii="仿宋" w:hAnsi="仿宋" w:eastAsia="仿宋"/>
                <w:sz w:val="24"/>
                <w:szCs w:val="24"/>
              </w:rPr>
              <w:t>等的规定进行合规性评价。</w:t>
            </w:r>
          </w:p>
        </w:tc>
        <w:tc>
          <w:tcPr>
            <w:tcW w:w="578" w:type="pct"/>
            <w:shd w:val="clear" w:color="auto" w:fill="FFFFFF" w:themeFill="background1"/>
            <w:noWrap/>
            <w:vAlign w:val="center"/>
          </w:tcPr>
          <w:p w14:paraId="1B7450C7">
            <w:pPr>
              <w:jc w:val="center"/>
              <w:textAlignment w:val="center"/>
              <w:rPr>
                <w:rFonts w:hint="eastAsia" w:ascii="仿宋" w:hAnsi="仿宋" w:eastAsia="仿宋" w:cs="微软雅黑"/>
                <w:sz w:val="24"/>
              </w:rPr>
            </w:pPr>
          </w:p>
        </w:tc>
        <w:tc>
          <w:tcPr>
            <w:tcW w:w="1473" w:type="pct"/>
            <w:shd w:val="clear" w:color="auto" w:fill="FFFFFF" w:themeFill="background1"/>
            <w:vAlign w:val="center"/>
          </w:tcPr>
          <w:p w14:paraId="584BA517">
            <w:pPr>
              <w:jc w:val="left"/>
              <w:textAlignment w:val="center"/>
              <w:rPr>
                <w:rFonts w:hint="eastAsia" w:ascii="仿宋" w:hAnsi="仿宋" w:eastAsia="仿宋" w:cs="微软雅黑"/>
                <w:sz w:val="24"/>
              </w:rPr>
            </w:pPr>
          </w:p>
        </w:tc>
        <w:tc>
          <w:tcPr>
            <w:tcW w:w="768" w:type="pct"/>
            <w:shd w:val="clear" w:color="auto" w:fill="FFFFFF" w:themeFill="background1"/>
            <w:vAlign w:val="center"/>
          </w:tcPr>
          <w:p w14:paraId="69094DCA">
            <w:pPr>
              <w:jc w:val="left"/>
              <w:textAlignment w:val="center"/>
              <w:rPr>
                <w:rFonts w:hint="eastAsia" w:ascii="仿宋" w:hAnsi="仿宋" w:eastAsia="仿宋" w:cs="微软雅黑"/>
                <w:sz w:val="24"/>
              </w:rPr>
            </w:pPr>
          </w:p>
        </w:tc>
      </w:tr>
      <w:tr w14:paraId="16C71B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2C7F91DA">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350B1770">
            <w:pPr>
              <w:jc w:val="center"/>
              <w:textAlignment w:val="center"/>
              <w:rPr>
                <w:rFonts w:hint="eastAsia" w:ascii="仿宋" w:hAnsi="仿宋" w:eastAsia="仿宋" w:cs="微软雅黑"/>
                <w:sz w:val="24"/>
              </w:rPr>
            </w:pPr>
            <w:r>
              <w:rPr>
                <w:rFonts w:ascii="仿宋" w:hAnsi="仿宋" w:eastAsia="仿宋"/>
                <w:color w:val="000000" w:themeColor="text1"/>
                <w:sz w:val="24"/>
                <w14:textFill>
                  <w14:solidFill>
                    <w14:schemeClr w14:val="tx1"/>
                  </w14:solidFill>
                </w14:textFill>
              </w:rPr>
              <w:t>8.3.1.</w:t>
            </w:r>
            <w:r>
              <w:rPr>
                <w:rFonts w:hint="eastAsia" w:ascii="仿宋" w:hAnsi="仿宋" w:eastAsia="仿宋"/>
                <w:color w:val="000000" w:themeColor="text1"/>
                <w:sz w:val="24"/>
                <w14:textFill>
                  <w14:solidFill>
                    <w14:schemeClr w14:val="tx1"/>
                  </w14:solidFill>
                </w14:textFill>
              </w:rPr>
              <w:t>2</w:t>
            </w:r>
          </w:p>
        </w:tc>
        <w:tc>
          <w:tcPr>
            <w:tcW w:w="1479" w:type="pct"/>
            <w:shd w:val="clear" w:color="auto" w:fill="FFFFFF" w:themeFill="background1"/>
            <w:vAlign w:val="center"/>
          </w:tcPr>
          <w:p w14:paraId="058EE2DB">
            <w:pPr>
              <w:jc w:val="left"/>
              <w:textAlignment w:val="center"/>
              <w:rPr>
                <w:rFonts w:hint="eastAsia" w:ascii="仿宋" w:hAnsi="仿宋" w:eastAsia="仿宋" w:cs="微软雅黑"/>
                <w:sz w:val="24"/>
              </w:rPr>
            </w:pPr>
            <w:r>
              <w:rPr>
                <w:rStyle w:val="156"/>
                <w:rFonts w:hint="eastAsia" w:ascii="仿宋" w:hAnsi="仿宋" w:eastAsia="仿宋"/>
                <w:sz w:val="24"/>
                <w:szCs w:val="24"/>
              </w:rPr>
              <w:t>应分析站场（含与输油管道相连的油库、输气站场的放空立管）与高速铁路、埋地通信线缆的区域布置情况，进行合规性评价。</w:t>
            </w:r>
          </w:p>
        </w:tc>
        <w:tc>
          <w:tcPr>
            <w:tcW w:w="578" w:type="pct"/>
            <w:shd w:val="clear" w:color="auto" w:fill="FFFFFF" w:themeFill="background1"/>
            <w:noWrap/>
            <w:vAlign w:val="center"/>
          </w:tcPr>
          <w:p w14:paraId="55A1A3C1">
            <w:pPr>
              <w:jc w:val="center"/>
              <w:textAlignment w:val="center"/>
              <w:rPr>
                <w:rFonts w:hint="eastAsia" w:ascii="仿宋" w:hAnsi="仿宋" w:eastAsia="仿宋" w:cs="微软雅黑"/>
                <w:sz w:val="24"/>
              </w:rPr>
            </w:pPr>
          </w:p>
        </w:tc>
        <w:tc>
          <w:tcPr>
            <w:tcW w:w="1473" w:type="pct"/>
            <w:shd w:val="clear" w:color="auto" w:fill="FFFFFF" w:themeFill="background1"/>
            <w:vAlign w:val="center"/>
          </w:tcPr>
          <w:p w14:paraId="351405CB">
            <w:pPr>
              <w:jc w:val="left"/>
              <w:textAlignment w:val="center"/>
              <w:rPr>
                <w:rFonts w:hint="eastAsia" w:ascii="仿宋" w:hAnsi="仿宋" w:eastAsia="仿宋" w:cs="微软雅黑"/>
                <w:sz w:val="24"/>
              </w:rPr>
            </w:pPr>
          </w:p>
        </w:tc>
        <w:tc>
          <w:tcPr>
            <w:tcW w:w="768" w:type="pct"/>
            <w:shd w:val="clear" w:color="auto" w:fill="FFFFFF" w:themeFill="background1"/>
            <w:vAlign w:val="center"/>
          </w:tcPr>
          <w:p w14:paraId="5C2F1F0D">
            <w:pPr>
              <w:jc w:val="left"/>
              <w:textAlignment w:val="center"/>
              <w:rPr>
                <w:rFonts w:hint="eastAsia" w:ascii="仿宋" w:hAnsi="仿宋" w:eastAsia="仿宋" w:cs="微软雅黑"/>
                <w:sz w:val="24"/>
              </w:rPr>
            </w:pPr>
          </w:p>
        </w:tc>
      </w:tr>
      <w:tr w14:paraId="6E7ECF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6F78C44A">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070F4372">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 xml:space="preserve">8.3.2 </w:t>
            </w:r>
            <w:r>
              <w:rPr>
                <w:rFonts w:hint="eastAsia" w:ascii="仿宋" w:hAnsi="仿宋" w:eastAsia="仿宋"/>
                <w:sz w:val="24"/>
                <w:szCs w:val="24"/>
              </w:rPr>
              <w:t>平面及竖向布置</w:t>
            </w:r>
          </w:p>
        </w:tc>
        <w:tc>
          <w:tcPr>
            <w:tcW w:w="1479" w:type="pct"/>
            <w:shd w:val="clear" w:color="auto" w:fill="FFFFFF" w:themeFill="background1"/>
            <w:vAlign w:val="center"/>
          </w:tcPr>
          <w:p w14:paraId="6F9B29ED">
            <w:pPr>
              <w:jc w:val="left"/>
              <w:textAlignment w:val="center"/>
              <w:rPr>
                <w:rFonts w:hint="eastAsia" w:ascii="仿宋" w:hAnsi="仿宋" w:eastAsia="仿宋" w:cs="微软雅黑"/>
                <w:sz w:val="24"/>
              </w:rPr>
            </w:pPr>
          </w:p>
        </w:tc>
        <w:tc>
          <w:tcPr>
            <w:tcW w:w="578" w:type="pct"/>
            <w:shd w:val="clear" w:color="auto" w:fill="FFFFFF" w:themeFill="background1"/>
            <w:noWrap/>
            <w:vAlign w:val="center"/>
          </w:tcPr>
          <w:p w14:paraId="2EA46E2C">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 xml:space="preserve">8.4.2 </w:t>
            </w:r>
            <w:r>
              <w:rPr>
                <w:rFonts w:hint="eastAsia" w:ascii="仿宋" w:hAnsi="仿宋" w:eastAsia="仿宋"/>
                <w:sz w:val="24"/>
                <w:szCs w:val="24"/>
              </w:rPr>
              <w:t>平面及竖向布置</w:t>
            </w:r>
          </w:p>
        </w:tc>
        <w:tc>
          <w:tcPr>
            <w:tcW w:w="1473" w:type="pct"/>
            <w:shd w:val="clear" w:color="auto" w:fill="FFFFFF" w:themeFill="background1"/>
            <w:vAlign w:val="center"/>
          </w:tcPr>
          <w:p w14:paraId="7523583C">
            <w:pPr>
              <w:jc w:val="left"/>
              <w:textAlignment w:val="center"/>
              <w:rPr>
                <w:rFonts w:hint="eastAsia" w:ascii="仿宋" w:hAnsi="仿宋" w:eastAsia="仿宋" w:cs="微软雅黑"/>
                <w:sz w:val="24"/>
              </w:rPr>
            </w:pPr>
          </w:p>
        </w:tc>
        <w:tc>
          <w:tcPr>
            <w:tcW w:w="768" w:type="pct"/>
            <w:shd w:val="clear" w:color="auto" w:fill="FFFFFF" w:themeFill="background1"/>
            <w:vAlign w:val="center"/>
          </w:tcPr>
          <w:p w14:paraId="67FCF639">
            <w:pPr>
              <w:jc w:val="left"/>
              <w:textAlignment w:val="center"/>
              <w:rPr>
                <w:rFonts w:hint="eastAsia" w:ascii="仿宋" w:hAnsi="仿宋" w:eastAsia="仿宋" w:cs="微软雅黑"/>
                <w:sz w:val="24"/>
              </w:rPr>
            </w:pPr>
            <w:r>
              <w:rPr>
                <w:rFonts w:hint="eastAsia" w:ascii="仿宋" w:hAnsi="仿宋" w:eastAsia="仿宋" w:cs="微软雅黑"/>
                <w:sz w:val="24"/>
              </w:rPr>
              <w:t>梳理了章节顺序。</w:t>
            </w:r>
          </w:p>
        </w:tc>
      </w:tr>
      <w:tr w14:paraId="39B40B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11E8B04A">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26BFCE24">
            <w:pPr>
              <w:jc w:val="center"/>
              <w:textAlignment w:val="center"/>
              <w:rPr>
                <w:rFonts w:hint="eastAsia" w:ascii="仿宋" w:hAnsi="仿宋" w:eastAsia="仿宋" w:cs="微软雅黑"/>
                <w:sz w:val="24"/>
              </w:rPr>
            </w:pPr>
            <w:r>
              <w:rPr>
                <w:rFonts w:ascii="仿宋" w:hAnsi="仿宋" w:eastAsia="仿宋"/>
                <w:color w:val="000000" w:themeColor="text1"/>
                <w:sz w:val="24"/>
                <w14:textFill>
                  <w14:solidFill>
                    <w14:schemeClr w14:val="tx1"/>
                  </w14:solidFill>
                </w14:textFill>
              </w:rPr>
              <w:t>8.3.2.1</w:t>
            </w:r>
          </w:p>
        </w:tc>
        <w:tc>
          <w:tcPr>
            <w:tcW w:w="1479" w:type="pct"/>
            <w:shd w:val="clear" w:color="auto" w:fill="FFFFFF" w:themeFill="background1"/>
            <w:vAlign w:val="center"/>
          </w:tcPr>
          <w:p w14:paraId="27540AF4">
            <w:pPr>
              <w:jc w:val="left"/>
              <w:textAlignment w:val="center"/>
              <w:rPr>
                <w:rFonts w:hint="eastAsia" w:ascii="仿宋" w:hAnsi="仿宋" w:eastAsia="仿宋" w:cs="微软雅黑"/>
                <w:sz w:val="24"/>
              </w:rPr>
            </w:pPr>
            <w:r>
              <w:rPr>
                <w:rStyle w:val="156"/>
                <w:rFonts w:hint="eastAsia" w:ascii="仿宋" w:hAnsi="仿宋" w:eastAsia="仿宋"/>
                <w:sz w:val="24"/>
                <w:szCs w:val="24"/>
              </w:rPr>
              <w:t>应分析站场内的平面及竖向布置（参考防洪影响评价报告或当地涝灾情况），按照</w:t>
            </w:r>
            <w:r>
              <w:rPr>
                <w:rStyle w:val="156"/>
                <w:rFonts w:ascii="仿宋" w:hAnsi="仿宋" w:eastAsia="仿宋"/>
                <w:sz w:val="24"/>
                <w:szCs w:val="24"/>
              </w:rPr>
              <w:t>GB 50183</w:t>
            </w:r>
            <w:r>
              <w:rPr>
                <w:rStyle w:val="156"/>
                <w:rFonts w:hint="eastAsia" w:ascii="仿宋" w:hAnsi="仿宋" w:eastAsia="仿宋"/>
                <w:sz w:val="24"/>
                <w:szCs w:val="24"/>
              </w:rPr>
              <w:t>等的规定进行合规性评价。</w:t>
            </w:r>
          </w:p>
        </w:tc>
        <w:tc>
          <w:tcPr>
            <w:tcW w:w="578" w:type="pct"/>
            <w:shd w:val="clear" w:color="auto" w:fill="FFFFFF" w:themeFill="background1"/>
            <w:noWrap/>
            <w:vAlign w:val="center"/>
          </w:tcPr>
          <w:p w14:paraId="5E34FE3E">
            <w:pPr>
              <w:jc w:val="center"/>
              <w:textAlignment w:val="center"/>
              <w:rPr>
                <w:rFonts w:hint="eastAsia" w:ascii="仿宋" w:hAnsi="仿宋" w:eastAsia="仿宋" w:cs="微软雅黑"/>
                <w:sz w:val="24"/>
              </w:rPr>
            </w:pPr>
            <w:r>
              <w:rPr>
                <w:rFonts w:ascii="仿宋" w:hAnsi="仿宋" w:eastAsia="仿宋"/>
                <w:color w:val="000000" w:themeColor="text1"/>
                <w:sz w:val="24"/>
                <w14:textFill>
                  <w14:solidFill>
                    <w14:schemeClr w14:val="tx1"/>
                  </w14:solidFill>
                </w14:textFill>
              </w:rPr>
              <w:t>8.4.2.1</w:t>
            </w:r>
          </w:p>
        </w:tc>
        <w:tc>
          <w:tcPr>
            <w:tcW w:w="1473" w:type="pct"/>
            <w:shd w:val="clear" w:color="auto" w:fill="FFFFFF" w:themeFill="background1"/>
            <w:vAlign w:val="center"/>
          </w:tcPr>
          <w:p w14:paraId="320A74EE">
            <w:pPr>
              <w:jc w:val="left"/>
              <w:textAlignment w:val="center"/>
              <w:rPr>
                <w:rFonts w:hint="eastAsia" w:ascii="仿宋" w:hAnsi="仿宋" w:eastAsia="仿宋" w:cs="微软雅黑"/>
                <w:sz w:val="24"/>
              </w:rPr>
            </w:pPr>
            <w:r>
              <w:rPr>
                <w:rStyle w:val="156"/>
                <w:rFonts w:hint="eastAsia" w:ascii="仿宋" w:hAnsi="仿宋" w:eastAsia="仿宋"/>
                <w:sz w:val="24"/>
                <w:szCs w:val="24"/>
              </w:rPr>
              <w:t>分析站内的平面及竖向布置（结合防洪影响评价报告</w:t>
            </w:r>
            <w:r>
              <w:rPr>
                <w:rFonts w:hint="eastAsia" w:ascii="仿宋" w:hAnsi="仿宋" w:eastAsia="仿宋"/>
                <w:sz w:val="24"/>
              </w:rPr>
              <w:t>或当地洪涝情况</w:t>
            </w:r>
            <w:r>
              <w:rPr>
                <w:rStyle w:val="156"/>
                <w:rFonts w:hint="eastAsia" w:ascii="仿宋" w:hAnsi="仿宋" w:eastAsia="仿宋"/>
                <w:sz w:val="24"/>
                <w:szCs w:val="24"/>
              </w:rPr>
              <w:t>），按照GB 50183等的规定进行合规性评价, 列出站内主要设施防火间距一览表（见表32）。</w:t>
            </w:r>
          </w:p>
        </w:tc>
        <w:tc>
          <w:tcPr>
            <w:tcW w:w="768" w:type="pct"/>
            <w:shd w:val="clear" w:color="auto" w:fill="FFFFFF" w:themeFill="background1"/>
            <w:vAlign w:val="center"/>
          </w:tcPr>
          <w:p w14:paraId="56349139">
            <w:pPr>
              <w:jc w:val="left"/>
              <w:textAlignment w:val="center"/>
              <w:rPr>
                <w:rFonts w:hint="eastAsia" w:ascii="仿宋" w:hAnsi="仿宋" w:eastAsia="仿宋" w:cs="微软雅黑"/>
                <w:sz w:val="24"/>
              </w:rPr>
            </w:pPr>
            <w:r>
              <w:rPr>
                <w:rFonts w:hint="eastAsia" w:ascii="仿宋" w:hAnsi="仿宋" w:eastAsia="仿宋" w:cs="微软雅黑"/>
                <w:sz w:val="24"/>
              </w:rPr>
              <w:t>增加了站内主要设施防火间距一览表。</w:t>
            </w:r>
          </w:p>
        </w:tc>
      </w:tr>
      <w:tr w14:paraId="192A1B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4B292402">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04572EA8">
            <w:pPr>
              <w:jc w:val="center"/>
              <w:textAlignment w:val="center"/>
              <w:rPr>
                <w:rFonts w:hint="eastAsia" w:ascii="仿宋" w:hAnsi="仿宋" w:eastAsia="仿宋" w:cs="微软雅黑"/>
                <w:sz w:val="24"/>
              </w:rPr>
            </w:pPr>
            <w:r>
              <w:rPr>
                <w:rFonts w:ascii="仿宋" w:hAnsi="仿宋" w:eastAsia="仿宋"/>
                <w:color w:val="000000" w:themeColor="text1"/>
                <w:sz w:val="24"/>
                <w14:textFill>
                  <w14:solidFill>
                    <w14:schemeClr w14:val="tx1"/>
                  </w14:solidFill>
                </w14:textFill>
              </w:rPr>
              <w:t>8.3.2.</w:t>
            </w:r>
            <w:r>
              <w:rPr>
                <w:rFonts w:hint="eastAsia" w:ascii="仿宋" w:hAnsi="仿宋" w:eastAsia="仿宋"/>
                <w:color w:val="000000" w:themeColor="text1"/>
                <w:sz w:val="24"/>
                <w14:textFill>
                  <w14:solidFill>
                    <w14:schemeClr w14:val="tx1"/>
                  </w14:solidFill>
                </w14:textFill>
              </w:rPr>
              <w:t>2</w:t>
            </w:r>
          </w:p>
        </w:tc>
        <w:tc>
          <w:tcPr>
            <w:tcW w:w="1479" w:type="pct"/>
            <w:shd w:val="clear" w:color="auto" w:fill="FFFFFF" w:themeFill="background1"/>
            <w:vAlign w:val="center"/>
          </w:tcPr>
          <w:p w14:paraId="1FA592EA">
            <w:pPr>
              <w:jc w:val="left"/>
              <w:textAlignment w:val="center"/>
              <w:rPr>
                <w:rFonts w:hint="eastAsia" w:ascii="仿宋" w:hAnsi="仿宋" w:eastAsia="仿宋" w:cs="微软雅黑"/>
                <w:sz w:val="24"/>
              </w:rPr>
            </w:pPr>
            <w:r>
              <w:rPr>
                <w:rStyle w:val="156"/>
                <w:rFonts w:hint="eastAsia" w:ascii="仿宋" w:hAnsi="仿宋" w:eastAsia="仿宋"/>
                <w:sz w:val="24"/>
                <w:szCs w:val="24"/>
              </w:rPr>
              <w:t>应分析站场内消防道路与拟用的消防车辆的匹配性。</w:t>
            </w:r>
          </w:p>
        </w:tc>
        <w:tc>
          <w:tcPr>
            <w:tcW w:w="578" w:type="pct"/>
            <w:shd w:val="clear" w:color="auto" w:fill="FFFFFF" w:themeFill="background1"/>
            <w:noWrap/>
            <w:vAlign w:val="center"/>
          </w:tcPr>
          <w:p w14:paraId="2E01D11C">
            <w:pPr>
              <w:jc w:val="center"/>
              <w:textAlignment w:val="center"/>
              <w:rPr>
                <w:rFonts w:hint="eastAsia" w:ascii="仿宋" w:hAnsi="仿宋" w:eastAsia="仿宋" w:cs="微软雅黑"/>
                <w:sz w:val="24"/>
              </w:rPr>
            </w:pPr>
            <w:r>
              <w:rPr>
                <w:rFonts w:ascii="仿宋" w:hAnsi="仿宋" w:eastAsia="仿宋"/>
                <w:color w:val="000000" w:themeColor="text1"/>
                <w:sz w:val="24"/>
                <w14:textFill>
                  <w14:solidFill>
                    <w14:schemeClr w14:val="tx1"/>
                  </w14:solidFill>
                </w14:textFill>
              </w:rPr>
              <w:t>8.4.2.2</w:t>
            </w:r>
          </w:p>
        </w:tc>
        <w:tc>
          <w:tcPr>
            <w:tcW w:w="1473" w:type="pct"/>
            <w:shd w:val="clear" w:color="auto" w:fill="FFFFFF" w:themeFill="background1"/>
            <w:vAlign w:val="center"/>
          </w:tcPr>
          <w:p w14:paraId="16BFD832">
            <w:pPr>
              <w:jc w:val="left"/>
              <w:textAlignment w:val="center"/>
              <w:rPr>
                <w:rFonts w:hint="eastAsia" w:ascii="仿宋" w:hAnsi="仿宋" w:eastAsia="仿宋" w:cs="微软雅黑"/>
                <w:sz w:val="24"/>
              </w:rPr>
            </w:pPr>
            <w:r>
              <w:rPr>
                <w:rStyle w:val="156"/>
                <w:rFonts w:hint="eastAsia" w:ascii="仿宋" w:hAnsi="仿宋" w:eastAsia="仿宋"/>
                <w:sz w:val="24"/>
                <w:szCs w:val="24"/>
              </w:rPr>
              <w:t>分析站场内消防道路与拟用的消防车辆的匹配性，并</w:t>
            </w:r>
            <w:r>
              <w:rPr>
                <w:rFonts w:hint="eastAsia" w:ascii="仿宋" w:hAnsi="仿宋" w:eastAsia="仿宋"/>
                <w:sz w:val="24"/>
              </w:rPr>
              <w:t>进行合规性评价</w:t>
            </w:r>
            <w:r>
              <w:rPr>
                <w:rStyle w:val="156"/>
                <w:rFonts w:hint="eastAsia" w:ascii="仿宋" w:hAnsi="仿宋" w:eastAsia="仿宋"/>
                <w:sz w:val="24"/>
                <w:szCs w:val="24"/>
              </w:rPr>
              <w:t>。</w:t>
            </w:r>
          </w:p>
        </w:tc>
        <w:tc>
          <w:tcPr>
            <w:tcW w:w="768" w:type="pct"/>
            <w:shd w:val="clear" w:color="auto" w:fill="FFFFFF" w:themeFill="background1"/>
            <w:vAlign w:val="center"/>
          </w:tcPr>
          <w:p w14:paraId="58D5B268">
            <w:pPr>
              <w:jc w:val="left"/>
              <w:textAlignment w:val="center"/>
              <w:rPr>
                <w:rFonts w:hint="eastAsia" w:ascii="仿宋" w:hAnsi="仿宋" w:eastAsia="仿宋" w:cs="微软雅黑"/>
                <w:sz w:val="24"/>
              </w:rPr>
            </w:pPr>
            <w:r>
              <w:rPr>
                <w:rFonts w:hint="eastAsia" w:ascii="仿宋" w:hAnsi="仿宋" w:eastAsia="仿宋" w:cs="微软雅黑"/>
                <w:sz w:val="24"/>
              </w:rPr>
              <w:t>增加了合规性评价的相关内容。</w:t>
            </w:r>
          </w:p>
        </w:tc>
      </w:tr>
      <w:tr w14:paraId="442D40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7F5F37D8">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02EE5388">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 xml:space="preserve">8.3.3 </w:t>
            </w:r>
            <w:r>
              <w:rPr>
                <w:rFonts w:hint="eastAsia" w:ascii="仿宋" w:hAnsi="仿宋" w:eastAsia="仿宋"/>
                <w:sz w:val="24"/>
                <w:szCs w:val="24"/>
              </w:rPr>
              <w:t>输送工艺</w:t>
            </w:r>
          </w:p>
        </w:tc>
        <w:tc>
          <w:tcPr>
            <w:tcW w:w="1479" w:type="pct"/>
            <w:shd w:val="clear" w:color="auto" w:fill="FFFFFF" w:themeFill="background1"/>
            <w:vAlign w:val="center"/>
          </w:tcPr>
          <w:p w14:paraId="0C0737D7">
            <w:pPr>
              <w:pStyle w:val="155"/>
              <w:ind w:firstLine="0" w:firstLineChars="0"/>
              <w:rPr>
                <w:rFonts w:hint="eastAsia" w:ascii="仿宋" w:hAnsi="仿宋" w:eastAsia="仿宋"/>
                <w:sz w:val="24"/>
                <w:szCs w:val="24"/>
              </w:rPr>
            </w:pPr>
            <w:r>
              <w:rPr>
                <w:rFonts w:hint="eastAsia" w:ascii="仿宋" w:hAnsi="仿宋" w:eastAsia="仿宋"/>
                <w:sz w:val="24"/>
                <w:szCs w:val="24"/>
              </w:rPr>
              <w:t>应分析输送工艺，按照</w:t>
            </w:r>
            <w:r>
              <w:rPr>
                <w:rFonts w:ascii="仿宋" w:hAnsi="仿宋" w:eastAsia="仿宋"/>
                <w:sz w:val="24"/>
                <w:szCs w:val="24"/>
              </w:rPr>
              <w:t>GB 50251</w:t>
            </w:r>
            <w:r>
              <w:rPr>
                <w:rFonts w:hint="eastAsia" w:ascii="仿宋" w:hAnsi="仿宋" w:eastAsia="仿宋"/>
                <w:sz w:val="24"/>
                <w:szCs w:val="24"/>
              </w:rPr>
              <w:t>或</w:t>
            </w:r>
            <w:r>
              <w:rPr>
                <w:rFonts w:ascii="仿宋" w:hAnsi="仿宋" w:eastAsia="仿宋"/>
                <w:sz w:val="24"/>
                <w:szCs w:val="24"/>
              </w:rPr>
              <w:t>GB 50253</w:t>
            </w:r>
            <w:r>
              <w:rPr>
                <w:rFonts w:hint="eastAsia" w:ascii="仿宋" w:hAnsi="仿宋" w:eastAsia="仿宋"/>
                <w:sz w:val="24"/>
                <w:szCs w:val="24"/>
              </w:rPr>
              <w:t>等的规定进行合规性评价；若采用新工艺，应说明新工艺的安全可靠性论证情况。</w:t>
            </w:r>
          </w:p>
          <w:p w14:paraId="0BF5E5C3">
            <w:pPr>
              <w:jc w:val="left"/>
              <w:textAlignment w:val="center"/>
              <w:rPr>
                <w:rFonts w:hint="eastAsia" w:ascii="仿宋" w:hAnsi="仿宋" w:eastAsia="仿宋" w:cs="微软雅黑"/>
                <w:sz w:val="24"/>
              </w:rPr>
            </w:pPr>
          </w:p>
        </w:tc>
        <w:tc>
          <w:tcPr>
            <w:tcW w:w="578" w:type="pct"/>
            <w:shd w:val="clear" w:color="auto" w:fill="FFFFFF" w:themeFill="background1"/>
            <w:noWrap/>
            <w:vAlign w:val="center"/>
          </w:tcPr>
          <w:p w14:paraId="737C2C37">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 xml:space="preserve">8.4.3 </w:t>
            </w:r>
            <w:r>
              <w:rPr>
                <w:rFonts w:hint="eastAsia" w:ascii="仿宋" w:hAnsi="仿宋" w:eastAsia="仿宋"/>
                <w:sz w:val="24"/>
                <w:szCs w:val="24"/>
              </w:rPr>
              <w:t>输送工艺</w:t>
            </w:r>
          </w:p>
        </w:tc>
        <w:tc>
          <w:tcPr>
            <w:tcW w:w="1473" w:type="pct"/>
            <w:shd w:val="clear" w:color="auto" w:fill="FFFFFF" w:themeFill="background1"/>
            <w:vAlign w:val="center"/>
          </w:tcPr>
          <w:p w14:paraId="7DB92860">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分析输送工艺，按照</w:t>
            </w:r>
            <w:r>
              <w:rPr>
                <w:rFonts w:ascii="仿宋" w:hAnsi="仿宋" w:eastAsia="仿宋"/>
                <w:sz w:val="24"/>
                <w:szCs w:val="24"/>
              </w:rPr>
              <w:t>GB 50251</w:t>
            </w:r>
            <w:r>
              <w:rPr>
                <w:rFonts w:hint="eastAsia" w:ascii="仿宋" w:hAnsi="仿宋" w:eastAsia="仿宋"/>
                <w:sz w:val="24"/>
                <w:szCs w:val="24"/>
              </w:rPr>
              <w:t>或</w:t>
            </w:r>
            <w:r>
              <w:rPr>
                <w:rFonts w:ascii="仿宋" w:hAnsi="仿宋" w:eastAsia="仿宋"/>
                <w:sz w:val="24"/>
                <w:szCs w:val="24"/>
              </w:rPr>
              <w:t>GB 50253</w:t>
            </w:r>
            <w:r>
              <w:rPr>
                <w:rFonts w:hint="eastAsia" w:ascii="仿宋" w:hAnsi="仿宋" w:eastAsia="仿宋"/>
                <w:sz w:val="24"/>
                <w:szCs w:val="24"/>
              </w:rPr>
              <w:t>等的规定进行合规性评价。</w:t>
            </w:r>
          </w:p>
        </w:tc>
        <w:tc>
          <w:tcPr>
            <w:tcW w:w="768" w:type="pct"/>
            <w:shd w:val="clear" w:color="auto" w:fill="FFFFFF" w:themeFill="background1"/>
            <w:vAlign w:val="center"/>
          </w:tcPr>
          <w:p w14:paraId="434EE17D">
            <w:pPr>
              <w:jc w:val="left"/>
              <w:textAlignment w:val="center"/>
              <w:rPr>
                <w:rFonts w:hint="eastAsia" w:ascii="仿宋" w:hAnsi="仿宋" w:eastAsia="仿宋" w:cs="微软雅黑"/>
                <w:sz w:val="24"/>
              </w:rPr>
            </w:pPr>
            <w:r>
              <w:rPr>
                <w:rFonts w:hint="eastAsia" w:ascii="仿宋" w:hAnsi="仿宋" w:eastAsia="仿宋" w:cs="微软雅黑"/>
                <w:sz w:val="24"/>
              </w:rPr>
              <w:t>删除了新工艺安全可靠性论证内容，调整至安全基本条件评价单元。</w:t>
            </w:r>
          </w:p>
        </w:tc>
      </w:tr>
      <w:tr w14:paraId="6E8DA6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1712D172">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47F9C2ED">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8.3.</w:t>
            </w:r>
            <w:r>
              <w:rPr>
                <w:rFonts w:hint="eastAsia" w:ascii="仿宋" w:hAnsi="仿宋" w:eastAsia="仿宋"/>
                <w:sz w:val="24"/>
                <w:szCs w:val="24"/>
              </w:rPr>
              <w:t>4</w:t>
            </w:r>
            <w:r>
              <w:rPr>
                <w:rFonts w:ascii="仿宋" w:hAnsi="仿宋" w:eastAsia="仿宋"/>
                <w:sz w:val="24"/>
                <w:szCs w:val="24"/>
              </w:rPr>
              <w:t xml:space="preserve"> </w:t>
            </w:r>
            <w:r>
              <w:rPr>
                <w:rFonts w:hint="eastAsia" w:ascii="仿宋" w:hAnsi="仿宋" w:eastAsia="仿宋"/>
                <w:sz w:val="24"/>
                <w:szCs w:val="24"/>
              </w:rPr>
              <w:t>站场工艺</w:t>
            </w:r>
          </w:p>
        </w:tc>
        <w:tc>
          <w:tcPr>
            <w:tcW w:w="1479" w:type="pct"/>
            <w:shd w:val="clear" w:color="auto" w:fill="FFFFFF" w:themeFill="background1"/>
            <w:vAlign w:val="center"/>
          </w:tcPr>
          <w:p w14:paraId="53B7E6FF">
            <w:pPr>
              <w:pStyle w:val="155"/>
              <w:ind w:firstLine="0" w:firstLineChars="0"/>
              <w:rPr>
                <w:rFonts w:hint="eastAsia" w:ascii="仿宋" w:hAnsi="仿宋" w:eastAsia="仿宋"/>
                <w:sz w:val="24"/>
                <w:szCs w:val="24"/>
              </w:rPr>
            </w:pPr>
            <w:r>
              <w:rPr>
                <w:rFonts w:hint="eastAsia" w:ascii="仿宋" w:hAnsi="仿宋" w:eastAsia="仿宋"/>
                <w:sz w:val="24"/>
                <w:szCs w:val="24"/>
              </w:rPr>
              <w:t>应分析站场工艺和采用的主要技术，按照</w:t>
            </w:r>
            <w:r>
              <w:rPr>
                <w:rFonts w:ascii="仿宋" w:hAnsi="仿宋" w:eastAsia="仿宋"/>
                <w:sz w:val="24"/>
                <w:szCs w:val="24"/>
              </w:rPr>
              <w:t>GB 50183</w:t>
            </w:r>
            <w:r>
              <w:rPr>
                <w:rFonts w:hint="eastAsia" w:ascii="仿宋" w:hAnsi="仿宋" w:eastAsia="仿宋"/>
                <w:sz w:val="24"/>
                <w:szCs w:val="24"/>
              </w:rPr>
              <w:t>、</w:t>
            </w:r>
            <w:r>
              <w:rPr>
                <w:rFonts w:ascii="仿宋" w:hAnsi="仿宋" w:eastAsia="仿宋"/>
                <w:sz w:val="24"/>
                <w:szCs w:val="24"/>
              </w:rPr>
              <w:t>GB 50251</w:t>
            </w:r>
            <w:r>
              <w:rPr>
                <w:rFonts w:hint="eastAsia" w:ascii="仿宋" w:hAnsi="仿宋" w:eastAsia="仿宋"/>
                <w:sz w:val="24"/>
                <w:szCs w:val="24"/>
              </w:rPr>
              <w:t>或</w:t>
            </w:r>
            <w:r>
              <w:rPr>
                <w:rFonts w:ascii="仿宋" w:hAnsi="仿宋" w:eastAsia="仿宋"/>
                <w:sz w:val="24"/>
                <w:szCs w:val="24"/>
              </w:rPr>
              <w:t>GB 50253</w:t>
            </w:r>
            <w:r>
              <w:rPr>
                <w:rFonts w:hint="eastAsia" w:ascii="仿宋" w:hAnsi="仿宋" w:eastAsia="仿宋"/>
                <w:sz w:val="24"/>
                <w:szCs w:val="24"/>
              </w:rPr>
              <w:t>等的规定进行合规性评价；若采用新技术、新工艺，应说明新技术、新工艺的安全可靠性论证情况。</w:t>
            </w:r>
          </w:p>
          <w:p w14:paraId="5125A9DD">
            <w:pPr>
              <w:tabs>
                <w:tab w:val="left" w:pos="1620"/>
              </w:tabs>
              <w:jc w:val="left"/>
              <w:textAlignment w:val="center"/>
              <w:rPr>
                <w:rFonts w:hint="eastAsia" w:ascii="仿宋" w:hAnsi="仿宋" w:eastAsia="仿宋" w:cs="微软雅黑"/>
                <w:sz w:val="24"/>
              </w:rPr>
            </w:pPr>
          </w:p>
        </w:tc>
        <w:tc>
          <w:tcPr>
            <w:tcW w:w="578" w:type="pct"/>
            <w:shd w:val="clear" w:color="auto" w:fill="FFFFFF" w:themeFill="background1"/>
            <w:noWrap/>
            <w:vAlign w:val="center"/>
          </w:tcPr>
          <w:p w14:paraId="2CF26C56">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8.4.</w:t>
            </w:r>
            <w:r>
              <w:rPr>
                <w:rFonts w:hint="eastAsia" w:ascii="仿宋" w:hAnsi="仿宋" w:eastAsia="仿宋"/>
                <w:sz w:val="24"/>
                <w:szCs w:val="24"/>
              </w:rPr>
              <w:t>4</w:t>
            </w:r>
            <w:r>
              <w:rPr>
                <w:rFonts w:ascii="仿宋" w:hAnsi="仿宋" w:eastAsia="仿宋"/>
                <w:sz w:val="24"/>
                <w:szCs w:val="24"/>
              </w:rPr>
              <w:t xml:space="preserve"> </w:t>
            </w:r>
            <w:r>
              <w:rPr>
                <w:rFonts w:hint="eastAsia" w:ascii="仿宋" w:hAnsi="仿宋" w:eastAsia="仿宋"/>
                <w:sz w:val="24"/>
                <w:szCs w:val="24"/>
              </w:rPr>
              <w:t>站场工艺</w:t>
            </w:r>
          </w:p>
        </w:tc>
        <w:tc>
          <w:tcPr>
            <w:tcW w:w="1473" w:type="pct"/>
            <w:shd w:val="clear" w:color="auto" w:fill="FFFFFF" w:themeFill="background1"/>
            <w:vAlign w:val="center"/>
          </w:tcPr>
          <w:p w14:paraId="6B32EC0B">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分析站场工艺和采用的主要技术，按照</w:t>
            </w:r>
            <w:r>
              <w:rPr>
                <w:rFonts w:ascii="仿宋" w:hAnsi="仿宋" w:eastAsia="仿宋"/>
                <w:sz w:val="24"/>
                <w:szCs w:val="24"/>
              </w:rPr>
              <w:t>GB 50183</w:t>
            </w:r>
            <w:r>
              <w:rPr>
                <w:rFonts w:hint="eastAsia" w:ascii="仿宋" w:hAnsi="仿宋" w:eastAsia="仿宋"/>
                <w:sz w:val="24"/>
                <w:szCs w:val="24"/>
              </w:rPr>
              <w:t>、</w:t>
            </w:r>
            <w:r>
              <w:rPr>
                <w:rFonts w:ascii="仿宋" w:hAnsi="仿宋" w:eastAsia="仿宋"/>
                <w:sz w:val="24"/>
                <w:szCs w:val="24"/>
              </w:rPr>
              <w:t>GB 50251</w:t>
            </w:r>
            <w:r>
              <w:rPr>
                <w:rFonts w:hint="eastAsia" w:ascii="仿宋" w:hAnsi="仿宋" w:eastAsia="仿宋"/>
                <w:sz w:val="24"/>
                <w:szCs w:val="24"/>
              </w:rPr>
              <w:t>或</w:t>
            </w:r>
            <w:r>
              <w:rPr>
                <w:rFonts w:ascii="仿宋" w:hAnsi="仿宋" w:eastAsia="仿宋"/>
                <w:sz w:val="24"/>
                <w:szCs w:val="24"/>
              </w:rPr>
              <w:t>GB 50253</w:t>
            </w:r>
            <w:r>
              <w:rPr>
                <w:rFonts w:hint="eastAsia" w:ascii="仿宋" w:hAnsi="仿宋" w:eastAsia="仿宋"/>
                <w:sz w:val="24"/>
                <w:szCs w:val="24"/>
              </w:rPr>
              <w:t>等的规定进行合规性评价。</w:t>
            </w:r>
          </w:p>
        </w:tc>
        <w:tc>
          <w:tcPr>
            <w:tcW w:w="768" w:type="pct"/>
            <w:shd w:val="clear" w:color="auto" w:fill="FFFFFF" w:themeFill="background1"/>
            <w:vAlign w:val="center"/>
          </w:tcPr>
          <w:p w14:paraId="1B9642CE">
            <w:pPr>
              <w:jc w:val="left"/>
              <w:textAlignment w:val="center"/>
              <w:rPr>
                <w:rFonts w:hint="eastAsia" w:ascii="仿宋" w:hAnsi="仿宋" w:eastAsia="仿宋" w:cs="微软雅黑"/>
                <w:sz w:val="24"/>
              </w:rPr>
            </w:pPr>
            <w:r>
              <w:rPr>
                <w:rFonts w:hint="eastAsia" w:ascii="仿宋" w:hAnsi="仿宋" w:eastAsia="仿宋" w:cs="微软雅黑"/>
                <w:sz w:val="24"/>
              </w:rPr>
              <w:t>删除了</w:t>
            </w:r>
            <w:r>
              <w:rPr>
                <w:rFonts w:hint="eastAsia" w:ascii="仿宋" w:hAnsi="仿宋" w:eastAsia="仿宋"/>
                <w:sz w:val="24"/>
              </w:rPr>
              <w:t>新技术、新工艺</w:t>
            </w:r>
            <w:r>
              <w:rPr>
                <w:rFonts w:hint="eastAsia" w:ascii="仿宋" w:hAnsi="仿宋" w:eastAsia="仿宋" w:cs="微软雅黑"/>
                <w:sz w:val="24"/>
              </w:rPr>
              <w:t>安全可靠性论证内容，调整至安全基本条件评价单元。</w:t>
            </w:r>
          </w:p>
        </w:tc>
      </w:tr>
      <w:tr w14:paraId="23885E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4B34FDBB">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4AF6B9C9">
            <w:pPr>
              <w:pStyle w:val="153"/>
              <w:spacing w:before="156" w:after="156"/>
              <w:jc w:val="center"/>
              <w:rPr>
                <w:rFonts w:hint="eastAsia" w:ascii="仿宋" w:hAnsi="仿宋" w:eastAsia="仿宋"/>
                <w:sz w:val="24"/>
                <w:szCs w:val="24"/>
              </w:rPr>
            </w:pPr>
            <w:r>
              <w:rPr>
                <w:rFonts w:ascii="仿宋" w:hAnsi="仿宋" w:eastAsia="仿宋"/>
                <w:sz w:val="24"/>
                <w:szCs w:val="24"/>
              </w:rPr>
              <w:t xml:space="preserve">8.3.5 </w:t>
            </w:r>
            <w:r>
              <w:rPr>
                <w:rFonts w:hint="eastAsia" w:ascii="仿宋" w:hAnsi="仿宋" w:eastAsia="仿宋"/>
                <w:sz w:val="24"/>
                <w:szCs w:val="24"/>
              </w:rPr>
              <w:t>储运设备</w:t>
            </w:r>
          </w:p>
          <w:p w14:paraId="76423F77">
            <w:pPr>
              <w:jc w:val="center"/>
              <w:textAlignment w:val="center"/>
              <w:rPr>
                <w:rFonts w:hint="eastAsia" w:ascii="仿宋" w:hAnsi="仿宋" w:eastAsia="仿宋" w:cs="微软雅黑"/>
                <w:sz w:val="24"/>
              </w:rPr>
            </w:pPr>
          </w:p>
        </w:tc>
        <w:tc>
          <w:tcPr>
            <w:tcW w:w="1479" w:type="pct"/>
            <w:shd w:val="clear" w:color="auto" w:fill="FFFFFF" w:themeFill="background1"/>
            <w:vAlign w:val="center"/>
          </w:tcPr>
          <w:p w14:paraId="6689A433">
            <w:pPr>
              <w:pStyle w:val="155"/>
              <w:ind w:firstLine="0" w:firstLineChars="0"/>
              <w:rPr>
                <w:rFonts w:hint="eastAsia" w:ascii="仿宋" w:hAnsi="仿宋" w:eastAsia="仿宋"/>
                <w:sz w:val="24"/>
                <w:szCs w:val="24"/>
              </w:rPr>
            </w:pPr>
            <w:r>
              <w:rPr>
                <w:rFonts w:hint="eastAsia" w:ascii="仿宋" w:hAnsi="仿宋" w:eastAsia="仿宋"/>
                <w:sz w:val="24"/>
                <w:szCs w:val="24"/>
              </w:rPr>
              <w:t>应分析采用的主要储运设备情况，进行合理性评价；若采用新设备，应说明新设备的安全可靠性论证情况。</w:t>
            </w:r>
          </w:p>
          <w:p w14:paraId="496D2EFD">
            <w:pPr>
              <w:jc w:val="left"/>
              <w:textAlignment w:val="center"/>
              <w:rPr>
                <w:rFonts w:hint="eastAsia" w:ascii="仿宋" w:hAnsi="仿宋" w:eastAsia="仿宋" w:cs="微软雅黑"/>
                <w:sz w:val="24"/>
              </w:rPr>
            </w:pPr>
          </w:p>
        </w:tc>
        <w:tc>
          <w:tcPr>
            <w:tcW w:w="578" w:type="pct"/>
            <w:shd w:val="clear" w:color="auto" w:fill="FFFFFF" w:themeFill="background1"/>
            <w:noWrap/>
            <w:vAlign w:val="center"/>
          </w:tcPr>
          <w:p w14:paraId="7CB0806A">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 xml:space="preserve">8.4.5 </w:t>
            </w:r>
            <w:r>
              <w:rPr>
                <w:rFonts w:hint="eastAsia" w:ascii="仿宋" w:hAnsi="仿宋" w:eastAsia="仿宋"/>
                <w:sz w:val="24"/>
                <w:szCs w:val="24"/>
              </w:rPr>
              <w:t>储运设备</w:t>
            </w:r>
          </w:p>
        </w:tc>
        <w:tc>
          <w:tcPr>
            <w:tcW w:w="1473" w:type="pct"/>
            <w:shd w:val="clear" w:color="auto" w:fill="FFFFFF" w:themeFill="background1"/>
            <w:vAlign w:val="center"/>
          </w:tcPr>
          <w:p w14:paraId="1A3B60EA">
            <w:pPr>
              <w:jc w:val="left"/>
              <w:textAlignment w:val="center"/>
              <w:rPr>
                <w:rFonts w:hint="eastAsia" w:ascii="仿宋" w:hAnsi="仿宋" w:eastAsia="仿宋" w:cs="微软雅黑"/>
                <w:sz w:val="24"/>
              </w:rPr>
            </w:pPr>
          </w:p>
        </w:tc>
        <w:tc>
          <w:tcPr>
            <w:tcW w:w="768" w:type="pct"/>
            <w:shd w:val="clear" w:color="auto" w:fill="FFFFFF" w:themeFill="background1"/>
            <w:vAlign w:val="center"/>
          </w:tcPr>
          <w:p w14:paraId="7301B4F7">
            <w:pPr>
              <w:jc w:val="left"/>
              <w:textAlignment w:val="center"/>
              <w:rPr>
                <w:rFonts w:hint="eastAsia" w:ascii="仿宋" w:hAnsi="仿宋" w:eastAsia="仿宋" w:cs="微软雅黑"/>
                <w:sz w:val="24"/>
              </w:rPr>
            </w:pPr>
            <w:r>
              <w:rPr>
                <w:rFonts w:hint="eastAsia" w:ascii="仿宋" w:hAnsi="仿宋" w:eastAsia="仿宋" w:cs="微软雅黑"/>
                <w:sz w:val="24"/>
              </w:rPr>
              <w:t>删除了</w:t>
            </w:r>
            <w:r>
              <w:rPr>
                <w:rFonts w:hint="eastAsia" w:ascii="仿宋" w:hAnsi="仿宋" w:eastAsia="仿宋"/>
                <w:sz w:val="24"/>
              </w:rPr>
              <w:t>新设备</w:t>
            </w:r>
            <w:r>
              <w:rPr>
                <w:rFonts w:hint="eastAsia" w:ascii="仿宋" w:hAnsi="仿宋" w:eastAsia="仿宋" w:cs="微软雅黑"/>
                <w:sz w:val="24"/>
              </w:rPr>
              <w:t>安全可靠性论证内容，调整至安全基本条件评价单元。</w:t>
            </w:r>
          </w:p>
        </w:tc>
      </w:tr>
      <w:tr w14:paraId="3DF6D2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41953E54">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1584FE60">
            <w:pPr>
              <w:jc w:val="center"/>
              <w:textAlignment w:val="center"/>
              <w:rPr>
                <w:rFonts w:hint="eastAsia" w:ascii="仿宋" w:hAnsi="仿宋" w:eastAsia="仿宋" w:cs="微软雅黑"/>
                <w:sz w:val="24"/>
              </w:rPr>
            </w:pPr>
          </w:p>
        </w:tc>
        <w:tc>
          <w:tcPr>
            <w:tcW w:w="1479" w:type="pct"/>
            <w:shd w:val="clear" w:color="auto" w:fill="FFFFFF" w:themeFill="background1"/>
            <w:vAlign w:val="center"/>
          </w:tcPr>
          <w:p w14:paraId="2A1F64E5">
            <w:pPr>
              <w:jc w:val="left"/>
              <w:textAlignment w:val="center"/>
              <w:rPr>
                <w:rFonts w:hint="eastAsia" w:ascii="仿宋" w:hAnsi="仿宋" w:eastAsia="仿宋" w:cs="微软雅黑"/>
                <w:sz w:val="24"/>
              </w:rPr>
            </w:pPr>
          </w:p>
        </w:tc>
        <w:tc>
          <w:tcPr>
            <w:tcW w:w="578" w:type="pct"/>
            <w:shd w:val="clear" w:color="auto" w:fill="FFFFFF" w:themeFill="background1"/>
            <w:noWrap/>
            <w:vAlign w:val="center"/>
          </w:tcPr>
          <w:p w14:paraId="116E6BA1">
            <w:pPr>
              <w:jc w:val="center"/>
              <w:textAlignment w:val="center"/>
              <w:rPr>
                <w:rFonts w:hint="eastAsia" w:ascii="仿宋" w:hAnsi="仿宋" w:eastAsia="仿宋" w:cs="微软雅黑"/>
                <w:sz w:val="24"/>
              </w:rPr>
            </w:pPr>
            <w:r>
              <w:rPr>
                <w:rFonts w:ascii="仿宋" w:hAnsi="仿宋" w:eastAsia="仿宋"/>
                <w:color w:val="000000" w:themeColor="text1"/>
                <w:sz w:val="24"/>
                <w14:textFill>
                  <w14:solidFill>
                    <w14:schemeClr w14:val="tx1"/>
                  </w14:solidFill>
                </w14:textFill>
              </w:rPr>
              <w:t>8.4.5.1</w:t>
            </w:r>
          </w:p>
        </w:tc>
        <w:tc>
          <w:tcPr>
            <w:tcW w:w="1473" w:type="pct"/>
            <w:shd w:val="clear" w:color="auto" w:fill="FFFFFF" w:themeFill="background1"/>
            <w:vAlign w:val="center"/>
          </w:tcPr>
          <w:p w14:paraId="5423A913">
            <w:pPr>
              <w:jc w:val="left"/>
              <w:textAlignment w:val="center"/>
              <w:rPr>
                <w:rFonts w:hint="eastAsia" w:ascii="仿宋" w:hAnsi="仿宋" w:eastAsia="仿宋" w:cs="微软雅黑"/>
                <w:sz w:val="24"/>
              </w:rPr>
            </w:pPr>
            <w:r>
              <w:rPr>
                <w:rFonts w:hint="eastAsia" w:ascii="仿宋" w:hAnsi="仿宋" w:eastAsia="仿宋"/>
                <w:sz w:val="24"/>
              </w:rPr>
              <w:t>分析采用的主要储运设备情况，进行合理性评价。</w:t>
            </w:r>
          </w:p>
        </w:tc>
        <w:tc>
          <w:tcPr>
            <w:tcW w:w="768" w:type="pct"/>
            <w:shd w:val="clear" w:color="auto" w:fill="FFFFFF" w:themeFill="background1"/>
            <w:vAlign w:val="center"/>
          </w:tcPr>
          <w:p w14:paraId="771A1078">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38F884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40EC57BC">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45EE9E83">
            <w:pPr>
              <w:jc w:val="center"/>
              <w:textAlignment w:val="center"/>
              <w:rPr>
                <w:rFonts w:hint="eastAsia" w:ascii="仿宋" w:hAnsi="仿宋" w:eastAsia="仿宋" w:cs="微软雅黑"/>
                <w:sz w:val="24"/>
              </w:rPr>
            </w:pPr>
          </w:p>
        </w:tc>
        <w:tc>
          <w:tcPr>
            <w:tcW w:w="1479" w:type="pct"/>
            <w:shd w:val="clear" w:color="auto" w:fill="FFFFFF" w:themeFill="background1"/>
            <w:vAlign w:val="center"/>
          </w:tcPr>
          <w:p w14:paraId="6E43F1E9">
            <w:pPr>
              <w:jc w:val="left"/>
              <w:textAlignment w:val="center"/>
              <w:rPr>
                <w:rFonts w:hint="eastAsia" w:ascii="仿宋" w:hAnsi="仿宋" w:eastAsia="仿宋" w:cs="微软雅黑"/>
                <w:sz w:val="24"/>
              </w:rPr>
            </w:pPr>
          </w:p>
        </w:tc>
        <w:tc>
          <w:tcPr>
            <w:tcW w:w="578" w:type="pct"/>
            <w:shd w:val="clear" w:color="auto" w:fill="FFFFFF" w:themeFill="background1"/>
            <w:noWrap/>
            <w:vAlign w:val="center"/>
          </w:tcPr>
          <w:p w14:paraId="3FA46E2E">
            <w:pPr>
              <w:jc w:val="center"/>
              <w:textAlignment w:val="center"/>
              <w:rPr>
                <w:rFonts w:hint="eastAsia" w:ascii="仿宋" w:hAnsi="仿宋" w:eastAsia="仿宋" w:cs="微软雅黑"/>
                <w:sz w:val="24"/>
              </w:rPr>
            </w:pPr>
            <w:r>
              <w:rPr>
                <w:rFonts w:ascii="仿宋" w:hAnsi="仿宋" w:eastAsia="仿宋"/>
                <w:color w:val="000000" w:themeColor="text1"/>
                <w:sz w:val="24"/>
                <w14:textFill>
                  <w14:solidFill>
                    <w14:schemeClr w14:val="tx1"/>
                  </w14:solidFill>
                </w14:textFill>
              </w:rPr>
              <w:t>8.4.5.2</w:t>
            </w:r>
          </w:p>
        </w:tc>
        <w:tc>
          <w:tcPr>
            <w:tcW w:w="1473" w:type="pct"/>
            <w:shd w:val="clear" w:color="auto" w:fill="FFFFFF" w:themeFill="background1"/>
            <w:vAlign w:val="center"/>
          </w:tcPr>
          <w:p w14:paraId="2223C257">
            <w:pPr>
              <w:jc w:val="left"/>
              <w:textAlignment w:val="center"/>
              <w:rPr>
                <w:rFonts w:hint="eastAsia" w:ascii="仿宋" w:hAnsi="仿宋" w:eastAsia="仿宋" w:cs="微软雅黑"/>
                <w:sz w:val="24"/>
              </w:rPr>
            </w:pPr>
            <w:r>
              <w:rPr>
                <w:rFonts w:hint="eastAsia" w:ascii="仿宋" w:hAnsi="仿宋" w:eastAsia="仿宋"/>
                <w:sz w:val="24"/>
              </w:rPr>
              <w:t>分析辨识出的危险化学品重大危险源的安全管控要求，进行合规性</w:t>
            </w:r>
            <w:r>
              <w:rPr>
                <w:rFonts w:ascii="仿宋" w:hAnsi="仿宋" w:eastAsia="仿宋"/>
                <w:sz w:val="24"/>
              </w:rPr>
              <w:t>评价。</w:t>
            </w:r>
          </w:p>
        </w:tc>
        <w:tc>
          <w:tcPr>
            <w:tcW w:w="768" w:type="pct"/>
            <w:shd w:val="clear" w:color="auto" w:fill="FFFFFF" w:themeFill="background1"/>
            <w:vAlign w:val="center"/>
          </w:tcPr>
          <w:p w14:paraId="50E33F19">
            <w:pPr>
              <w:jc w:val="left"/>
              <w:textAlignment w:val="center"/>
              <w:rPr>
                <w:rFonts w:hint="eastAsia" w:ascii="仿宋" w:hAnsi="仿宋" w:eastAsia="仿宋" w:cs="微软雅黑"/>
                <w:sz w:val="24"/>
              </w:rPr>
            </w:pPr>
            <w:r>
              <w:rPr>
                <w:rFonts w:hint="eastAsia" w:ascii="仿宋" w:hAnsi="仿宋" w:eastAsia="仿宋" w:cs="微软雅黑"/>
                <w:sz w:val="24"/>
              </w:rPr>
              <w:t>增加了对危险化学品重大危险源安全管控措施合规性评价内容。</w:t>
            </w:r>
          </w:p>
        </w:tc>
      </w:tr>
      <w:tr w14:paraId="638B2D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30FE8FAA">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30DA3CB5">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8.3.6</w:t>
            </w:r>
            <w:r>
              <w:rPr>
                <w:rFonts w:hint="eastAsia" w:ascii="仿宋" w:hAnsi="仿宋" w:eastAsia="仿宋"/>
                <w:sz w:val="24"/>
                <w:szCs w:val="24"/>
              </w:rPr>
              <w:t xml:space="preserve"> 建设项目相互影响</w:t>
            </w:r>
          </w:p>
        </w:tc>
        <w:tc>
          <w:tcPr>
            <w:tcW w:w="1479" w:type="pct"/>
            <w:shd w:val="clear" w:color="auto" w:fill="FFFFFF" w:themeFill="background1"/>
            <w:vAlign w:val="center"/>
          </w:tcPr>
          <w:p w14:paraId="3F57BE53">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应根据建设项目</w:t>
            </w:r>
            <w:r>
              <w:rPr>
                <w:rFonts w:ascii="仿宋" w:hAnsi="仿宋" w:eastAsia="仿宋"/>
                <w:sz w:val="24"/>
                <w:szCs w:val="24"/>
              </w:rPr>
              <w:t>相互</w:t>
            </w:r>
            <w:r>
              <w:rPr>
                <w:rFonts w:hint="eastAsia" w:ascii="仿宋" w:hAnsi="仿宋" w:eastAsia="仿宋"/>
                <w:sz w:val="24"/>
                <w:szCs w:val="24"/>
              </w:rPr>
              <w:t>影响</w:t>
            </w:r>
            <w:r>
              <w:rPr>
                <w:rFonts w:ascii="仿宋" w:hAnsi="仿宋" w:eastAsia="仿宋"/>
                <w:sz w:val="24"/>
                <w:szCs w:val="24"/>
              </w:rPr>
              <w:t>的</w:t>
            </w:r>
            <w:r>
              <w:rPr>
                <w:rFonts w:hint="eastAsia" w:ascii="仿宋" w:hAnsi="仿宋" w:eastAsia="仿宋"/>
                <w:sz w:val="24"/>
                <w:szCs w:val="24"/>
              </w:rPr>
              <w:t>危险</w:t>
            </w:r>
            <w:r>
              <w:rPr>
                <w:rFonts w:ascii="仿宋" w:hAnsi="仿宋" w:eastAsia="仿宋"/>
                <w:sz w:val="24"/>
                <w:szCs w:val="24"/>
              </w:rPr>
              <w:t>有</w:t>
            </w:r>
            <w:r>
              <w:rPr>
                <w:rFonts w:hint="eastAsia" w:ascii="仿宋" w:hAnsi="仿宋" w:eastAsia="仿宋"/>
                <w:sz w:val="24"/>
                <w:szCs w:val="24"/>
              </w:rPr>
              <w:t>害因素辨识</w:t>
            </w:r>
            <w:r>
              <w:rPr>
                <w:rFonts w:ascii="仿宋" w:hAnsi="仿宋" w:eastAsia="仿宋"/>
                <w:sz w:val="24"/>
                <w:szCs w:val="24"/>
              </w:rPr>
              <w:t>结果</w:t>
            </w:r>
            <w:r>
              <w:rPr>
                <w:rFonts w:hint="eastAsia" w:ascii="仿宋" w:hAnsi="仿宋" w:eastAsia="仿宋"/>
                <w:sz w:val="24"/>
                <w:szCs w:val="24"/>
              </w:rPr>
              <w:t>，进行合规性</w:t>
            </w:r>
            <w:r>
              <w:rPr>
                <w:rFonts w:ascii="仿宋" w:hAnsi="仿宋" w:eastAsia="仿宋"/>
                <w:sz w:val="24"/>
                <w:szCs w:val="24"/>
              </w:rPr>
              <w:t>评价。</w:t>
            </w:r>
          </w:p>
        </w:tc>
        <w:tc>
          <w:tcPr>
            <w:tcW w:w="578" w:type="pct"/>
            <w:shd w:val="clear" w:color="auto" w:fill="FFFFFF" w:themeFill="background1"/>
            <w:noWrap/>
            <w:vAlign w:val="center"/>
          </w:tcPr>
          <w:p w14:paraId="242D5670">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8.4.6</w:t>
            </w:r>
            <w:r>
              <w:rPr>
                <w:rFonts w:hint="eastAsia" w:ascii="仿宋" w:hAnsi="仿宋" w:eastAsia="仿宋"/>
                <w:sz w:val="24"/>
                <w:szCs w:val="24"/>
              </w:rPr>
              <w:t xml:space="preserve"> 建设项目相互影响</w:t>
            </w:r>
          </w:p>
        </w:tc>
        <w:tc>
          <w:tcPr>
            <w:tcW w:w="1473" w:type="pct"/>
            <w:shd w:val="clear" w:color="auto" w:fill="FFFFFF" w:themeFill="background1"/>
            <w:vAlign w:val="center"/>
          </w:tcPr>
          <w:p w14:paraId="7A59C9D2">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根据建设项目</w:t>
            </w:r>
            <w:r>
              <w:rPr>
                <w:rFonts w:ascii="仿宋" w:hAnsi="仿宋" w:eastAsia="仿宋"/>
                <w:sz w:val="24"/>
                <w:szCs w:val="24"/>
              </w:rPr>
              <w:t>相互</w:t>
            </w:r>
            <w:r>
              <w:rPr>
                <w:rFonts w:hint="eastAsia" w:ascii="仿宋" w:hAnsi="仿宋" w:eastAsia="仿宋"/>
                <w:sz w:val="24"/>
                <w:szCs w:val="24"/>
              </w:rPr>
              <w:t>影响</w:t>
            </w:r>
            <w:r>
              <w:rPr>
                <w:rFonts w:ascii="仿宋" w:hAnsi="仿宋" w:eastAsia="仿宋"/>
                <w:sz w:val="24"/>
                <w:szCs w:val="24"/>
              </w:rPr>
              <w:t>的</w:t>
            </w:r>
            <w:r>
              <w:rPr>
                <w:rFonts w:hint="eastAsia" w:ascii="仿宋" w:hAnsi="仿宋" w:eastAsia="仿宋"/>
                <w:sz w:val="24"/>
                <w:szCs w:val="24"/>
              </w:rPr>
              <w:t>危险</w:t>
            </w:r>
            <w:r>
              <w:rPr>
                <w:rFonts w:ascii="仿宋" w:hAnsi="仿宋" w:eastAsia="仿宋"/>
                <w:sz w:val="24"/>
                <w:szCs w:val="24"/>
              </w:rPr>
              <w:t>有</w:t>
            </w:r>
            <w:r>
              <w:rPr>
                <w:rFonts w:hint="eastAsia" w:ascii="仿宋" w:hAnsi="仿宋" w:eastAsia="仿宋"/>
                <w:sz w:val="24"/>
                <w:szCs w:val="24"/>
              </w:rPr>
              <w:t>害因素辨识</w:t>
            </w:r>
            <w:r>
              <w:rPr>
                <w:rFonts w:ascii="仿宋" w:hAnsi="仿宋" w:eastAsia="仿宋"/>
                <w:sz w:val="24"/>
                <w:szCs w:val="24"/>
              </w:rPr>
              <w:t>结果</w:t>
            </w:r>
            <w:r>
              <w:rPr>
                <w:rFonts w:hint="eastAsia" w:ascii="仿宋" w:hAnsi="仿宋" w:eastAsia="仿宋"/>
                <w:sz w:val="24"/>
                <w:szCs w:val="24"/>
              </w:rPr>
              <w:t>，进行合规性</w:t>
            </w:r>
            <w:r>
              <w:rPr>
                <w:rFonts w:ascii="仿宋" w:hAnsi="仿宋" w:eastAsia="仿宋"/>
                <w:sz w:val="24"/>
                <w:szCs w:val="24"/>
              </w:rPr>
              <w:t>评价。</w:t>
            </w:r>
          </w:p>
        </w:tc>
        <w:tc>
          <w:tcPr>
            <w:tcW w:w="768" w:type="pct"/>
            <w:shd w:val="clear" w:color="auto" w:fill="FFFFFF" w:themeFill="background1"/>
            <w:vAlign w:val="center"/>
          </w:tcPr>
          <w:p w14:paraId="61A073E6">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43E79E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6D4D08AB">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3F526EFF">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 xml:space="preserve">8.3.7 </w:t>
            </w:r>
            <w:r>
              <w:rPr>
                <w:rFonts w:hint="eastAsia" w:ascii="仿宋" w:hAnsi="仿宋" w:eastAsia="仿宋"/>
                <w:sz w:val="24"/>
                <w:szCs w:val="24"/>
              </w:rPr>
              <w:t>典型站场定量风险评价</w:t>
            </w:r>
          </w:p>
        </w:tc>
        <w:tc>
          <w:tcPr>
            <w:tcW w:w="1479" w:type="pct"/>
            <w:shd w:val="clear" w:color="auto" w:fill="FFFFFF" w:themeFill="background1"/>
            <w:vAlign w:val="center"/>
          </w:tcPr>
          <w:p w14:paraId="5879159C">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应对典型站场进行定量风险评价，确定个人风险和社会风险。</w:t>
            </w:r>
          </w:p>
        </w:tc>
        <w:tc>
          <w:tcPr>
            <w:tcW w:w="578" w:type="pct"/>
            <w:shd w:val="clear" w:color="auto" w:fill="FFFFFF" w:themeFill="background1"/>
            <w:noWrap/>
            <w:vAlign w:val="center"/>
          </w:tcPr>
          <w:p w14:paraId="383EEDDE">
            <w:pPr>
              <w:pStyle w:val="153"/>
              <w:spacing w:before="156" w:after="156"/>
              <w:jc w:val="center"/>
              <w:rPr>
                <w:rFonts w:hint="eastAsia" w:ascii="仿宋" w:hAnsi="仿宋" w:eastAsia="仿宋" w:cs="微软雅黑"/>
                <w:color w:val="000000"/>
                <w:sz w:val="24"/>
                <w:szCs w:val="24"/>
              </w:rPr>
            </w:pPr>
            <w:r>
              <w:rPr>
                <w:rFonts w:hint="eastAsia" w:ascii="仿宋" w:hAnsi="仿宋" w:eastAsia="仿宋"/>
                <w:sz w:val="24"/>
                <w:szCs w:val="24"/>
              </w:rPr>
              <w:t>8</w:t>
            </w:r>
            <w:r>
              <w:rPr>
                <w:rFonts w:ascii="仿宋" w:hAnsi="仿宋" w:eastAsia="仿宋"/>
                <w:sz w:val="24"/>
                <w:szCs w:val="24"/>
              </w:rPr>
              <w:t xml:space="preserve">.4.7 </w:t>
            </w:r>
            <w:r>
              <w:rPr>
                <w:rFonts w:hint="eastAsia" w:ascii="仿宋" w:hAnsi="仿宋" w:eastAsia="仿宋"/>
                <w:sz w:val="24"/>
                <w:szCs w:val="24"/>
              </w:rPr>
              <w:t>站场定量风险评价</w:t>
            </w:r>
          </w:p>
        </w:tc>
        <w:tc>
          <w:tcPr>
            <w:tcW w:w="1473" w:type="pct"/>
            <w:shd w:val="clear" w:color="auto" w:fill="FFFFFF" w:themeFill="background1"/>
            <w:vAlign w:val="center"/>
          </w:tcPr>
          <w:p w14:paraId="61384293">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依据G</w:t>
            </w:r>
            <w:r>
              <w:rPr>
                <w:rFonts w:ascii="仿宋" w:hAnsi="仿宋" w:eastAsia="仿宋"/>
                <w:sz w:val="24"/>
                <w:szCs w:val="24"/>
              </w:rPr>
              <w:t>B 50183</w:t>
            </w:r>
            <w:r>
              <w:rPr>
                <w:rFonts w:hint="eastAsia" w:ascii="仿宋" w:hAnsi="仿宋" w:eastAsia="仿宋"/>
                <w:sz w:val="24"/>
                <w:szCs w:val="24"/>
              </w:rPr>
              <w:t>确定站场等级，说明相关计算参数，对四级及以上等级的站场参照G</w:t>
            </w:r>
            <w:r>
              <w:rPr>
                <w:rFonts w:ascii="仿宋" w:hAnsi="仿宋" w:eastAsia="仿宋"/>
                <w:sz w:val="24"/>
                <w:szCs w:val="24"/>
              </w:rPr>
              <w:t>B/T 37243</w:t>
            </w:r>
            <w:r>
              <w:rPr>
                <w:rFonts w:hint="eastAsia" w:ascii="仿宋" w:hAnsi="仿宋" w:eastAsia="仿宋"/>
                <w:sz w:val="24"/>
                <w:szCs w:val="24"/>
              </w:rPr>
              <w:t>和G</w:t>
            </w:r>
            <w:r>
              <w:rPr>
                <w:rFonts w:ascii="仿宋" w:hAnsi="仿宋" w:eastAsia="仿宋"/>
                <w:sz w:val="24"/>
                <w:szCs w:val="24"/>
              </w:rPr>
              <w:t>B 36894</w:t>
            </w:r>
            <w:r>
              <w:rPr>
                <w:rFonts w:hint="eastAsia" w:ascii="仿宋" w:hAnsi="仿宋" w:eastAsia="仿宋"/>
                <w:sz w:val="24"/>
                <w:szCs w:val="24"/>
              </w:rPr>
              <w:t>进行定量风险评价，对个人风险和社会风险进行合规性</w:t>
            </w:r>
            <w:r>
              <w:rPr>
                <w:rFonts w:ascii="仿宋" w:hAnsi="仿宋" w:eastAsia="仿宋"/>
                <w:sz w:val="24"/>
                <w:szCs w:val="24"/>
              </w:rPr>
              <w:t>评价</w:t>
            </w:r>
            <w:r>
              <w:rPr>
                <w:rFonts w:hint="eastAsia" w:ascii="仿宋" w:hAnsi="仿宋" w:eastAsia="仿宋"/>
                <w:sz w:val="24"/>
                <w:szCs w:val="24"/>
              </w:rPr>
              <w:t>。</w:t>
            </w:r>
          </w:p>
        </w:tc>
        <w:tc>
          <w:tcPr>
            <w:tcW w:w="768" w:type="pct"/>
            <w:shd w:val="clear" w:color="auto" w:fill="FFFFFF" w:themeFill="background1"/>
            <w:vAlign w:val="center"/>
          </w:tcPr>
          <w:p w14:paraId="465EF4F1">
            <w:pPr>
              <w:jc w:val="left"/>
              <w:textAlignment w:val="center"/>
              <w:rPr>
                <w:rFonts w:hint="eastAsia" w:ascii="仿宋" w:hAnsi="仿宋" w:eastAsia="仿宋" w:cs="微软雅黑"/>
                <w:sz w:val="24"/>
              </w:rPr>
            </w:pPr>
            <w:r>
              <w:rPr>
                <w:rFonts w:hint="eastAsia" w:ascii="仿宋" w:hAnsi="仿宋" w:eastAsia="仿宋" w:cs="微软雅黑"/>
                <w:sz w:val="24"/>
              </w:rPr>
              <w:t>明确了对四级及以上等级的站场参照GB/T 37243和GB 36894进行定量风险评价的详细要求。</w:t>
            </w:r>
          </w:p>
        </w:tc>
      </w:tr>
      <w:tr w14:paraId="05FE24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27C5570E">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58A9695C">
            <w:pPr>
              <w:pStyle w:val="4"/>
              <w:jc w:val="center"/>
              <w:rPr>
                <w:rFonts w:hint="eastAsia" w:ascii="仿宋" w:hAnsi="仿宋" w:eastAsia="仿宋" w:cs="微软雅黑"/>
                <w:color w:val="000000"/>
                <w:sz w:val="24"/>
                <w:szCs w:val="24"/>
              </w:rPr>
            </w:pPr>
            <w:bookmarkStart w:id="337" w:name="_Toc535332672"/>
            <w:r>
              <w:rPr>
                <w:rFonts w:ascii="仿宋" w:hAnsi="仿宋" w:eastAsia="仿宋"/>
                <w:sz w:val="24"/>
                <w:szCs w:val="24"/>
              </w:rPr>
              <w:t>8.4</w:t>
            </w:r>
            <w:r>
              <w:rPr>
                <w:rFonts w:hint="eastAsia" w:ascii="仿宋" w:hAnsi="仿宋" w:eastAsia="仿宋"/>
                <w:sz w:val="24"/>
                <w:szCs w:val="24"/>
              </w:rPr>
              <w:t xml:space="preserve"> 公用工程</w:t>
            </w:r>
            <w:bookmarkEnd w:id="337"/>
          </w:p>
        </w:tc>
        <w:tc>
          <w:tcPr>
            <w:tcW w:w="1479" w:type="pct"/>
            <w:shd w:val="clear" w:color="auto" w:fill="FFFFFF" w:themeFill="background1"/>
            <w:vAlign w:val="center"/>
          </w:tcPr>
          <w:p w14:paraId="763BCDE1">
            <w:pPr>
              <w:jc w:val="left"/>
              <w:textAlignment w:val="center"/>
              <w:rPr>
                <w:rFonts w:hint="eastAsia" w:ascii="仿宋" w:hAnsi="仿宋" w:eastAsia="仿宋" w:cs="微软雅黑"/>
                <w:sz w:val="24"/>
              </w:rPr>
            </w:pPr>
          </w:p>
        </w:tc>
        <w:tc>
          <w:tcPr>
            <w:tcW w:w="578" w:type="pct"/>
            <w:shd w:val="clear" w:color="auto" w:fill="FFFFFF" w:themeFill="background1"/>
            <w:noWrap/>
            <w:vAlign w:val="center"/>
          </w:tcPr>
          <w:p w14:paraId="6F561A4F">
            <w:pPr>
              <w:pStyle w:val="4"/>
              <w:jc w:val="center"/>
              <w:rPr>
                <w:rFonts w:hint="eastAsia" w:ascii="仿宋" w:hAnsi="仿宋" w:eastAsia="仿宋" w:cs="微软雅黑"/>
                <w:color w:val="000000"/>
                <w:sz w:val="24"/>
                <w:szCs w:val="24"/>
              </w:rPr>
            </w:pPr>
            <w:r>
              <w:rPr>
                <w:rFonts w:ascii="仿宋" w:hAnsi="仿宋" w:eastAsia="仿宋"/>
                <w:sz w:val="24"/>
                <w:szCs w:val="24"/>
              </w:rPr>
              <w:t>8.5</w:t>
            </w:r>
            <w:r>
              <w:rPr>
                <w:rFonts w:hint="eastAsia" w:ascii="仿宋" w:hAnsi="仿宋" w:eastAsia="仿宋"/>
                <w:sz w:val="24"/>
                <w:szCs w:val="24"/>
              </w:rPr>
              <w:t xml:space="preserve"> 公用工程</w:t>
            </w:r>
          </w:p>
        </w:tc>
        <w:tc>
          <w:tcPr>
            <w:tcW w:w="1473" w:type="pct"/>
            <w:shd w:val="clear" w:color="auto" w:fill="FFFFFF" w:themeFill="background1"/>
            <w:vAlign w:val="center"/>
          </w:tcPr>
          <w:p w14:paraId="553C465A">
            <w:pPr>
              <w:jc w:val="left"/>
              <w:textAlignment w:val="center"/>
              <w:rPr>
                <w:rFonts w:hint="eastAsia" w:ascii="仿宋" w:hAnsi="仿宋" w:eastAsia="仿宋" w:cs="微软雅黑"/>
                <w:sz w:val="24"/>
              </w:rPr>
            </w:pPr>
          </w:p>
        </w:tc>
        <w:tc>
          <w:tcPr>
            <w:tcW w:w="768" w:type="pct"/>
            <w:shd w:val="clear" w:color="auto" w:fill="FFFFFF" w:themeFill="background1"/>
            <w:vAlign w:val="center"/>
          </w:tcPr>
          <w:p w14:paraId="0463DC11">
            <w:pPr>
              <w:jc w:val="left"/>
              <w:textAlignment w:val="center"/>
              <w:rPr>
                <w:rFonts w:hint="eastAsia" w:ascii="仿宋" w:hAnsi="仿宋" w:eastAsia="仿宋" w:cs="微软雅黑"/>
                <w:sz w:val="24"/>
              </w:rPr>
            </w:pPr>
            <w:r>
              <w:rPr>
                <w:rFonts w:hint="eastAsia" w:ascii="仿宋" w:hAnsi="仿宋" w:eastAsia="仿宋" w:cs="微软雅黑"/>
                <w:sz w:val="24"/>
              </w:rPr>
              <w:t>梳理了章节顺序。</w:t>
            </w:r>
          </w:p>
        </w:tc>
      </w:tr>
      <w:tr w14:paraId="1FB401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01D7E31D">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523079F2">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8.4.1</w:t>
            </w:r>
            <w:r>
              <w:rPr>
                <w:rFonts w:hint="eastAsia" w:ascii="仿宋" w:hAnsi="仿宋" w:eastAsia="仿宋"/>
                <w:sz w:val="24"/>
                <w:szCs w:val="24"/>
              </w:rPr>
              <w:t xml:space="preserve"> 自控</w:t>
            </w:r>
          </w:p>
        </w:tc>
        <w:tc>
          <w:tcPr>
            <w:tcW w:w="1479" w:type="pct"/>
            <w:shd w:val="clear" w:color="auto" w:fill="FFFFFF" w:themeFill="background1"/>
            <w:vAlign w:val="center"/>
          </w:tcPr>
          <w:p w14:paraId="28C30B6A">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应分析监控与数据采集</w:t>
            </w:r>
            <w:r>
              <w:rPr>
                <w:rFonts w:ascii="仿宋" w:hAnsi="仿宋" w:eastAsia="仿宋"/>
                <w:sz w:val="24"/>
                <w:szCs w:val="24"/>
              </w:rPr>
              <w:t>(SCADA)</w:t>
            </w:r>
            <w:r>
              <w:rPr>
                <w:rFonts w:hint="eastAsia" w:ascii="仿宋" w:hAnsi="仿宋" w:eastAsia="仿宋"/>
                <w:sz w:val="24"/>
                <w:szCs w:val="24"/>
              </w:rPr>
              <w:t>系统、基本过程控制系统（</w:t>
            </w:r>
            <w:r>
              <w:rPr>
                <w:rFonts w:ascii="仿宋" w:hAnsi="仿宋" w:eastAsia="仿宋"/>
                <w:sz w:val="24"/>
                <w:szCs w:val="24"/>
              </w:rPr>
              <w:t>BPCS</w:t>
            </w:r>
            <w:r>
              <w:rPr>
                <w:rFonts w:hint="eastAsia" w:ascii="仿宋" w:hAnsi="仿宋" w:eastAsia="仿宋"/>
                <w:sz w:val="24"/>
                <w:szCs w:val="24"/>
              </w:rPr>
              <w:t>）、安全仪表系统（</w:t>
            </w:r>
            <w:r>
              <w:rPr>
                <w:rFonts w:ascii="仿宋" w:hAnsi="仿宋" w:eastAsia="仿宋"/>
                <w:sz w:val="24"/>
                <w:szCs w:val="24"/>
              </w:rPr>
              <w:t>SIS</w:t>
            </w:r>
            <w:r>
              <w:rPr>
                <w:rFonts w:hint="eastAsia" w:ascii="仿宋" w:hAnsi="仿宋" w:eastAsia="仿宋"/>
                <w:sz w:val="24"/>
                <w:szCs w:val="24"/>
              </w:rPr>
              <w:t>）、管道泄漏检测系统、水击保护系统、可燃</w:t>
            </w:r>
            <w:r>
              <w:rPr>
                <w:rFonts w:ascii="仿宋" w:hAnsi="仿宋" w:eastAsia="仿宋"/>
                <w:sz w:val="24"/>
                <w:szCs w:val="24"/>
              </w:rPr>
              <w:t>（</w:t>
            </w:r>
            <w:r>
              <w:rPr>
                <w:rFonts w:hint="eastAsia" w:ascii="仿宋" w:hAnsi="仿宋" w:eastAsia="仿宋"/>
                <w:sz w:val="24"/>
                <w:szCs w:val="24"/>
              </w:rPr>
              <w:t>有毒</w:t>
            </w:r>
            <w:r>
              <w:rPr>
                <w:rFonts w:ascii="仿宋" w:hAnsi="仿宋" w:eastAsia="仿宋"/>
                <w:sz w:val="24"/>
                <w:szCs w:val="24"/>
              </w:rPr>
              <w:t>）</w:t>
            </w:r>
            <w:r>
              <w:rPr>
                <w:rFonts w:hint="eastAsia" w:ascii="仿宋" w:hAnsi="仿宋" w:eastAsia="仿宋"/>
                <w:sz w:val="24"/>
                <w:szCs w:val="24"/>
              </w:rPr>
              <w:t>气体</w:t>
            </w:r>
            <w:r>
              <w:rPr>
                <w:rFonts w:ascii="仿宋" w:hAnsi="仿宋" w:eastAsia="仿宋"/>
                <w:sz w:val="24"/>
                <w:szCs w:val="24"/>
              </w:rPr>
              <w:t>检测系统</w:t>
            </w:r>
            <w:r>
              <w:rPr>
                <w:rFonts w:hint="eastAsia" w:ascii="仿宋" w:hAnsi="仿宋" w:eastAsia="仿宋"/>
                <w:sz w:val="24"/>
                <w:szCs w:val="24"/>
              </w:rPr>
              <w:t>、火灾</w:t>
            </w:r>
            <w:r>
              <w:rPr>
                <w:rFonts w:ascii="仿宋" w:hAnsi="仿宋" w:eastAsia="仿宋"/>
                <w:sz w:val="24"/>
                <w:szCs w:val="24"/>
              </w:rPr>
              <w:t>自动报警系统、</w:t>
            </w:r>
            <w:r>
              <w:rPr>
                <w:rFonts w:hint="eastAsia" w:ascii="仿宋" w:hAnsi="仿宋" w:eastAsia="仿宋"/>
                <w:sz w:val="24"/>
                <w:szCs w:val="24"/>
              </w:rPr>
              <w:t>站控制室的设置、其它安全措施等的设置情况，进行合规性评价。</w:t>
            </w:r>
          </w:p>
        </w:tc>
        <w:tc>
          <w:tcPr>
            <w:tcW w:w="578" w:type="pct"/>
            <w:shd w:val="clear" w:color="auto" w:fill="FFFFFF" w:themeFill="background1"/>
            <w:noWrap/>
            <w:vAlign w:val="center"/>
          </w:tcPr>
          <w:p w14:paraId="5D99AB76">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8.5.1</w:t>
            </w:r>
            <w:r>
              <w:rPr>
                <w:rFonts w:hint="eastAsia" w:ascii="仿宋" w:hAnsi="仿宋" w:eastAsia="仿宋"/>
                <w:sz w:val="24"/>
                <w:szCs w:val="24"/>
              </w:rPr>
              <w:t xml:space="preserve"> 自控</w:t>
            </w:r>
          </w:p>
        </w:tc>
        <w:tc>
          <w:tcPr>
            <w:tcW w:w="1473" w:type="pct"/>
            <w:shd w:val="clear" w:color="auto" w:fill="FFFFFF" w:themeFill="background1"/>
            <w:vAlign w:val="center"/>
          </w:tcPr>
          <w:p w14:paraId="6B53B26B">
            <w:pPr>
              <w:pStyle w:val="155"/>
              <w:ind w:firstLine="0" w:firstLineChars="0"/>
              <w:rPr>
                <w:rFonts w:hint="eastAsia" w:ascii="仿宋" w:hAnsi="仿宋" w:eastAsia="仿宋"/>
                <w:sz w:val="24"/>
                <w:szCs w:val="24"/>
              </w:rPr>
            </w:pPr>
            <w:r>
              <w:rPr>
                <w:rFonts w:hint="eastAsia" w:ascii="仿宋" w:hAnsi="仿宋" w:eastAsia="仿宋"/>
                <w:sz w:val="24"/>
                <w:szCs w:val="24"/>
              </w:rPr>
              <w:t>分析数据采集与监视控制（SCADA）系统、基本过程控制系统（BPCS）、安全仪表系统（SIS）、管道泄漏检测系统、水击保护系统、压力控制系统、可燃（有毒）气体检测系统、火灾自动报警系统、站控制室的设置、其它安全措施等的设置情况，进行合规性评价。</w:t>
            </w:r>
          </w:p>
        </w:tc>
        <w:tc>
          <w:tcPr>
            <w:tcW w:w="768" w:type="pct"/>
            <w:shd w:val="clear" w:color="auto" w:fill="FFFFFF" w:themeFill="background1"/>
            <w:vAlign w:val="center"/>
          </w:tcPr>
          <w:p w14:paraId="04F0A9F0">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5DE894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57A79700">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5358C420">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8.4.2</w:t>
            </w:r>
            <w:r>
              <w:rPr>
                <w:rFonts w:hint="eastAsia" w:ascii="仿宋" w:hAnsi="仿宋" w:eastAsia="仿宋"/>
                <w:sz w:val="24"/>
                <w:szCs w:val="24"/>
              </w:rPr>
              <w:t xml:space="preserve"> 通信</w:t>
            </w:r>
          </w:p>
        </w:tc>
        <w:tc>
          <w:tcPr>
            <w:tcW w:w="1479" w:type="pct"/>
            <w:shd w:val="clear" w:color="auto" w:fill="FFFFFF" w:themeFill="background1"/>
            <w:vAlign w:val="center"/>
          </w:tcPr>
          <w:p w14:paraId="0F68D366">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应分析数据传输、安全防范系统、电子巡查及巡检系统、防雷防静电接地、电缆选</w:t>
            </w:r>
            <w:r>
              <w:rPr>
                <w:rFonts w:ascii="仿宋" w:hAnsi="仿宋" w:eastAsia="仿宋"/>
                <w:sz w:val="24"/>
                <w:szCs w:val="24"/>
              </w:rPr>
              <w:t>型及</w:t>
            </w:r>
            <w:r>
              <w:rPr>
                <w:rFonts w:hint="eastAsia" w:ascii="仿宋" w:hAnsi="仿宋" w:eastAsia="仿宋"/>
                <w:sz w:val="24"/>
                <w:szCs w:val="24"/>
              </w:rPr>
              <w:t>防护等的设置情况，进行合规性评价。</w:t>
            </w:r>
          </w:p>
        </w:tc>
        <w:tc>
          <w:tcPr>
            <w:tcW w:w="578" w:type="pct"/>
            <w:shd w:val="clear" w:color="auto" w:fill="FFFFFF" w:themeFill="background1"/>
            <w:noWrap/>
            <w:vAlign w:val="center"/>
          </w:tcPr>
          <w:p w14:paraId="4382A661">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8.5.2</w:t>
            </w:r>
            <w:r>
              <w:rPr>
                <w:rFonts w:hint="eastAsia" w:ascii="仿宋" w:hAnsi="仿宋" w:eastAsia="仿宋"/>
                <w:sz w:val="24"/>
                <w:szCs w:val="24"/>
              </w:rPr>
              <w:t xml:space="preserve"> 通信</w:t>
            </w:r>
          </w:p>
        </w:tc>
        <w:tc>
          <w:tcPr>
            <w:tcW w:w="1473" w:type="pct"/>
            <w:shd w:val="clear" w:color="auto" w:fill="FFFFFF" w:themeFill="background1"/>
            <w:vAlign w:val="center"/>
          </w:tcPr>
          <w:p w14:paraId="0635A52B">
            <w:pPr>
              <w:pStyle w:val="155"/>
              <w:ind w:firstLine="0" w:firstLineChars="0"/>
              <w:rPr>
                <w:rFonts w:hint="eastAsia" w:ascii="仿宋" w:hAnsi="仿宋" w:eastAsia="仿宋"/>
                <w:sz w:val="24"/>
                <w:szCs w:val="24"/>
              </w:rPr>
            </w:pPr>
            <w:r>
              <w:rPr>
                <w:rFonts w:hint="eastAsia" w:ascii="仿宋" w:hAnsi="仿宋" w:eastAsia="仿宋"/>
                <w:sz w:val="24"/>
                <w:szCs w:val="24"/>
              </w:rPr>
              <w:t>分析数据传输、安全防范系统、光纤预警系统、电子巡查及巡检系统、防雷及接地、光缆防护等的设置情况，进行合规性评价。</w:t>
            </w:r>
          </w:p>
        </w:tc>
        <w:tc>
          <w:tcPr>
            <w:tcW w:w="768" w:type="pct"/>
            <w:shd w:val="clear" w:color="auto" w:fill="FFFFFF" w:themeFill="background1"/>
            <w:vAlign w:val="center"/>
          </w:tcPr>
          <w:p w14:paraId="530E1280">
            <w:pPr>
              <w:jc w:val="left"/>
              <w:textAlignment w:val="center"/>
              <w:rPr>
                <w:rFonts w:hint="eastAsia" w:ascii="仿宋" w:hAnsi="仿宋" w:eastAsia="仿宋" w:cs="微软雅黑"/>
                <w:sz w:val="24"/>
              </w:rPr>
            </w:pPr>
            <w:r>
              <w:rPr>
                <w:rFonts w:hint="eastAsia" w:ascii="仿宋" w:hAnsi="仿宋" w:eastAsia="仿宋" w:cs="微软雅黑"/>
                <w:sz w:val="24"/>
              </w:rPr>
              <w:t>增加光纤预警系统的设置情况评价，进一步规范了文字的表述形式。</w:t>
            </w:r>
          </w:p>
        </w:tc>
      </w:tr>
      <w:tr w14:paraId="344424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3EA780C0">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3B03285B">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8.4.3</w:t>
            </w:r>
            <w:r>
              <w:rPr>
                <w:rFonts w:hint="eastAsia" w:ascii="仿宋" w:hAnsi="仿宋" w:eastAsia="仿宋"/>
                <w:sz w:val="24"/>
                <w:szCs w:val="24"/>
              </w:rPr>
              <w:t xml:space="preserve"> 供配电</w:t>
            </w:r>
          </w:p>
        </w:tc>
        <w:tc>
          <w:tcPr>
            <w:tcW w:w="1479" w:type="pct"/>
            <w:shd w:val="clear" w:color="auto" w:fill="FFFFFF" w:themeFill="background1"/>
            <w:vAlign w:val="center"/>
          </w:tcPr>
          <w:p w14:paraId="03300666">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应分析压气站供电系统、站场和阀室电源、变电站（所）、爆炸危险区域划分、主要电气设备、防雷防静电接地等情况，进行合规性评价，并说明采用属于国家明令禁止、淘汰的电气设备情况。</w:t>
            </w:r>
          </w:p>
        </w:tc>
        <w:tc>
          <w:tcPr>
            <w:tcW w:w="578" w:type="pct"/>
            <w:shd w:val="clear" w:color="auto" w:fill="FFFFFF" w:themeFill="background1"/>
            <w:noWrap/>
            <w:vAlign w:val="center"/>
          </w:tcPr>
          <w:p w14:paraId="64723AA3">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8.5.3</w:t>
            </w:r>
            <w:r>
              <w:rPr>
                <w:rFonts w:hint="eastAsia" w:ascii="仿宋" w:hAnsi="仿宋" w:eastAsia="仿宋"/>
                <w:sz w:val="24"/>
                <w:szCs w:val="24"/>
              </w:rPr>
              <w:t xml:space="preserve"> 供配电</w:t>
            </w:r>
          </w:p>
        </w:tc>
        <w:tc>
          <w:tcPr>
            <w:tcW w:w="1473" w:type="pct"/>
            <w:shd w:val="clear" w:color="auto" w:fill="FFFFFF" w:themeFill="background1"/>
            <w:vAlign w:val="center"/>
          </w:tcPr>
          <w:p w14:paraId="0D407947">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分析压气站供电系统、站场和阀室电源、变电站（所）、爆炸危险区域划分、主要电气设备、防雷防静电接地等情况，进行合规性评价，并说明采用属于国家明令禁止、淘汰的电气设备情况。</w:t>
            </w:r>
          </w:p>
        </w:tc>
        <w:tc>
          <w:tcPr>
            <w:tcW w:w="768" w:type="pct"/>
            <w:shd w:val="clear" w:color="auto" w:fill="FFFFFF" w:themeFill="background1"/>
            <w:vAlign w:val="center"/>
          </w:tcPr>
          <w:p w14:paraId="7D795F26">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0046A9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352B9CA6">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652553C9">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8.4.4</w:t>
            </w:r>
            <w:r>
              <w:rPr>
                <w:rFonts w:hint="eastAsia" w:ascii="仿宋" w:hAnsi="仿宋" w:eastAsia="仿宋"/>
                <w:sz w:val="24"/>
                <w:szCs w:val="24"/>
              </w:rPr>
              <w:t xml:space="preserve"> 防腐与保温</w:t>
            </w:r>
          </w:p>
        </w:tc>
        <w:tc>
          <w:tcPr>
            <w:tcW w:w="1479" w:type="pct"/>
            <w:shd w:val="clear" w:color="auto" w:fill="FFFFFF" w:themeFill="background1"/>
            <w:vAlign w:val="center"/>
          </w:tcPr>
          <w:p w14:paraId="640C2ACC">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应分析管道外防腐层及保温层材料和补口方式及其相互兼容性、阴极保护站设置、消除沿线杂散电流干扰等情况，进行合规性评价。</w:t>
            </w:r>
          </w:p>
        </w:tc>
        <w:tc>
          <w:tcPr>
            <w:tcW w:w="578" w:type="pct"/>
            <w:shd w:val="clear" w:color="auto" w:fill="FFFFFF" w:themeFill="background1"/>
            <w:noWrap/>
            <w:vAlign w:val="center"/>
          </w:tcPr>
          <w:p w14:paraId="41D2B9B6">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8.5.4</w:t>
            </w:r>
            <w:r>
              <w:rPr>
                <w:rFonts w:hint="eastAsia" w:ascii="仿宋" w:hAnsi="仿宋" w:eastAsia="仿宋"/>
                <w:sz w:val="24"/>
                <w:szCs w:val="24"/>
              </w:rPr>
              <w:t xml:space="preserve"> 防腐与保温</w:t>
            </w:r>
          </w:p>
        </w:tc>
        <w:tc>
          <w:tcPr>
            <w:tcW w:w="1473" w:type="pct"/>
            <w:shd w:val="clear" w:color="auto" w:fill="FFFFFF" w:themeFill="background1"/>
            <w:vAlign w:val="center"/>
          </w:tcPr>
          <w:p w14:paraId="4C2B60A5">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分析管道外防腐层及保温层材料和补口方式及其相互兼容性、阴极保护站设置、消除沿线杂散电流干扰等情况，进行合规性评价。</w:t>
            </w:r>
          </w:p>
        </w:tc>
        <w:tc>
          <w:tcPr>
            <w:tcW w:w="768" w:type="pct"/>
            <w:shd w:val="clear" w:color="auto" w:fill="FFFFFF" w:themeFill="background1"/>
            <w:vAlign w:val="center"/>
          </w:tcPr>
          <w:p w14:paraId="37277880">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579169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31D52C05">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5A067B48">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8.4.5</w:t>
            </w:r>
            <w:r>
              <w:rPr>
                <w:rFonts w:hint="eastAsia" w:ascii="仿宋" w:hAnsi="仿宋" w:eastAsia="仿宋"/>
                <w:sz w:val="24"/>
                <w:szCs w:val="24"/>
              </w:rPr>
              <w:t xml:space="preserve"> 采暖通风</w:t>
            </w:r>
          </w:p>
        </w:tc>
        <w:tc>
          <w:tcPr>
            <w:tcW w:w="1479" w:type="pct"/>
            <w:shd w:val="clear" w:color="auto" w:fill="FFFFFF" w:themeFill="background1"/>
            <w:vAlign w:val="center"/>
          </w:tcPr>
          <w:p w14:paraId="45B45B9D">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应分析通风方式，供热设施或外接热源等情况，进行合规性评价。</w:t>
            </w:r>
          </w:p>
        </w:tc>
        <w:tc>
          <w:tcPr>
            <w:tcW w:w="578" w:type="pct"/>
            <w:shd w:val="clear" w:color="auto" w:fill="FFFFFF" w:themeFill="background1"/>
            <w:noWrap/>
            <w:vAlign w:val="center"/>
          </w:tcPr>
          <w:p w14:paraId="332B6370">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8.5.5</w:t>
            </w:r>
            <w:r>
              <w:rPr>
                <w:rFonts w:hint="eastAsia" w:ascii="仿宋" w:hAnsi="仿宋" w:eastAsia="仿宋"/>
                <w:sz w:val="24"/>
                <w:szCs w:val="24"/>
              </w:rPr>
              <w:t xml:space="preserve"> 采暖通风</w:t>
            </w:r>
          </w:p>
        </w:tc>
        <w:tc>
          <w:tcPr>
            <w:tcW w:w="1473" w:type="pct"/>
            <w:shd w:val="clear" w:color="auto" w:fill="FFFFFF" w:themeFill="background1"/>
            <w:vAlign w:val="center"/>
          </w:tcPr>
          <w:p w14:paraId="22928B84">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分析通风方式、供热设施或外接热源等情况，进行合规性评价。</w:t>
            </w:r>
          </w:p>
        </w:tc>
        <w:tc>
          <w:tcPr>
            <w:tcW w:w="768" w:type="pct"/>
            <w:shd w:val="clear" w:color="auto" w:fill="FFFFFF" w:themeFill="background1"/>
            <w:vAlign w:val="center"/>
          </w:tcPr>
          <w:p w14:paraId="6AFF19E5">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66C5AE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00821D79">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1AB164A8">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8.4.6</w:t>
            </w:r>
            <w:r>
              <w:rPr>
                <w:rFonts w:hint="eastAsia" w:ascii="仿宋" w:hAnsi="仿宋" w:eastAsia="仿宋"/>
                <w:sz w:val="24"/>
                <w:szCs w:val="24"/>
              </w:rPr>
              <w:t xml:space="preserve"> 建(构)筑物</w:t>
            </w:r>
          </w:p>
        </w:tc>
        <w:tc>
          <w:tcPr>
            <w:tcW w:w="1479" w:type="pct"/>
            <w:shd w:val="clear" w:color="auto" w:fill="FFFFFF" w:themeFill="background1"/>
            <w:vAlign w:val="center"/>
          </w:tcPr>
          <w:p w14:paraId="226F2F44">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应分析建（构）筑物情况，进行合规性评价。</w:t>
            </w:r>
          </w:p>
        </w:tc>
        <w:tc>
          <w:tcPr>
            <w:tcW w:w="578" w:type="pct"/>
            <w:shd w:val="clear" w:color="auto" w:fill="FFFFFF" w:themeFill="background1"/>
            <w:noWrap/>
            <w:vAlign w:val="center"/>
          </w:tcPr>
          <w:p w14:paraId="1E750574">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8.5.6</w:t>
            </w:r>
            <w:r>
              <w:rPr>
                <w:rFonts w:hint="eastAsia" w:ascii="仿宋" w:hAnsi="仿宋" w:eastAsia="仿宋"/>
                <w:sz w:val="24"/>
                <w:szCs w:val="24"/>
              </w:rPr>
              <w:t xml:space="preserve"> 建（构）筑物</w:t>
            </w:r>
          </w:p>
        </w:tc>
        <w:tc>
          <w:tcPr>
            <w:tcW w:w="1473" w:type="pct"/>
            <w:shd w:val="clear" w:color="auto" w:fill="FFFFFF" w:themeFill="background1"/>
            <w:vAlign w:val="center"/>
          </w:tcPr>
          <w:p w14:paraId="0A5F08C0">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分析建（构）筑物防火、防爆、防腐、耐火保护等情况，以及不良地质土层的地基基础类型和采取措施情况，进行合规性评价。</w:t>
            </w:r>
          </w:p>
        </w:tc>
        <w:tc>
          <w:tcPr>
            <w:tcW w:w="768" w:type="pct"/>
            <w:shd w:val="clear" w:color="auto" w:fill="FFFFFF" w:themeFill="background1"/>
            <w:vAlign w:val="center"/>
          </w:tcPr>
          <w:p w14:paraId="7ADF6229">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6AE232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48B5E129">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048BAC14">
            <w:pPr>
              <w:pStyle w:val="3"/>
              <w:jc w:val="center"/>
              <w:rPr>
                <w:rFonts w:hint="eastAsia" w:ascii="仿宋" w:hAnsi="仿宋" w:eastAsia="仿宋" w:cs="微软雅黑"/>
                <w:color w:val="000000"/>
                <w:sz w:val="24"/>
                <w:szCs w:val="24"/>
              </w:rPr>
            </w:pPr>
            <w:bookmarkStart w:id="338" w:name="_Toc535332673"/>
            <w:r>
              <w:rPr>
                <w:rFonts w:ascii="仿宋" w:hAnsi="仿宋" w:eastAsia="仿宋"/>
                <w:sz w:val="24"/>
                <w:szCs w:val="24"/>
              </w:rPr>
              <w:t xml:space="preserve">9 </w:t>
            </w:r>
            <w:r>
              <w:rPr>
                <w:rFonts w:hint="eastAsia" w:ascii="仿宋" w:hAnsi="仿宋" w:eastAsia="仿宋"/>
                <w:sz w:val="24"/>
                <w:szCs w:val="24"/>
              </w:rPr>
              <w:t>安全管理</w:t>
            </w:r>
            <w:bookmarkEnd w:id="338"/>
          </w:p>
        </w:tc>
        <w:tc>
          <w:tcPr>
            <w:tcW w:w="1479" w:type="pct"/>
            <w:shd w:val="clear" w:color="auto" w:fill="FFFFFF" w:themeFill="background1"/>
            <w:vAlign w:val="center"/>
          </w:tcPr>
          <w:p w14:paraId="7D5527FF">
            <w:pPr>
              <w:jc w:val="left"/>
              <w:textAlignment w:val="center"/>
              <w:rPr>
                <w:rFonts w:hint="eastAsia" w:ascii="仿宋" w:hAnsi="仿宋" w:eastAsia="仿宋" w:cs="微软雅黑"/>
                <w:sz w:val="24"/>
              </w:rPr>
            </w:pPr>
          </w:p>
        </w:tc>
        <w:tc>
          <w:tcPr>
            <w:tcW w:w="578" w:type="pct"/>
            <w:shd w:val="clear" w:color="auto" w:fill="FFFFFF" w:themeFill="background1"/>
            <w:noWrap/>
            <w:vAlign w:val="center"/>
          </w:tcPr>
          <w:p w14:paraId="46EC4C56">
            <w:pPr>
              <w:pStyle w:val="3"/>
              <w:jc w:val="center"/>
              <w:rPr>
                <w:rFonts w:hint="eastAsia" w:ascii="仿宋" w:hAnsi="仿宋" w:eastAsia="仿宋" w:cs="微软雅黑"/>
                <w:color w:val="000000"/>
                <w:sz w:val="24"/>
                <w:szCs w:val="24"/>
              </w:rPr>
            </w:pPr>
            <w:r>
              <w:rPr>
                <w:rFonts w:ascii="仿宋" w:hAnsi="仿宋" w:eastAsia="仿宋"/>
                <w:sz w:val="24"/>
                <w:szCs w:val="24"/>
              </w:rPr>
              <w:t xml:space="preserve">9 </w:t>
            </w:r>
            <w:r>
              <w:rPr>
                <w:rFonts w:hint="eastAsia" w:ascii="仿宋" w:hAnsi="仿宋" w:eastAsia="仿宋"/>
                <w:sz w:val="24"/>
                <w:szCs w:val="24"/>
              </w:rPr>
              <w:t>安全管理</w:t>
            </w:r>
          </w:p>
        </w:tc>
        <w:tc>
          <w:tcPr>
            <w:tcW w:w="1473" w:type="pct"/>
            <w:shd w:val="clear" w:color="auto" w:fill="FFFFFF" w:themeFill="background1"/>
            <w:vAlign w:val="center"/>
          </w:tcPr>
          <w:p w14:paraId="72394BE4">
            <w:pPr>
              <w:jc w:val="left"/>
              <w:textAlignment w:val="center"/>
              <w:rPr>
                <w:rFonts w:hint="eastAsia" w:ascii="仿宋" w:hAnsi="仿宋" w:eastAsia="仿宋" w:cs="微软雅黑"/>
                <w:sz w:val="24"/>
              </w:rPr>
            </w:pPr>
          </w:p>
        </w:tc>
        <w:tc>
          <w:tcPr>
            <w:tcW w:w="768" w:type="pct"/>
            <w:shd w:val="clear" w:color="auto" w:fill="FFFFFF" w:themeFill="background1"/>
            <w:vAlign w:val="center"/>
          </w:tcPr>
          <w:p w14:paraId="1B216311">
            <w:pPr>
              <w:jc w:val="left"/>
              <w:textAlignment w:val="center"/>
              <w:rPr>
                <w:rFonts w:hint="eastAsia" w:ascii="仿宋" w:hAnsi="仿宋" w:eastAsia="仿宋" w:cs="微软雅黑"/>
                <w:sz w:val="24"/>
              </w:rPr>
            </w:pPr>
            <w:r>
              <w:rPr>
                <w:rFonts w:hint="eastAsia" w:ascii="仿宋" w:hAnsi="仿宋" w:eastAsia="仿宋" w:cs="微软雅黑"/>
                <w:sz w:val="24"/>
              </w:rPr>
              <w:t>无变化</w:t>
            </w:r>
          </w:p>
        </w:tc>
      </w:tr>
      <w:tr w14:paraId="45FDC6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02C1FD12">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67163ED4">
            <w:pPr>
              <w:pStyle w:val="4"/>
              <w:jc w:val="center"/>
              <w:rPr>
                <w:rFonts w:hint="eastAsia" w:ascii="仿宋" w:hAnsi="仿宋" w:eastAsia="仿宋" w:cs="微软雅黑"/>
                <w:color w:val="000000"/>
                <w:sz w:val="24"/>
                <w:szCs w:val="24"/>
              </w:rPr>
            </w:pPr>
            <w:bookmarkStart w:id="339" w:name="_Toc535332674"/>
            <w:r>
              <w:rPr>
                <w:rFonts w:ascii="仿宋" w:hAnsi="仿宋" w:eastAsia="仿宋"/>
                <w:sz w:val="24"/>
                <w:szCs w:val="24"/>
              </w:rPr>
              <w:t xml:space="preserve">9.1 </w:t>
            </w:r>
            <w:r>
              <w:rPr>
                <w:rFonts w:hint="eastAsia" w:ascii="仿宋" w:hAnsi="仿宋" w:eastAsia="仿宋"/>
                <w:sz w:val="24"/>
                <w:szCs w:val="24"/>
              </w:rPr>
              <w:t>安全管理机构设置</w:t>
            </w:r>
            <w:bookmarkEnd w:id="339"/>
          </w:p>
        </w:tc>
        <w:tc>
          <w:tcPr>
            <w:tcW w:w="1479" w:type="pct"/>
            <w:shd w:val="clear" w:color="auto" w:fill="FFFFFF" w:themeFill="background1"/>
            <w:vAlign w:val="center"/>
          </w:tcPr>
          <w:p w14:paraId="5B753A0F">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应说明建设项目安全管理机构的设置和隶属关系，并进行合理性评价。</w:t>
            </w:r>
          </w:p>
        </w:tc>
        <w:tc>
          <w:tcPr>
            <w:tcW w:w="578" w:type="pct"/>
            <w:shd w:val="clear" w:color="auto" w:fill="FFFFFF" w:themeFill="background1"/>
            <w:noWrap/>
            <w:vAlign w:val="center"/>
          </w:tcPr>
          <w:p w14:paraId="3B4149A3">
            <w:pPr>
              <w:pStyle w:val="4"/>
              <w:jc w:val="center"/>
              <w:rPr>
                <w:rFonts w:hint="eastAsia" w:ascii="仿宋" w:hAnsi="仿宋" w:eastAsia="仿宋" w:cs="微软雅黑"/>
                <w:color w:val="000000"/>
                <w:sz w:val="24"/>
                <w:szCs w:val="24"/>
              </w:rPr>
            </w:pPr>
            <w:r>
              <w:rPr>
                <w:rFonts w:ascii="仿宋" w:hAnsi="仿宋" w:eastAsia="仿宋"/>
                <w:sz w:val="24"/>
                <w:szCs w:val="24"/>
              </w:rPr>
              <w:t xml:space="preserve">9.1 </w:t>
            </w:r>
            <w:r>
              <w:rPr>
                <w:rFonts w:hint="eastAsia" w:ascii="仿宋" w:hAnsi="仿宋" w:eastAsia="仿宋"/>
                <w:sz w:val="24"/>
                <w:szCs w:val="24"/>
              </w:rPr>
              <w:t>安全管理机构设置</w:t>
            </w:r>
          </w:p>
        </w:tc>
        <w:tc>
          <w:tcPr>
            <w:tcW w:w="1473" w:type="pct"/>
            <w:shd w:val="clear" w:color="auto" w:fill="FFFFFF" w:themeFill="background1"/>
            <w:vAlign w:val="center"/>
          </w:tcPr>
          <w:p w14:paraId="52B2B32D">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说明建设项目安全管理机构的设置和隶属关系，并进行合理性评价。</w:t>
            </w:r>
          </w:p>
        </w:tc>
        <w:tc>
          <w:tcPr>
            <w:tcW w:w="768" w:type="pct"/>
            <w:shd w:val="clear" w:color="auto" w:fill="FFFFFF" w:themeFill="background1"/>
            <w:vAlign w:val="center"/>
          </w:tcPr>
          <w:p w14:paraId="2C90B1B2">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24A119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33A8248E">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548F399F">
            <w:pPr>
              <w:pStyle w:val="4"/>
              <w:jc w:val="center"/>
              <w:rPr>
                <w:rFonts w:hint="eastAsia" w:ascii="仿宋" w:hAnsi="仿宋" w:eastAsia="仿宋" w:cs="微软雅黑"/>
                <w:color w:val="000000"/>
                <w:sz w:val="24"/>
                <w:szCs w:val="24"/>
              </w:rPr>
            </w:pPr>
            <w:bookmarkStart w:id="340" w:name="_Toc535332675"/>
            <w:r>
              <w:rPr>
                <w:rFonts w:ascii="仿宋" w:hAnsi="仿宋" w:eastAsia="仿宋"/>
                <w:sz w:val="24"/>
                <w:szCs w:val="24"/>
              </w:rPr>
              <w:t xml:space="preserve">9.2 </w:t>
            </w:r>
            <w:r>
              <w:rPr>
                <w:rFonts w:hint="eastAsia" w:ascii="仿宋" w:hAnsi="仿宋" w:eastAsia="仿宋"/>
                <w:sz w:val="24"/>
                <w:szCs w:val="24"/>
              </w:rPr>
              <w:t>人员编制与安全管理人员设置</w:t>
            </w:r>
            <w:bookmarkEnd w:id="340"/>
          </w:p>
        </w:tc>
        <w:tc>
          <w:tcPr>
            <w:tcW w:w="1479" w:type="pct"/>
            <w:shd w:val="clear" w:color="auto" w:fill="FFFFFF" w:themeFill="background1"/>
            <w:vAlign w:val="center"/>
          </w:tcPr>
          <w:p w14:paraId="15A26108">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应说明建设项目定员编制与安全管理人员设置情况，依托原有管理机构的项目，应说明依托管理机构原定员编制和安全管理人员情况，以及新增定员编制和安全管理人员情况，并进行合规性评价。</w:t>
            </w:r>
          </w:p>
        </w:tc>
        <w:tc>
          <w:tcPr>
            <w:tcW w:w="578" w:type="pct"/>
            <w:shd w:val="clear" w:color="auto" w:fill="FFFFFF" w:themeFill="background1"/>
            <w:noWrap/>
            <w:vAlign w:val="center"/>
          </w:tcPr>
          <w:p w14:paraId="11712256">
            <w:pPr>
              <w:pStyle w:val="4"/>
              <w:jc w:val="center"/>
              <w:rPr>
                <w:rFonts w:hint="eastAsia" w:ascii="仿宋" w:hAnsi="仿宋" w:eastAsia="仿宋" w:cs="微软雅黑"/>
                <w:color w:val="000000"/>
                <w:sz w:val="24"/>
                <w:szCs w:val="24"/>
              </w:rPr>
            </w:pPr>
            <w:r>
              <w:rPr>
                <w:rFonts w:ascii="仿宋" w:hAnsi="仿宋" w:eastAsia="仿宋"/>
                <w:sz w:val="24"/>
                <w:szCs w:val="24"/>
              </w:rPr>
              <w:t xml:space="preserve">9.2 </w:t>
            </w:r>
            <w:r>
              <w:rPr>
                <w:rFonts w:hint="eastAsia" w:ascii="仿宋" w:hAnsi="仿宋" w:eastAsia="仿宋"/>
                <w:sz w:val="24"/>
                <w:szCs w:val="24"/>
              </w:rPr>
              <w:t>人员编制与安全管理人员设置</w:t>
            </w:r>
          </w:p>
        </w:tc>
        <w:tc>
          <w:tcPr>
            <w:tcW w:w="1473" w:type="pct"/>
            <w:shd w:val="clear" w:color="auto" w:fill="FFFFFF" w:themeFill="background1"/>
            <w:vAlign w:val="center"/>
          </w:tcPr>
          <w:p w14:paraId="3C3EFA16">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说明建设项目定员编制与安全管理人员设置情况，依托原有管理机构的项目，应说明依托管理机构原定员编制和安全管理人员情况，以及新增定员编制和安全管理人员情况，并进行合规性评价。</w:t>
            </w:r>
          </w:p>
        </w:tc>
        <w:tc>
          <w:tcPr>
            <w:tcW w:w="768" w:type="pct"/>
            <w:shd w:val="clear" w:color="auto" w:fill="FFFFFF" w:themeFill="background1"/>
            <w:vAlign w:val="center"/>
          </w:tcPr>
          <w:p w14:paraId="570CE459">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5404D5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5362D88A">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121A060B">
            <w:pPr>
              <w:pStyle w:val="4"/>
              <w:jc w:val="center"/>
              <w:rPr>
                <w:rFonts w:hint="eastAsia" w:ascii="仿宋" w:hAnsi="仿宋" w:eastAsia="仿宋" w:cs="微软雅黑"/>
                <w:color w:val="000000"/>
                <w:sz w:val="24"/>
                <w:szCs w:val="24"/>
              </w:rPr>
            </w:pPr>
            <w:bookmarkStart w:id="341" w:name="_Toc535332676"/>
            <w:r>
              <w:rPr>
                <w:rFonts w:ascii="仿宋" w:hAnsi="仿宋" w:eastAsia="仿宋"/>
                <w:sz w:val="24"/>
                <w:szCs w:val="24"/>
              </w:rPr>
              <w:t xml:space="preserve">9.3 </w:t>
            </w:r>
            <w:r>
              <w:rPr>
                <w:rFonts w:hint="eastAsia" w:ascii="仿宋" w:hAnsi="仿宋" w:eastAsia="仿宋"/>
                <w:sz w:val="24"/>
                <w:szCs w:val="24"/>
              </w:rPr>
              <w:t>个体安全防护用品配备</w:t>
            </w:r>
            <w:bookmarkEnd w:id="341"/>
          </w:p>
        </w:tc>
        <w:tc>
          <w:tcPr>
            <w:tcW w:w="1479" w:type="pct"/>
            <w:shd w:val="clear" w:color="auto" w:fill="FFFFFF" w:themeFill="background1"/>
            <w:vAlign w:val="center"/>
          </w:tcPr>
          <w:p w14:paraId="0B669AA8">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应说明个体安全防护用品配备情况，并进行合规性评价。</w:t>
            </w:r>
          </w:p>
        </w:tc>
        <w:tc>
          <w:tcPr>
            <w:tcW w:w="578" w:type="pct"/>
            <w:shd w:val="clear" w:color="auto" w:fill="FFFFFF" w:themeFill="background1"/>
            <w:noWrap/>
            <w:vAlign w:val="center"/>
          </w:tcPr>
          <w:p w14:paraId="7A47DD85">
            <w:pPr>
              <w:pStyle w:val="4"/>
              <w:jc w:val="center"/>
              <w:rPr>
                <w:rFonts w:hint="eastAsia" w:ascii="仿宋" w:hAnsi="仿宋" w:eastAsia="仿宋" w:cs="微软雅黑"/>
                <w:color w:val="000000"/>
                <w:sz w:val="24"/>
                <w:szCs w:val="24"/>
              </w:rPr>
            </w:pPr>
            <w:r>
              <w:rPr>
                <w:rFonts w:ascii="仿宋" w:hAnsi="仿宋" w:eastAsia="仿宋"/>
                <w:sz w:val="24"/>
                <w:szCs w:val="24"/>
              </w:rPr>
              <w:t xml:space="preserve">9.3 </w:t>
            </w:r>
            <w:r>
              <w:rPr>
                <w:rFonts w:hint="eastAsia" w:ascii="仿宋" w:hAnsi="仿宋" w:eastAsia="仿宋"/>
                <w:sz w:val="24"/>
                <w:szCs w:val="24"/>
              </w:rPr>
              <w:t>个体安全防护用品配备</w:t>
            </w:r>
          </w:p>
        </w:tc>
        <w:tc>
          <w:tcPr>
            <w:tcW w:w="1473" w:type="pct"/>
            <w:shd w:val="clear" w:color="auto" w:fill="FFFFFF" w:themeFill="background1"/>
            <w:vAlign w:val="center"/>
          </w:tcPr>
          <w:p w14:paraId="320A23E4">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说明个体安全防护用品配备情况，并进行合规性评价。</w:t>
            </w:r>
          </w:p>
        </w:tc>
        <w:tc>
          <w:tcPr>
            <w:tcW w:w="768" w:type="pct"/>
            <w:shd w:val="clear" w:color="auto" w:fill="FFFFFF" w:themeFill="background1"/>
            <w:vAlign w:val="center"/>
          </w:tcPr>
          <w:p w14:paraId="4A0F9CF2">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3A3F65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588B8DF6">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7CD20ACD">
            <w:pPr>
              <w:pStyle w:val="4"/>
              <w:jc w:val="center"/>
              <w:rPr>
                <w:rFonts w:hint="eastAsia" w:ascii="仿宋" w:hAnsi="仿宋" w:eastAsia="仿宋" w:cs="微软雅黑"/>
                <w:color w:val="000000"/>
                <w:sz w:val="24"/>
                <w:szCs w:val="24"/>
              </w:rPr>
            </w:pPr>
            <w:bookmarkStart w:id="342" w:name="_Toc535332677"/>
            <w:r>
              <w:rPr>
                <w:rFonts w:ascii="仿宋" w:hAnsi="仿宋" w:eastAsia="仿宋"/>
                <w:sz w:val="24"/>
                <w:szCs w:val="24"/>
              </w:rPr>
              <w:t xml:space="preserve">9.4 </w:t>
            </w:r>
            <w:r>
              <w:rPr>
                <w:rFonts w:hint="eastAsia" w:ascii="仿宋" w:hAnsi="仿宋" w:eastAsia="仿宋"/>
                <w:sz w:val="24"/>
                <w:szCs w:val="24"/>
              </w:rPr>
              <w:t>抢修机构设置及设备配备</w:t>
            </w:r>
            <w:bookmarkEnd w:id="342"/>
          </w:p>
        </w:tc>
        <w:tc>
          <w:tcPr>
            <w:tcW w:w="1479" w:type="pct"/>
            <w:shd w:val="clear" w:color="auto" w:fill="FFFFFF" w:themeFill="background1"/>
            <w:vAlign w:val="center"/>
          </w:tcPr>
          <w:p w14:paraId="20F56504">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应说明抢修机构的设置和隶属关系、定员编制、设备配备情况，并进行合理性评价。</w:t>
            </w:r>
          </w:p>
        </w:tc>
        <w:tc>
          <w:tcPr>
            <w:tcW w:w="578" w:type="pct"/>
            <w:shd w:val="clear" w:color="auto" w:fill="FFFFFF" w:themeFill="background1"/>
            <w:noWrap/>
            <w:vAlign w:val="center"/>
          </w:tcPr>
          <w:p w14:paraId="01311EC0">
            <w:pPr>
              <w:pStyle w:val="4"/>
              <w:jc w:val="center"/>
              <w:rPr>
                <w:rFonts w:hint="eastAsia" w:ascii="仿宋" w:hAnsi="仿宋" w:eastAsia="仿宋" w:cs="微软雅黑"/>
                <w:color w:val="000000"/>
                <w:sz w:val="24"/>
                <w:szCs w:val="24"/>
              </w:rPr>
            </w:pPr>
            <w:r>
              <w:rPr>
                <w:rFonts w:ascii="仿宋" w:hAnsi="仿宋" w:eastAsia="仿宋"/>
                <w:sz w:val="24"/>
                <w:szCs w:val="24"/>
              </w:rPr>
              <w:t xml:space="preserve">9.4 </w:t>
            </w:r>
            <w:r>
              <w:rPr>
                <w:rFonts w:hint="eastAsia" w:ascii="仿宋" w:hAnsi="仿宋" w:eastAsia="仿宋"/>
                <w:sz w:val="24"/>
                <w:szCs w:val="24"/>
              </w:rPr>
              <w:t>抢修机构设置及设备配备</w:t>
            </w:r>
          </w:p>
        </w:tc>
        <w:tc>
          <w:tcPr>
            <w:tcW w:w="1473" w:type="pct"/>
            <w:shd w:val="clear" w:color="auto" w:fill="FFFFFF" w:themeFill="background1"/>
            <w:vAlign w:val="center"/>
          </w:tcPr>
          <w:p w14:paraId="54756C7D">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说明抢修机构的设置和隶属关系、定员编制、设备配备情况，并进行适用性和满足性评价。</w:t>
            </w:r>
          </w:p>
        </w:tc>
        <w:tc>
          <w:tcPr>
            <w:tcW w:w="768" w:type="pct"/>
            <w:shd w:val="clear" w:color="auto" w:fill="FFFFFF" w:themeFill="background1"/>
            <w:vAlign w:val="center"/>
          </w:tcPr>
          <w:p w14:paraId="37CFCEDA">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304CFD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2D26A7D6">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3F0194A2">
            <w:pPr>
              <w:pStyle w:val="4"/>
              <w:jc w:val="center"/>
              <w:rPr>
                <w:rFonts w:hint="eastAsia" w:ascii="仿宋" w:hAnsi="仿宋" w:eastAsia="仿宋" w:cs="微软雅黑"/>
                <w:color w:val="000000"/>
                <w:sz w:val="24"/>
                <w:szCs w:val="24"/>
              </w:rPr>
            </w:pPr>
            <w:bookmarkStart w:id="343" w:name="_Toc535332678"/>
            <w:r>
              <w:rPr>
                <w:rFonts w:ascii="仿宋" w:hAnsi="仿宋" w:eastAsia="仿宋"/>
                <w:sz w:val="24"/>
                <w:szCs w:val="24"/>
              </w:rPr>
              <w:t xml:space="preserve">9.5 </w:t>
            </w:r>
            <w:r>
              <w:rPr>
                <w:rFonts w:hint="eastAsia" w:ascii="仿宋" w:hAnsi="仿宋" w:eastAsia="仿宋"/>
                <w:sz w:val="24"/>
                <w:szCs w:val="24"/>
              </w:rPr>
              <w:t>安全投入</w:t>
            </w:r>
            <w:bookmarkEnd w:id="343"/>
          </w:p>
        </w:tc>
        <w:tc>
          <w:tcPr>
            <w:tcW w:w="1479" w:type="pct"/>
            <w:shd w:val="clear" w:color="auto" w:fill="FFFFFF" w:themeFill="background1"/>
            <w:vAlign w:val="center"/>
          </w:tcPr>
          <w:p w14:paraId="3AAFE72A">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应列出建设项目安全设施投入概算情况。</w:t>
            </w:r>
          </w:p>
        </w:tc>
        <w:tc>
          <w:tcPr>
            <w:tcW w:w="578" w:type="pct"/>
            <w:shd w:val="clear" w:color="auto" w:fill="FFFFFF" w:themeFill="background1"/>
            <w:noWrap/>
            <w:vAlign w:val="center"/>
          </w:tcPr>
          <w:p w14:paraId="094407B5">
            <w:pPr>
              <w:pStyle w:val="4"/>
              <w:jc w:val="center"/>
              <w:rPr>
                <w:rFonts w:hint="eastAsia" w:ascii="仿宋" w:hAnsi="仿宋" w:eastAsia="仿宋" w:cs="微软雅黑"/>
                <w:color w:val="000000"/>
                <w:sz w:val="24"/>
                <w:szCs w:val="24"/>
              </w:rPr>
            </w:pPr>
            <w:r>
              <w:rPr>
                <w:rFonts w:ascii="仿宋" w:hAnsi="仿宋" w:eastAsia="仿宋"/>
                <w:sz w:val="24"/>
                <w:szCs w:val="24"/>
              </w:rPr>
              <w:t xml:space="preserve">9.5 </w:t>
            </w:r>
            <w:r>
              <w:rPr>
                <w:rFonts w:hint="eastAsia" w:ascii="仿宋" w:hAnsi="仿宋" w:eastAsia="仿宋"/>
                <w:sz w:val="24"/>
                <w:szCs w:val="24"/>
              </w:rPr>
              <w:t>外部依托力量</w:t>
            </w:r>
          </w:p>
        </w:tc>
        <w:tc>
          <w:tcPr>
            <w:tcW w:w="1473" w:type="pct"/>
            <w:shd w:val="clear" w:color="auto" w:fill="FFFFFF" w:themeFill="background1"/>
            <w:vAlign w:val="center"/>
          </w:tcPr>
          <w:p w14:paraId="11E86F3E">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说明建设项目外部力量的可依托性，并进行合理性评价。</w:t>
            </w:r>
          </w:p>
        </w:tc>
        <w:tc>
          <w:tcPr>
            <w:tcW w:w="768" w:type="pct"/>
            <w:shd w:val="clear" w:color="auto" w:fill="FFFFFF" w:themeFill="background1"/>
            <w:vAlign w:val="center"/>
          </w:tcPr>
          <w:p w14:paraId="1D0051C0">
            <w:pPr>
              <w:jc w:val="left"/>
              <w:textAlignment w:val="center"/>
              <w:rPr>
                <w:rFonts w:hint="eastAsia" w:ascii="仿宋" w:hAnsi="仿宋" w:eastAsia="仿宋" w:cs="微软雅黑"/>
                <w:sz w:val="24"/>
              </w:rPr>
            </w:pPr>
            <w:r>
              <w:rPr>
                <w:rFonts w:hint="eastAsia" w:ascii="仿宋" w:hAnsi="仿宋" w:eastAsia="仿宋" w:cs="微软雅黑"/>
                <w:sz w:val="24"/>
              </w:rPr>
              <w:t>调整章节顺序，进一步规范了文字的表述形式。</w:t>
            </w:r>
          </w:p>
        </w:tc>
      </w:tr>
      <w:tr w14:paraId="0C36AF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14A148C9">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0A71F2A2">
            <w:pPr>
              <w:pStyle w:val="4"/>
              <w:jc w:val="center"/>
              <w:rPr>
                <w:rFonts w:hint="eastAsia" w:ascii="仿宋" w:hAnsi="仿宋" w:eastAsia="仿宋" w:cs="微软雅黑"/>
                <w:color w:val="000000"/>
                <w:sz w:val="24"/>
                <w:szCs w:val="24"/>
              </w:rPr>
            </w:pPr>
            <w:bookmarkStart w:id="344" w:name="_Toc535332679"/>
            <w:r>
              <w:rPr>
                <w:rFonts w:ascii="仿宋" w:hAnsi="仿宋" w:eastAsia="仿宋"/>
                <w:sz w:val="24"/>
                <w:szCs w:val="24"/>
              </w:rPr>
              <w:t xml:space="preserve">9.6 </w:t>
            </w:r>
            <w:r>
              <w:rPr>
                <w:rFonts w:hint="eastAsia" w:ascii="仿宋" w:hAnsi="仿宋" w:eastAsia="仿宋"/>
                <w:sz w:val="24"/>
                <w:szCs w:val="24"/>
              </w:rPr>
              <w:t>外部依托力量</w:t>
            </w:r>
            <w:bookmarkEnd w:id="344"/>
          </w:p>
        </w:tc>
        <w:tc>
          <w:tcPr>
            <w:tcW w:w="1479" w:type="pct"/>
            <w:shd w:val="clear" w:color="auto" w:fill="FFFFFF" w:themeFill="background1"/>
            <w:vAlign w:val="center"/>
          </w:tcPr>
          <w:p w14:paraId="5075D963">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应说明建设项目外部依托抢险作业的可行性。</w:t>
            </w:r>
          </w:p>
        </w:tc>
        <w:tc>
          <w:tcPr>
            <w:tcW w:w="578" w:type="pct"/>
            <w:shd w:val="clear" w:color="auto" w:fill="FFFFFF" w:themeFill="background1"/>
            <w:noWrap/>
            <w:vAlign w:val="center"/>
          </w:tcPr>
          <w:p w14:paraId="54218F11">
            <w:pPr>
              <w:pStyle w:val="4"/>
              <w:jc w:val="center"/>
              <w:rPr>
                <w:rFonts w:hint="eastAsia" w:ascii="仿宋" w:hAnsi="仿宋" w:eastAsia="仿宋" w:cs="微软雅黑"/>
                <w:color w:val="000000"/>
                <w:sz w:val="24"/>
                <w:szCs w:val="24"/>
              </w:rPr>
            </w:pPr>
            <w:r>
              <w:rPr>
                <w:rFonts w:ascii="仿宋" w:hAnsi="仿宋" w:eastAsia="仿宋"/>
                <w:sz w:val="24"/>
                <w:szCs w:val="24"/>
              </w:rPr>
              <w:t xml:space="preserve">9.6 </w:t>
            </w:r>
            <w:r>
              <w:rPr>
                <w:rFonts w:hint="eastAsia" w:ascii="仿宋" w:hAnsi="仿宋" w:eastAsia="仿宋"/>
                <w:sz w:val="24"/>
                <w:szCs w:val="24"/>
              </w:rPr>
              <w:t>应急预案</w:t>
            </w:r>
          </w:p>
        </w:tc>
        <w:tc>
          <w:tcPr>
            <w:tcW w:w="1473" w:type="pct"/>
            <w:shd w:val="clear" w:color="auto" w:fill="FFFFFF" w:themeFill="background1"/>
            <w:vAlign w:val="center"/>
          </w:tcPr>
          <w:p w14:paraId="267A72CB">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根据</w:t>
            </w:r>
            <w:r>
              <w:rPr>
                <w:rFonts w:hint="eastAsia" w:ascii="仿宋" w:hAnsi="仿宋" w:eastAsia="仿宋"/>
                <w:color w:val="000000" w:themeColor="text1"/>
                <w:sz w:val="24"/>
                <w:szCs w:val="24"/>
                <w14:textFill>
                  <w14:solidFill>
                    <w14:schemeClr w14:val="tx1"/>
                  </w14:solidFill>
                </w14:textFill>
              </w:rPr>
              <w:t>危险有害因素辨识结果，针对生产安全事故、自然灾害事件等</w:t>
            </w:r>
            <w:r>
              <w:rPr>
                <w:rFonts w:hint="eastAsia" w:ascii="仿宋" w:hAnsi="仿宋" w:eastAsia="仿宋"/>
                <w:sz w:val="24"/>
                <w:szCs w:val="24"/>
              </w:rPr>
              <w:t>列出</w:t>
            </w:r>
            <w:r>
              <w:rPr>
                <w:rFonts w:hint="eastAsia" w:ascii="仿宋" w:hAnsi="仿宋" w:eastAsia="仿宋"/>
                <w:color w:val="000000" w:themeColor="text1"/>
                <w:sz w:val="24"/>
                <w:szCs w:val="24"/>
                <w14:textFill>
                  <w14:solidFill>
                    <w14:schemeClr w14:val="tx1"/>
                  </w14:solidFill>
                </w14:textFill>
              </w:rPr>
              <w:t>需要编制</w:t>
            </w:r>
            <w:r>
              <w:rPr>
                <w:rFonts w:hint="eastAsia" w:ascii="仿宋" w:hAnsi="仿宋" w:eastAsia="仿宋"/>
                <w:sz w:val="24"/>
                <w:szCs w:val="24"/>
              </w:rPr>
              <w:t>的</w:t>
            </w:r>
            <w:r>
              <w:rPr>
                <w:rFonts w:hint="eastAsia" w:ascii="仿宋" w:hAnsi="仿宋" w:eastAsia="仿宋"/>
                <w:color w:val="000000" w:themeColor="text1"/>
                <w:sz w:val="24"/>
                <w:szCs w:val="24"/>
                <w14:textFill>
                  <w14:solidFill>
                    <w14:schemeClr w14:val="tx1"/>
                  </w14:solidFill>
                </w14:textFill>
              </w:rPr>
              <w:t>应急预案。</w:t>
            </w:r>
          </w:p>
        </w:tc>
        <w:tc>
          <w:tcPr>
            <w:tcW w:w="768" w:type="pct"/>
            <w:shd w:val="clear" w:color="auto" w:fill="FFFFFF" w:themeFill="background1"/>
            <w:vAlign w:val="center"/>
          </w:tcPr>
          <w:p w14:paraId="429293A3">
            <w:pPr>
              <w:jc w:val="left"/>
              <w:textAlignment w:val="center"/>
              <w:rPr>
                <w:rFonts w:hint="eastAsia" w:ascii="仿宋" w:hAnsi="仿宋" w:eastAsia="仿宋" w:cs="微软雅黑"/>
                <w:sz w:val="24"/>
              </w:rPr>
            </w:pPr>
            <w:r>
              <w:rPr>
                <w:rFonts w:hint="eastAsia" w:ascii="仿宋" w:hAnsi="仿宋" w:eastAsia="仿宋" w:cs="微软雅黑"/>
                <w:sz w:val="24"/>
              </w:rPr>
              <w:t>增加了应急预案章节，列出需编制的应急预案。</w:t>
            </w:r>
          </w:p>
        </w:tc>
      </w:tr>
      <w:tr w14:paraId="463CEF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28F3DE6F">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2EA8FDE6">
            <w:pPr>
              <w:jc w:val="center"/>
              <w:textAlignment w:val="center"/>
              <w:rPr>
                <w:rFonts w:hint="eastAsia" w:ascii="仿宋" w:hAnsi="仿宋" w:eastAsia="仿宋" w:cs="微软雅黑"/>
                <w:sz w:val="24"/>
              </w:rPr>
            </w:pPr>
          </w:p>
        </w:tc>
        <w:tc>
          <w:tcPr>
            <w:tcW w:w="1479" w:type="pct"/>
            <w:shd w:val="clear" w:color="auto" w:fill="FFFFFF" w:themeFill="background1"/>
            <w:vAlign w:val="center"/>
          </w:tcPr>
          <w:p w14:paraId="24213587">
            <w:pPr>
              <w:jc w:val="left"/>
              <w:textAlignment w:val="center"/>
              <w:rPr>
                <w:rFonts w:hint="eastAsia" w:ascii="仿宋" w:hAnsi="仿宋" w:eastAsia="仿宋" w:cs="微软雅黑"/>
                <w:sz w:val="24"/>
              </w:rPr>
            </w:pPr>
          </w:p>
        </w:tc>
        <w:tc>
          <w:tcPr>
            <w:tcW w:w="578" w:type="pct"/>
            <w:shd w:val="clear" w:color="auto" w:fill="FFFFFF" w:themeFill="background1"/>
            <w:noWrap/>
            <w:vAlign w:val="center"/>
          </w:tcPr>
          <w:p w14:paraId="290F2EC5">
            <w:pPr>
              <w:pStyle w:val="4"/>
              <w:jc w:val="center"/>
              <w:rPr>
                <w:rFonts w:hint="eastAsia" w:ascii="仿宋" w:hAnsi="仿宋" w:eastAsia="仿宋" w:cs="微软雅黑"/>
                <w:color w:val="000000"/>
                <w:sz w:val="24"/>
                <w:szCs w:val="24"/>
              </w:rPr>
            </w:pPr>
            <w:r>
              <w:rPr>
                <w:rFonts w:ascii="仿宋" w:hAnsi="仿宋" w:eastAsia="仿宋"/>
                <w:sz w:val="24"/>
                <w:szCs w:val="24"/>
              </w:rPr>
              <w:t xml:space="preserve">9.7 </w:t>
            </w:r>
            <w:r>
              <w:rPr>
                <w:rFonts w:hint="eastAsia" w:ascii="仿宋" w:hAnsi="仿宋" w:eastAsia="仿宋"/>
                <w:sz w:val="24"/>
                <w:szCs w:val="24"/>
              </w:rPr>
              <w:t>安全投入</w:t>
            </w:r>
          </w:p>
        </w:tc>
        <w:tc>
          <w:tcPr>
            <w:tcW w:w="1473" w:type="pct"/>
            <w:shd w:val="clear" w:color="auto" w:fill="FFFFFF" w:themeFill="background1"/>
            <w:vAlign w:val="center"/>
          </w:tcPr>
          <w:p w14:paraId="46821448">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列出建设项目安全设施投入估算情况。</w:t>
            </w:r>
          </w:p>
        </w:tc>
        <w:tc>
          <w:tcPr>
            <w:tcW w:w="768" w:type="pct"/>
            <w:shd w:val="clear" w:color="auto" w:fill="FFFFFF" w:themeFill="background1"/>
            <w:vAlign w:val="center"/>
          </w:tcPr>
          <w:p w14:paraId="0750EA66">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5FEF8D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2AB03397">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44B80212">
            <w:pPr>
              <w:pStyle w:val="3"/>
              <w:jc w:val="center"/>
              <w:rPr>
                <w:rFonts w:hint="eastAsia" w:ascii="仿宋" w:hAnsi="仿宋" w:eastAsia="仿宋" w:cs="微软雅黑"/>
                <w:color w:val="000000"/>
                <w:sz w:val="24"/>
                <w:szCs w:val="24"/>
              </w:rPr>
            </w:pPr>
            <w:bookmarkStart w:id="345" w:name="_Toc535332680"/>
            <w:r>
              <w:rPr>
                <w:rFonts w:ascii="仿宋" w:hAnsi="仿宋" w:eastAsia="仿宋"/>
                <w:sz w:val="24"/>
                <w:szCs w:val="24"/>
              </w:rPr>
              <w:t xml:space="preserve">10 </w:t>
            </w:r>
            <w:r>
              <w:rPr>
                <w:rFonts w:hint="eastAsia" w:ascii="仿宋" w:hAnsi="仿宋" w:eastAsia="仿宋"/>
                <w:sz w:val="24"/>
                <w:szCs w:val="24"/>
              </w:rPr>
              <w:t>结论与建议</w:t>
            </w:r>
            <w:bookmarkEnd w:id="345"/>
          </w:p>
        </w:tc>
        <w:tc>
          <w:tcPr>
            <w:tcW w:w="1479" w:type="pct"/>
            <w:shd w:val="clear" w:color="auto" w:fill="FFFFFF" w:themeFill="background1"/>
            <w:vAlign w:val="center"/>
          </w:tcPr>
          <w:p w14:paraId="62343AB0">
            <w:pPr>
              <w:jc w:val="left"/>
              <w:textAlignment w:val="center"/>
              <w:rPr>
                <w:rFonts w:hint="eastAsia" w:ascii="仿宋" w:hAnsi="仿宋" w:eastAsia="仿宋" w:cs="微软雅黑"/>
                <w:sz w:val="24"/>
              </w:rPr>
            </w:pPr>
          </w:p>
        </w:tc>
        <w:tc>
          <w:tcPr>
            <w:tcW w:w="578" w:type="pct"/>
            <w:shd w:val="clear" w:color="auto" w:fill="FFFFFF" w:themeFill="background1"/>
            <w:noWrap/>
            <w:vAlign w:val="center"/>
          </w:tcPr>
          <w:p w14:paraId="08BC5D17">
            <w:pPr>
              <w:pStyle w:val="3"/>
              <w:jc w:val="center"/>
              <w:rPr>
                <w:rFonts w:hint="eastAsia" w:ascii="仿宋" w:hAnsi="仿宋" w:eastAsia="仿宋" w:cs="微软雅黑"/>
                <w:color w:val="000000"/>
                <w:sz w:val="24"/>
                <w:szCs w:val="24"/>
              </w:rPr>
            </w:pPr>
            <w:r>
              <w:rPr>
                <w:rFonts w:ascii="仿宋" w:hAnsi="仿宋" w:eastAsia="仿宋"/>
                <w:sz w:val="24"/>
                <w:szCs w:val="24"/>
              </w:rPr>
              <w:t xml:space="preserve">10 </w:t>
            </w:r>
            <w:r>
              <w:rPr>
                <w:rFonts w:hint="eastAsia" w:ascii="仿宋" w:hAnsi="仿宋" w:eastAsia="仿宋"/>
                <w:sz w:val="24"/>
                <w:szCs w:val="24"/>
              </w:rPr>
              <w:t>结论与建议</w:t>
            </w:r>
          </w:p>
        </w:tc>
        <w:tc>
          <w:tcPr>
            <w:tcW w:w="1473" w:type="pct"/>
            <w:shd w:val="clear" w:color="auto" w:fill="FFFFFF" w:themeFill="background1"/>
            <w:vAlign w:val="center"/>
          </w:tcPr>
          <w:p w14:paraId="3D4BE517">
            <w:pPr>
              <w:jc w:val="left"/>
              <w:textAlignment w:val="center"/>
              <w:rPr>
                <w:rFonts w:hint="eastAsia" w:ascii="仿宋" w:hAnsi="仿宋" w:eastAsia="仿宋" w:cs="微软雅黑"/>
                <w:sz w:val="24"/>
              </w:rPr>
            </w:pPr>
          </w:p>
        </w:tc>
        <w:tc>
          <w:tcPr>
            <w:tcW w:w="768" w:type="pct"/>
            <w:shd w:val="clear" w:color="auto" w:fill="FFFFFF" w:themeFill="background1"/>
            <w:vAlign w:val="center"/>
          </w:tcPr>
          <w:p w14:paraId="23A083DD">
            <w:pPr>
              <w:jc w:val="left"/>
              <w:textAlignment w:val="center"/>
              <w:rPr>
                <w:rFonts w:hint="eastAsia" w:ascii="仿宋" w:hAnsi="仿宋" w:eastAsia="仿宋" w:cs="微软雅黑"/>
                <w:sz w:val="24"/>
              </w:rPr>
            </w:pPr>
            <w:r>
              <w:rPr>
                <w:rFonts w:hint="eastAsia" w:ascii="仿宋" w:hAnsi="仿宋" w:eastAsia="仿宋" w:cs="微软雅黑"/>
                <w:sz w:val="24"/>
              </w:rPr>
              <w:t>无变化</w:t>
            </w:r>
          </w:p>
        </w:tc>
      </w:tr>
      <w:tr w14:paraId="4591F7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040D9368">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17DC9FA0">
            <w:pPr>
              <w:pStyle w:val="4"/>
              <w:jc w:val="center"/>
              <w:rPr>
                <w:rFonts w:hint="eastAsia" w:ascii="仿宋" w:hAnsi="仿宋" w:eastAsia="仿宋" w:cs="微软雅黑"/>
                <w:color w:val="000000"/>
                <w:sz w:val="24"/>
                <w:szCs w:val="24"/>
              </w:rPr>
            </w:pPr>
            <w:bookmarkStart w:id="346" w:name="_Toc535332681"/>
            <w:r>
              <w:rPr>
                <w:rFonts w:ascii="仿宋" w:hAnsi="仿宋" w:eastAsia="仿宋"/>
                <w:sz w:val="24"/>
                <w:szCs w:val="24"/>
              </w:rPr>
              <w:t xml:space="preserve">10.1 </w:t>
            </w:r>
            <w:r>
              <w:rPr>
                <w:rFonts w:hint="eastAsia" w:ascii="仿宋" w:hAnsi="仿宋" w:eastAsia="仿宋"/>
                <w:sz w:val="24"/>
                <w:szCs w:val="24"/>
              </w:rPr>
              <w:t>结论</w:t>
            </w:r>
            <w:bookmarkEnd w:id="346"/>
          </w:p>
        </w:tc>
        <w:tc>
          <w:tcPr>
            <w:tcW w:w="1479" w:type="pct"/>
            <w:shd w:val="clear" w:color="auto" w:fill="FFFFFF" w:themeFill="background1"/>
            <w:vAlign w:val="center"/>
          </w:tcPr>
          <w:p w14:paraId="05E4825D">
            <w:pPr>
              <w:pStyle w:val="65"/>
              <w:ind w:firstLine="0" w:firstLineChars="0"/>
              <w:jc w:val="left"/>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根据上述安全评价结果，应从以下方面给出结论：</w:t>
            </w:r>
          </w:p>
          <w:p w14:paraId="2A69D6F8">
            <w:pPr>
              <w:pStyle w:val="65"/>
              <w:ind w:firstLine="0" w:firstLineChars="0"/>
              <w:jc w:val="left"/>
              <w:rPr>
                <w:rFonts w:hint="eastAsia"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 xml:space="preserve">a） </w:t>
            </w:r>
            <w:r>
              <w:rPr>
                <w:rFonts w:hint="eastAsia" w:ascii="仿宋" w:hAnsi="仿宋" w:eastAsia="仿宋"/>
                <w:color w:val="000000" w:themeColor="text1"/>
                <w:sz w:val="24"/>
                <w:szCs w:val="24"/>
                <w14:textFill>
                  <w14:solidFill>
                    <w14:schemeClr w14:val="tx1"/>
                  </w14:solidFill>
                </w14:textFill>
              </w:rPr>
              <w:t>建设、可行性研究单位的合法性；</w:t>
            </w:r>
          </w:p>
          <w:p w14:paraId="3968AFE0">
            <w:pPr>
              <w:pStyle w:val="65"/>
              <w:ind w:firstLine="0" w:firstLineChars="0"/>
              <w:jc w:val="left"/>
              <w:rPr>
                <w:rFonts w:hint="eastAsia"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 xml:space="preserve">b） </w:t>
            </w:r>
            <w:r>
              <w:rPr>
                <w:rFonts w:hint="eastAsia" w:ascii="仿宋" w:hAnsi="仿宋" w:eastAsia="仿宋"/>
                <w:color w:val="000000" w:themeColor="text1"/>
                <w:sz w:val="24"/>
                <w:szCs w:val="24"/>
                <w14:textFill>
                  <w14:solidFill>
                    <w14:schemeClr w14:val="tx1"/>
                  </w14:solidFill>
                </w14:textFill>
              </w:rPr>
              <w:t>采用国内首次使用的新工艺、新技术、新材料、新设备的安全可靠性；</w:t>
            </w:r>
          </w:p>
          <w:p w14:paraId="002FFEAB">
            <w:pPr>
              <w:pStyle w:val="65"/>
              <w:ind w:firstLine="0" w:firstLineChars="0"/>
              <w:jc w:val="left"/>
              <w:rPr>
                <w:rFonts w:hint="eastAsia"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 xml:space="preserve">c） </w:t>
            </w:r>
            <w:r>
              <w:rPr>
                <w:rFonts w:hint="eastAsia" w:ascii="仿宋" w:hAnsi="仿宋" w:eastAsia="仿宋"/>
                <w:color w:val="000000" w:themeColor="text1"/>
                <w:sz w:val="24"/>
                <w:szCs w:val="24"/>
                <w14:textFill>
                  <w14:solidFill>
                    <w14:schemeClr w14:val="tx1"/>
                  </w14:solidFill>
                </w14:textFill>
              </w:rPr>
              <w:t>管道路由、站场选址的合规性；</w:t>
            </w:r>
          </w:p>
          <w:p w14:paraId="4C4994E0">
            <w:pPr>
              <w:pStyle w:val="65"/>
              <w:ind w:firstLine="0" w:firstLineChars="0"/>
              <w:jc w:val="left"/>
              <w:rPr>
                <w:rFonts w:hint="eastAsia"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 xml:space="preserve">d） </w:t>
            </w:r>
            <w:r>
              <w:rPr>
                <w:rFonts w:hint="eastAsia" w:ascii="仿宋" w:hAnsi="仿宋" w:eastAsia="仿宋"/>
                <w:color w:val="000000" w:themeColor="text1"/>
                <w:sz w:val="24"/>
                <w:szCs w:val="24"/>
                <w14:textFill>
                  <w14:solidFill>
                    <w14:schemeClr w14:val="tx1"/>
                  </w14:solidFill>
                </w14:textFill>
              </w:rPr>
              <w:t>选用的主要技术、工艺的安全可靠性；</w:t>
            </w:r>
          </w:p>
          <w:p w14:paraId="3DE13C67">
            <w:pPr>
              <w:pStyle w:val="65"/>
              <w:ind w:firstLine="0" w:firstLineChars="0"/>
              <w:jc w:val="left"/>
              <w:rPr>
                <w:rFonts w:hint="eastAsia"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 xml:space="preserve">e） </w:t>
            </w:r>
            <w:r>
              <w:rPr>
                <w:rFonts w:hint="eastAsia" w:ascii="仿宋" w:hAnsi="仿宋" w:eastAsia="仿宋"/>
                <w:color w:val="000000" w:themeColor="text1"/>
                <w:sz w:val="24"/>
                <w:szCs w:val="24"/>
                <w14:textFill>
                  <w14:solidFill>
                    <w14:schemeClr w14:val="tx1"/>
                  </w14:solidFill>
                </w14:textFill>
              </w:rPr>
              <w:t>危险有害因素识别的全面性，提出的安全对策与</w:t>
            </w:r>
            <w:r>
              <w:rPr>
                <w:rFonts w:ascii="仿宋" w:hAnsi="仿宋" w:eastAsia="仿宋"/>
                <w:color w:val="000000" w:themeColor="text1"/>
                <w:sz w:val="24"/>
                <w:szCs w:val="24"/>
                <w14:textFill>
                  <w14:solidFill>
                    <w14:schemeClr w14:val="tx1"/>
                  </w14:solidFill>
                </w14:textFill>
              </w:rPr>
              <w:t>建议</w:t>
            </w:r>
            <w:r>
              <w:rPr>
                <w:rFonts w:hint="eastAsia" w:ascii="仿宋" w:hAnsi="仿宋" w:eastAsia="仿宋"/>
                <w:color w:val="000000" w:themeColor="text1"/>
                <w:sz w:val="24"/>
                <w:szCs w:val="24"/>
                <w14:textFill>
                  <w14:solidFill>
                    <w14:schemeClr w14:val="tx1"/>
                  </w14:solidFill>
                </w14:textFill>
              </w:rPr>
              <w:t>的可行性；</w:t>
            </w:r>
          </w:p>
          <w:p w14:paraId="04D71A48">
            <w:pPr>
              <w:pStyle w:val="65"/>
              <w:ind w:firstLine="0" w:firstLineChars="0"/>
              <w:jc w:val="left"/>
              <w:rPr>
                <w:rFonts w:hint="eastAsia"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 xml:space="preserve">f） </w:t>
            </w:r>
            <w:r>
              <w:rPr>
                <w:rFonts w:hint="eastAsia" w:ascii="仿宋" w:hAnsi="仿宋" w:eastAsia="仿宋"/>
                <w:color w:val="000000" w:themeColor="text1"/>
                <w:sz w:val="24"/>
                <w:szCs w:val="24"/>
                <w14:textFill>
                  <w14:solidFill>
                    <w14:schemeClr w14:val="tx1"/>
                  </w14:solidFill>
                </w14:textFill>
              </w:rPr>
              <w:t>应急处置</w:t>
            </w:r>
            <w:r>
              <w:rPr>
                <w:rFonts w:ascii="仿宋" w:hAnsi="仿宋" w:eastAsia="仿宋"/>
                <w:color w:val="000000" w:themeColor="text1"/>
                <w:sz w:val="24"/>
                <w:szCs w:val="24"/>
                <w14:textFill>
                  <w14:solidFill>
                    <w14:schemeClr w14:val="tx1"/>
                  </w14:solidFill>
                </w14:textFill>
              </w:rPr>
              <w:t>方案编制</w:t>
            </w:r>
            <w:r>
              <w:rPr>
                <w:rFonts w:hint="eastAsia" w:ascii="仿宋" w:hAnsi="仿宋" w:eastAsia="仿宋"/>
                <w:color w:val="000000" w:themeColor="text1"/>
                <w:sz w:val="24"/>
                <w:szCs w:val="24"/>
                <w14:textFill>
                  <w14:solidFill>
                    <w14:schemeClr w14:val="tx1"/>
                  </w14:solidFill>
                </w14:textFill>
              </w:rPr>
              <w:t>建议</w:t>
            </w:r>
            <w:r>
              <w:rPr>
                <w:rFonts w:ascii="仿宋" w:hAnsi="仿宋" w:eastAsia="仿宋"/>
                <w:color w:val="000000" w:themeColor="text1"/>
                <w:sz w:val="24"/>
                <w:szCs w:val="24"/>
                <w14:textFill>
                  <w14:solidFill>
                    <w14:schemeClr w14:val="tx1"/>
                  </w14:solidFill>
                </w14:textFill>
              </w:rPr>
              <w:t>的</w:t>
            </w:r>
            <w:r>
              <w:rPr>
                <w:rFonts w:hint="eastAsia" w:ascii="仿宋" w:hAnsi="仿宋" w:eastAsia="仿宋"/>
                <w:color w:val="000000" w:themeColor="text1"/>
                <w:sz w:val="24"/>
                <w:szCs w:val="24"/>
                <w14:textFill>
                  <w14:solidFill>
                    <w14:schemeClr w14:val="tx1"/>
                  </w14:solidFill>
                </w14:textFill>
              </w:rPr>
              <w:t>可行性；</w:t>
            </w:r>
          </w:p>
          <w:p w14:paraId="4B17EDFC">
            <w:pPr>
              <w:pStyle w:val="65"/>
              <w:ind w:firstLine="0" w:firstLineChars="0"/>
              <w:jc w:val="left"/>
              <w:rPr>
                <w:rFonts w:hint="eastAsia" w:ascii="仿宋" w:hAnsi="仿宋" w:eastAsia="仿宋" w:cs="微软雅黑"/>
                <w:color w:val="000000"/>
                <w:sz w:val="24"/>
                <w:szCs w:val="24"/>
              </w:rPr>
            </w:pPr>
            <w:r>
              <w:rPr>
                <w:rFonts w:ascii="仿宋" w:hAnsi="仿宋" w:eastAsia="仿宋"/>
                <w:color w:val="000000" w:themeColor="text1"/>
                <w:sz w:val="24"/>
                <w:szCs w:val="24"/>
                <w14:textFill>
                  <w14:solidFill>
                    <w14:schemeClr w14:val="tx1"/>
                  </w14:solidFill>
                </w14:textFill>
              </w:rPr>
              <w:t xml:space="preserve">g） </w:t>
            </w:r>
            <w:r>
              <w:rPr>
                <w:rFonts w:hint="eastAsia" w:ascii="仿宋" w:hAnsi="仿宋" w:eastAsia="仿宋"/>
                <w:color w:val="000000" w:themeColor="text1"/>
                <w:sz w:val="24"/>
                <w:szCs w:val="24"/>
                <w14:textFill>
                  <w14:solidFill>
                    <w14:schemeClr w14:val="tx1"/>
                  </w14:solidFill>
                </w14:textFill>
              </w:rPr>
              <w:t>给出明确结论。</w:t>
            </w:r>
          </w:p>
        </w:tc>
        <w:tc>
          <w:tcPr>
            <w:tcW w:w="578" w:type="pct"/>
            <w:shd w:val="clear" w:color="auto" w:fill="FFFFFF" w:themeFill="background1"/>
            <w:noWrap/>
            <w:vAlign w:val="center"/>
          </w:tcPr>
          <w:p w14:paraId="7011AE5E">
            <w:pPr>
              <w:pStyle w:val="4"/>
              <w:jc w:val="center"/>
              <w:rPr>
                <w:rFonts w:hint="eastAsia" w:ascii="仿宋" w:hAnsi="仿宋" w:eastAsia="仿宋" w:cs="微软雅黑"/>
                <w:color w:val="000000"/>
                <w:sz w:val="24"/>
                <w:szCs w:val="24"/>
              </w:rPr>
            </w:pPr>
            <w:r>
              <w:rPr>
                <w:rFonts w:ascii="仿宋" w:hAnsi="仿宋" w:eastAsia="仿宋"/>
                <w:sz w:val="24"/>
                <w:szCs w:val="24"/>
              </w:rPr>
              <w:t xml:space="preserve">10.1 </w:t>
            </w:r>
            <w:r>
              <w:rPr>
                <w:rFonts w:hint="eastAsia" w:ascii="仿宋" w:hAnsi="仿宋" w:eastAsia="仿宋"/>
                <w:sz w:val="24"/>
                <w:szCs w:val="24"/>
              </w:rPr>
              <w:t>结论</w:t>
            </w:r>
          </w:p>
        </w:tc>
        <w:tc>
          <w:tcPr>
            <w:tcW w:w="1473" w:type="pct"/>
            <w:shd w:val="clear" w:color="auto" w:fill="FFFFFF" w:themeFill="background1"/>
            <w:vAlign w:val="center"/>
          </w:tcPr>
          <w:p w14:paraId="715B3379">
            <w:pPr>
              <w:pStyle w:val="65"/>
              <w:ind w:firstLine="0" w:firstLineChars="0"/>
              <w:jc w:val="left"/>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根据上述安全预评价结果，从以下方面给出结论：</w:t>
            </w:r>
          </w:p>
          <w:p w14:paraId="52D29561">
            <w:pPr>
              <w:pStyle w:val="65"/>
              <w:ind w:firstLine="0" w:firstLineChars="0"/>
              <w:jc w:val="left"/>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a） 法规标准的适用性、全面性；</w:t>
            </w:r>
          </w:p>
          <w:p w14:paraId="73B97DC8">
            <w:pPr>
              <w:pStyle w:val="65"/>
              <w:ind w:firstLine="0" w:firstLineChars="0"/>
              <w:jc w:val="left"/>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b） 危险有害因素辨识结论；</w:t>
            </w:r>
          </w:p>
          <w:p w14:paraId="2E1B4FCD">
            <w:pPr>
              <w:pStyle w:val="65"/>
              <w:ind w:firstLine="0" w:firstLineChars="0"/>
              <w:jc w:val="left"/>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c） 选用的主要技术、工艺的安全可靠性；</w:t>
            </w:r>
          </w:p>
          <w:p w14:paraId="68D145E9">
            <w:pPr>
              <w:pStyle w:val="65"/>
              <w:ind w:firstLine="0" w:firstLineChars="0"/>
              <w:jc w:val="left"/>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d） 基本安全条件、线路、站场和公用工程的合规性；</w:t>
            </w:r>
          </w:p>
          <w:p w14:paraId="3F73DEB3">
            <w:pPr>
              <w:pStyle w:val="65"/>
              <w:ind w:firstLine="0" w:firstLineChars="0"/>
              <w:jc w:val="left"/>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e） 安全管理的合理性；</w:t>
            </w:r>
          </w:p>
          <w:p w14:paraId="5B3357CF">
            <w:pPr>
              <w:pStyle w:val="65"/>
              <w:ind w:firstLine="0" w:firstLineChars="0"/>
              <w:jc w:val="left"/>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f） 提出的安全对策与建议的可行性；</w:t>
            </w:r>
          </w:p>
          <w:p w14:paraId="5BBC97C9">
            <w:pPr>
              <w:pStyle w:val="65"/>
              <w:ind w:firstLine="0" w:firstLineChars="0"/>
              <w:jc w:val="left"/>
              <w:rPr>
                <w:rFonts w:hint="eastAsia" w:ascii="仿宋" w:hAnsi="仿宋" w:eastAsia="仿宋" w:cs="微软雅黑"/>
                <w:color w:val="000000"/>
                <w:sz w:val="24"/>
                <w:szCs w:val="24"/>
              </w:rPr>
            </w:pPr>
            <w:r>
              <w:rPr>
                <w:rFonts w:hint="eastAsia" w:ascii="仿宋" w:hAnsi="仿宋" w:eastAsia="仿宋"/>
                <w:color w:val="000000" w:themeColor="text1"/>
                <w:sz w:val="24"/>
                <w:szCs w:val="24"/>
                <w14:textFill>
                  <w14:solidFill>
                    <w14:schemeClr w14:val="tx1"/>
                  </w14:solidFill>
                </w14:textFill>
              </w:rPr>
              <w:t>g） 给出明确结论。</w:t>
            </w:r>
          </w:p>
        </w:tc>
        <w:tc>
          <w:tcPr>
            <w:tcW w:w="768" w:type="pct"/>
            <w:shd w:val="clear" w:color="auto" w:fill="FFFFFF" w:themeFill="background1"/>
            <w:vAlign w:val="center"/>
          </w:tcPr>
          <w:p w14:paraId="6D17CFF6">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738F74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0BC9CE72">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5801B418">
            <w:pPr>
              <w:pStyle w:val="4"/>
              <w:jc w:val="center"/>
              <w:rPr>
                <w:rFonts w:hint="eastAsia" w:ascii="仿宋" w:hAnsi="仿宋" w:eastAsia="仿宋" w:cs="微软雅黑"/>
                <w:color w:val="000000"/>
                <w:sz w:val="24"/>
                <w:szCs w:val="24"/>
              </w:rPr>
            </w:pPr>
            <w:bookmarkStart w:id="347" w:name="_Toc535332682"/>
            <w:r>
              <w:rPr>
                <w:rFonts w:ascii="仿宋" w:hAnsi="仿宋" w:eastAsia="仿宋"/>
                <w:sz w:val="24"/>
                <w:szCs w:val="24"/>
              </w:rPr>
              <w:t xml:space="preserve">10.2 </w:t>
            </w:r>
            <w:r>
              <w:rPr>
                <w:rFonts w:hint="eastAsia" w:ascii="仿宋" w:hAnsi="仿宋" w:eastAsia="仿宋"/>
                <w:sz w:val="24"/>
                <w:szCs w:val="24"/>
              </w:rPr>
              <w:t>对安全</w:t>
            </w:r>
            <w:r>
              <w:rPr>
                <w:rFonts w:ascii="仿宋" w:hAnsi="仿宋" w:eastAsia="仿宋"/>
                <w:sz w:val="24"/>
                <w:szCs w:val="24"/>
              </w:rPr>
              <w:t>设施</w:t>
            </w:r>
            <w:r>
              <w:rPr>
                <w:rFonts w:hint="eastAsia" w:ascii="仿宋" w:hAnsi="仿宋" w:eastAsia="仿宋"/>
                <w:sz w:val="24"/>
                <w:szCs w:val="24"/>
              </w:rPr>
              <w:t>设计的建议</w:t>
            </w:r>
            <w:bookmarkEnd w:id="347"/>
          </w:p>
        </w:tc>
        <w:tc>
          <w:tcPr>
            <w:tcW w:w="1479" w:type="pct"/>
            <w:shd w:val="clear" w:color="auto" w:fill="FFFFFF" w:themeFill="background1"/>
            <w:vAlign w:val="center"/>
          </w:tcPr>
          <w:p w14:paraId="5466DDE6">
            <w:pPr>
              <w:pStyle w:val="65"/>
              <w:ind w:firstLine="0" w:firstLineChars="0"/>
              <w:jc w:val="left"/>
              <w:rPr>
                <w:rFonts w:hint="eastAsia" w:ascii="仿宋" w:hAnsi="仿宋" w:eastAsia="仿宋" w:cs="微软雅黑"/>
                <w:color w:val="000000"/>
                <w:sz w:val="24"/>
                <w:szCs w:val="24"/>
              </w:rPr>
            </w:pPr>
            <w:r>
              <w:rPr>
                <w:rFonts w:hint="eastAsia" w:ascii="仿宋" w:hAnsi="仿宋" w:eastAsia="仿宋"/>
                <w:color w:val="000000" w:themeColor="text1"/>
                <w:sz w:val="24"/>
                <w:szCs w:val="24"/>
                <w14:textFill>
                  <w14:solidFill>
                    <w14:schemeClr w14:val="tx1"/>
                  </w14:solidFill>
                </w14:textFill>
              </w:rPr>
              <w:t>应对设计单位提出有针对性的安全设施设计</w:t>
            </w:r>
            <w:r>
              <w:rPr>
                <w:rFonts w:ascii="仿宋" w:hAnsi="仿宋" w:eastAsia="仿宋"/>
                <w:color w:val="000000" w:themeColor="text1"/>
                <w:sz w:val="24"/>
                <w:szCs w:val="24"/>
                <w14:textFill>
                  <w14:solidFill>
                    <w14:schemeClr w14:val="tx1"/>
                  </w14:solidFill>
                </w14:textFill>
              </w:rPr>
              <w:t>的</w:t>
            </w:r>
            <w:r>
              <w:rPr>
                <w:rFonts w:hint="eastAsia" w:ascii="仿宋" w:hAnsi="仿宋" w:eastAsia="仿宋"/>
                <w:color w:val="000000" w:themeColor="text1"/>
                <w:sz w:val="24"/>
                <w:szCs w:val="24"/>
                <w14:textFill>
                  <w14:solidFill>
                    <w14:schemeClr w14:val="tx1"/>
                  </w14:solidFill>
                </w14:textFill>
              </w:rPr>
              <w:t>建议。</w:t>
            </w:r>
          </w:p>
        </w:tc>
        <w:tc>
          <w:tcPr>
            <w:tcW w:w="578" w:type="pct"/>
            <w:shd w:val="clear" w:color="auto" w:fill="FFFFFF" w:themeFill="background1"/>
            <w:noWrap/>
            <w:vAlign w:val="center"/>
          </w:tcPr>
          <w:p w14:paraId="095BB0F3">
            <w:pPr>
              <w:pStyle w:val="4"/>
              <w:jc w:val="center"/>
              <w:rPr>
                <w:rFonts w:hint="eastAsia" w:ascii="仿宋" w:hAnsi="仿宋" w:eastAsia="仿宋" w:cs="微软雅黑"/>
                <w:color w:val="000000"/>
                <w:sz w:val="24"/>
                <w:szCs w:val="24"/>
              </w:rPr>
            </w:pPr>
            <w:r>
              <w:rPr>
                <w:rFonts w:ascii="仿宋" w:hAnsi="仿宋" w:eastAsia="仿宋"/>
                <w:sz w:val="24"/>
                <w:szCs w:val="24"/>
              </w:rPr>
              <w:t xml:space="preserve">10.2 </w:t>
            </w:r>
            <w:r>
              <w:rPr>
                <w:rFonts w:hint="eastAsia" w:ascii="仿宋" w:hAnsi="仿宋" w:eastAsia="仿宋"/>
                <w:sz w:val="24"/>
                <w:szCs w:val="24"/>
              </w:rPr>
              <w:t>对安全</w:t>
            </w:r>
            <w:r>
              <w:rPr>
                <w:rFonts w:ascii="仿宋" w:hAnsi="仿宋" w:eastAsia="仿宋"/>
                <w:sz w:val="24"/>
                <w:szCs w:val="24"/>
              </w:rPr>
              <w:t>设施</w:t>
            </w:r>
            <w:r>
              <w:rPr>
                <w:rFonts w:hint="eastAsia" w:ascii="仿宋" w:hAnsi="仿宋" w:eastAsia="仿宋"/>
                <w:sz w:val="24"/>
                <w:szCs w:val="24"/>
              </w:rPr>
              <w:t>设计的建议</w:t>
            </w:r>
          </w:p>
        </w:tc>
        <w:tc>
          <w:tcPr>
            <w:tcW w:w="1473" w:type="pct"/>
            <w:shd w:val="clear" w:color="auto" w:fill="FFFFFF" w:themeFill="background1"/>
            <w:vAlign w:val="center"/>
          </w:tcPr>
          <w:p w14:paraId="1DA01F70">
            <w:pPr>
              <w:pStyle w:val="65"/>
              <w:ind w:firstLine="0" w:firstLineChars="0"/>
              <w:jc w:val="left"/>
              <w:rPr>
                <w:rFonts w:hint="eastAsia" w:ascii="仿宋" w:hAnsi="仿宋" w:eastAsia="仿宋" w:cs="微软雅黑"/>
                <w:color w:val="000000"/>
                <w:sz w:val="24"/>
                <w:szCs w:val="24"/>
              </w:rPr>
            </w:pPr>
            <w:r>
              <w:rPr>
                <w:rFonts w:hint="eastAsia" w:ascii="仿宋" w:hAnsi="仿宋" w:eastAsia="仿宋"/>
                <w:color w:val="000000" w:themeColor="text1"/>
                <w:sz w:val="24"/>
                <w:szCs w:val="24"/>
                <w14:textFill>
                  <w14:solidFill>
                    <w14:schemeClr w14:val="tx1"/>
                  </w14:solidFill>
                </w14:textFill>
              </w:rPr>
              <w:t>对项目安全设施设计提出有针对性的安全设施设计建议。</w:t>
            </w:r>
          </w:p>
        </w:tc>
        <w:tc>
          <w:tcPr>
            <w:tcW w:w="768" w:type="pct"/>
            <w:shd w:val="clear" w:color="auto" w:fill="FFFFFF" w:themeFill="background1"/>
            <w:vAlign w:val="center"/>
          </w:tcPr>
          <w:p w14:paraId="22E2D844">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5B8C20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61793839">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026EBB5A">
            <w:pPr>
              <w:pStyle w:val="4"/>
              <w:jc w:val="center"/>
              <w:rPr>
                <w:rFonts w:hint="eastAsia" w:ascii="仿宋" w:hAnsi="仿宋" w:eastAsia="仿宋" w:cs="微软雅黑"/>
                <w:color w:val="000000"/>
                <w:sz w:val="24"/>
                <w:szCs w:val="24"/>
              </w:rPr>
            </w:pPr>
            <w:bookmarkStart w:id="348" w:name="_Toc535332683"/>
            <w:r>
              <w:rPr>
                <w:rFonts w:ascii="仿宋" w:hAnsi="仿宋" w:eastAsia="仿宋"/>
                <w:sz w:val="24"/>
                <w:szCs w:val="24"/>
              </w:rPr>
              <w:t>10.3</w:t>
            </w:r>
            <w:r>
              <w:rPr>
                <w:rFonts w:hint="eastAsia" w:ascii="仿宋" w:hAnsi="仿宋" w:eastAsia="仿宋"/>
                <w:sz w:val="24"/>
                <w:szCs w:val="24"/>
              </w:rPr>
              <w:t xml:space="preserve"> 对施工的建议</w:t>
            </w:r>
            <w:bookmarkEnd w:id="348"/>
          </w:p>
        </w:tc>
        <w:tc>
          <w:tcPr>
            <w:tcW w:w="1479" w:type="pct"/>
            <w:shd w:val="clear" w:color="auto" w:fill="FFFFFF" w:themeFill="background1"/>
            <w:vAlign w:val="center"/>
          </w:tcPr>
          <w:p w14:paraId="6D161A99">
            <w:pPr>
              <w:pStyle w:val="65"/>
              <w:ind w:firstLine="0" w:firstLineChars="0"/>
              <w:jc w:val="left"/>
              <w:rPr>
                <w:rFonts w:hint="eastAsia" w:ascii="仿宋" w:hAnsi="仿宋" w:eastAsia="仿宋" w:cs="微软雅黑"/>
                <w:color w:val="000000"/>
                <w:sz w:val="24"/>
                <w:szCs w:val="24"/>
              </w:rPr>
            </w:pPr>
            <w:r>
              <w:rPr>
                <w:rFonts w:hint="eastAsia" w:ascii="仿宋" w:hAnsi="仿宋" w:eastAsia="仿宋"/>
                <w:color w:val="000000" w:themeColor="text1"/>
                <w:sz w:val="24"/>
                <w:szCs w:val="24"/>
                <w14:textFill>
                  <w14:solidFill>
                    <w14:schemeClr w14:val="tx1"/>
                  </w14:solidFill>
                </w14:textFill>
              </w:rPr>
              <w:t>应对施工单位提出有针对性的安全对策与建议。</w:t>
            </w:r>
          </w:p>
        </w:tc>
        <w:tc>
          <w:tcPr>
            <w:tcW w:w="578" w:type="pct"/>
            <w:shd w:val="clear" w:color="auto" w:fill="FFFFFF" w:themeFill="background1"/>
            <w:noWrap/>
            <w:vAlign w:val="center"/>
          </w:tcPr>
          <w:p w14:paraId="0407548D">
            <w:pPr>
              <w:pStyle w:val="4"/>
              <w:jc w:val="center"/>
              <w:rPr>
                <w:rFonts w:hint="eastAsia" w:ascii="仿宋" w:hAnsi="仿宋" w:eastAsia="仿宋" w:cs="微软雅黑"/>
                <w:color w:val="000000"/>
                <w:sz w:val="24"/>
                <w:szCs w:val="24"/>
              </w:rPr>
            </w:pPr>
            <w:r>
              <w:rPr>
                <w:rFonts w:ascii="仿宋" w:hAnsi="仿宋" w:eastAsia="仿宋"/>
                <w:sz w:val="24"/>
                <w:szCs w:val="24"/>
              </w:rPr>
              <w:t>10.3</w:t>
            </w:r>
            <w:r>
              <w:rPr>
                <w:rFonts w:hint="eastAsia" w:ascii="仿宋" w:hAnsi="仿宋" w:eastAsia="仿宋"/>
                <w:sz w:val="24"/>
                <w:szCs w:val="24"/>
              </w:rPr>
              <w:t xml:space="preserve"> 对施工的建议</w:t>
            </w:r>
          </w:p>
        </w:tc>
        <w:tc>
          <w:tcPr>
            <w:tcW w:w="1473" w:type="pct"/>
            <w:shd w:val="clear" w:color="auto" w:fill="FFFFFF" w:themeFill="background1"/>
            <w:vAlign w:val="center"/>
          </w:tcPr>
          <w:p w14:paraId="28435E18">
            <w:pPr>
              <w:pStyle w:val="65"/>
              <w:ind w:firstLine="0" w:firstLineChars="0"/>
              <w:jc w:val="left"/>
              <w:rPr>
                <w:rFonts w:hint="eastAsia" w:ascii="仿宋" w:hAnsi="仿宋" w:eastAsia="仿宋" w:cs="微软雅黑"/>
                <w:color w:val="000000"/>
                <w:sz w:val="24"/>
                <w:szCs w:val="24"/>
              </w:rPr>
            </w:pPr>
            <w:r>
              <w:rPr>
                <w:rFonts w:hint="eastAsia" w:ascii="仿宋" w:hAnsi="仿宋" w:eastAsia="仿宋"/>
                <w:color w:val="000000" w:themeColor="text1"/>
                <w:sz w:val="24"/>
                <w:szCs w:val="24"/>
                <w14:textFill>
                  <w14:solidFill>
                    <w14:schemeClr w14:val="tx1"/>
                  </w14:solidFill>
                </w14:textFill>
              </w:rPr>
              <w:t>对项目施工提出有针对性的安全对策与建议。</w:t>
            </w:r>
          </w:p>
        </w:tc>
        <w:tc>
          <w:tcPr>
            <w:tcW w:w="768" w:type="pct"/>
            <w:shd w:val="clear" w:color="auto" w:fill="FFFFFF" w:themeFill="background1"/>
            <w:vAlign w:val="center"/>
          </w:tcPr>
          <w:p w14:paraId="3B7D9363">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1A6D6E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29C95DB2">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2D1C5067">
            <w:pPr>
              <w:pStyle w:val="4"/>
              <w:jc w:val="center"/>
              <w:rPr>
                <w:rFonts w:hint="eastAsia" w:ascii="仿宋" w:hAnsi="仿宋" w:eastAsia="仿宋" w:cs="微软雅黑"/>
                <w:color w:val="000000"/>
                <w:sz w:val="24"/>
                <w:szCs w:val="24"/>
              </w:rPr>
            </w:pPr>
            <w:bookmarkStart w:id="349" w:name="_Toc535332684"/>
            <w:r>
              <w:rPr>
                <w:rFonts w:ascii="仿宋" w:hAnsi="仿宋" w:eastAsia="仿宋"/>
                <w:sz w:val="24"/>
                <w:szCs w:val="24"/>
              </w:rPr>
              <w:t>10.4</w:t>
            </w:r>
            <w:r>
              <w:rPr>
                <w:rFonts w:hint="eastAsia" w:ascii="仿宋" w:hAnsi="仿宋" w:eastAsia="仿宋"/>
                <w:sz w:val="24"/>
                <w:szCs w:val="24"/>
              </w:rPr>
              <w:t xml:space="preserve"> 对生产运行的建议</w:t>
            </w:r>
            <w:bookmarkEnd w:id="349"/>
          </w:p>
        </w:tc>
        <w:tc>
          <w:tcPr>
            <w:tcW w:w="1479" w:type="pct"/>
            <w:shd w:val="clear" w:color="auto" w:fill="FFFFFF" w:themeFill="background1"/>
            <w:vAlign w:val="center"/>
          </w:tcPr>
          <w:p w14:paraId="324557FC">
            <w:pPr>
              <w:pStyle w:val="65"/>
              <w:ind w:firstLine="0" w:firstLineChars="0"/>
              <w:jc w:val="left"/>
              <w:rPr>
                <w:rFonts w:hint="eastAsia" w:ascii="仿宋" w:hAnsi="仿宋" w:eastAsia="仿宋" w:cs="微软雅黑"/>
                <w:color w:val="000000"/>
                <w:sz w:val="24"/>
                <w:szCs w:val="24"/>
              </w:rPr>
            </w:pPr>
            <w:r>
              <w:rPr>
                <w:rFonts w:hint="eastAsia" w:ascii="仿宋" w:hAnsi="仿宋" w:eastAsia="仿宋"/>
                <w:color w:val="000000" w:themeColor="text1"/>
                <w:sz w:val="24"/>
                <w:szCs w:val="24"/>
                <w14:textFill>
                  <w14:solidFill>
                    <w14:schemeClr w14:val="tx1"/>
                  </w14:solidFill>
                </w14:textFill>
              </w:rPr>
              <w:t>应对生产运行单位提出有针对性的安全对策与建议。</w:t>
            </w:r>
          </w:p>
        </w:tc>
        <w:tc>
          <w:tcPr>
            <w:tcW w:w="578" w:type="pct"/>
            <w:shd w:val="clear" w:color="auto" w:fill="FFFFFF" w:themeFill="background1"/>
            <w:noWrap/>
            <w:vAlign w:val="center"/>
          </w:tcPr>
          <w:p w14:paraId="294D2CD9">
            <w:pPr>
              <w:pStyle w:val="4"/>
              <w:jc w:val="center"/>
              <w:rPr>
                <w:rFonts w:hint="eastAsia" w:ascii="仿宋" w:hAnsi="仿宋" w:eastAsia="仿宋" w:cs="微软雅黑"/>
                <w:color w:val="000000"/>
                <w:sz w:val="24"/>
                <w:szCs w:val="24"/>
              </w:rPr>
            </w:pPr>
            <w:r>
              <w:rPr>
                <w:rFonts w:ascii="仿宋" w:hAnsi="仿宋" w:eastAsia="仿宋"/>
                <w:sz w:val="24"/>
                <w:szCs w:val="24"/>
              </w:rPr>
              <w:t>10.4</w:t>
            </w:r>
            <w:r>
              <w:rPr>
                <w:rFonts w:hint="eastAsia" w:ascii="仿宋" w:hAnsi="仿宋" w:eastAsia="仿宋"/>
                <w:sz w:val="24"/>
                <w:szCs w:val="24"/>
              </w:rPr>
              <w:t xml:space="preserve"> 对生产运行的建议</w:t>
            </w:r>
          </w:p>
        </w:tc>
        <w:tc>
          <w:tcPr>
            <w:tcW w:w="1473" w:type="pct"/>
            <w:shd w:val="clear" w:color="auto" w:fill="FFFFFF" w:themeFill="background1"/>
            <w:vAlign w:val="center"/>
          </w:tcPr>
          <w:p w14:paraId="10BE538E">
            <w:pPr>
              <w:pStyle w:val="65"/>
              <w:ind w:firstLine="0" w:firstLineChars="0"/>
              <w:jc w:val="left"/>
              <w:rPr>
                <w:rFonts w:hint="eastAsia" w:ascii="仿宋" w:hAnsi="仿宋" w:eastAsia="仿宋" w:cs="微软雅黑"/>
                <w:color w:val="000000"/>
                <w:sz w:val="24"/>
                <w:szCs w:val="24"/>
              </w:rPr>
            </w:pPr>
            <w:r>
              <w:rPr>
                <w:rFonts w:hint="eastAsia" w:ascii="仿宋" w:hAnsi="仿宋" w:eastAsia="仿宋"/>
                <w:color w:val="000000" w:themeColor="text1"/>
                <w:sz w:val="24"/>
                <w:szCs w:val="24"/>
                <w14:textFill>
                  <w14:solidFill>
                    <w14:schemeClr w14:val="tx1"/>
                  </w14:solidFill>
                </w14:textFill>
              </w:rPr>
              <w:t>对项目生产运行提出有针对性的安全对策与建议。</w:t>
            </w:r>
          </w:p>
        </w:tc>
        <w:tc>
          <w:tcPr>
            <w:tcW w:w="768" w:type="pct"/>
            <w:shd w:val="clear" w:color="auto" w:fill="FFFFFF" w:themeFill="background1"/>
            <w:vAlign w:val="center"/>
          </w:tcPr>
          <w:p w14:paraId="70983671">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24B4BC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732D9DD8">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380D5CCF">
            <w:pPr>
              <w:pStyle w:val="3"/>
              <w:jc w:val="center"/>
              <w:rPr>
                <w:rFonts w:hint="eastAsia" w:ascii="仿宋" w:hAnsi="仿宋" w:eastAsia="仿宋" w:cs="微软雅黑"/>
                <w:color w:val="000000"/>
                <w:sz w:val="24"/>
                <w:szCs w:val="24"/>
              </w:rPr>
            </w:pPr>
            <w:bookmarkStart w:id="350" w:name="_Toc535332685"/>
            <w:r>
              <w:rPr>
                <w:rFonts w:ascii="仿宋" w:hAnsi="仿宋" w:eastAsia="仿宋"/>
                <w:sz w:val="24"/>
                <w:szCs w:val="24"/>
              </w:rPr>
              <w:t xml:space="preserve">11 </w:t>
            </w:r>
            <w:r>
              <w:rPr>
                <w:rFonts w:hint="eastAsia" w:ascii="仿宋" w:hAnsi="仿宋" w:eastAsia="仿宋"/>
                <w:sz w:val="24"/>
                <w:szCs w:val="24"/>
              </w:rPr>
              <w:t>与建设单位交换意见</w:t>
            </w:r>
            <w:bookmarkEnd w:id="350"/>
          </w:p>
        </w:tc>
        <w:tc>
          <w:tcPr>
            <w:tcW w:w="1479" w:type="pct"/>
            <w:shd w:val="clear" w:color="auto" w:fill="FFFFFF" w:themeFill="background1"/>
            <w:vAlign w:val="center"/>
          </w:tcPr>
          <w:p w14:paraId="73AE360E">
            <w:pPr>
              <w:jc w:val="left"/>
              <w:textAlignment w:val="center"/>
              <w:rPr>
                <w:rFonts w:hint="eastAsia" w:ascii="仿宋" w:hAnsi="仿宋" w:eastAsia="仿宋" w:cs="微软雅黑"/>
                <w:sz w:val="24"/>
              </w:rPr>
            </w:pPr>
          </w:p>
        </w:tc>
        <w:tc>
          <w:tcPr>
            <w:tcW w:w="578" w:type="pct"/>
            <w:shd w:val="clear" w:color="auto" w:fill="FFFFFF" w:themeFill="background1"/>
            <w:noWrap/>
            <w:vAlign w:val="center"/>
          </w:tcPr>
          <w:p w14:paraId="7D5CB483">
            <w:pPr>
              <w:pStyle w:val="3"/>
              <w:jc w:val="center"/>
              <w:rPr>
                <w:rFonts w:hint="eastAsia" w:ascii="仿宋" w:hAnsi="仿宋" w:eastAsia="仿宋" w:cs="微软雅黑"/>
                <w:color w:val="000000"/>
                <w:sz w:val="24"/>
                <w:szCs w:val="24"/>
              </w:rPr>
            </w:pPr>
            <w:r>
              <w:rPr>
                <w:rFonts w:ascii="仿宋" w:hAnsi="仿宋" w:eastAsia="仿宋"/>
                <w:sz w:val="24"/>
                <w:szCs w:val="24"/>
              </w:rPr>
              <w:t xml:space="preserve">11 </w:t>
            </w:r>
            <w:r>
              <w:rPr>
                <w:rFonts w:hint="eastAsia" w:ascii="仿宋" w:hAnsi="仿宋" w:eastAsia="仿宋"/>
                <w:sz w:val="24"/>
                <w:szCs w:val="24"/>
              </w:rPr>
              <w:t>与建设单位交换意见</w:t>
            </w:r>
          </w:p>
        </w:tc>
        <w:tc>
          <w:tcPr>
            <w:tcW w:w="1473" w:type="pct"/>
            <w:shd w:val="clear" w:color="auto" w:fill="FFFFFF" w:themeFill="background1"/>
            <w:vAlign w:val="center"/>
          </w:tcPr>
          <w:p w14:paraId="6886087D">
            <w:pPr>
              <w:jc w:val="left"/>
              <w:textAlignment w:val="center"/>
              <w:rPr>
                <w:rFonts w:hint="eastAsia" w:ascii="仿宋" w:hAnsi="仿宋" w:eastAsia="仿宋" w:cs="微软雅黑"/>
                <w:sz w:val="24"/>
              </w:rPr>
            </w:pPr>
          </w:p>
        </w:tc>
        <w:tc>
          <w:tcPr>
            <w:tcW w:w="768" w:type="pct"/>
            <w:shd w:val="clear" w:color="auto" w:fill="FFFFFF" w:themeFill="background1"/>
            <w:vAlign w:val="center"/>
          </w:tcPr>
          <w:p w14:paraId="790089D5">
            <w:pPr>
              <w:jc w:val="left"/>
              <w:textAlignment w:val="center"/>
              <w:rPr>
                <w:rFonts w:hint="eastAsia" w:ascii="仿宋" w:hAnsi="仿宋" w:eastAsia="仿宋" w:cs="微软雅黑"/>
                <w:sz w:val="24"/>
              </w:rPr>
            </w:pPr>
            <w:r>
              <w:rPr>
                <w:rFonts w:hint="eastAsia" w:ascii="仿宋" w:hAnsi="仿宋" w:eastAsia="仿宋" w:cs="微软雅黑"/>
                <w:sz w:val="24"/>
              </w:rPr>
              <w:t>无变化</w:t>
            </w:r>
          </w:p>
        </w:tc>
      </w:tr>
      <w:tr w14:paraId="32B428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44A4A1E8">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7AE40FA7">
            <w:pPr>
              <w:jc w:val="center"/>
              <w:textAlignment w:val="center"/>
              <w:rPr>
                <w:rFonts w:hint="eastAsia" w:ascii="仿宋" w:hAnsi="仿宋" w:eastAsia="仿宋" w:cs="微软雅黑"/>
                <w:sz w:val="24"/>
              </w:rPr>
            </w:pPr>
            <w:r>
              <w:rPr>
                <w:rFonts w:ascii="仿宋" w:hAnsi="仿宋" w:eastAsia="仿宋"/>
                <w:color w:val="000000" w:themeColor="text1"/>
                <w:sz w:val="24"/>
                <w14:textFill>
                  <w14:solidFill>
                    <w14:schemeClr w14:val="tx1"/>
                  </w14:solidFill>
                </w14:textFill>
              </w:rPr>
              <w:t>11.1</w:t>
            </w:r>
          </w:p>
        </w:tc>
        <w:tc>
          <w:tcPr>
            <w:tcW w:w="1479" w:type="pct"/>
            <w:shd w:val="clear" w:color="auto" w:fill="FFFFFF" w:themeFill="background1"/>
            <w:vAlign w:val="center"/>
          </w:tcPr>
          <w:p w14:paraId="1A3979B9">
            <w:pPr>
              <w:pStyle w:val="65"/>
              <w:ind w:firstLine="0" w:firstLineChars="0"/>
              <w:jc w:val="left"/>
              <w:rPr>
                <w:rFonts w:hint="eastAsia" w:ascii="仿宋" w:hAnsi="仿宋" w:eastAsia="仿宋" w:cs="微软雅黑"/>
                <w:color w:val="000000"/>
                <w:sz w:val="24"/>
                <w:szCs w:val="24"/>
              </w:rPr>
            </w:pPr>
            <w:r>
              <w:rPr>
                <w:rStyle w:val="156"/>
                <w:rFonts w:hint="eastAsia" w:ascii="仿宋" w:hAnsi="仿宋" w:eastAsia="仿宋"/>
                <w:sz w:val="24"/>
                <w:szCs w:val="24"/>
              </w:rPr>
              <w:t>评价完成后，建设单位应对安全评价报告进行内审，并出具内审意见（见</w:t>
            </w:r>
            <w:r>
              <w:rPr>
                <w:rStyle w:val="156"/>
                <w:rFonts w:ascii="仿宋" w:hAnsi="仿宋" w:eastAsia="仿宋"/>
                <w:sz w:val="24"/>
                <w:szCs w:val="24"/>
              </w:rPr>
              <w:t>12.1</w:t>
            </w:r>
            <w:r>
              <w:rPr>
                <w:rStyle w:val="156"/>
                <w:rFonts w:hint="eastAsia" w:ascii="仿宋" w:hAnsi="仿宋" w:eastAsia="仿宋"/>
                <w:sz w:val="24"/>
                <w:szCs w:val="24"/>
              </w:rPr>
              <w:t>附件中的</w:t>
            </w:r>
            <w:r>
              <w:rPr>
                <w:rStyle w:val="156"/>
                <w:rFonts w:ascii="仿宋" w:hAnsi="仿宋" w:eastAsia="仿宋"/>
                <w:sz w:val="24"/>
                <w:szCs w:val="24"/>
              </w:rPr>
              <w:t>i</w:t>
            </w:r>
            <w:r>
              <w:rPr>
                <w:rStyle w:val="156"/>
                <w:rFonts w:hint="eastAsia" w:ascii="仿宋" w:hAnsi="仿宋" w:eastAsia="仿宋"/>
                <w:sz w:val="24"/>
                <w:szCs w:val="24"/>
              </w:rPr>
              <w:t>）。</w:t>
            </w:r>
          </w:p>
        </w:tc>
        <w:tc>
          <w:tcPr>
            <w:tcW w:w="578" w:type="pct"/>
            <w:shd w:val="clear" w:color="auto" w:fill="FFFFFF" w:themeFill="background1"/>
            <w:noWrap/>
            <w:vAlign w:val="center"/>
          </w:tcPr>
          <w:p w14:paraId="29FF7205">
            <w:pPr>
              <w:jc w:val="center"/>
              <w:textAlignment w:val="center"/>
              <w:rPr>
                <w:rFonts w:hint="eastAsia" w:ascii="仿宋" w:hAnsi="仿宋" w:eastAsia="仿宋" w:cs="微软雅黑"/>
                <w:sz w:val="24"/>
              </w:rPr>
            </w:pPr>
            <w:r>
              <w:rPr>
                <w:rFonts w:ascii="仿宋" w:hAnsi="仿宋" w:eastAsia="仿宋"/>
                <w:color w:val="000000" w:themeColor="text1"/>
                <w:sz w:val="24"/>
                <w14:textFill>
                  <w14:solidFill>
                    <w14:schemeClr w14:val="tx1"/>
                  </w14:solidFill>
                </w14:textFill>
              </w:rPr>
              <w:t>11.1</w:t>
            </w:r>
          </w:p>
        </w:tc>
        <w:tc>
          <w:tcPr>
            <w:tcW w:w="1473" w:type="pct"/>
            <w:shd w:val="clear" w:color="auto" w:fill="FFFFFF" w:themeFill="background1"/>
            <w:vAlign w:val="center"/>
          </w:tcPr>
          <w:p w14:paraId="47C5EC0E">
            <w:pPr>
              <w:pStyle w:val="65"/>
              <w:ind w:firstLine="0" w:firstLineChars="0"/>
              <w:jc w:val="left"/>
              <w:rPr>
                <w:rFonts w:hint="eastAsia" w:ascii="仿宋" w:hAnsi="仿宋" w:eastAsia="仿宋" w:cs="微软雅黑"/>
                <w:color w:val="000000"/>
                <w:sz w:val="24"/>
                <w:szCs w:val="24"/>
              </w:rPr>
            </w:pPr>
            <w:r>
              <w:rPr>
                <w:rFonts w:hint="eastAsia" w:ascii="仿宋" w:hAnsi="仿宋" w:eastAsia="仿宋"/>
                <w:sz w:val="24"/>
                <w:szCs w:val="24"/>
              </w:rPr>
              <w:t>列出建设单位对</w:t>
            </w:r>
            <w:r>
              <w:rPr>
                <w:rStyle w:val="156"/>
                <w:rFonts w:hint="eastAsia" w:ascii="仿宋" w:hAnsi="仿宋" w:eastAsia="仿宋"/>
                <w:sz w:val="24"/>
                <w:szCs w:val="24"/>
              </w:rPr>
              <w:t>安全预评价报告的内审意</w:t>
            </w:r>
            <w:r>
              <w:rPr>
                <w:rFonts w:hint="eastAsia" w:ascii="仿宋" w:hAnsi="仿宋" w:eastAsia="仿宋"/>
                <w:sz w:val="24"/>
                <w:szCs w:val="24"/>
              </w:rPr>
              <w:t>见，见</w:t>
            </w:r>
            <w:r>
              <w:rPr>
                <w:rFonts w:ascii="仿宋" w:hAnsi="仿宋" w:eastAsia="仿宋"/>
                <w:sz w:val="24"/>
                <w:szCs w:val="24"/>
              </w:rPr>
              <w:t>12.1</w:t>
            </w:r>
            <w:r>
              <w:rPr>
                <w:rFonts w:hint="eastAsia" w:ascii="仿宋" w:hAnsi="仿宋" w:eastAsia="仿宋"/>
                <w:sz w:val="24"/>
                <w:szCs w:val="24"/>
              </w:rPr>
              <w:t>的j）。</w:t>
            </w:r>
          </w:p>
        </w:tc>
        <w:tc>
          <w:tcPr>
            <w:tcW w:w="768" w:type="pct"/>
            <w:shd w:val="clear" w:color="auto" w:fill="FFFFFF" w:themeFill="background1"/>
            <w:vAlign w:val="center"/>
          </w:tcPr>
          <w:p w14:paraId="0EFD9E72">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7ABD43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4477DE03">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458CE19F">
            <w:pPr>
              <w:jc w:val="center"/>
              <w:textAlignment w:val="center"/>
              <w:rPr>
                <w:rFonts w:hint="eastAsia" w:ascii="仿宋" w:hAnsi="仿宋" w:eastAsia="仿宋" w:cs="微软雅黑"/>
                <w:sz w:val="24"/>
              </w:rPr>
            </w:pPr>
            <w:r>
              <w:rPr>
                <w:rFonts w:ascii="仿宋" w:hAnsi="仿宋" w:eastAsia="仿宋"/>
                <w:color w:val="000000" w:themeColor="text1"/>
                <w:sz w:val="24"/>
                <w14:textFill>
                  <w14:solidFill>
                    <w14:schemeClr w14:val="tx1"/>
                  </w14:solidFill>
                </w14:textFill>
              </w:rPr>
              <w:t>11.</w:t>
            </w:r>
            <w:r>
              <w:rPr>
                <w:rFonts w:hint="eastAsia" w:ascii="仿宋" w:hAnsi="仿宋" w:eastAsia="仿宋"/>
                <w:color w:val="000000" w:themeColor="text1"/>
                <w:sz w:val="24"/>
                <w14:textFill>
                  <w14:solidFill>
                    <w14:schemeClr w14:val="tx1"/>
                  </w14:solidFill>
                </w14:textFill>
              </w:rPr>
              <w:t>2</w:t>
            </w:r>
          </w:p>
        </w:tc>
        <w:tc>
          <w:tcPr>
            <w:tcW w:w="1479" w:type="pct"/>
            <w:shd w:val="clear" w:color="auto" w:fill="FFFFFF" w:themeFill="background1"/>
            <w:vAlign w:val="center"/>
          </w:tcPr>
          <w:p w14:paraId="48B86402">
            <w:pPr>
              <w:jc w:val="left"/>
              <w:textAlignment w:val="center"/>
              <w:rPr>
                <w:rFonts w:hint="eastAsia" w:ascii="仿宋" w:hAnsi="仿宋" w:eastAsia="仿宋" w:cs="微软雅黑"/>
                <w:sz w:val="24"/>
              </w:rPr>
            </w:pPr>
            <w:r>
              <w:rPr>
                <w:rFonts w:hint="eastAsia" w:ascii="仿宋" w:hAnsi="仿宋" w:eastAsia="仿宋"/>
                <w:color w:val="000000" w:themeColor="text1"/>
                <w:sz w:val="24"/>
                <w14:textFill>
                  <w14:solidFill>
                    <w14:schemeClr w14:val="tx1"/>
                  </w14:solidFill>
                </w14:textFill>
              </w:rPr>
              <w:t>评价单位与建设单位对安全评价报告中某些内容达不成一致意见时，应在安全评价报告中如实说明建设单位的意见及其理由。</w:t>
            </w:r>
          </w:p>
        </w:tc>
        <w:tc>
          <w:tcPr>
            <w:tcW w:w="578" w:type="pct"/>
            <w:shd w:val="clear" w:color="auto" w:fill="FFFFFF" w:themeFill="background1"/>
            <w:noWrap/>
            <w:vAlign w:val="center"/>
          </w:tcPr>
          <w:p w14:paraId="64E172FF">
            <w:pPr>
              <w:jc w:val="center"/>
              <w:textAlignment w:val="center"/>
              <w:rPr>
                <w:rFonts w:hint="eastAsia" w:ascii="仿宋" w:hAnsi="仿宋" w:eastAsia="仿宋" w:cs="微软雅黑"/>
                <w:sz w:val="24"/>
              </w:rPr>
            </w:pPr>
            <w:r>
              <w:rPr>
                <w:rFonts w:ascii="仿宋" w:hAnsi="仿宋" w:eastAsia="仿宋"/>
                <w:color w:val="000000" w:themeColor="text1"/>
                <w:sz w:val="24"/>
                <w14:textFill>
                  <w14:solidFill>
                    <w14:schemeClr w14:val="tx1"/>
                  </w14:solidFill>
                </w14:textFill>
              </w:rPr>
              <w:t>11.</w:t>
            </w:r>
            <w:r>
              <w:rPr>
                <w:rFonts w:hint="eastAsia" w:ascii="仿宋" w:hAnsi="仿宋" w:eastAsia="仿宋"/>
                <w:color w:val="000000" w:themeColor="text1"/>
                <w:sz w:val="24"/>
                <w14:textFill>
                  <w14:solidFill>
                    <w14:schemeClr w14:val="tx1"/>
                  </w14:solidFill>
                </w14:textFill>
              </w:rPr>
              <w:t>2</w:t>
            </w:r>
          </w:p>
        </w:tc>
        <w:tc>
          <w:tcPr>
            <w:tcW w:w="1473" w:type="pct"/>
            <w:shd w:val="clear" w:color="auto" w:fill="FFFFFF" w:themeFill="background1"/>
            <w:vAlign w:val="center"/>
          </w:tcPr>
          <w:p w14:paraId="38058B69">
            <w:pPr>
              <w:jc w:val="left"/>
              <w:textAlignment w:val="center"/>
              <w:rPr>
                <w:rFonts w:hint="eastAsia" w:ascii="仿宋" w:hAnsi="仿宋" w:eastAsia="仿宋" w:cs="微软雅黑"/>
                <w:sz w:val="24"/>
              </w:rPr>
            </w:pPr>
            <w:r>
              <w:rPr>
                <w:rFonts w:hint="eastAsia" w:ascii="仿宋" w:hAnsi="仿宋" w:eastAsia="仿宋"/>
                <w:color w:val="000000" w:themeColor="text1"/>
                <w:sz w:val="24"/>
                <w14:textFill>
                  <w14:solidFill>
                    <w14:schemeClr w14:val="tx1"/>
                  </w14:solidFill>
                </w14:textFill>
              </w:rPr>
              <w:t>安全评价机构与建设单位对安全预评价报告中某些内容未达成一致意见时，应在安全预评价报告中如实说明建设单位的意见及其理由。</w:t>
            </w:r>
          </w:p>
        </w:tc>
        <w:tc>
          <w:tcPr>
            <w:tcW w:w="768" w:type="pct"/>
            <w:shd w:val="clear" w:color="auto" w:fill="FFFFFF" w:themeFill="background1"/>
            <w:vAlign w:val="center"/>
          </w:tcPr>
          <w:p w14:paraId="47C20EC4">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4B189B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49E4BDCF">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675283D7">
            <w:pPr>
              <w:pStyle w:val="3"/>
              <w:jc w:val="center"/>
              <w:rPr>
                <w:rFonts w:hint="eastAsia" w:ascii="仿宋" w:hAnsi="仿宋" w:eastAsia="仿宋" w:cs="微软雅黑"/>
                <w:color w:val="000000"/>
                <w:sz w:val="24"/>
                <w:szCs w:val="24"/>
              </w:rPr>
            </w:pPr>
            <w:bookmarkStart w:id="351" w:name="_Toc535332686"/>
            <w:r>
              <w:rPr>
                <w:rFonts w:ascii="仿宋" w:hAnsi="仿宋" w:eastAsia="仿宋"/>
                <w:sz w:val="24"/>
                <w:szCs w:val="24"/>
              </w:rPr>
              <w:t xml:space="preserve">12 </w:t>
            </w:r>
            <w:r>
              <w:rPr>
                <w:rFonts w:hint="eastAsia" w:ascii="仿宋" w:hAnsi="仿宋" w:eastAsia="仿宋"/>
                <w:sz w:val="24"/>
                <w:szCs w:val="24"/>
              </w:rPr>
              <w:t>附件与附图</w:t>
            </w:r>
            <w:bookmarkEnd w:id="351"/>
          </w:p>
        </w:tc>
        <w:tc>
          <w:tcPr>
            <w:tcW w:w="1479" w:type="pct"/>
            <w:shd w:val="clear" w:color="auto" w:fill="FFFFFF" w:themeFill="background1"/>
            <w:vAlign w:val="center"/>
          </w:tcPr>
          <w:p w14:paraId="6398C08C">
            <w:pPr>
              <w:jc w:val="left"/>
              <w:textAlignment w:val="center"/>
              <w:rPr>
                <w:rFonts w:hint="eastAsia" w:ascii="仿宋" w:hAnsi="仿宋" w:eastAsia="仿宋" w:cs="微软雅黑"/>
                <w:sz w:val="24"/>
              </w:rPr>
            </w:pPr>
          </w:p>
        </w:tc>
        <w:tc>
          <w:tcPr>
            <w:tcW w:w="578" w:type="pct"/>
            <w:shd w:val="clear" w:color="auto" w:fill="FFFFFF" w:themeFill="background1"/>
            <w:noWrap/>
            <w:vAlign w:val="center"/>
          </w:tcPr>
          <w:p w14:paraId="761F94D8">
            <w:pPr>
              <w:jc w:val="center"/>
              <w:textAlignment w:val="center"/>
              <w:rPr>
                <w:rFonts w:hint="eastAsia" w:ascii="仿宋" w:hAnsi="仿宋" w:eastAsia="仿宋" w:cs="微软雅黑"/>
                <w:sz w:val="24"/>
              </w:rPr>
            </w:pPr>
            <w:r>
              <w:rPr>
                <w:rFonts w:ascii="仿宋" w:hAnsi="仿宋" w:eastAsia="仿宋"/>
                <w:sz w:val="24"/>
              </w:rPr>
              <w:t xml:space="preserve">12 </w:t>
            </w:r>
            <w:r>
              <w:rPr>
                <w:rFonts w:hint="eastAsia" w:ascii="仿宋" w:hAnsi="仿宋" w:eastAsia="仿宋"/>
                <w:sz w:val="24"/>
              </w:rPr>
              <w:t>附件与附图</w:t>
            </w:r>
          </w:p>
        </w:tc>
        <w:tc>
          <w:tcPr>
            <w:tcW w:w="1473" w:type="pct"/>
            <w:shd w:val="clear" w:color="auto" w:fill="FFFFFF" w:themeFill="background1"/>
            <w:vAlign w:val="center"/>
          </w:tcPr>
          <w:p w14:paraId="349E2871">
            <w:pPr>
              <w:jc w:val="left"/>
              <w:textAlignment w:val="center"/>
              <w:rPr>
                <w:rFonts w:hint="eastAsia" w:ascii="仿宋" w:hAnsi="仿宋" w:eastAsia="仿宋" w:cs="微软雅黑"/>
                <w:sz w:val="24"/>
              </w:rPr>
            </w:pPr>
          </w:p>
        </w:tc>
        <w:tc>
          <w:tcPr>
            <w:tcW w:w="768" w:type="pct"/>
            <w:shd w:val="clear" w:color="auto" w:fill="FFFFFF" w:themeFill="background1"/>
            <w:vAlign w:val="center"/>
          </w:tcPr>
          <w:p w14:paraId="32824833">
            <w:pPr>
              <w:jc w:val="left"/>
              <w:textAlignment w:val="center"/>
              <w:rPr>
                <w:rFonts w:hint="eastAsia" w:ascii="仿宋" w:hAnsi="仿宋" w:eastAsia="仿宋" w:cs="微软雅黑"/>
                <w:sz w:val="24"/>
              </w:rPr>
            </w:pPr>
            <w:r>
              <w:rPr>
                <w:rFonts w:hint="eastAsia" w:ascii="仿宋" w:hAnsi="仿宋" w:eastAsia="仿宋" w:cs="微软雅黑"/>
                <w:sz w:val="24"/>
              </w:rPr>
              <w:t>无变化</w:t>
            </w:r>
          </w:p>
        </w:tc>
      </w:tr>
      <w:tr w14:paraId="5503C6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0A126893">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7F429887">
            <w:pPr>
              <w:pStyle w:val="4"/>
              <w:jc w:val="center"/>
              <w:rPr>
                <w:rFonts w:hint="eastAsia" w:ascii="仿宋" w:hAnsi="仿宋" w:eastAsia="仿宋" w:cs="微软雅黑"/>
                <w:color w:val="000000"/>
                <w:sz w:val="24"/>
                <w:szCs w:val="24"/>
              </w:rPr>
            </w:pPr>
            <w:bookmarkStart w:id="352" w:name="_Toc535332687"/>
            <w:r>
              <w:rPr>
                <w:rFonts w:ascii="仿宋" w:hAnsi="仿宋" w:eastAsia="仿宋"/>
                <w:sz w:val="24"/>
                <w:szCs w:val="24"/>
              </w:rPr>
              <w:t xml:space="preserve">12.1 </w:t>
            </w:r>
            <w:r>
              <w:rPr>
                <w:rFonts w:hint="eastAsia" w:ascii="仿宋" w:hAnsi="仿宋" w:eastAsia="仿宋"/>
                <w:sz w:val="24"/>
                <w:szCs w:val="24"/>
              </w:rPr>
              <w:t>附件</w:t>
            </w:r>
            <w:bookmarkEnd w:id="352"/>
          </w:p>
        </w:tc>
        <w:tc>
          <w:tcPr>
            <w:tcW w:w="1479" w:type="pct"/>
            <w:shd w:val="clear" w:color="auto" w:fill="FFFFFF" w:themeFill="background1"/>
            <w:vAlign w:val="center"/>
          </w:tcPr>
          <w:p w14:paraId="38E27E09">
            <w:pPr>
              <w:jc w:val="left"/>
              <w:rPr>
                <w:rFonts w:hint="eastAsia" w:ascii="仿宋" w:hAnsi="仿宋" w:eastAsia="仿宋"/>
                <w:sz w:val="24"/>
                <w:lang w:val="zh-CN"/>
              </w:rPr>
            </w:pPr>
            <w:r>
              <w:rPr>
                <w:rFonts w:hint="eastAsia" w:ascii="仿宋" w:hAnsi="仿宋" w:eastAsia="仿宋"/>
                <w:sz w:val="24"/>
                <w:lang w:val="zh-CN"/>
              </w:rPr>
              <w:t>附件应包括但不限于以下建设项目内容的复印件：</w:t>
            </w:r>
          </w:p>
          <w:p w14:paraId="6409F702">
            <w:pPr>
              <w:jc w:val="left"/>
              <w:rPr>
                <w:rFonts w:hint="eastAsia" w:ascii="仿宋" w:hAnsi="仿宋" w:eastAsia="仿宋"/>
                <w:sz w:val="24"/>
                <w:lang w:val="zh-CN"/>
              </w:rPr>
            </w:pPr>
            <w:r>
              <w:rPr>
                <w:rFonts w:ascii="仿宋" w:hAnsi="仿宋" w:eastAsia="仿宋"/>
                <w:sz w:val="24"/>
                <w:lang w:val="zh-CN"/>
              </w:rPr>
              <w:t>a</w:t>
            </w:r>
            <w:r>
              <w:rPr>
                <w:rFonts w:hint="eastAsia" w:ascii="仿宋" w:hAnsi="仿宋" w:eastAsia="仿宋"/>
                <w:sz w:val="24"/>
                <w:lang w:val="zh-CN"/>
              </w:rPr>
              <w:t>） 审批（核准、备案）文件；</w:t>
            </w:r>
          </w:p>
          <w:p w14:paraId="6D55FC76">
            <w:pPr>
              <w:jc w:val="left"/>
              <w:rPr>
                <w:rFonts w:hint="eastAsia" w:ascii="仿宋" w:hAnsi="仿宋" w:eastAsia="仿宋"/>
                <w:sz w:val="24"/>
                <w:lang w:val="zh-CN"/>
              </w:rPr>
            </w:pPr>
            <w:r>
              <w:rPr>
                <w:rFonts w:hint="eastAsia" w:ascii="仿宋" w:hAnsi="仿宋" w:eastAsia="仿宋"/>
                <w:sz w:val="24"/>
                <w:lang w:val="zh-CN"/>
              </w:rPr>
              <w:t>b） 《可行性研究报告》批复文件；</w:t>
            </w:r>
          </w:p>
          <w:p w14:paraId="16C33AEC">
            <w:pPr>
              <w:jc w:val="left"/>
              <w:rPr>
                <w:rFonts w:hint="eastAsia" w:ascii="仿宋" w:hAnsi="仿宋" w:eastAsia="仿宋"/>
                <w:sz w:val="24"/>
                <w:lang w:val="zh-CN"/>
              </w:rPr>
            </w:pPr>
            <w:r>
              <w:rPr>
                <w:rFonts w:hint="eastAsia" w:ascii="仿宋" w:hAnsi="仿宋" w:eastAsia="仿宋"/>
                <w:sz w:val="24"/>
                <w:lang w:val="zh-CN"/>
              </w:rPr>
              <w:t>c） 路由规划许可意见；</w:t>
            </w:r>
          </w:p>
          <w:p w14:paraId="5AB8338B">
            <w:pPr>
              <w:jc w:val="left"/>
              <w:rPr>
                <w:rFonts w:hint="eastAsia" w:ascii="仿宋" w:hAnsi="仿宋" w:eastAsia="仿宋"/>
                <w:sz w:val="24"/>
                <w:lang w:val="zh-CN"/>
              </w:rPr>
            </w:pPr>
            <w:r>
              <w:rPr>
                <w:rFonts w:hint="eastAsia" w:ascii="仿宋" w:hAnsi="仿宋" w:eastAsia="仿宋"/>
                <w:sz w:val="24"/>
                <w:lang w:val="zh-CN"/>
              </w:rPr>
              <w:t>d） 站场规划选址许可意见；</w:t>
            </w:r>
          </w:p>
          <w:p w14:paraId="679E4418">
            <w:pPr>
              <w:jc w:val="left"/>
              <w:rPr>
                <w:rFonts w:hint="eastAsia" w:ascii="仿宋" w:hAnsi="仿宋" w:eastAsia="仿宋"/>
                <w:sz w:val="24"/>
                <w:lang w:val="zh-CN"/>
              </w:rPr>
            </w:pPr>
            <w:r>
              <w:rPr>
                <w:rFonts w:hint="eastAsia" w:ascii="仿宋" w:hAnsi="仿宋" w:eastAsia="仿宋"/>
                <w:sz w:val="24"/>
                <w:lang w:val="zh-CN"/>
              </w:rPr>
              <w:t>e） 建设单位的经营范围；</w:t>
            </w:r>
          </w:p>
          <w:p w14:paraId="3DA73C70">
            <w:pPr>
              <w:jc w:val="left"/>
              <w:rPr>
                <w:rFonts w:hint="eastAsia" w:ascii="仿宋" w:hAnsi="仿宋" w:eastAsia="仿宋"/>
                <w:sz w:val="24"/>
                <w:lang w:val="zh-CN"/>
              </w:rPr>
            </w:pPr>
            <w:r>
              <w:rPr>
                <w:rFonts w:ascii="仿宋" w:hAnsi="仿宋" w:eastAsia="仿宋"/>
                <w:sz w:val="24"/>
                <w:lang w:val="zh-CN"/>
              </w:rPr>
              <w:t>f</w:t>
            </w:r>
            <w:r>
              <w:rPr>
                <w:rFonts w:hint="eastAsia" w:ascii="仿宋" w:hAnsi="仿宋" w:eastAsia="仿宋"/>
                <w:sz w:val="24"/>
                <w:lang w:val="zh-CN"/>
              </w:rPr>
              <w:t>） 《可行性研究报告》编制单位的经营范围、资质；</w:t>
            </w:r>
          </w:p>
          <w:p w14:paraId="53C667DB">
            <w:pPr>
              <w:jc w:val="left"/>
              <w:rPr>
                <w:rFonts w:hint="eastAsia" w:ascii="仿宋" w:hAnsi="仿宋" w:eastAsia="仿宋"/>
                <w:sz w:val="24"/>
                <w:lang w:val="zh-CN"/>
              </w:rPr>
            </w:pPr>
            <w:r>
              <w:rPr>
                <w:rFonts w:ascii="仿宋" w:hAnsi="仿宋" w:eastAsia="仿宋"/>
                <w:sz w:val="24"/>
                <w:lang w:val="zh-CN"/>
              </w:rPr>
              <w:t>g</w:t>
            </w:r>
            <w:r>
              <w:rPr>
                <w:rFonts w:hint="eastAsia" w:ascii="仿宋" w:hAnsi="仿宋" w:eastAsia="仿宋"/>
                <w:sz w:val="24"/>
                <w:lang w:val="zh-CN"/>
              </w:rPr>
              <w:t>） 安全评价单位的资质；</w:t>
            </w:r>
          </w:p>
          <w:p w14:paraId="7D8B2E39">
            <w:pPr>
              <w:jc w:val="left"/>
              <w:rPr>
                <w:rFonts w:hint="eastAsia" w:ascii="仿宋" w:hAnsi="仿宋" w:eastAsia="仿宋"/>
                <w:sz w:val="24"/>
                <w:lang w:val="zh-CN"/>
              </w:rPr>
            </w:pPr>
            <w:r>
              <w:rPr>
                <w:rFonts w:hint="eastAsia" w:ascii="仿宋" w:hAnsi="仿宋" w:eastAsia="仿宋"/>
                <w:sz w:val="24"/>
                <w:lang w:val="zh-CN"/>
              </w:rPr>
              <w:t>h） 安全评价委托书；</w:t>
            </w:r>
          </w:p>
          <w:p w14:paraId="5F792F99">
            <w:pPr>
              <w:jc w:val="left"/>
              <w:rPr>
                <w:rFonts w:hint="eastAsia" w:ascii="仿宋" w:hAnsi="仿宋" w:eastAsia="仿宋" w:cs="微软雅黑"/>
                <w:sz w:val="24"/>
              </w:rPr>
            </w:pPr>
            <w:r>
              <w:rPr>
                <w:rFonts w:hint="eastAsia" w:ascii="仿宋" w:hAnsi="仿宋" w:eastAsia="仿宋"/>
                <w:sz w:val="24"/>
                <w:lang w:val="zh-CN"/>
              </w:rPr>
              <w:t>i） 建设单位内审意见。</w:t>
            </w:r>
          </w:p>
        </w:tc>
        <w:tc>
          <w:tcPr>
            <w:tcW w:w="578" w:type="pct"/>
            <w:shd w:val="clear" w:color="auto" w:fill="FFFFFF" w:themeFill="background1"/>
            <w:noWrap/>
            <w:vAlign w:val="center"/>
          </w:tcPr>
          <w:p w14:paraId="4723FA31">
            <w:pPr>
              <w:pStyle w:val="4"/>
              <w:jc w:val="center"/>
              <w:rPr>
                <w:rFonts w:hint="eastAsia" w:ascii="仿宋" w:hAnsi="仿宋" w:eastAsia="仿宋" w:cs="微软雅黑"/>
                <w:color w:val="000000"/>
                <w:sz w:val="24"/>
                <w:szCs w:val="24"/>
              </w:rPr>
            </w:pPr>
            <w:r>
              <w:rPr>
                <w:rFonts w:ascii="仿宋" w:hAnsi="仿宋" w:eastAsia="仿宋"/>
                <w:sz w:val="24"/>
                <w:szCs w:val="24"/>
              </w:rPr>
              <w:t xml:space="preserve">12.1 </w:t>
            </w:r>
            <w:r>
              <w:rPr>
                <w:rFonts w:hint="eastAsia" w:ascii="仿宋" w:hAnsi="仿宋" w:eastAsia="仿宋"/>
                <w:sz w:val="24"/>
                <w:szCs w:val="24"/>
              </w:rPr>
              <w:t>附件</w:t>
            </w:r>
          </w:p>
        </w:tc>
        <w:tc>
          <w:tcPr>
            <w:tcW w:w="1473" w:type="pct"/>
            <w:shd w:val="clear" w:color="auto" w:fill="FFFFFF" w:themeFill="background1"/>
            <w:vAlign w:val="center"/>
          </w:tcPr>
          <w:p w14:paraId="4A41FC12">
            <w:pPr>
              <w:jc w:val="left"/>
              <w:rPr>
                <w:rFonts w:hint="eastAsia" w:ascii="仿宋" w:hAnsi="仿宋" w:eastAsia="仿宋"/>
                <w:sz w:val="24"/>
                <w:lang w:val="zh-CN"/>
              </w:rPr>
            </w:pPr>
            <w:r>
              <w:rPr>
                <w:rFonts w:hint="eastAsia" w:ascii="仿宋" w:hAnsi="仿宋" w:eastAsia="仿宋"/>
                <w:sz w:val="24"/>
                <w:lang w:val="zh-CN"/>
              </w:rPr>
              <w:t>附件应包括但不限于以下建设项目内容的复印件：</w:t>
            </w:r>
          </w:p>
          <w:p w14:paraId="6070294F">
            <w:pPr>
              <w:jc w:val="left"/>
              <w:rPr>
                <w:rFonts w:hint="eastAsia" w:ascii="仿宋" w:hAnsi="仿宋" w:eastAsia="仿宋"/>
                <w:sz w:val="24"/>
                <w:lang w:val="zh-CN"/>
              </w:rPr>
            </w:pPr>
            <w:r>
              <w:rPr>
                <w:rFonts w:ascii="仿宋" w:hAnsi="仿宋" w:eastAsia="仿宋"/>
                <w:sz w:val="24"/>
                <w:lang w:val="zh-CN"/>
              </w:rPr>
              <w:t>a</w:t>
            </w:r>
            <w:r>
              <w:rPr>
                <w:rFonts w:hint="eastAsia" w:ascii="仿宋" w:hAnsi="仿宋" w:eastAsia="仿宋"/>
                <w:sz w:val="24"/>
                <w:lang w:val="zh-CN"/>
              </w:rPr>
              <w:t>） 审批（核准、备案）文件；</w:t>
            </w:r>
          </w:p>
          <w:p w14:paraId="49EDB5AF">
            <w:pPr>
              <w:jc w:val="left"/>
              <w:rPr>
                <w:rFonts w:hint="eastAsia" w:ascii="仿宋" w:hAnsi="仿宋" w:eastAsia="仿宋"/>
                <w:sz w:val="24"/>
                <w:lang w:val="zh-CN"/>
              </w:rPr>
            </w:pPr>
            <w:r>
              <w:rPr>
                <w:rFonts w:hint="eastAsia" w:ascii="仿宋" w:hAnsi="仿宋" w:eastAsia="仿宋"/>
                <w:sz w:val="24"/>
                <w:lang w:val="zh-CN"/>
              </w:rPr>
              <w:t>b） 可行性研究报告批复文件；</w:t>
            </w:r>
          </w:p>
          <w:p w14:paraId="3F5FC953">
            <w:pPr>
              <w:tabs>
                <w:tab w:val="left" w:pos="273"/>
              </w:tabs>
              <w:jc w:val="left"/>
              <w:rPr>
                <w:rFonts w:hint="eastAsia" w:ascii="仿宋" w:hAnsi="仿宋" w:eastAsia="仿宋"/>
                <w:sz w:val="24"/>
                <w:lang w:val="zh-CN"/>
              </w:rPr>
            </w:pPr>
            <w:r>
              <w:rPr>
                <w:rFonts w:hint="eastAsia" w:ascii="仿宋" w:hAnsi="仿宋" w:eastAsia="仿宋"/>
                <w:sz w:val="24"/>
                <w:lang w:val="zh-CN"/>
              </w:rPr>
              <w:t>c） 路由规划许可意见；</w:t>
            </w:r>
          </w:p>
          <w:p w14:paraId="58BB4B52">
            <w:pPr>
              <w:jc w:val="left"/>
              <w:rPr>
                <w:rFonts w:hint="eastAsia" w:ascii="仿宋" w:hAnsi="仿宋" w:eastAsia="仿宋"/>
                <w:sz w:val="24"/>
                <w:lang w:val="zh-CN"/>
              </w:rPr>
            </w:pPr>
            <w:r>
              <w:rPr>
                <w:rFonts w:hint="eastAsia" w:ascii="仿宋" w:hAnsi="仿宋" w:eastAsia="仿宋"/>
                <w:sz w:val="24"/>
                <w:lang w:val="zh-CN"/>
              </w:rPr>
              <w:t>d） 站场规划选址许可意见；</w:t>
            </w:r>
          </w:p>
          <w:p w14:paraId="24455E49">
            <w:pPr>
              <w:jc w:val="left"/>
              <w:rPr>
                <w:rFonts w:hint="eastAsia" w:ascii="仿宋" w:hAnsi="仿宋" w:eastAsia="仿宋"/>
                <w:sz w:val="24"/>
                <w:lang w:val="zh-CN"/>
              </w:rPr>
            </w:pPr>
            <w:r>
              <w:rPr>
                <w:rFonts w:hint="eastAsia" w:ascii="仿宋" w:hAnsi="仿宋" w:eastAsia="仿宋"/>
                <w:sz w:val="24"/>
                <w:lang w:val="zh-CN"/>
              </w:rPr>
              <w:t>e） 建设单位的营业执照；</w:t>
            </w:r>
          </w:p>
          <w:p w14:paraId="143ED3AA">
            <w:pPr>
              <w:jc w:val="left"/>
              <w:rPr>
                <w:rFonts w:hint="eastAsia" w:ascii="仿宋" w:hAnsi="仿宋" w:eastAsia="仿宋"/>
                <w:sz w:val="24"/>
                <w:lang w:val="zh-CN"/>
              </w:rPr>
            </w:pPr>
            <w:r>
              <w:rPr>
                <w:rFonts w:ascii="仿宋" w:hAnsi="仿宋" w:eastAsia="仿宋"/>
                <w:sz w:val="24"/>
                <w:lang w:val="zh-CN"/>
              </w:rPr>
              <w:t>f</w:t>
            </w:r>
            <w:r>
              <w:rPr>
                <w:rFonts w:hint="eastAsia" w:ascii="仿宋" w:hAnsi="仿宋" w:eastAsia="仿宋"/>
                <w:sz w:val="24"/>
                <w:lang w:val="zh-CN"/>
              </w:rPr>
              <w:t>） 可行性研究报告编制单位的营业执照；</w:t>
            </w:r>
          </w:p>
          <w:p w14:paraId="494ADCA0">
            <w:pPr>
              <w:jc w:val="left"/>
              <w:rPr>
                <w:rFonts w:hint="eastAsia" w:ascii="仿宋" w:hAnsi="仿宋" w:eastAsia="仿宋"/>
                <w:sz w:val="24"/>
                <w:lang w:val="zh-CN"/>
              </w:rPr>
            </w:pPr>
            <w:r>
              <w:rPr>
                <w:rFonts w:ascii="仿宋" w:hAnsi="仿宋" w:eastAsia="仿宋"/>
                <w:sz w:val="24"/>
                <w:lang w:val="zh-CN"/>
              </w:rPr>
              <w:t>g</w:t>
            </w:r>
            <w:r>
              <w:rPr>
                <w:rFonts w:hint="eastAsia" w:ascii="仿宋" w:hAnsi="仿宋" w:eastAsia="仿宋"/>
                <w:sz w:val="24"/>
                <w:lang w:val="zh-CN"/>
              </w:rPr>
              <w:t>） 安全</w:t>
            </w:r>
            <w:r>
              <w:rPr>
                <w:rFonts w:hint="eastAsia" w:ascii="仿宋" w:hAnsi="仿宋" w:eastAsia="仿宋"/>
                <w:sz w:val="24"/>
              </w:rPr>
              <w:t>预</w:t>
            </w:r>
            <w:r>
              <w:rPr>
                <w:rFonts w:hint="eastAsia" w:ascii="仿宋" w:hAnsi="仿宋" w:eastAsia="仿宋"/>
                <w:sz w:val="24"/>
                <w:lang w:val="zh-CN"/>
              </w:rPr>
              <w:t>评价委托书；</w:t>
            </w:r>
          </w:p>
          <w:p w14:paraId="57FEC4FC">
            <w:pPr>
              <w:jc w:val="left"/>
              <w:rPr>
                <w:rFonts w:hint="eastAsia" w:ascii="仿宋" w:hAnsi="仿宋" w:eastAsia="仿宋"/>
                <w:sz w:val="24"/>
                <w:lang w:val="zh-CN"/>
              </w:rPr>
            </w:pPr>
            <w:r>
              <w:rPr>
                <w:rFonts w:ascii="仿宋" w:hAnsi="仿宋" w:eastAsia="仿宋"/>
                <w:sz w:val="24"/>
                <w:lang w:val="zh-CN"/>
              </w:rPr>
              <w:t>h</w:t>
            </w:r>
            <w:r>
              <w:rPr>
                <w:rFonts w:hint="eastAsia" w:ascii="仿宋" w:hAnsi="仿宋" w:eastAsia="仿宋"/>
                <w:sz w:val="24"/>
                <w:lang w:val="zh-CN"/>
              </w:rPr>
              <w:t>） 历次安全条件审查意见及修改情况；</w:t>
            </w:r>
          </w:p>
          <w:p w14:paraId="63D7CFBC">
            <w:pPr>
              <w:jc w:val="left"/>
              <w:rPr>
                <w:rFonts w:hint="eastAsia" w:ascii="仿宋" w:hAnsi="仿宋" w:eastAsia="仿宋"/>
                <w:sz w:val="24"/>
                <w:lang w:val="zh-CN"/>
              </w:rPr>
            </w:pPr>
            <w:r>
              <w:rPr>
                <w:rFonts w:ascii="仿宋" w:hAnsi="仿宋" w:eastAsia="仿宋"/>
                <w:sz w:val="24"/>
                <w:lang w:val="zh-CN"/>
              </w:rPr>
              <w:t>i</w:t>
            </w:r>
            <w:r>
              <w:rPr>
                <w:rFonts w:hint="eastAsia" w:ascii="仿宋" w:hAnsi="仿宋" w:eastAsia="仿宋"/>
                <w:sz w:val="24"/>
                <w:lang w:val="zh-CN"/>
              </w:rPr>
              <w:t>） 人员密集型</w:t>
            </w:r>
            <w:r>
              <w:rPr>
                <w:rFonts w:ascii="仿宋" w:hAnsi="仿宋" w:eastAsia="仿宋"/>
                <w:sz w:val="24"/>
                <w:lang w:val="zh-CN"/>
              </w:rPr>
              <w:t>高后果</w:t>
            </w:r>
            <w:r>
              <w:rPr>
                <w:rFonts w:hint="eastAsia" w:ascii="仿宋" w:hAnsi="仿宋" w:eastAsia="仿宋"/>
                <w:sz w:val="24"/>
                <w:lang w:val="zh-CN"/>
              </w:rPr>
              <w:t>区示意图</w:t>
            </w:r>
            <w:r>
              <w:rPr>
                <w:rFonts w:hint="eastAsia" w:ascii="仿宋" w:hAnsi="仿宋" w:eastAsia="仿宋"/>
                <w:sz w:val="24"/>
              </w:rPr>
              <w:t>及说明</w:t>
            </w:r>
            <w:r>
              <w:rPr>
                <w:rFonts w:hint="eastAsia" w:ascii="仿宋" w:hAnsi="仿宋" w:eastAsia="仿宋"/>
                <w:sz w:val="24"/>
                <w:lang w:val="zh-CN"/>
              </w:rPr>
              <w:t>；</w:t>
            </w:r>
          </w:p>
          <w:p w14:paraId="6949577B">
            <w:pPr>
              <w:jc w:val="left"/>
              <w:rPr>
                <w:rFonts w:hint="eastAsia" w:ascii="仿宋" w:hAnsi="仿宋" w:eastAsia="仿宋" w:cs="微软雅黑"/>
                <w:sz w:val="24"/>
              </w:rPr>
            </w:pPr>
            <w:r>
              <w:rPr>
                <w:rFonts w:ascii="仿宋" w:hAnsi="仿宋" w:eastAsia="仿宋"/>
                <w:sz w:val="24"/>
                <w:lang w:val="zh-CN"/>
              </w:rPr>
              <w:t>j</w:t>
            </w:r>
            <w:r>
              <w:rPr>
                <w:rFonts w:hint="eastAsia" w:ascii="仿宋" w:hAnsi="仿宋" w:eastAsia="仿宋"/>
                <w:sz w:val="24"/>
                <w:lang w:val="zh-CN"/>
              </w:rPr>
              <w:t>） 建设单位内审意见。</w:t>
            </w:r>
          </w:p>
        </w:tc>
        <w:tc>
          <w:tcPr>
            <w:tcW w:w="768" w:type="pct"/>
            <w:shd w:val="clear" w:color="auto" w:fill="FFFFFF" w:themeFill="background1"/>
            <w:vAlign w:val="center"/>
          </w:tcPr>
          <w:p w14:paraId="3DADF103">
            <w:pPr>
              <w:jc w:val="left"/>
              <w:textAlignment w:val="center"/>
              <w:rPr>
                <w:rFonts w:hint="eastAsia" w:ascii="仿宋" w:hAnsi="仿宋" w:eastAsia="仿宋" w:cs="微软雅黑"/>
                <w:sz w:val="24"/>
              </w:rPr>
            </w:pPr>
            <w:r>
              <w:rPr>
                <w:rFonts w:hint="eastAsia" w:ascii="仿宋" w:hAnsi="仿宋" w:eastAsia="仿宋" w:cs="微软雅黑"/>
                <w:sz w:val="24"/>
              </w:rPr>
              <w:t>删除了</w:t>
            </w:r>
            <w:r>
              <w:rPr>
                <w:rFonts w:hint="eastAsia" w:ascii="仿宋" w:hAnsi="仿宋" w:eastAsia="仿宋"/>
                <w:sz w:val="24"/>
                <w:lang w:val="zh-CN"/>
              </w:rPr>
              <w:t>《可行性研究报告》编制单位的</w:t>
            </w:r>
            <w:r>
              <w:rPr>
                <w:rFonts w:hint="eastAsia" w:ascii="仿宋" w:hAnsi="仿宋" w:eastAsia="仿宋"/>
                <w:sz w:val="24"/>
              </w:rPr>
              <w:t>资质，增加了历次安全条件审查意见及修改情况、人员密集型高后果区示意图要求。</w:t>
            </w:r>
          </w:p>
        </w:tc>
      </w:tr>
      <w:tr w14:paraId="57F2F4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0CD29368">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056DC1B8">
            <w:pPr>
              <w:pStyle w:val="4"/>
              <w:jc w:val="center"/>
              <w:rPr>
                <w:rFonts w:hint="eastAsia" w:ascii="仿宋" w:hAnsi="仿宋" w:eastAsia="仿宋" w:cs="微软雅黑"/>
                <w:color w:val="000000"/>
                <w:sz w:val="24"/>
                <w:szCs w:val="24"/>
              </w:rPr>
            </w:pPr>
            <w:bookmarkStart w:id="353" w:name="_Toc535332688"/>
            <w:r>
              <w:rPr>
                <w:rFonts w:ascii="仿宋" w:hAnsi="仿宋" w:eastAsia="仿宋"/>
                <w:sz w:val="24"/>
                <w:szCs w:val="24"/>
              </w:rPr>
              <w:t xml:space="preserve">12.2 </w:t>
            </w:r>
            <w:r>
              <w:rPr>
                <w:rFonts w:hint="eastAsia" w:ascii="仿宋" w:hAnsi="仿宋" w:eastAsia="仿宋"/>
                <w:sz w:val="24"/>
                <w:szCs w:val="24"/>
              </w:rPr>
              <w:t>附图</w:t>
            </w:r>
            <w:bookmarkEnd w:id="353"/>
          </w:p>
        </w:tc>
        <w:tc>
          <w:tcPr>
            <w:tcW w:w="1479" w:type="pct"/>
            <w:shd w:val="clear" w:color="auto" w:fill="FFFFFF" w:themeFill="background1"/>
            <w:vAlign w:val="center"/>
          </w:tcPr>
          <w:p w14:paraId="5EAD6784">
            <w:pPr>
              <w:pStyle w:val="65"/>
              <w:ind w:firstLine="0" w:firstLineChars="0"/>
              <w:jc w:val="left"/>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附图应包括但不限于以下清晰、合规的图纸：</w:t>
            </w:r>
          </w:p>
          <w:p w14:paraId="3D690B38">
            <w:pPr>
              <w:pStyle w:val="65"/>
              <w:ind w:firstLine="0" w:firstLineChars="0"/>
              <w:jc w:val="left"/>
              <w:rPr>
                <w:rFonts w:hint="eastAsia"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 xml:space="preserve">a） </w:t>
            </w:r>
            <w:r>
              <w:rPr>
                <w:rFonts w:hint="eastAsia" w:ascii="仿宋" w:hAnsi="仿宋" w:eastAsia="仿宋"/>
                <w:color w:val="000000" w:themeColor="text1"/>
                <w:sz w:val="24"/>
                <w:szCs w:val="24"/>
                <w14:textFill>
                  <w14:solidFill>
                    <w14:schemeClr w14:val="tx1"/>
                  </w14:solidFill>
                </w14:textFill>
              </w:rPr>
              <w:t>油气管道线路走向示意图；</w:t>
            </w:r>
          </w:p>
          <w:p w14:paraId="01E03C23">
            <w:pPr>
              <w:pStyle w:val="65"/>
              <w:ind w:firstLine="0" w:firstLineChars="0"/>
              <w:jc w:val="left"/>
              <w:rPr>
                <w:rFonts w:hint="eastAsia"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 xml:space="preserve">b） </w:t>
            </w:r>
            <w:r>
              <w:rPr>
                <w:rFonts w:hint="eastAsia" w:ascii="仿宋" w:hAnsi="仿宋" w:eastAsia="仿宋"/>
                <w:color w:val="000000" w:themeColor="text1"/>
                <w:sz w:val="24"/>
                <w:szCs w:val="24"/>
                <w14:textFill>
                  <w14:solidFill>
                    <w14:schemeClr w14:val="tx1"/>
                  </w14:solidFill>
                </w14:textFill>
              </w:rPr>
              <w:t>站场区域位置图；</w:t>
            </w:r>
          </w:p>
          <w:p w14:paraId="126FC78F">
            <w:pPr>
              <w:pStyle w:val="65"/>
              <w:ind w:firstLine="0" w:firstLineChars="0"/>
              <w:jc w:val="left"/>
              <w:rPr>
                <w:rFonts w:hint="eastAsia"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 xml:space="preserve">c） </w:t>
            </w:r>
            <w:r>
              <w:rPr>
                <w:rFonts w:hint="eastAsia" w:ascii="仿宋" w:hAnsi="仿宋" w:eastAsia="仿宋"/>
                <w:color w:val="000000" w:themeColor="text1"/>
                <w:sz w:val="24"/>
                <w:szCs w:val="24"/>
                <w14:textFill>
                  <w14:solidFill>
                    <w14:schemeClr w14:val="tx1"/>
                  </w14:solidFill>
                </w14:textFill>
              </w:rPr>
              <w:t>站场和典型阀室总平面布置图；</w:t>
            </w:r>
          </w:p>
          <w:p w14:paraId="65477F4F">
            <w:pPr>
              <w:pStyle w:val="65"/>
              <w:ind w:firstLine="0" w:firstLineChars="0"/>
              <w:jc w:val="left"/>
              <w:rPr>
                <w:rFonts w:hint="eastAsia"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 xml:space="preserve">d） </w:t>
            </w:r>
            <w:r>
              <w:rPr>
                <w:rFonts w:hint="eastAsia" w:ascii="仿宋" w:hAnsi="仿宋" w:eastAsia="仿宋"/>
                <w:color w:val="000000" w:themeColor="text1"/>
                <w:sz w:val="24"/>
                <w:szCs w:val="24"/>
                <w14:textFill>
                  <w14:solidFill>
                    <w14:schemeClr w14:val="tx1"/>
                  </w14:solidFill>
                </w14:textFill>
              </w:rPr>
              <w:t>总体工艺流程图；</w:t>
            </w:r>
          </w:p>
          <w:p w14:paraId="02EBD9B0">
            <w:pPr>
              <w:pStyle w:val="65"/>
              <w:ind w:firstLine="0" w:firstLineChars="0"/>
              <w:jc w:val="left"/>
              <w:rPr>
                <w:rFonts w:hint="eastAsia"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 xml:space="preserve">e） </w:t>
            </w:r>
            <w:r>
              <w:rPr>
                <w:rFonts w:hint="eastAsia" w:ascii="仿宋" w:hAnsi="仿宋" w:eastAsia="仿宋"/>
                <w:color w:val="000000" w:themeColor="text1"/>
                <w:sz w:val="24"/>
                <w:szCs w:val="24"/>
                <w14:textFill>
                  <w14:solidFill>
                    <w14:schemeClr w14:val="tx1"/>
                  </w14:solidFill>
                </w14:textFill>
              </w:rPr>
              <w:t>站场和典型阀室工艺流程图；</w:t>
            </w:r>
          </w:p>
          <w:p w14:paraId="2D0ADC34">
            <w:pPr>
              <w:pStyle w:val="65"/>
              <w:ind w:firstLine="0" w:firstLineChars="0"/>
              <w:jc w:val="left"/>
              <w:rPr>
                <w:rFonts w:hint="eastAsia"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 xml:space="preserve">f） </w:t>
            </w:r>
            <w:r>
              <w:rPr>
                <w:rFonts w:hint="eastAsia" w:ascii="仿宋" w:hAnsi="仿宋" w:eastAsia="仿宋"/>
                <w:color w:val="000000" w:themeColor="text1"/>
                <w:sz w:val="24"/>
                <w:szCs w:val="24"/>
                <w14:textFill>
                  <w14:solidFill>
                    <w14:schemeClr w14:val="tx1"/>
                  </w14:solidFill>
                </w14:textFill>
              </w:rPr>
              <w:t>典型穿（跨）越平面图；输油管道纵断面图；</w:t>
            </w:r>
          </w:p>
          <w:p w14:paraId="14AE7144">
            <w:pPr>
              <w:pStyle w:val="65"/>
              <w:ind w:firstLine="0" w:firstLineChars="0"/>
              <w:jc w:val="left"/>
              <w:rPr>
                <w:rFonts w:hint="eastAsia"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 xml:space="preserve">g） </w:t>
            </w:r>
            <w:r>
              <w:rPr>
                <w:rFonts w:hint="eastAsia" w:ascii="仿宋" w:hAnsi="仿宋" w:eastAsia="仿宋"/>
                <w:color w:val="000000" w:themeColor="text1"/>
                <w:sz w:val="24"/>
                <w:szCs w:val="24"/>
                <w14:textFill>
                  <w14:solidFill>
                    <w14:schemeClr w14:val="tx1"/>
                  </w14:solidFill>
                </w14:textFill>
              </w:rPr>
              <w:t>爆炸危险区域等级划分图；</w:t>
            </w:r>
          </w:p>
          <w:p w14:paraId="033BF4EE">
            <w:pPr>
              <w:pStyle w:val="65"/>
              <w:ind w:firstLine="0" w:firstLineChars="0"/>
              <w:jc w:val="left"/>
              <w:rPr>
                <w:rFonts w:hint="eastAsia"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h） SCADA</w:t>
            </w:r>
            <w:r>
              <w:rPr>
                <w:rFonts w:hint="eastAsia" w:ascii="仿宋" w:hAnsi="仿宋" w:eastAsia="仿宋"/>
                <w:color w:val="000000" w:themeColor="text1"/>
                <w:sz w:val="24"/>
                <w:szCs w:val="24"/>
                <w14:textFill>
                  <w14:solidFill>
                    <w14:schemeClr w14:val="tx1"/>
                  </w14:solidFill>
                </w14:textFill>
              </w:rPr>
              <w:t>系统和站控系统结构图；</w:t>
            </w:r>
          </w:p>
          <w:p w14:paraId="2E2FFCEB">
            <w:pPr>
              <w:pStyle w:val="65"/>
              <w:ind w:firstLine="0" w:firstLineChars="0"/>
              <w:jc w:val="left"/>
              <w:rPr>
                <w:rFonts w:hint="eastAsia" w:ascii="仿宋" w:hAnsi="仿宋" w:eastAsia="仿宋" w:cs="微软雅黑"/>
                <w:color w:val="000000"/>
                <w:sz w:val="24"/>
                <w:szCs w:val="24"/>
              </w:rPr>
            </w:pPr>
            <w:r>
              <w:rPr>
                <w:rFonts w:ascii="仿宋" w:hAnsi="仿宋" w:eastAsia="仿宋"/>
                <w:color w:val="000000" w:themeColor="text1"/>
                <w:sz w:val="24"/>
                <w:szCs w:val="24"/>
                <w14:textFill>
                  <w14:solidFill>
                    <w14:schemeClr w14:val="tx1"/>
                  </w14:solidFill>
                </w14:textFill>
              </w:rPr>
              <w:t xml:space="preserve">i） </w:t>
            </w:r>
            <w:r>
              <w:rPr>
                <w:rFonts w:hint="eastAsia" w:ascii="仿宋" w:hAnsi="仿宋" w:eastAsia="仿宋"/>
                <w:color w:val="000000" w:themeColor="text1"/>
                <w:sz w:val="24"/>
                <w:szCs w:val="24"/>
                <w14:textFill>
                  <w14:solidFill>
                    <w14:schemeClr w14:val="tx1"/>
                  </w14:solidFill>
                </w14:textFill>
              </w:rPr>
              <w:t>其他安全评价过程制作的图表。</w:t>
            </w:r>
          </w:p>
        </w:tc>
        <w:tc>
          <w:tcPr>
            <w:tcW w:w="578" w:type="pct"/>
            <w:shd w:val="clear" w:color="auto" w:fill="FFFFFF" w:themeFill="background1"/>
            <w:noWrap/>
            <w:vAlign w:val="center"/>
          </w:tcPr>
          <w:p w14:paraId="02068E88">
            <w:pPr>
              <w:pStyle w:val="4"/>
              <w:jc w:val="center"/>
              <w:rPr>
                <w:rFonts w:hint="eastAsia" w:ascii="仿宋" w:hAnsi="仿宋" w:eastAsia="仿宋"/>
                <w:sz w:val="24"/>
                <w:szCs w:val="24"/>
              </w:rPr>
            </w:pPr>
            <w:r>
              <w:rPr>
                <w:rFonts w:ascii="仿宋" w:hAnsi="仿宋" w:eastAsia="仿宋"/>
                <w:sz w:val="24"/>
                <w:szCs w:val="24"/>
              </w:rPr>
              <w:t xml:space="preserve">12.2 </w:t>
            </w:r>
            <w:r>
              <w:rPr>
                <w:rFonts w:hint="eastAsia" w:ascii="仿宋" w:hAnsi="仿宋" w:eastAsia="仿宋"/>
                <w:sz w:val="24"/>
                <w:szCs w:val="24"/>
              </w:rPr>
              <w:t>附图</w:t>
            </w:r>
          </w:p>
          <w:p w14:paraId="5096A2A4">
            <w:pPr>
              <w:jc w:val="center"/>
              <w:textAlignment w:val="center"/>
              <w:rPr>
                <w:rFonts w:hint="eastAsia" w:ascii="仿宋" w:hAnsi="仿宋" w:eastAsia="仿宋" w:cs="微软雅黑"/>
                <w:sz w:val="24"/>
              </w:rPr>
            </w:pPr>
          </w:p>
        </w:tc>
        <w:tc>
          <w:tcPr>
            <w:tcW w:w="1473" w:type="pct"/>
            <w:shd w:val="clear" w:color="auto" w:fill="FFFFFF" w:themeFill="background1"/>
            <w:vAlign w:val="center"/>
          </w:tcPr>
          <w:p w14:paraId="3DEA4001">
            <w:pPr>
              <w:pStyle w:val="65"/>
              <w:ind w:firstLine="0" w:firstLineChars="0"/>
              <w:jc w:val="left"/>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附图应包括但不限于以下清晰、合规的图纸：</w:t>
            </w:r>
          </w:p>
          <w:p w14:paraId="5EA62959">
            <w:pPr>
              <w:pStyle w:val="65"/>
              <w:ind w:firstLine="0" w:firstLineChars="0"/>
              <w:jc w:val="left"/>
              <w:rPr>
                <w:rFonts w:hint="eastAsia"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 xml:space="preserve">a） </w:t>
            </w:r>
            <w:r>
              <w:rPr>
                <w:rFonts w:hint="eastAsia" w:ascii="仿宋" w:hAnsi="仿宋" w:eastAsia="仿宋"/>
                <w:color w:val="000000" w:themeColor="text1"/>
                <w:sz w:val="24"/>
                <w:szCs w:val="24"/>
                <w14:textFill>
                  <w14:solidFill>
                    <w14:schemeClr w14:val="tx1"/>
                  </w14:solidFill>
                </w14:textFill>
              </w:rPr>
              <w:t>油气管道线路走向示意图；</w:t>
            </w:r>
          </w:p>
          <w:p w14:paraId="278D2402">
            <w:pPr>
              <w:pStyle w:val="65"/>
              <w:ind w:firstLine="0" w:firstLineChars="0"/>
              <w:jc w:val="left"/>
              <w:rPr>
                <w:rFonts w:hint="eastAsia"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 xml:space="preserve">b） </w:t>
            </w:r>
            <w:r>
              <w:rPr>
                <w:rFonts w:hint="eastAsia" w:ascii="仿宋" w:hAnsi="仿宋" w:eastAsia="仿宋"/>
                <w:color w:val="000000" w:themeColor="text1"/>
                <w:sz w:val="24"/>
                <w:szCs w:val="24"/>
                <w14:textFill>
                  <w14:solidFill>
                    <w14:schemeClr w14:val="tx1"/>
                  </w14:solidFill>
                </w14:textFill>
              </w:rPr>
              <w:t>站场区域位置图；</w:t>
            </w:r>
          </w:p>
          <w:p w14:paraId="6CAB310C">
            <w:pPr>
              <w:pStyle w:val="65"/>
              <w:ind w:firstLine="0" w:firstLineChars="0"/>
              <w:jc w:val="left"/>
              <w:rPr>
                <w:rFonts w:hint="eastAsia"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 xml:space="preserve">c） </w:t>
            </w:r>
            <w:r>
              <w:rPr>
                <w:rFonts w:hint="eastAsia" w:ascii="仿宋" w:hAnsi="仿宋" w:eastAsia="仿宋"/>
                <w:color w:val="000000" w:themeColor="text1"/>
                <w:sz w:val="24"/>
                <w:szCs w:val="24"/>
                <w14:textFill>
                  <w14:solidFill>
                    <w14:schemeClr w14:val="tx1"/>
                  </w14:solidFill>
                </w14:textFill>
              </w:rPr>
              <w:t>站场和典型阀室总平面布置图；</w:t>
            </w:r>
          </w:p>
          <w:p w14:paraId="7E858EC5">
            <w:pPr>
              <w:pStyle w:val="65"/>
              <w:ind w:firstLine="0" w:firstLineChars="0"/>
              <w:jc w:val="left"/>
              <w:rPr>
                <w:rFonts w:hint="eastAsia"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d）</w:t>
            </w:r>
            <w:r>
              <w:rPr>
                <w:rFonts w:hint="eastAsia" w:ascii="仿宋" w:hAnsi="仿宋" w:eastAsia="仿宋"/>
                <w:color w:val="000000" w:themeColor="text1"/>
                <w:sz w:val="24"/>
                <w:szCs w:val="24"/>
                <w14:textFill>
                  <w14:solidFill>
                    <w14:schemeClr w14:val="tx1"/>
                  </w14:solidFill>
                </w14:textFill>
              </w:rPr>
              <w:t xml:space="preserve"> </w:t>
            </w:r>
            <w:r>
              <w:rPr>
                <w:rFonts w:hint="eastAsia" w:ascii="仿宋" w:hAnsi="仿宋" w:eastAsia="仿宋"/>
                <w:sz w:val="24"/>
                <w:szCs w:val="24"/>
              </w:rPr>
              <w:t>工艺系统图；</w:t>
            </w:r>
          </w:p>
          <w:p w14:paraId="64C30DAE">
            <w:pPr>
              <w:pStyle w:val="65"/>
              <w:ind w:firstLine="0" w:firstLineChars="0"/>
              <w:jc w:val="left"/>
              <w:rPr>
                <w:rFonts w:hint="eastAsia"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 xml:space="preserve">e） </w:t>
            </w:r>
            <w:r>
              <w:rPr>
                <w:rFonts w:hint="eastAsia" w:ascii="仿宋" w:hAnsi="仿宋" w:eastAsia="仿宋"/>
                <w:color w:val="000000" w:themeColor="text1"/>
                <w:sz w:val="24"/>
                <w:szCs w:val="24"/>
                <w14:textFill>
                  <w14:solidFill>
                    <w14:schemeClr w14:val="tx1"/>
                  </w14:solidFill>
                </w14:textFill>
              </w:rPr>
              <w:t>站场和典型阀室工艺流程图；</w:t>
            </w:r>
          </w:p>
          <w:p w14:paraId="29F0BEA1">
            <w:pPr>
              <w:pStyle w:val="65"/>
              <w:ind w:firstLine="0" w:firstLineChars="0"/>
              <w:jc w:val="left"/>
              <w:rPr>
                <w:rFonts w:hint="eastAsia"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 xml:space="preserve">f） </w:t>
            </w:r>
            <w:r>
              <w:rPr>
                <w:rFonts w:hint="eastAsia" w:ascii="仿宋" w:hAnsi="仿宋" w:eastAsia="仿宋"/>
                <w:color w:val="000000" w:themeColor="text1"/>
                <w:sz w:val="24"/>
                <w:szCs w:val="24"/>
                <w14:textFill>
                  <w14:solidFill>
                    <w14:schemeClr w14:val="tx1"/>
                  </w14:solidFill>
                </w14:textFill>
              </w:rPr>
              <w:t>典型穿（跨）越平面图；输油管道纵断面图；</w:t>
            </w:r>
          </w:p>
          <w:p w14:paraId="13CDE7FB">
            <w:pPr>
              <w:pStyle w:val="65"/>
              <w:ind w:firstLine="0" w:firstLineChars="0"/>
              <w:jc w:val="left"/>
              <w:rPr>
                <w:rFonts w:hint="eastAsia"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 xml:space="preserve">g） </w:t>
            </w:r>
            <w:r>
              <w:rPr>
                <w:rFonts w:hint="eastAsia" w:ascii="仿宋" w:hAnsi="仿宋" w:eastAsia="仿宋"/>
                <w:color w:val="000000" w:themeColor="text1"/>
                <w:sz w:val="24"/>
                <w:szCs w:val="24"/>
                <w14:textFill>
                  <w14:solidFill>
                    <w14:schemeClr w14:val="tx1"/>
                  </w14:solidFill>
                </w14:textFill>
              </w:rPr>
              <w:t>爆炸危险区域划分图；</w:t>
            </w:r>
          </w:p>
          <w:p w14:paraId="5D493238">
            <w:pPr>
              <w:pStyle w:val="65"/>
              <w:ind w:firstLine="0" w:firstLineChars="0"/>
              <w:jc w:val="left"/>
              <w:rPr>
                <w:rFonts w:hint="eastAsia"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h） SCADA</w:t>
            </w:r>
            <w:r>
              <w:rPr>
                <w:rFonts w:hint="eastAsia" w:ascii="仿宋" w:hAnsi="仿宋" w:eastAsia="仿宋"/>
                <w:color w:val="000000" w:themeColor="text1"/>
                <w:sz w:val="24"/>
                <w:szCs w:val="24"/>
                <w14:textFill>
                  <w14:solidFill>
                    <w14:schemeClr w14:val="tx1"/>
                  </w14:solidFill>
                </w14:textFill>
              </w:rPr>
              <w:t>系统和站控系统结构图；</w:t>
            </w:r>
          </w:p>
          <w:p w14:paraId="5C18645C">
            <w:pPr>
              <w:pStyle w:val="65"/>
              <w:ind w:firstLine="0" w:firstLineChars="0"/>
              <w:jc w:val="left"/>
              <w:rPr>
                <w:rFonts w:hint="eastAsia" w:ascii="仿宋" w:hAnsi="仿宋" w:eastAsia="仿宋" w:cs="微软雅黑"/>
                <w:color w:val="000000"/>
                <w:sz w:val="24"/>
                <w:szCs w:val="24"/>
              </w:rPr>
            </w:pPr>
            <w:r>
              <w:rPr>
                <w:rFonts w:ascii="仿宋" w:hAnsi="仿宋" w:eastAsia="仿宋"/>
                <w:color w:val="000000" w:themeColor="text1"/>
                <w:sz w:val="24"/>
                <w:szCs w:val="24"/>
                <w14:textFill>
                  <w14:solidFill>
                    <w14:schemeClr w14:val="tx1"/>
                  </w14:solidFill>
                </w14:textFill>
              </w:rPr>
              <w:t xml:space="preserve">i） </w:t>
            </w:r>
            <w:r>
              <w:rPr>
                <w:rFonts w:hint="eastAsia" w:ascii="仿宋" w:hAnsi="仿宋" w:eastAsia="仿宋"/>
                <w:color w:val="000000" w:themeColor="text1"/>
                <w:sz w:val="24"/>
                <w:szCs w:val="24"/>
                <w14:textFill>
                  <w14:solidFill>
                    <w14:schemeClr w14:val="tx1"/>
                  </w14:solidFill>
                </w14:textFill>
              </w:rPr>
              <w:t>其他安全评价过程制作的图表。</w:t>
            </w:r>
          </w:p>
        </w:tc>
        <w:tc>
          <w:tcPr>
            <w:tcW w:w="768" w:type="pct"/>
            <w:shd w:val="clear" w:color="auto" w:fill="FFFFFF" w:themeFill="background1"/>
            <w:vAlign w:val="center"/>
          </w:tcPr>
          <w:p w14:paraId="2ECF0B58">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13605F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1E95022E">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55815E40">
            <w:pPr>
              <w:pStyle w:val="3"/>
              <w:jc w:val="center"/>
              <w:rPr>
                <w:rFonts w:hint="eastAsia" w:ascii="仿宋" w:hAnsi="仿宋" w:eastAsia="仿宋" w:cs="微软雅黑"/>
                <w:color w:val="000000"/>
                <w:sz w:val="24"/>
                <w:szCs w:val="24"/>
              </w:rPr>
            </w:pPr>
            <w:bookmarkStart w:id="354" w:name="_Toc535332689"/>
            <w:r>
              <w:rPr>
                <w:rFonts w:ascii="仿宋" w:hAnsi="仿宋" w:eastAsia="仿宋"/>
                <w:sz w:val="24"/>
                <w:szCs w:val="24"/>
              </w:rPr>
              <w:t xml:space="preserve">13 </w:t>
            </w:r>
            <w:r>
              <w:rPr>
                <w:rFonts w:hint="eastAsia" w:ascii="仿宋" w:hAnsi="仿宋" w:eastAsia="仿宋"/>
                <w:sz w:val="24"/>
                <w:szCs w:val="24"/>
              </w:rPr>
              <w:t>报告编制要求</w:t>
            </w:r>
            <w:bookmarkEnd w:id="354"/>
          </w:p>
        </w:tc>
        <w:tc>
          <w:tcPr>
            <w:tcW w:w="1479" w:type="pct"/>
            <w:shd w:val="clear" w:color="auto" w:fill="FFFFFF" w:themeFill="background1"/>
            <w:vAlign w:val="center"/>
          </w:tcPr>
          <w:p w14:paraId="5F099849">
            <w:pPr>
              <w:jc w:val="left"/>
              <w:textAlignment w:val="center"/>
              <w:rPr>
                <w:rFonts w:hint="eastAsia" w:ascii="仿宋" w:hAnsi="仿宋" w:eastAsia="仿宋" w:cs="微软雅黑"/>
                <w:sz w:val="24"/>
              </w:rPr>
            </w:pPr>
          </w:p>
        </w:tc>
        <w:tc>
          <w:tcPr>
            <w:tcW w:w="578" w:type="pct"/>
            <w:shd w:val="clear" w:color="auto" w:fill="FFFFFF" w:themeFill="background1"/>
            <w:noWrap/>
            <w:vAlign w:val="center"/>
          </w:tcPr>
          <w:p w14:paraId="0E241CF6">
            <w:pPr>
              <w:pStyle w:val="3"/>
              <w:jc w:val="center"/>
              <w:rPr>
                <w:rFonts w:hint="eastAsia" w:ascii="仿宋" w:hAnsi="仿宋" w:eastAsia="仿宋" w:cs="微软雅黑"/>
                <w:color w:val="000000"/>
                <w:sz w:val="24"/>
                <w:szCs w:val="24"/>
              </w:rPr>
            </w:pPr>
            <w:r>
              <w:rPr>
                <w:rFonts w:ascii="仿宋" w:hAnsi="仿宋" w:eastAsia="仿宋"/>
                <w:sz w:val="24"/>
                <w:szCs w:val="24"/>
              </w:rPr>
              <w:t xml:space="preserve">13 </w:t>
            </w:r>
            <w:r>
              <w:rPr>
                <w:rFonts w:hint="eastAsia" w:ascii="仿宋" w:hAnsi="仿宋" w:eastAsia="仿宋"/>
                <w:sz w:val="24"/>
                <w:szCs w:val="24"/>
              </w:rPr>
              <w:t>报告编制要求</w:t>
            </w:r>
          </w:p>
        </w:tc>
        <w:tc>
          <w:tcPr>
            <w:tcW w:w="1473" w:type="pct"/>
            <w:shd w:val="clear" w:color="auto" w:fill="FFFFFF" w:themeFill="background1"/>
            <w:vAlign w:val="center"/>
          </w:tcPr>
          <w:p w14:paraId="1A77C730">
            <w:pPr>
              <w:jc w:val="left"/>
              <w:textAlignment w:val="center"/>
              <w:rPr>
                <w:rFonts w:hint="eastAsia" w:ascii="仿宋" w:hAnsi="仿宋" w:eastAsia="仿宋" w:cs="微软雅黑"/>
                <w:sz w:val="24"/>
              </w:rPr>
            </w:pPr>
          </w:p>
        </w:tc>
        <w:tc>
          <w:tcPr>
            <w:tcW w:w="768" w:type="pct"/>
            <w:shd w:val="clear" w:color="auto" w:fill="FFFFFF" w:themeFill="background1"/>
            <w:vAlign w:val="center"/>
          </w:tcPr>
          <w:p w14:paraId="00212A4C">
            <w:pPr>
              <w:jc w:val="left"/>
              <w:textAlignment w:val="center"/>
              <w:rPr>
                <w:rFonts w:hint="eastAsia" w:ascii="仿宋" w:hAnsi="仿宋" w:eastAsia="仿宋" w:cs="微软雅黑"/>
                <w:sz w:val="24"/>
              </w:rPr>
            </w:pPr>
            <w:r>
              <w:rPr>
                <w:rFonts w:hint="eastAsia" w:ascii="仿宋" w:hAnsi="仿宋" w:eastAsia="仿宋" w:cs="微软雅黑"/>
                <w:sz w:val="24"/>
              </w:rPr>
              <w:t>无变化</w:t>
            </w:r>
          </w:p>
        </w:tc>
      </w:tr>
      <w:tr w14:paraId="1ABAD6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7337E7CD">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42C48A55">
            <w:pPr>
              <w:pStyle w:val="4"/>
              <w:jc w:val="center"/>
              <w:rPr>
                <w:rFonts w:hint="eastAsia" w:ascii="仿宋" w:hAnsi="仿宋" w:eastAsia="仿宋" w:cs="微软雅黑"/>
                <w:color w:val="000000"/>
                <w:sz w:val="24"/>
                <w:szCs w:val="24"/>
              </w:rPr>
            </w:pPr>
            <w:bookmarkStart w:id="355" w:name="_Toc535332690"/>
            <w:r>
              <w:rPr>
                <w:rFonts w:ascii="仿宋" w:hAnsi="仿宋" w:eastAsia="仿宋"/>
                <w:sz w:val="24"/>
                <w:szCs w:val="24"/>
              </w:rPr>
              <w:t xml:space="preserve">13.1 </w:t>
            </w:r>
            <w:r>
              <w:rPr>
                <w:rFonts w:hint="eastAsia" w:ascii="仿宋" w:hAnsi="仿宋" w:eastAsia="仿宋"/>
                <w:sz w:val="24"/>
                <w:szCs w:val="24"/>
              </w:rPr>
              <w:t>结构</w:t>
            </w:r>
            <w:bookmarkEnd w:id="355"/>
          </w:p>
        </w:tc>
        <w:tc>
          <w:tcPr>
            <w:tcW w:w="1479" w:type="pct"/>
            <w:shd w:val="clear" w:color="auto" w:fill="FFFFFF" w:themeFill="background1"/>
            <w:vAlign w:val="center"/>
          </w:tcPr>
          <w:p w14:paraId="08FBA949">
            <w:pPr>
              <w:jc w:val="left"/>
              <w:textAlignment w:val="center"/>
              <w:rPr>
                <w:rFonts w:hint="eastAsia" w:ascii="仿宋" w:hAnsi="仿宋" w:eastAsia="仿宋" w:cs="微软雅黑"/>
                <w:sz w:val="24"/>
              </w:rPr>
            </w:pPr>
          </w:p>
        </w:tc>
        <w:tc>
          <w:tcPr>
            <w:tcW w:w="578" w:type="pct"/>
            <w:shd w:val="clear" w:color="auto" w:fill="FFFFFF" w:themeFill="background1"/>
            <w:noWrap/>
            <w:vAlign w:val="center"/>
          </w:tcPr>
          <w:p w14:paraId="399A1728">
            <w:pPr>
              <w:pStyle w:val="4"/>
              <w:jc w:val="center"/>
              <w:rPr>
                <w:rFonts w:hint="eastAsia" w:ascii="仿宋" w:hAnsi="仿宋" w:eastAsia="仿宋" w:cs="微软雅黑"/>
                <w:color w:val="000000"/>
                <w:sz w:val="24"/>
                <w:szCs w:val="24"/>
              </w:rPr>
            </w:pPr>
            <w:r>
              <w:rPr>
                <w:rFonts w:ascii="仿宋" w:hAnsi="仿宋" w:eastAsia="仿宋"/>
                <w:sz w:val="24"/>
                <w:szCs w:val="24"/>
              </w:rPr>
              <w:t xml:space="preserve">13.1 </w:t>
            </w:r>
            <w:r>
              <w:rPr>
                <w:rFonts w:hint="eastAsia" w:ascii="仿宋" w:hAnsi="仿宋" w:eastAsia="仿宋"/>
                <w:sz w:val="24"/>
                <w:szCs w:val="24"/>
              </w:rPr>
              <w:t>结构</w:t>
            </w:r>
            <w:r>
              <w:rPr>
                <w:rFonts w:hint="eastAsia" w:ascii="仿宋" w:hAnsi="仿宋" w:eastAsia="仿宋"/>
                <w:sz w:val="24"/>
                <w:szCs w:val="24"/>
                <w:lang w:val="en-US"/>
              </w:rPr>
              <w:t>与格式</w:t>
            </w:r>
          </w:p>
        </w:tc>
        <w:tc>
          <w:tcPr>
            <w:tcW w:w="1473" w:type="pct"/>
            <w:shd w:val="clear" w:color="auto" w:fill="FFFFFF" w:themeFill="background1"/>
            <w:vAlign w:val="center"/>
          </w:tcPr>
          <w:p w14:paraId="677737DD">
            <w:pPr>
              <w:jc w:val="left"/>
              <w:textAlignment w:val="center"/>
              <w:rPr>
                <w:rFonts w:hint="eastAsia" w:ascii="仿宋" w:hAnsi="仿宋" w:eastAsia="仿宋" w:cs="微软雅黑"/>
                <w:sz w:val="24"/>
              </w:rPr>
            </w:pPr>
          </w:p>
        </w:tc>
        <w:tc>
          <w:tcPr>
            <w:tcW w:w="768" w:type="pct"/>
            <w:shd w:val="clear" w:color="auto" w:fill="FFFFFF" w:themeFill="background1"/>
            <w:vAlign w:val="center"/>
          </w:tcPr>
          <w:p w14:paraId="63A70D6C">
            <w:pPr>
              <w:jc w:val="left"/>
              <w:textAlignment w:val="center"/>
              <w:rPr>
                <w:rFonts w:hint="eastAsia" w:ascii="仿宋" w:hAnsi="仿宋" w:eastAsia="仿宋" w:cs="微软雅黑"/>
                <w:sz w:val="24"/>
              </w:rPr>
            </w:pPr>
            <w:r>
              <w:rPr>
                <w:rFonts w:hint="eastAsia" w:ascii="仿宋" w:hAnsi="仿宋" w:eastAsia="仿宋" w:cs="微软雅黑"/>
                <w:sz w:val="24"/>
              </w:rPr>
              <w:t>整合了原13.1 结构和13.2 字号和字体等内容。</w:t>
            </w:r>
          </w:p>
        </w:tc>
      </w:tr>
      <w:tr w14:paraId="44ABBE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0CD340A0">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1F62F266">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13</w:t>
            </w:r>
            <w:r>
              <w:rPr>
                <w:rFonts w:hint="eastAsia" w:ascii="仿宋" w:hAnsi="仿宋" w:eastAsia="仿宋"/>
                <w:sz w:val="24"/>
                <w:szCs w:val="24"/>
              </w:rPr>
              <w:t>.1.1</w:t>
            </w:r>
            <w:r>
              <w:rPr>
                <w:rFonts w:ascii="仿宋" w:hAnsi="仿宋" w:eastAsia="仿宋"/>
                <w:sz w:val="24"/>
                <w:szCs w:val="24"/>
              </w:rPr>
              <w:t xml:space="preserve"> </w:t>
            </w:r>
            <w:r>
              <w:rPr>
                <w:rFonts w:hint="eastAsia" w:ascii="仿宋" w:hAnsi="仿宋" w:eastAsia="仿宋"/>
                <w:sz w:val="24"/>
                <w:szCs w:val="24"/>
              </w:rPr>
              <w:t>封面</w:t>
            </w:r>
          </w:p>
        </w:tc>
        <w:tc>
          <w:tcPr>
            <w:tcW w:w="1479" w:type="pct"/>
            <w:shd w:val="clear" w:color="auto" w:fill="FFFFFF" w:themeFill="background1"/>
            <w:vAlign w:val="center"/>
          </w:tcPr>
          <w:p w14:paraId="31F9F657">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封面格式应符合附录</w:t>
            </w:r>
            <w:r>
              <w:rPr>
                <w:rFonts w:ascii="仿宋" w:hAnsi="仿宋" w:eastAsia="仿宋"/>
                <w:sz w:val="24"/>
                <w:szCs w:val="24"/>
              </w:rPr>
              <w:t>B</w:t>
            </w:r>
            <w:r>
              <w:rPr>
                <w:rFonts w:hint="eastAsia" w:ascii="仿宋" w:hAnsi="仿宋" w:eastAsia="仿宋"/>
                <w:sz w:val="24"/>
                <w:szCs w:val="24"/>
              </w:rPr>
              <w:t>（规范性附录）的要求。</w:t>
            </w:r>
          </w:p>
        </w:tc>
        <w:tc>
          <w:tcPr>
            <w:tcW w:w="578" w:type="pct"/>
            <w:shd w:val="clear" w:color="auto" w:fill="FFFFFF" w:themeFill="background1"/>
            <w:noWrap/>
            <w:vAlign w:val="center"/>
          </w:tcPr>
          <w:p w14:paraId="5D6C45CA">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13</w:t>
            </w:r>
            <w:r>
              <w:rPr>
                <w:rFonts w:hint="eastAsia" w:ascii="仿宋" w:hAnsi="仿宋" w:eastAsia="仿宋"/>
                <w:sz w:val="24"/>
                <w:szCs w:val="24"/>
              </w:rPr>
              <w:t>.1.1</w:t>
            </w:r>
            <w:r>
              <w:rPr>
                <w:rFonts w:ascii="仿宋" w:hAnsi="仿宋" w:eastAsia="仿宋"/>
                <w:sz w:val="24"/>
                <w:szCs w:val="24"/>
              </w:rPr>
              <w:t xml:space="preserve"> </w:t>
            </w:r>
            <w:r>
              <w:rPr>
                <w:rFonts w:hint="eastAsia" w:ascii="仿宋" w:hAnsi="仿宋" w:eastAsia="仿宋"/>
                <w:sz w:val="24"/>
                <w:szCs w:val="24"/>
              </w:rPr>
              <w:t>封面</w:t>
            </w:r>
          </w:p>
        </w:tc>
        <w:tc>
          <w:tcPr>
            <w:tcW w:w="1473" w:type="pct"/>
            <w:shd w:val="clear" w:color="auto" w:fill="FFFFFF" w:themeFill="background1"/>
            <w:vAlign w:val="center"/>
          </w:tcPr>
          <w:p w14:paraId="1DBE3C96">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封面格式应符合附录</w:t>
            </w:r>
            <w:r>
              <w:rPr>
                <w:rFonts w:ascii="仿宋" w:hAnsi="仿宋" w:eastAsia="仿宋"/>
                <w:sz w:val="24"/>
                <w:szCs w:val="24"/>
              </w:rPr>
              <w:t>C</w:t>
            </w:r>
            <w:r>
              <w:rPr>
                <w:rFonts w:hint="eastAsia" w:ascii="仿宋" w:hAnsi="仿宋" w:eastAsia="仿宋"/>
                <w:sz w:val="24"/>
                <w:szCs w:val="24"/>
              </w:rPr>
              <w:t>的要求。</w:t>
            </w:r>
          </w:p>
        </w:tc>
        <w:tc>
          <w:tcPr>
            <w:tcW w:w="768" w:type="pct"/>
            <w:shd w:val="clear" w:color="auto" w:fill="FFFFFF" w:themeFill="background1"/>
            <w:vAlign w:val="center"/>
          </w:tcPr>
          <w:p w14:paraId="2627170B">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080856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0BBB662C">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2F4B6C1E">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13</w:t>
            </w:r>
            <w:r>
              <w:rPr>
                <w:rFonts w:hint="eastAsia" w:ascii="仿宋" w:hAnsi="仿宋" w:eastAsia="仿宋"/>
                <w:sz w:val="24"/>
                <w:szCs w:val="24"/>
              </w:rPr>
              <w:t>.1.2</w:t>
            </w:r>
            <w:r>
              <w:rPr>
                <w:rFonts w:ascii="仿宋" w:hAnsi="仿宋" w:eastAsia="仿宋"/>
                <w:sz w:val="24"/>
                <w:szCs w:val="24"/>
              </w:rPr>
              <w:t xml:space="preserve"> </w:t>
            </w:r>
            <w:r>
              <w:rPr>
                <w:rFonts w:hint="eastAsia" w:ascii="仿宋" w:hAnsi="仿宋" w:eastAsia="仿宋"/>
                <w:sz w:val="24"/>
                <w:szCs w:val="24"/>
              </w:rPr>
              <w:t>扉页</w:t>
            </w:r>
          </w:p>
        </w:tc>
        <w:tc>
          <w:tcPr>
            <w:tcW w:w="1479" w:type="pct"/>
            <w:shd w:val="clear" w:color="auto" w:fill="FFFFFF" w:themeFill="background1"/>
            <w:vAlign w:val="center"/>
          </w:tcPr>
          <w:p w14:paraId="7B7F9555">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扉页格式应符合附录</w:t>
            </w:r>
            <w:r>
              <w:rPr>
                <w:rFonts w:ascii="仿宋" w:hAnsi="仿宋" w:eastAsia="仿宋"/>
                <w:sz w:val="24"/>
                <w:szCs w:val="24"/>
              </w:rPr>
              <w:t>C</w:t>
            </w:r>
            <w:r>
              <w:rPr>
                <w:rFonts w:hint="eastAsia" w:ascii="仿宋" w:hAnsi="仿宋" w:eastAsia="仿宋"/>
                <w:sz w:val="24"/>
                <w:szCs w:val="24"/>
              </w:rPr>
              <w:t>（规范性附录）的要求。</w:t>
            </w:r>
          </w:p>
        </w:tc>
        <w:tc>
          <w:tcPr>
            <w:tcW w:w="578" w:type="pct"/>
            <w:shd w:val="clear" w:color="auto" w:fill="FFFFFF" w:themeFill="background1"/>
            <w:noWrap/>
            <w:vAlign w:val="center"/>
          </w:tcPr>
          <w:p w14:paraId="6890E74C">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13</w:t>
            </w:r>
            <w:r>
              <w:rPr>
                <w:rFonts w:hint="eastAsia" w:ascii="仿宋" w:hAnsi="仿宋" w:eastAsia="仿宋"/>
                <w:sz w:val="24"/>
                <w:szCs w:val="24"/>
              </w:rPr>
              <w:t>.1.2</w:t>
            </w:r>
            <w:r>
              <w:rPr>
                <w:rFonts w:ascii="仿宋" w:hAnsi="仿宋" w:eastAsia="仿宋"/>
                <w:sz w:val="24"/>
                <w:szCs w:val="24"/>
              </w:rPr>
              <w:t xml:space="preserve"> </w:t>
            </w:r>
            <w:r>
              <w:rPr>
                <w:rFonts w:hint="eastAsia" w:ascii="仿宋" w:hAnsi="仿宋" w:eastAsia="仿宋"/>
                <w:sz w:val="24"/>
                <w:szCs w:val="24"/>
              </w:rPr>
              <w:t>扉页</w:t>
            </w:r>
          </w:p>
        </w:tc>
        <w:tc>
          <w:tcPr>
            <w:tcW w:w="1473" w:type="pct"/>
            <w:shd w:val="clear" w:color="auto" w:fill="FFFFFF" w:themeFill="background1"/>
            <w:vAlign w:val="center"/>
          </w:tcPr>
          <w:p w14:paraId="1A062D8C">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扉页格式应符合附录</w:t>
            </w:r>
            <w:r>
              <w:rPr>
                <w:rFonts w:ascii="仿宋" w:hAnsi="仿宋" w:eastAsia="仿宋"/>
                <w:sz w:val="24"/>
                <w:szCs w:val="24"/>
              </w:rPr>
              <w:t>D</w:t>
            </w:r>
            <w:r>
              <w:rPr>
                <w:rFonts w:hint="eastAsia" w:ascii="仿宋" w:hAnsi="仿宋" w:eastAsia="仿宋"/>
                <w:sz w:val="24"/>
                <w:szCs w:val="24"/>
              </w:rPr>
              <w:t>的要求。</w:t>
            </w:r>
          </w:p>
        </w:tc>
        <w:tc>
          <w:tcPr>
            <w:tcW w:w="768" w:type="pct"/>
            <w:shd w:val="clear" w:color="auto" w:fill="FFFFFF" w:themeFill="background1"/>
            <w:vAlign w:val="center"/>
          </w:tcPr>
          <w:p w14:paraId="7A0E0CA7">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3ACC6D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42F42BB6">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2C3DAE8C">
            <w:pPr>
              <w:jc w:val="center"/>
              <w:textAlignment w:val="center"/>
              <w:rPr>
                <w:rFonts w:hint="eastAsia" w:ascii="仿宋" w:hAnsi="仿宋" w:eastAsia="仿宋" w:cs="微软雅黑"/>
                <w:sz w:val="24"/>
              </w:rPr>
            </w:pPr>
          </w:p>
        </w:tc>
        <w:tc>
          <w:tcPr>
            <w:tcW w:w="1479" w:type="pct"/>
            <w:shd w:val="clear" w:color="auto" w:fill="FFFFFF" w:themeFill="background1"/>
            <w:vAlign w:val="center"/>
          </w:tcPr>
          <w:p w14:paraId="555E0AFF">
            <w:pPr>
              <w:jc w:val="left"/>
              <w:textAlignment w:val="center"/>
              <w:rPr>
                <w:rFonts w:hint="eastAsia" w:ascii="仿宋" w:hAnsi="仿宋" w:eastAsia="仿宋" w:cs="微软雅黑"/>
                <w:sz w:val="24"/>
              </w:rPr>
            </w:pPr>
          </w:p>
        </w:tc>
        <w:tc>
          <w:tcPr>
            <w:tcW w:w="578" w:type="pct"/>
            <w:shd w:val="clear" w:color="auto" w:fill="FFFFFF" w:themeFill="background1"/>
            <w:noWrap/>
            <w:vAlign w:val="center"/>
          </w:tcPr>
          <w:p w14:paraId="13D8C62F">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13</w:t>
            </w:r>
            <w:r>
              <w:rPr>
                <w:rFonts w:hint="eastAsia" w:ascii="仿宋" w:hAnsi="仿宋" w:eastAsia="仿宋"/>
                <w:sz w:val="24"/>
                <w:szCs w:val="24"/>
              </w:rPr>
              <w:t>.1.3</w:t>
            </w:r>
            <w:r>
              <w:rPr>
                <w:rFonts w:ascii="仿宋" w:hAnsi="仿宋" w:eastAsia="仿宋"/>
                <w:sz w:val="24"/>
                <w:szCs w:val="24"/>
              </w:rPr>
              <w:t xml:space="preserve"> </w:t>
            </w:r>
            <w:r>
              <w:rPr>
                <w:rFonts w:hint="eastAsia" w:ascii="仿宋" w:hAnsi="仿宋" w:eastAsia="仿宋"/>
                <w:sz w:val="24"/>
                <w:szCs w:val="24"/>
              </w:rPr>
              <w:t>评价机构资质</w:t>
            </w:r>
          </w:p>
        </w:tc>
        <w:tc>
          <w:tcPr>
            <w:tcW w:w="1473" w:type="pct"/>
            <w:shd w:val="clear" w:color="auto" w:fill="FFFFFF" w:themeFill="background1"/>
            <w:vAlign w:val="center"/>
          </w:tcPr>
          <w:p w14:paraId="7E37C1FA">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列出安全评价机构的资质证书。</w:t>
            </w:r>
          </w:p>
        </w:tc>
        <w:tc>
          <w:tcPr>
            <w:tcW w:w="768" w:type="pct"/>
            <w:shd w:val="clear" w:color="auto" w:fill="FFFFFF" w:themeFill="background1"/>
            <w:vAlign w:val="center"/>
          </w:tcPr>
          <w:p w14:paraId="3C1989E8">
            <w:pPr>
              <w:jc w:val="left"/>
              <w:textAlignment w:val="center"/>
              <w:rPr>
                <w:rFonts w:hint="eastAsia" w:ascii="仿宋" w:hAnsi="仿宋" w:eastAsia="仿宋" w:cs="微软雅黑"/>
                <w:sz w:val="24"/>
              </w:rPr>
            </w:pPr>
            <w:r>
              <w:rPr>
                <w:rFonts w:hint="eastAsia" w:ascii="仿宋" w:hAnsi="仿宋" w:eastAsia="仿宋" w:cs="微软雅黑"/>
                <w:sz w:val="24"/>
              </w:rPr>
              <w:t>增加了列出安全评价机构资质证书要求。</w:t>
            </w:r>
          </w:p>
        </w:tc>
      </w:tr>
      <w:tr w14:paraId="261EBD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4F8A5C58">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0A058459">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13</w:t>
            </w:r>
            <w:r>
              <w:rPr>
                <w:rFonts w:hint="eastAsia" w:ascii="仿宋" w:hAnsi="仿宋" w:eastAsia="仿宋"/>
                <w:sz w:val="24"/>
                <w:szCs w:val="24"/>
              </w:rPr>
              <w:t>.1.3</w:t>
            </w:r>
            <w:r>
              <w:rPr>
                <w:rFonts w:ascii="仿宋" w:hAnsi="仿宋" w:eastAsia="仿宋"/>
                <w:sz w:val="24"/>
                <w:szCs w:val="24"/>
              </w:rPr>
              <w:t xml:space="preserve"> </w:t>
            </w:r>
            <w:r>
              <w:rPr>
                <w:rFonts w:hint="eastAsia" w:ascii="仿宋" w:hAnsi="仿宋" w:eastAsia="仿宋"/>
                <w:sz w:val="24"/>
                <w:szCs w:val="24"/>
              </w:rPr>
              <w:t>评价人员名单</w:t>
            </w:r>
          </w:p>
        </w:tc>
        <w:tc>
          <w:tcPr>
            <w:tcW w:w="1479" w:type="pct"/>
            <w:shd w:val="clear" w:color="auto" w:fill="FFFFFF" w:themeFill="background1"/>
            <w:vAlign w:val="center"/>
          </w:tcPr>
          <w:p w14:paraId="10B2FEC9">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评价人员名单格式应符合附录</w:t>
            </w:r>
            <w:r>
              <w:rPr>
                <w:rFonts w:ascii="仿宋" w:hAnsi="仿宋" w:eastAsia="仿宋"/>
                <w:sz w:val="24"/>
                <w:szCs w:val="24"/>
              </w:rPr>
              <w:t>D</w:t>
            </w:r>
            <w:r>
              <w:rPr>
                <w:rFonts w:hint="eastAsia" w:ascii="仿宋" w:hAnsi="仿宋" w:eastAsia="仿宋"/>
                <w:sz w:val="24"/>
                <w:szCs w:val="24"/>
              </w:rPr>
              <w:t>（规范性附录）的要求。</w:t>
            </w:r>
          </w:p>
        </w:tc>
        <w:tc>
          <w:tcPr>
            <w:tcW w:w="578" w:type="pct"/>
            <w:shd w:val="clear" w:color="auto" w:fill="FFFFFF" w:themeFill="background1"/>
            <w:noWrap/>
            <w:vAlign w:val="center"/>
          </w:tcPr>
          <w:p w14:paraId="3DE51E31">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13</w:t>
            </w:r>
            <w:r>
              <w:rPr>
                <w:rFonts w:hint="eastAsia" w:ascii="仿宋" w:hAnsi="仿宋" w:eastAsia="仿宋"/>
                <w:sz w:val="24"/>
                <w:szCs w:val="24"/>
              </w:rPr>
              <w:t>.1.</w:t>
            </w:r>
            <w:r>
              <w:rPr>
                <w:rFonts w:ascii="仿宋" w:hAnsi="仿宋" w:eastAsia="仿宋"/>
                <w:sz w:val="24"/>
                <w:szCs w:val="24"/>
              </w:rPr>
              <w:t xml:space="preserve">4 </w:t>
            </w:r>
            <w:r>
              <w:rPr>
                <w:rFonts w:hint="eastAsia" w:ascii="仿宋" w:hAnsi="仿宋" w:eastAsia="仿宋"/>
                <w:sz w:val="24"/>
                <w:szCs w:val="24"/>
              </w:rPr>
              <w:t>评价人员名单</w:t>
            </w:r>
          </w:p>
        </w:tc>
        <w:tc>
          <w:tcPr>
            <w:tcW w:w="1473" w:type="pct"/>
            <w:shd w:val="clear" w:color="auto" w:fill="FFFFFF" w:themeFill="background1"/>
            <w:vAlign w:val="center"/>
          </w:tcPr>
          <w:p w14:paraId="19C407FC">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评价人员名单格式应符合附录</w:t>
            </w:r>
            <w:r>
              <w:rPr>
                <w:rFonts w:ascii="仿宋" w:hAnsi="仿宋" w:eastAsia="仿宋"/>
                <w:sz w:val="24"/>
                <w:szCs w:val="24"/>
              </w:rPr>
              <w:t>E</w:t>
            </w:r>
            <w:r>
              <w:rPr>
                <w:rFonts w:hint="eastAsia" w:ascii="仿宋" w:hAnsi="仿宋" w:eastAsia="仿宋"/>
                <w:sz w:val="24"/>
                <w:szCs w:val="24"/>
              </w:rPr>
              <w:t>的要求。</w:t>
            </w:r>
          </w:p>
        </w:tc>
        <w:tc>
          <w:tcPr>
            <w:tcW w:w="768" w:type="pct"/>
            <w:shd w:val="clear" w:color="auto" w:fill="FFFFFF" w:themeFill="background1"/>
            <w:vAlign w:val="center"/>
          </w:tcPr>
          <w:p w14:paraId="1072FB48">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2D8430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0458576E">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4C1EC378">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13.1.</w:t>
            </w:r>
            <w:r>
              <w:rPr>
                <w:rFonts w:hint="eastAsia" w:ascii="仿宋" w:hAnsi="仿宋" w:eastAsia="仿宋"/>
                <w:sz w:val="24"/>
                <w:szCs w:val="24"/>
              </w:rPr>
              <w:t>4</w:t>
            </w:r>
            <w:r>
              <w:rPr>
                <w:rFonts w:ascii="仿宋" w:hAnsi="仿宋" w:eastAsia="仿宋"/>
                <w:sz w:val="24"/>
                <w:szCs w:val="24"/>
              </w:rPr>
              <w:t xml:space="preserve"> </w:t>
            </w:r>
            <w:r>
              <w:rPr>
                <w:rFonts w:hint="eastAsia" w:ascii="仿宋" w:hAnsi="仿宋" w:eastAsia="仿宋"/>
                <w:sz w:val="24"/>
                <w:szCs w:val="24"/>
              </w:rPr>
              <w:t>前言</w:t>
            </w:r>
          </w:p>
        </w:tc>
        <w:tc>
          <w:tcPr>
            <w:tcW w:w="1479" w:type="pct"/>
            <w:shd w:val="clear" w:color="auto" w:fill="FFFFFF" w:themeFill="background1"/>
            <w:vAlign w:val="center"/>
          </w:tcPr>
          <w:p w14:paraId="533DA863">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前言中应包括评价目的、评价过程等。</w:t>
            </w:r>
          </w:p>
        </w:tc>
        <w:tc>
          <w:tcPr>
            <w:tcW w:w="578" w:type="pct"/>
            <w:shd w:val="clear" w:color="auto" w:fill="FFFFFF" w:themeFill="background1"/>
            <w:noWrap/>
            <w:vAlign w:val="center"/>
          </w:tcPr>
          <w:p w14:paraId="7F71B6FA">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 xml:space="preserve">13.1.5 </w:t>
            </w:r>
            <w:r>
              <w:rPr>
                <w:rFonts w:hint="eastAsia" w:ascii="仿宋" w:hAnsi="仿宋" w:eastAsia="仿宋"/>
                <w:sz w:val="24"/>
                <w:szCs w:val="24"/>
              </w:rPr>
              <w:t>前言</w:t>
            </w:r>
          </w:p>
        </w:tc>
        <w:tc>
          <w:tcPr>
            <w:tcW w:w="1473" w:type="pct"/>
            <w:shd w:val="clear" w:color="auto" w:fill="FFFFFF" w:themeFill="background1"/>
            <w:vAlign w:val="center"/>
          </w:tcPr>
          <w:p w14:paraId="48858CEE">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前言中应包括评价目的、评价过程等，采用三号黑体字，内容的文字表述部分采用小四号宋体字。</w:t>
            </w:r>
          </w:p>
        </w:tc>
        <w:tc>
          <w:tcPr>
            <w:tcW w:w="768" w:type="pct"/>
            <w:shd w:val="clear" w:color="auto" w:fill="FFFFFF" w:themeFill="background1"/>
            <w:vAlign w:val="center"/>
          </w:tcPr>
          <w:p w14:paraId="467C66E5">
            <w:pPr>
              <w:jc w:val="left"/>
              <w:textAlignment w:val="center"/>
              <w:rPr>
                <w:rFonts w:hint="eastAsia" w:ascii="仿宋" w:hAnsi="仿宋" w:eastAsia="仿宋" w:cs="微软雅黑"/>
                <w:sz w:val="24"/>
              </w:rPr>
            </w:pPr>
            <w:r>
              <w:rPr>
                <w:rFonts w:hint="eastAsia" w:ascii="仿宋" w:hAnsi="仿宋" w:eastAsia="仿宋" w:cs="微软雅黑"/>
                <w:sz w:val="24"/>
              </w:rPr>
              <w:t>整合了前言结构和字体等要求。</w:t>
            </w:r>
          </w:p>
        </w:tc>
      </w:tr>
      <w:tr w14:paraId="64849B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433C68B6">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7F89D6F2">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13.1.</w:t>
            </w:r>
            <w:r>
              <w:rPr>
                <w:rFonts w:hint="eastAsia" w:ascii="仿宋" w:hAnsi="仿宋" w:eastAsia="仿宋"/>
                <w:sz w:val="24"/>
                <w:szCs w:val="24"/>
              </w:rPr>
              <w:t>5</w:t>
            </w:r>
            <w:r>
              <w:rPr>
                <w:rFonts w:ascii="仿宋" w:hAnsi="仿宋" w:eastAsia="仿宋"/>
                <w:sz w:val="24"/>
                <w:szCs w:val="24"/>
              </w:rPr>
              <w:t xml:space="preserve"> </w:t>
            </w:r>
            <w:r>
              <w:rPr>
                <w:rFonts w:hint="eastAsia" w:ascii="仿宋" w:hAnsi="仿宋" w:eastAsia="仿宋"/>
                <w:sz w:val="24"/>
                <w:szCs w:val="24"/>
              </w:rPr>
              <w:t>目录</w:t>
            </w:r>
          </w:p>
        </w:tc>
        <w:tc>
          <w:tcPr>
            <w:tcW w:w="1479" w:type="pct"/>
            <w:shd w:val="clear" w:color="auto" w:fill="FFFFFF" w:themeFill="background1"/>
            <w:vAlign w:val="center"/>
          </w:tcPr>
          <w:p w14:paraId="6607F108">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目录的编排应列出章、节的名称。</w:t>
            </w:r>
          </w:p>
        </w:tc>
        <w:tc>
          <w:tcPr>
            <w:tcW w:w="578" w:type="pct"/>
            <w:shd w:val="clear" w:color="auto" w:fill="FFFFFF" w:themeFill="background1"/>
            <w:noWrap/>
            <w:vAlign w:val="center"/>
          </w:tcPr>
          <w:p w14:paraId="59B6A821">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 xml:space="preserve">13.1.6 </w:t>
            </w:r>
            <w:r>
              <w:rPr>
                <w:rFonts w:hint="eastAsia" w:ascii="仿宋" w:hAnsi="仿宋" w:eastAsia="仿宋"/>
                <w:sz w:val="24"/>
                <w:szCs w:val="24"/>
              </w:rPr>
              <w:t>目录</w:t>
            </w:r>
          </w:p>
        </w:tc>
        <w:tc>
          <w:tcPr>
            <w:tcW w:w="1473" w:type="pct"/>
            <w:shd w:val="clear" w:color="auto" w:fill="FFFFFF" w:themeFill="background1"/>
            <w:vAlign w:val="center"/>
          </w:tcPr>
          <w:p w14:paraId="4F5CED3A">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目录的编排应列出章、节的名称，采用三号黑体字，章、节标题采用小四号宋体字。</w:t>
            </w:r>
          </w:p>
        </w:tc>
        <w:tc>
          <w:tcPr>
            <w:tcW w:w="768" w:type="pct"/>
            <w:shd w:val="clear" w:color="auto" w:fill="FFFFFF" w:themeFill="background1"/>
            <w:vAlign w:val="center"/>
          </w:tcPr>
          <w:p w14:paraId="3B05B1D9">
            <w:pPr>
              <w:jc w:val="left"/>
              <w:textAlignment w:val="center"/>
              <w:rPr>
                <w:rFonts w:hint="eastAsia" w:ascii="仿宋" w:hAnsi="仿宋" w:eastAsia="仿宋" w:cs="微软雅黑"/>
                <w:sz w:val="24"/>
              </w:rPr>
            </w:pPr>
            <w:r>
              <w:rPr>
                <w:rFonts w:hint="eastAsia" w:ascii="仿宋" w:hAnsi="仿宋" w:eastAsia="仿宋" w:cs="微软雅黑"/>
                <w:sz w:val="24"/>
              </w:rPr>
              <w:t>整合了目录结构和字体等要求。</w:t>
            </w:r>
          </w:p>
        </w:tc>
      </w:tr>
      <w:tr w14:paraId="356368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4E45337A">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4FD4BCDD">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13.1.</w:t>
            </w:r>
            <w:r>
              <w:rPr>
                <w:rFonts w:hint="eastAsia" w:ascii="仿宋" w:hAnsi="仿宋" w:eastAsia="仿宋"/>
                <w:sz w:val="24"/>
                <w:szCs w:val="24"/>
              </w:rPr>
              <w:t>6</w:t>
            </w:r>
            <w:r>
              <w:rPr>
                <w:rFonts w:ascii="仿宋" w:hAnsi="仿宋" w:eastAsia="仿宋"/>
                <w:sz w:val="24"/>
                <w:szCs w:val="24"/>
              </w:rPr>
              <w:t xml:space="preserve"> </w:t>
            </w:r>
            <w:r>
              <w:rPr>
                <w:rFonts w:hint="eastAsia" w:ascii="仿宋" w:hAnsi="仿宋" w:eastAsia="仿宋"/>
                <w:sz w:val="24"/>
                <w:szCs w:val="24"/>
              </w:rPr>
              <w:t>正文</w:t>
            </w:r>
          </w:p>
        </w:tc>
        <w:tc>
          <w:tcPr>
            <w:tcW w:w="1479" w:type="pct"/>
            <w:shd w:val="clear" w:color="auto" w:fill="FFFFFF" w:themeFill="background1"/>
            <w:vAlign w:val="center"/>
          </w:tcPr>
          <w:p w14:paraId="2F5E598E">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报告正文应包括正文及其附录。</w:t>
            </w:r>
          </w:p>
        </w:tc>
        <w:tc>
          <w:tcPr>
            <w:tcW w:w="578" w:type="pct"/>
            <w:shd w:val="clear" w:color="auto" w:fill="FFFFFF" w:themeFill="background1"/>
            <w:noWrap/>
            <w:vAlign w:val="center"/>
          </w:tcPr>
          <w:p w14:paraId="519E6C4F">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 xml:space="preserve">13.1.7 </w:t>
            </w:r>
            <w:r>
              <w:rPr>
                <w:rFonts w:hint="eastAsia" w:ascii="仿宋" w:hAnsi="仿宋" w:eastAsia="仿宋"/>
                <w:sz w:val="24"/>
                <w:szCs w:val="24"/>
              </w:rPr>
              <w:t>正文</w:t>
            </w:r>
          </w:p>
        </w:tc>
        <w:tc>
          <w:tcPr>
            <w:tcW w:w="1473" w:type="pct"/>
            <w:shd w:val="clear" w:color="auto" w:fill="FFFFFF" w:themeFill="background1"/>
            <w:vAlign w:val="center"/>
          </w:tcPr>
          <w:p w14:paraId="45ADF6BA">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正文应包括第4章-第11章的相关内容，报告主要内容的章、节标题分别采用三号黑体、四号黑体字，内容的文字表述部分采用小四号宋体字，表名、图名采用五号黑体，表格文字可选择采用五号或者小五号宋体字；页眉报告名称采用五号楷体</w:t>
            </w:r>
            <w:r>
              <w:rPr>
                <w:rFonts w:ascii="仿宋" w:hAnsi="仿宋" w:eastAsia="仿宋"/>
                <w:sz w:val="24"/>
                <w:szCs w:val="24"/>
              </w:rPr>
              <w:t>_GB2312</w:t>
            </w:r>
            <w:r>
              <w:rPr>
                <w:rFonts w:hint="eastAsia" w:ascii="仿宋" w:hAnsi="仿宋" w:eastAsia="仿宋"/>
                <w:sz w:val="24"/>
                <w:szCs w:val="24"/>
              </w:rPr>
              <w:t>字，页脚页码采用五号楷体</w:t>
            </w:r>
            <w:r>
              <w:rPr>
                <w:rFonts w:ascii="仿宋" w:hAnsi="仿宋" w:eastAsia="仿宋"/>
                <w:sz w:val="24"/>
                <w:szCs w:val="24"/>
              </w:rPr>
              <w:t>_GB2312</w:t>
            </w:r>
            <w:r>
              <w:rPr>
                <w:rFonts w:hint="eastAsia" w:ascii="仿宋" w:hAnsi="仿宋" w:eastAsia="仿宋"/>
                <w:sz w:val="24"/>
                <w:szCs w:val="24"/>
              </w:rPr>
              <w:t>字。</w:t>
            </w:r>
          </w:p>
        </w:tc>
        <w:tc>
          <w:tcPr>
            <w:tcW w:w="768" w:type="pct"/>
            <w:shd w:val="clear" w:color="auto" w:fill="FFFFFF" w:themeFill="background1"/>
            <w:vAlign w:val="center"/>
          </w:tcPr>
          <w:p w14:paraId="3DDF2A37">
            <w:pPr>
              <w:jc w:val="left"/>
              <w:textAlignment w:val="center"/>
              <w:rPr>
                <w:rFonts w:hint="eastAsia" w:ascii="仿宋" w:hAnsi="仿宋" w:eastAsia="仿宋" w:cs="微软雅黑"/>
                <w:sz w:val="24"/>
              </w:rPr>
            </w:pPr>
            <w:r>
              <w:rPr>
                <w:rFonts w:hint="eastAsia" w:ascii="仿宋" w:hAnsi="仿宋" w:eastAsia="仿宋" w:cs="微软雅黑"/>
                <w:sz w:val="24"/>
              </w:rPr>
              <w:t>整合了正文结构和字体等要求。</w:t>
            </w:r>
          </w:p>
        </w:tc>
      </w:tr>
      <w:tr w14:paraId="50AF64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41A745DF">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49305B8C">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13.1.7</w:t>
            </w:r>
            <w:r>
              <w:rPr>
                <w:rFonts w:hint="eastAsia" w:ascii="仿宋" w:hAnsi="仿宋" w:eastAsia="仿宋"/>
                <w:sz w:val="24"/>
                <w:szCs w:val="24"/>
              </w:rPr>
              <w:t xml:space="preserve"> 附件与附图</w:t>
            </w:r>
          </w:p>
        </w:tc>
        <w:tc>
          <w:tcPr>
            <w:tcW w:w="1479" w:type="pct"/>
            <w:shd w:val="clear" w:color="auto" w:fill="FFFFFF" w:themeFill="background1"/>
            <w:vAlign w:val="center"/>
          </w:tcPr>
          <w:p w14:paraId="5F34D409">
            <w:pPr>
              <w:jc w:val="left"/>
              <w:textAlignment w:val="center"/>
              <w:rPr>
                <w:rFonts w:hint="eastAsia" w:ascii="仿宋" w:hAnsi="仿宋" w:eastAsia="仿宋" w:cs="微软雅黑"/>
                <w:sz w:val="24"/>
              </w:rPr>
            </w:pPr>
          </w:p>
        </w:tc>
        <w:tc>
          <w:tcPr>
            <w:tcW w:w="578" w:type="pct"/>
            <w:shd w:val="clear" w:color="auto" w:fill="FFFFFF" w:themeFill="background1"/>
            <w:noWrap/>
            <w:vAlign w:val="center"/>
          </w:tcPr>
          <w:p w14:paraId="08B756BB">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13.1.8</w:t>
            </w:r>
            <w:r>
              <w:rPr>
                <w:rFonts w:hint="eastAsia" w:ascii="仿宋" w:hAnsi="仿宋" w:eastAsia="仿宋"/>
                <w:sz w:val="24"/>
                <w:szCs w:val="24"/>
              </w:rPr>
              <w:t xml:space="preserve"> 附件与附图</w:t>
            </w:r>
          </w:p>
        </w:tc>
        <w:tc>
          <w:tcPr>
            <w:tcW w:w="1473" w:type="pct"/>
            <w:shd w:val="clear" w:color="auto" w:fill="FFFFFF" w:themeFill="background1"/>
            <w:vAlign w:val="center"/>
          </w:tcPr>
          <w:p w14:paraId="7C870844">
            <w:pPr>
              <w:pStyle w:val="35"/>
              <w:spacing w:line="240" w:lineRule="auto"/>
              <w:ind w:firstLine="0" w:firstLineChars="0"/>
              <w:rPr>
                <w:rFonts w:hint="eastAsia" w:ascii="仿宋" w:hAnsi="仿宋" w:eastAsia="仿宋" w:cs="微软雅黑"/>
                <w:sz w:val="24"/>
                <w:szCs w:val="24"/>
              </w:rPr>
            </w:pPr>
            <w:r>
              <w:rPr>
                <w:rFonts w:hint="eastAsia" w:ascii="仿宋" w:hAnsi="仿宋" w:eastAsia="仿宋"/>
                <w:color w:val="auto"/>
                <w:kern w:val="0"/>
                <w:sz w:val="24"/>
                <w:szCs w:val="24"/>
              </w:rPr>
              <w:t>附件与附图采用原件复制件（复印比例为</w:t>
            </w:r>
            <w:r>
              <w:rPr>
                <w:rFonts w:ascii="仿宋" w:hAnsi="仿宋" w:eastAsia="仿宋"/>
                <w:color w:val="auto"/>
                <w:kern w:val="0"/>
                <w:sz w:val="24"/>
                <w:szCs w:val="24"/>
              </w:rPr>
              <w:t>1:1</w:t>
            </w:r>
            <w:r>
              <w:rPr>
                <w:rFonts w:hint="eastAsia" w:ascii="仿宋" w:hAnsi="仿宋" w:eastAsia="仿宋"/>
                <w:color w:val="auto"/>
                <w:kern w:val="0"/>
                <w:sz w:val="24"/>
                <w:szCs w:val="24"/>
              </w:rPr>
              <w:t>）；附件、附图的标题采用三号黑体字。</w:t>
            </w:r>
          </w:p>
        </w:tc>
        <w:tc>
          <w:tcPr>
            <w:tcW w:w="768" w:type="pct"/>
            <w:shd w:val="clear" w:color="auto" w:fill="FFFFFF" w:themeFill="background1"/>
            <w:vAlign w:val="center"/>
          </w:tcPr>
          <w:p w14:paraId="63550BB7">
            <w:pPr>
              <w:jc w:val="left"/>
              <w:textAlignment w:val="center"/>
              <w:rPr>
                <w:rFonts w:hint="eastAsia" w:ascii="仿宋" w:hAnsi="仿宋" w:eastAsia="仿宋" w:cs="微软雅黑"/>
                <w:sz w:val="24"/>
              </w:rPr>
            </w:pPr>
            <w:r>
              <w:rPr>
                <w:rFonts w:hint="eastAsia" w:ascii="仿宋" w:hAnsi="仿宋" w:eastAsia="仿宋" w:cs="微软雅黑"/>
                <w:sz w:val="24"/>
              </w:rPr>
              <w:t>整合了附件与附图结构和字体等要求。</w:t>
            </w:r>
          </w:p>
        </w:tc>
      </w:tr>
      <w:tr w14:paraId="060DB6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73BA7624">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53533E56">
            <w:pPr>
              <w:pStyle w:val="4"/>
              <w:jc w:val="center"/>
              <w:rPr>
                <w:rFonts w:hint="eastAsia" w:ascii="仿宋" w:hAnsi="仿宋" w:eastAsia="仿宋" w:cs="微软雅黑"/>
                <w:color w:val="000000"/>
                <w:sz w:val="24"/>
                <w:szCs w:val="24"/>
              </w:rPr>
            </w:pPr>
            <w:bookmarkStart w:id="356" w:name="_Toc535332691"/>
            <w:r>
              <w:rPr>
                <w:rFonts w:ascii="仿宋" w:hAnsi="仿宋" w:eastAsia="仿宋"/>
                <w:sz w:val="24"/>
                <w:szCs w:val="24"/>
              </w:rPr>
              <w:t>13</w:t>
            </w:r>
            <w:r>
              <w:rPr>
                <w:rFonts w:hint="eastAsia" w:ascii="仿宋" w:hAnsi="仿宋" w:eastAsia="仿宋"/>
                <w:sz w:val="24"/>
                <w:szCs w:val="24"/>
              </w:rPr>
              <w:t>.2</w:t>
            </w:r>
            <w:r>
              <w:rPr>
                <w:rFonts w:ascii="仿宋" w:hAnsi="仿宋" w:eastAsia="仿宋"/>
                <w:sz w:val="24"/>
                <w:szCs w:val="24"/>
              </w:rPr>
              <w:t xml:space="preserve"> </w:t>
            </w:r>
            <w:r>
              <w:rPr>
                <w:rFonts w:hint="eastAsia" w:ascii="仿宋" w:hAnsi="仿宋" w:eastAsia="仿宋"/>
                <w:sz w:val="24"/>
                <w:szCs w:val="24"/>
              </w:rPr>
              <w:t>字号和字体</w:t>
            </w:r>
            <w:bookmarkEnd w:id="356"/>
          </w:p>
        </w:tc>
        <w:tc>
          <w:tcPr>
            <w:tcW w:w="1479" w:type="pct"/>
            <w:shd w:val="clear" w:color="auto" w:fill="FFFFFF" w:themeFill="background1"/>
            <w:vAlign w:val="center"/>
          </w:tcPr>
          <w:p w14:paraId="3B8B3B70">
            <w:pPr>
              <w:jc w:val="left"/>
              <w:textAlignment w:val="center"/>
              <w:rPr>
                <w:rFonts w:hint="eastAsia" w:ascii="仿宋" w:hAnsi="仿宋" w:eastAsia="仿宋" w:cs="微软雅黑"/>
                <w:sz w:val="24"/>
              </w:rPr>
            </w:pPr>
          </w:p>
        </w:tc>
        <w:tc>
          <w:tcPr>
            <w:tcW w:w="578" w:type="pct"/>
            <w:shd w:val="clear" w:color="auto" w:fill="FFFFFF" w:themeFill="background1"/>
            <w:noWrap/>
            <w:vAlign w:val="center"/>
          </w:tcPr>
          <w:p w14:paraId="67741B7D">
            <w:pPr>
              <w:jc w:val="center"/>
              <w:textAlignment w:val="center"/>
              <w:rPr>
                <w:rFonts w:hint="eastAsia" w:ascii="仿宋" w:hAnsi="仿宋" w:eastAsia="仿宋" w:cs="微软雅黑"/>
                <w:sz w:val="24"/>
              </w:rPr>
            </w:pPr>
          </w:p>
        </w:tc>
        <w:tc>
          <w:tcPr>
            <w:tcW w:w="1473" w:type="pct"/>
            <w:shd w:val="clear" w:color="auto" w:fill="FFFFFF" w:themeFill="background1"/>
            <w:vAlign w:val="center"/>
          </w:tcPr>
          <w:p w14:paraId="6C4F8883">
            <w:pPr>
              <w:jc w:val="left"/>
              <w:textAlignment w:val="center"/>
              <w:rPr>
                <w:rFonts w:hint="eastAsia" w:ascii="仿宋" w:hAnsi="仿宋" w:eastAsia="仿宋" w:cs="微软雅黑"/>
                <w:sz w:val="24"/>
              </w:rPr>
            </w:pPr>
          </w:p>
        </w:tc>
        <w:tc>
          <w:tcPr>
            <w:tcW w:w="768" w:type="pct"/>
            <w:shd w:val="clear" w:color="auto" w:fill="FFFFFF" w:themeFill="background1"/>
            <w:vAlign w:val="center"/>
          </w:tcPr>
          <w:p w14:paraId="4234FE54">
            <w:pPr>
              <w:jc w:val="left"/>
              <w:textAlignment w:val="center"/>
              <w:rPr>
                <w:rFonts w:hint="eastAsia" w:ascii="仿宋" w:hAnsi="仿宋" w:eastAsia="仿宋" w:cs="微软雅黑"/>
                <w:sz w:val="24"/>
              </w:rPr>
            </w:pPr>
            <w:r>
              <w:rPr>
                <w:rFonts w:hint="eastAsia" w:ascii="仿宋" w:hAnsi="仿宋" w:eastAsia="仿宋" w:cs="微软雅黑"/>
                <w:sz w:val="24"/>
              </w:rPr>
              <w:t>删除了字号和字体章节。</w:t>
            </w:r>
          </w:p>
        </w:tc>
      </w:tr>
      <w:tr w14:paraId="54D637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571992BB">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0B1EE954">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 xml:space="preserve">13.2.1 </w:t>
            </w:r>
            <w:r>
              <w:rPr>
                <w:rFonts w:hint="eastAsia" w:ascii="仿宋" w:hAnsi="仿宋" w:eastAsia="仿宋"/>
                <w:sz w:val="24"/>
                <w:szCs w:val="24"/>
              </w:rPr>
              <w:t>封面</w:t>
            </w:r>
          </w:p>
        </w:tc>
        <w:tc>
          <w:tcPr>
            <w:tcW w:w="1479" w:type="pct"/>
            <w:shd w:val="clear" w:color="auto" w:fill="FFFFFF" w:themeFill="background1"/>
            <w:vAlign w:val="center"/>
          </w:tcPr>
          <w:p w14:paraId="3BE9E361">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封面的字号和字体应符合附录</w:t>
            </w:r>
            <w:r>
              <w:rPr>
                <w:rFonts w:ascii="仿宋" w:hAnsi="仿宋" w:eastAsia="仿宋"/>
                <w:sz w:val="24"/>
                <w:szCs w:val="24"/>
              </w:rPr>
              <w:t>B</w:t>
            </w:r>
            <w:r>
              <w:rPr>
                <w:rFonts w:hint="eastAsia" w:ascii="仿宋" w:hAnsi="仿宋" w:eastAsia="仿宋"/>
                <w:sz w:val="24"/>
                <w:szCs w:val="24"/>
              </w:rPr>
              <w:t>（规范性附录）的要求。</w:t>
            </w:r>
          </w:p>
        </w:tc>
        <w:tc>
          <w:tcPr>
            <w:tcW w:w="578" w:type="pct"/>
            <w:shd w:val="clear" w:color="auto" w:fill="FFFFFF" w:themeFill="background1"/>
            <w:noWrap/>
            <w:vAlign w:val="center"/>
          </w:tcPr>
          <w:p w14:paraId="16C4CBFE">
            <w:pPr>
              <w:jc w:val="center"/>
              <w:textAlignment w:val="center"/>
              <w:rPr>
                <w:rFonts w:hint="eastAsia" w:ascii="仿宋" w:hAnsi="仿宋" w:eastAsia="仿宋" w:cs="微软雅黑"/>
                <w:sz w:val="24"/>
              </w:rPr>
            </w:pPr>
          </w:p>
        </w:tc>
        <w:tc>
          <w:tcPr>
            <w:tcW w:w="1473" w:type="pct"/>
            <w:shd w:val="clear" w:color="auto" w:fill="FFFFFF" w:themeFill="background1"/>
            <w:vAlign w:val="center"/>
          </w:tcPr>
          <w:p w14:paraId="16D29B41">
            <w:pPr>
              <w:jc w:val="left"/>
              <w:textAlignment w:val="center"/>
              <w:rPr>
                <w:rFonts w:hint="eastAsia" w:ascii="仿宋" w:hAnsi="仿宋" w:eastAsia="仿宋" w:cs="微软雅黑"/>
                <w:sz w:val="24"/>
              </w:rPr>
            </w:pPr>
          </w:p>
        </w:tc>
        <w:tc>
          <w:tcPr>
            <w:tcW w:w="768" w:type="pct"/>
            <w:shd w:val="clear" w:color="auto" w:fill="FFFFFF" w:themeFill="background1"/>
            <w:vAlign w:val="center"/>
          </w:tcPr>
          <w:p w14:paraId="289AC722">
            <w:pPr>
              <w:jc w:val="left"/>
              <w:textAlignment w:val="center"/>
              <w:rPr>
                <w:rFonts w:hint="eastAsia" w:ascii="仿宋" w:hAnsi="仿宋" w:eastAsia="仿宋" w:cs="微软雅黑"/>
                <w:sz w:val="24"/>
              </w:rPr>
            </w:pPr>
          </w:p>
        </w:tc>
      </w:tr>
      <w:tr w14:paraId="0C8C5B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392A3BA8">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243F671D">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 xml:space="preserve">13.2.2 </w:t>
            </w:r>
            <w:r>
              <w:rPr>
                <w:rFonts w:hint="eastAsia" w:ascii="仿宋" w:hAnsi="仿宋" w:eastAsia="仿宋"/>
                <w:sz w:val="24"/>
                <w:szCs w:val="24"/>
              </w:rPr>
              <w:t>扉页</w:t>
            </w:r>
          </w:p>
        </w:tc>
        <w:tc>
          <w:tcPr>
            <w:tcW w:w="1479" w:type="pct"/>
            <w:shd w:val="clear" w:color="auto" w:fill="FFFFFF" w:themeFill="background1"/>
            <w:vAlign w:val="center"/>
          </w:tcPr>
          <w:p w14:paraId="2F637729">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扉页的字号和字体应符合附录</w:t>
            </w:r>
            <w:r>
              <w:rPr>
                <w:rFonts w:ascii="仿宋" w:hAnsi="仿宋" w:eastAsia="仿宋"/>
                <w:sz w:val="24"/>
                <w:szCs w:val="24"/>
              </w:rPr>
              <w:t>C</w:t>
            </w:r>
            <w:r>
              <w:rPr>
                <w:rFonts w:hint="eastAsia" w:ascii="仿宋" w:hAnsi="仿宋" w:eastAsia="仿宋"/>
                <w:sz w:val="24"/>
                <w:szCs w:val="24"/>
              </w:rPr>
              <w:t>（规范性附录）的要求。</w:t>
            </w:r>
          </w:p>
        </w:tc>
        <w:tc>
          <w:tcPr>
            <w:tcW w:w="578" w:type="pct"/>
            <w:shd w:val="clear" w:color="auto" w:fill="FFFFFF" w:themeFill="background1"/>
            <w:noWrap/>
            <w:vAlign w:val="center"/>
          </w:tcPr>
          <w:p w14:paraId="15DF3F82">
            <w:pPr>
              <w:jc w:val="center"/>
              <w:textAlignment w:val="center"/>
              <w:rPr>
                <w:rFonts w:hint="eastAsia" w:ascii="仿宋" w:hAnsi="仿宋" w:eastAsia="仿宋" w:cs="微软雅黑"/>
                <w:sz w:val="24"/>
              </w:rPr>
            </w:pPr>
          </w:p>
        </w:tc>
        <w:tc>
          <w:tcPr>
            <w:tcW w:w="1473" w:type="pct"/>
            <w:shd w:val="clear" w:color="auto" w:fill="FFFFFF" w:themeFill="background1"/>
            <w:vAlign w:val="center"/>
          </w:tcPr>
          <w:p w14:paraId="30940903">
            <w:pPr>
              <w:jc w:val="left"/>
              <w:textAlignment w:val="center"/>
              <w:rPr>
                <w:rFonts w:hint="eastAsia" w:ascii="仿宋" w:hAnsi="仿宋" w:eastAsia="仿宋" w:cs="微软雅黑"/>
                <w:sz w:val="24"/>
              </w:rPr>
            </w:pPr>
          </w:p>
        </w:tc>
        <w:tc>
          <w:tcPr>
            <w:tcW w:w="768" w:type="pct"/>
            <w:shd w:val="clear" w:color="auto" w:fill="FFFFFF" w:themeFill="background1"/>
            <w:vAlign w:val="center"/>
          </w:tcPr>
          <w:p w14:paraId="3A2A8711">
            <w:pPr>
              <w:jc w:val="left"/>
              <w:textAlignment w:val="center"/>
              <w:rPr>
                <w:rFonts w:hint="eastAsia" w:ascii="仿宋" w:hAnsi="仿宋" w:eastAsia="仿宋" w:cs="微软雅黑"/>
                <w:sz w:val="24"/>
              </w:rPr>
            </w:pPr>
          </w:p>
        </w:tc>
      </w:tr>
      <w:tr w14:paraId="376B45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7FADDC97">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4BF497D9">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 xml:space="preserve">13.2.3 </w:t>
            </w:r>
            <w:r>
              <w:rPr>
                <w:rFonts w:hint="eastAsia" w:ascii="仿宋" w:hAnsi="仿宋" w:eastAsia="仿宋"/>
                <w:sz w:val="24"/>
                <w:szCs w:val="24"/>
              </w:rPr>
              <w:t>评价人员名单</w:t>
            </w:r>
          </w:p>
        </w:tc>
        <w:tc>
          <w:tcPr>
            <w:tcW w:w="1479" w:type="pct"/>
            <w:shd w:val="clear" w:color="auto" w:fill="FFFFFF" w:themeFill="background1"/>
            <w:vAlign w:val="center"/>
          </w:tcPr>
          <w:p w14:paraId="01723794">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评价人员名单的字号和字体应符合附录</w:t>
            </w:r>
            <w:r>
              <w:rPr>
                <w:rFonts w:ascii="仿宋" w:hAnsi="仿宋" w:eastAsia="仿宋"/>
                <w:sz w:val="24"/>
                <w:szCs w:val="24"/>
              </w:rPr>
              <w:t>D</w:t>
            </w:r>
            <w:r>
              <w:rPr>
                <w:rFonts w:hint="eastAsia" w:ascii="仿宋" w:hAnsi="仿宋" w:eastAsia="仿宋"/>
                <w:sz w:val="24"/>
                <w:szCs w:val="24"/>
              </w:rPr>
              <w:t>（规范性附录）的要求。</w:t>
            </w:r>
          </w:p>
        </w:tc>
        <w:tc>
          <w:tcPr>
            <w:tcW w:w="578" w:type="pct"/>
            <w:shd w:val="clear" w:color="auto" w:fill="FFFFFF" w:themeFill="background1"/>
            <w:noWrap/>
            <w:vAlign w:val="center"/>
          </w:tcPr>
          <w:p w14:paraId="15CAD0C8">
            <w:pPr>
              <w:jc w:val="center"/>
              <w:textAlignment w:val="center"/>
              <w:rPr>
                <w:rFonts w:hint="eastAsia" w:ascii="仿宋" w:hAnsi="仿宋" w:eastAsia="仿宋" w:cs="微软雅黑"/>
                <w:sz w:val="24"/>
              </w:rPr>
            </w:pPr>
          </w:p>
        </w:tc>
        <w:tc>
          <w:tcPr>
            <w:tcW w:w="1473" w:type="pct"/>
            <w:shd w:val="clear" w:color="auto" w:fill="FFFFFF" w:themeFill="background1"/>
            <w:vAlign w:val="center"/>
          </w:tcPr>
          <w:p w14:paraId="20B83BFC">
            <w:pPr>
              <w:jc w:val="left"/>
              <w:textAlignment w:val="center"/>
              <w:rPr>
                <w:rFonts w:hint="eastAsia" w:ascii="仿宋" w:hAnsi="仿宋" w:eastAsia="仿宋" w:cs="微软雅黑"/>
                <w:sz w:val="24"/>
              </w:rPr>
            </w:pPr>
          </w:p>
        </w:tc>
        <w:tc>
          <w:tcPr>
            <w:tcW w:w="768" w:type="pct"/>
            <w:shd w:val="clear" w:color="auto" w:fill="FFFFFF" w:themeFill="background1"/>
            <w:vAlign w:val="center"/>
          </w:tcPr>
          <w:p w14:paraId="56E201C8">
            <w:pPr>
              <w:jc w:val="left"/>
              <w:textAlignment w:val="center"/>
              <w:rPr>
                <w:rFonts w:hint="eastAsia" w:ascii="仿宋" w:hAnsi="仿宋" w:eastAsia="仿宋" w:cs="微软雅黑"/>
                <w:sz w:val="24"/>
              </w:rPr>
            </w:pPr>
          </w:p>
        </w:tc>
      </w:tr>
      <w:tr w14:paraId="5E4472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2966D61D">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6930ECC7">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 xml:space="preserve">13.2.4 </w:t>
            </w:r>
            <w:r>
              <w:rPr>
                <w:rFonts w:hint="eastAsia" w:ascii="仿宋" w:hAnsi="仿宋" w:eastAsia="仿宋"/>
                <w:sz w:val="24"/>
                <w:szCs w:val="24"/>
              </w:rPr>
              <w:t>前言</w:t>
            </w:r>
          </w:p>
        </w:tc>
        <w:tc>
          <w:tcPr>
            <w:tcW w:w="1479" w:type="pct"/>
            <w:shd w:val="clear" w:color="auto" w:fill="FFFFFF" w:themeFill="background1"/>
            <w:vAlign w:val="center"/>
          </w:tcPr>
          <w:p w14:paraId="14F86AC2">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前言应采用三号黑体字，内容的文字表述部分采用小四号宋体字。</w:t>
            </w:r>
          </w:p>
        </w:tc>
        <w:tc>
          <w:tcPr>
            <w:tcW w:w="578" w:type="pct"/>
            <w:shd w:val="clear" w:color="auto" w:fill="FFFFFF" w:themeFill="background1"/>
            <w:noWrap/>
            <w:vAlign w:val="center"/>
          </w:tcPr>
          <w:p w14:paraId="19244D80">
            <w:pPr>
              <w:jc w:val="center"/>
              <w:textAlignment w:val="center"/>
              <w:rPr>
                <w:rFonts w:hint="eastAsia" w:ascii="仿宋" w:hAnsi="仿宋" w:eastAsia="仿宋" w:cs="微软雅黑"/>
                <w:sz w:val="24"/>
              </w:rPr>
            </w:pPr>
          </w:p>
        </w:tc>
        <w:tc>
          <w:tcPr>
            <w:tcW w:w="1473" w:type="pct"/>
            <w:shd w:val="clear" w:color="auto" w:fill="FFFFFF" w:themeFill="background1"/>
            <w:vAlign w:val="center"/>
          </w:tcPr>
          <w:p w14:paraId="20BDE3BF">
            <w:pPr>
              <w:jc w:val="left"/>
              <w:textAlignment w:val="center"/>
              <w:rPr>
                <w:rFonts w:hint="eastAsia" w:ascii="仿宋" w:hAnsi="仿宋" w:eastAsia="仿宋" w:cs="微软雅黑"/>
                <w:sz w:val="24"/>
              </w:rPr>
            </w:pPr>
          </w:p>
        </w:tc>
        <w:tc>
          <w:tcPr>
            <w:tcW w:w="768" w:type="pct"/>
            <w:shd w:val="clear" w:color="auto" w:fill="FFFFFF" w:themeFill="background1"/>
            <w:vAlign w:val="center"/>
          </w:tcPr>
          <w:p w14:paraId="2FD6CB5D">
            <w:pPr>
              <w:jc w:val="left"/>
              <w:textAlignment w:val="center"/>
              <w:rPr>
                <w:rFonts w:hint="eastAsia" w:ascii="仿宋" w:hAnsi="仿宋" w:eastAsia="仿宋" w:cs="微软雅黑"/>
                <w:sz w:val="24"/>
              </w:rPr>
            </w:pPr>
          </w:p>
        </w:tc>
      </w:tr>
      <w:tr w14:paraId="0CC51E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02E47A36">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123118FA">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 xml:space="preserve">13.2.5 </w:t>
            </w:r>
            <w:r>
              <w:rPr>
                <w:rFonts w:hint="eastAsia" w:ascii="仿宋" w:hAnsi="仿宋" w:eastAsia="仿宋"/>
                <w:sz w:val="24"/>
                <w:szCs w:val="24"/>
              </w:rPr>
              <w:t>目录</w:t>
            </w:r>
          </w:p>
        </w:tc>
        <w:tc>
          <w:tcPr>
            <w:tcW w:w="1479" w:type="pct"/>
            <w:shd w:val="clear" w:color="auto" w:fill="FFFFFF" w:themeFill="background1"/>
            <w:vAlign w:val="center"/>
          </w:tcPr>
          <w:p w14:paraId="0097DA83">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目录应采用三号黑体字，章、节标题采用小四号宋体字。</w:t>
            </w:r>
          </w:p>
        </w:tc>
        <w:tc>
          <w:tcPr>
            <w:tcW w:w="578" w:type="pct"/>
            <w:shd w:val="clear" w:color="auto" w:fill="FFFFFF" w:themeFill="background1"/>
            <w:noWrap/>
            <w:vAlign w:val="center"/>
          </w:tcPr>
          <w:p w14:paraId="5CA673BC">
            <w:pPr>
              <w:jc w:val="center"/>
              <w:textAlignment w:val="center"/>
              <w:rPr>
                <w:rFonts w:hint="eastAsia" w:ascii="仿宋" w:hAnsi="仿宋" w:eastAsia="仿宋" w:cs="微软雅黑"/>
                <w:sz w:val="24"/>
              </w:rPr>
            </w:pPr>
          </w:p>
        </w:tc>
        <w:tc>
          <w:tcPr>
            <w:tcW w:w="1473" w:type="pct"/>
            <w:shd w:val="clear" w:color="auto" w:fill="FFFFFF" w:themeFill="background1"/>
            <w:vAlign w:val="center"/>
          </w:tcPr>
          <w:p w14:paraId="78B2CA36">
            <w:pPr>
              <w:jc w:val="left"/>
              <w:textAlignment w:val="center"/>
              <w:rPr>
                <w:rFonts w:hint="eastAsia" w:ascii="仿宋" w:hAnsi="仿宋" w:eastAsia="仿宋" w:cs="微软雅黑"/>
                <w:sz w:val="24"/>
              </w:rPr>
            </w:pPr>
          </w:p>
        </w:tc>
        <w:tc>
          <w:tcPr>
            <w:tcW w:w="768" w:type="pct"/>
            <w:shd w:val="clear" w:color="auto" w:fill="FFFFFF" w:themeFill="background1"/>
            <w:vAlign w:val="center"/>
          </w:tcPr>
          <w:p w14:paraId="7E0479E4">
            <w:pPr>
              <w:jc w:val="left"/>
              <w:textAlignment w:val="center"/>
              <w:rPr>
                <w:rFonts w:hint="eastAsia" w:ascii="仿宋" w:hAnsi="仿宋" w:eastAsia="仿宋" w:cs="微软雅黑"/>
                <w:sz w:val="24"/>
              </w:rPr>
            </w:pPr>
          </w:p>
        </w:tc>
      </w:tr>
      <w:tr w14:paraId="0B5BBE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013CA6BA">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0ED4DCC7">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 xml:space="preserve">13.2.6 </w:t>
            </w:r>
            <w:r>
              <w:rPr>
                <w:rFonts w:hint="eastAsia" w:ascii="仿宋" w:hAnsi="仿宋" w:eastAsia="仿宋"/>
                <w:sz w:val="24"/>
                <w:szCs w:val="24"/>
              </w:rPr>
              <w:t>正文</w:t>
            </w:r>
          </w:p>
        </w:tc>
        <w:tc>
          <w:tcPr>
            <w:tcW w:w="1479" w:type="pct"/>
            <w:shd w:val="clear" w:color="auto" w:fill="FFFFFF" w:themeFill="background1"/>
            <w:vAlign w:val="center"/>
          </w:tcPr>
          <w:p w14:paraId="17268268">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报告主要内容的章、节标题应分别采用三号黑体、四号黑体字，内容的文字表述部分采用小四号宋体字，表名、图名采用五号黑体，表格文字可选择采用五号或者小五号宋体字；页眉报告名称采用五号楷体</w:t>
            </w:r>
            <w:r>
              <w:rPr>
                <w:rFonts w:ascii="仿宋" w:hAnsi="仿宋" w:eastAsia="仿宋"/>
                <w:sz w:val="24"/>
                <w:szCs w:val="24"/>
              </w:rPr>
              <w:t>_GB2312</w:t>
            </w:r>
            <w:r>
              <w:rPr>
                <w:rFonts w:hint="eastAsia" w:ascii="仿宋" w:hAnsi="仿宋" w:eastAsia="仿宋"/>
                <w:sz w:val="24"/>
                <w:szCs w:val="24"/>
              </w:rPr>
              <w:t>字，页脚页码采用五号楷体</w:t>
            </w:r>
            <w:r>
              <w:rPr>
                <w:rFonts w:ascii="仿宋" w:hAnsi="仿宋" w:eastAsia="仿宋"/>
                <w:sz w:val="24"/>
                <w:szCs w:val="24"/>
              </w:rPr>
              <w:t>_GB2312</w:t>
            </w:r>
            <w:r>
              <w:rPr>
                <w:rFonts w:hint="eastAsia" w:ascii="仿宋" w:hAnsi="仿宋" w:eastAsia="仿宋"/>
                <w:sz w:val="24"/>
                <w:szCs w:val="24"/>
              </w:rPr>
              <w:t>字。</w:t>
            </w:r>
          </w:p>
        </w:tc>
        <w:tc>
          <w:tcPr>
            <w:tcW w:w="578" w:type="pct"/>
            <w:shd w:val="clear" w:color="auto" w:fill="FFFFFF" w:themeFill="background1"/>
            <w:noWrap/>
            <w:vAlign w:val="center"/>
          </w:tcPr>
          <w:p w14:paraId="3B659308">
            <w:pPr>
              <w:jc w:val="center"/>
              <w:textAlignment w:val="center"/>
              <w:rPr>
                <w:rFonts w:hint="eastAsia" w:ascii="仿宋" w:hAnsi="仿宋" w:eastAsia="仿宋" w:cs="微软雅黑"/>
                <w:sz w:val="24"/>
              </w:rPr>
            </w:pPr>
          </w:p>
        </w:tc>
        <w:tc>
          <w:tcPr>
            <w:tcW w:w="1473" w:type="pct"/>
            <w:shd w:val="clear" w:color="auto" w:fill="FFFFFF" w:themeFill="background1"/>
            <w:vAlign w:val="center"/>
          </w:tcPr>
          <w:p w14:paraId="42C6616D">
            <w:pPr>
              <w:jc w:val="left"/>
              <w:textAlignment w:val="center"/>
              <w:rPr>
                <w:rFonts w:hint="eastAsia" w:ascii="仿宋" w:hAnsi="仿宋" w:eastAsia="仿宋" w:cs="微软雅黑"/>
                <w:sz w:val="24"/>
              </w:rPr>
            </w:pPr>
          </w:p>
        </w:tc>
        <w:tc>
          <w:tcPr>
            <w:tcW w:w="768" w:type="pct"/>
            <w:shd w:val="clear" w:color="auto" w:fill="FFFFFF" w:themeFill="background1"/>
            <w:vAlign w:val="center"/>
          </w:tcPr>
          <w:p w14:paraId="4F9467B7">
            <w:pPr>
              <w:jc w:val="left"/>
              <w:textAlignment w:val="center"/>
              <w:rPr>
                <w:rFonts w:hint="eastAsia" w:ascii="仿宋" w:hAnsi="仿宋" w:eastAsia="仿宋" w:cs="微软雅黑"/>
                <w:sz w:val="24"/>
              </w:rPr>
            </w:pPr>
          </w:p>
        </w:tc>
      </w:tr>
      <w:tr w14:paraId="683B53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59A851B3">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29531D04">
            <w:pPr>
              <w:pStyle w:val="153"/>
              <w:spacing w:before="156" w:after="156"/>
              <w:jc w:val="center"/>
              <w:rPr>
                <w:rFonts w:hint="eastAsia" w:ascii="仿宋" w:hAnsi="仿宋" w:eastAsia="仿宋" w:cs="微软雅黑"/>
                <w:color w:val="000000"/>
                <w:sz w:val="24"/>
                <w:szCs w:val="24"/>
              </w:rPr>
            </w:pPr>
            <w:r>
              <w:rPr>
                <w:rFonts w:ascii="仿宋" w:hAnsi="仿宋" w:eastAsia="仿宋"/>
                <w:sz w:val="24"/>
                <w:szCs w:val="24"/>
              </w:rPr>
              <w:t xml:space="preserve">13.2.7 </w:t>
            </w:r>
            <w:r>
              <w:rPr>
                <w:rFonts w:hint="eastAsia" w:ascii="仿宋" w:hAnsi="仿宋" w:eastAsia="仿宋"/>
                <w:sz w:val="24"/>
                <w:szCs w:val="24"/>
              </w:rPr>
              <w:t>附件与附图</w:t>
            </w:r>
          </w:p>
        </w:tc>
        <w:tc>
          <w:tcPr>
            <w:tcW w:w="1479" w:type="pct"/>
            <w:shd w:val="clear" w:color="auto" w:fill="FFFFFF" w:themeFill="background1"/>
            <w:vAlign w:val="center"/>
          </w:tcPr>
          <w:p w14:paraId="748CE5E3">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附件与附图应采用原件复印件（复印比例为</w:t>
            </w:r>
            <w:r>
              <w:rPr>
                <w:rFonts w:ascii="仿宋" w:hAnsi="仿宋" w:eastAsia="仿宋"/>
                <w:sz w:val="24"/>
                <w:szCs w:val="24"/>
              </w:rPr>
              <w:t>1:1</w:t>
            </w:r>
            <w:r>
              <w:rPr>
                <w:rFonts w:hint="eastAsia" w:ascii="仿宋" w:hAnsi="仿宋" w:eastAsia="仿宋"/>
                <w:sz w:val="24"/>
                <w:szCs w:val="24"/>
              </w:rPr>
              <w:t>）；附件、附图的标题应采用三号黑体字。</w:t>
            </w:r>
          </w:p>
        </w:tc>
        <w:tc>
          <w:tcPr>
            <w:tcW w:w="578" w:type="pct"/>
            <w:shd w:val="clear" w:color="auto" w:fill="FFFFFF" w:themeFill="background1"/>
            <w:noWrap/>
            <w:vAlign w:val="center"/>
          </w:tcPr>
          <w:p w14:paraId="5C5C2196">
            <w:pPr>
              <w:jc w:val="center"/>
              <w:textAlignment w:val="center"/>
              <w:rPr>
                <w:rFonts w:hint="eastAsia" w:ascii="仿宋" w:hAnsi="仿宋" w:eastAsia="仿宋" w:cs="微软雅黑"/>
                <w:sz w:val="24"/>
              </w:rPr>
            </w:pPr>
          </w:p>
        </w:tc>
        <w:tc>
          <w:tcPr>
            <w:tcW w:w="1473" w:type="pct"/>
            <w:shd w:val="clear" w:color="auto" w:fill="FFFFFF" w:themeFill="background1"/>
            <w:vAlign w:val="center"/>
          </w:tcPr>
          <w:p w14:paraId="55815587">
            <w:pPr>
              <w:jc w:val="left"/>
              <w:textAlignment w:val="center"/>
              <w:rPr>
                <w:rFonts w:hint="eastAsia" w:ascii="仿宋" w:hAnsi="仿宋" w:eastAsia="仿宋" w:cs="微软雅黑"/>
                <w:sz w:val="24"/>
              </w:rPr>
            </w:pPr>
          </w:p>
        </w:tc>
        <w:tc>
          <w:tcPr>
            <w:tcW w:w="768" w:type="pct"/>
            <w:shd w:val="clear" w:color="auto" w:fill="FFFFFF" w:themeFill="background1"/>
            <w:vAlign w:val="center"/>
          </w:tcPr>
          <w:p w14:paraId="5DBAF44F">
            <w:pPr>
              <w:jc w:val="left"/>
              <w:textAlignment w:val="center"/>
              <w:rPr>
                <w:rFonts w:hint="eastAsia" w:ascii="仿宋" w:hAnsi="仿宋" w:eastAsia="仿宋" w:cs="微软雅黑"/>
                <w:sz w:val="24"/>
              </w:rPr>
            </w:pPr>
          </w:p>
        </w:tc>
      </w:tr>
      <w:tr w14:paraId="7A0949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46FEC59D">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36F004C2">
            <w:pPr>
              <w:pStyle w:val="4"/>
              <w:jc w:val="center"/>
              <w:rPr>
                <w:rFonts w:hint="eastAsia" w:ascii="仿宋" w:hAnsi="仿宋" w:eastAsia="仿宋" w:cs="微软雅黑"/>
                <w:color w:val="000000"/>
                <w:sz w:val="24"/>
                <w:szCs w:val="24"/>
              </w:rPr>
            </w:pPr>
            <w:bookmarkStart w:id="357" w:name="_Toc535332692"/>
            <w:r>
              <w:rPr>
                <w:rFonts w:ascii="仿宋" w:hAnsi="仿宋" w:eastAsia="仿宋"/>
                <w:sz w:val="24"/>
                <w:szCs w:val="24"/>
              </w:rPr>
              <w:t>13</w:t>
            </w:r>
            <w:r>
              <w:rPr>
                <w:rFonts w:hint="eastAsia" w:ascii="仿宋" w:hAnsi="仿宋" w:eastAsia="仿宋"/>
                <w:sz w:val="24"/>
                <w:szCs w:val="24"/>
              </w:rPr>
              <w:t>.3</w:t>
            </w:r>
            <w:r>
              <w:rPr>
                <w:rFonts w:ascii="仿宋" w:hAnsi="仿宋" w:eastAsia="仿宋"/>
                <w:sz w:val="24"/>
                <w:szCs w:val="24"/>
              </w:rPr>
              <w:t xml:space="preserve"> </w:t>
            </w:r>
            <w:r>
              <w:rPr>
                <w:rFonts w:hint="eastAsia" w:ascii="仿宋" w:hAnsi="仿宋" w:eastAsia="仿宋"/>
                <w:sz w:val="24"/>
                <w:szCs w:val="24"/>
              </w:rPr>
              <w:t>纸张、排版</w:t>
            </w:r>
            <w:bookmarkEnd w:id="357"/>
          </w:p>
        </w:tc>
        <w:tc>
          <w:tcPr>
            <w:tcW w:w="1479" w:type="pct"/>
            <w:shd w:val="clear" w:color="auto" w:fill="FFFFFF" w:themeFill="background1"/>
            <w:vAlign w:val="center"/>
          </w:tcPr>
          <w:p w14:paraId="30F34F75">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应采用</w:t>
            </w:r>
            <w:r>
              <w:rPr>
                <w:rFonts w:ascii="仿宋" w:hAnsi="仿宋" w:eastAsia="仿宋"/>
                <w:sz w:val="24"/>
                <w:szCs w:val="24"/>
              </w:rPr>
              <w:t>A4</w:t>
            </w:r>
            <w:r>
              <w:rPr>
                <w:rFonts w:hint="eastAsia" w:ascii="仿宋" w:hAnsi="仿宋" w:eastAsia="仿宋"/>
                <w:sz w:val="24"/>
                <w:szCs w:val="24"/>
              </w:rPr>
              <w:t>白色胶版纸</w:t>
            </w:r>
            <w:r>
              <w:rPr>
                <w:rFonts w:ascii="仿宋" w:hAnsi="仿宋" w:eastAsia="仿宋"/>
                <w:sz w:val="24"/>
                <w:szCs w:val="24"/>
              </w:rPr>
              <w:t>(70g</w:t>
            </w:r>
            <w:r>
              <w:rPr>
                <w:rFonts w:hint="eastAsia" w:ascii="仿宋" w:hAnsi="仿宋" w:eastAsia="仿宋"/>
                <w:sz w:val="24"/>
                <w:szCs w:val="24"/>
              </w:rPr>
              <w:t>以上</w:t>
            </w:r>
            <w:r>
              <w:rPr>
                <w:rFonts w:ascii="仿宋" w:hAnsi="仿宋" w:eastAsia="仿宋"/>
                <w:sz w:val="24"/>
                <w:szCs w:val="24"/>
              </w:rPr>
              <w:t>)</w:t>
            </w:r>
            <w:r>
              <w:rPr>
                <w:rFonts w:hint="eastAsia" w:ascii="仿宋" w:hAnsi="仿宋" w:eastAsia="仿宋"/>
                <w:sz w:val="24"/>
                <w:szCs w:val="24"/>
              </w:rPr>
              <w:t>；纵向排版，左边距</w:t>
            </w:r>
            <w:r>
              <w:rPr>
                <w:rFonts w:ascii="仿宋" w:hAnsi="仿宋" w:eastAsia="仿宋"/>
                <w:sz w:val="24"/>
                <w:szCs w:val="24"/>
              </w:rPr>
              <w:t>28mm</w:t>
            </w:r>
            <w:r>
              <w:rPr>
                <w:rFonts w:hint="eastAsia" w:ascii="仿宋" w:hAnsi="仿宋" w:eastAsia="仿宋"/>
                <w:sz w:val="24"/>
                <w:szCs w:val="24"/>
              </w:rPr>
              <w:t>、右边距</w:t>
            </w:r>
            <w:r>
              <w:rPr>
                <w:rFonts w:ascii="仿宋" w:hAnsi="仿宋" w:eastAsia="仿宋"/>
                <w:sz w:val="24"/>
                <w:szCs w:val="24"/>
              </w:rPr>
              <w:t>20mm</w:t>
            </w:r>
            <w:r>
              <w:rPr>
                <w:rFonts w:hint="eastAsia" w:ascii="仿宋" w:hAnsi="仿宋" w:eastAsia="仿宋"/>
                <w:sz w:val="24"/>
                <w:szCs w:val="24"/>
              </w:rPr>
              <w:t>、上边距</w:t>
            </w:r>
            <w:r>
              <w:rPr>
                <w:rFonts w:ascii="仿宋" w:hAnsi="仿宋" w:eastAsia="仿宋"/>
                <w:sz w:val="24"/>
                <w:szCs w:val="24"/>
              </w:rPr>
              <w:t>25mm</w:t>
            </w:r>
            <w:r>
              <w:rPr>
                <w:rFonts w:hint="eastAsia" w:ascii="仿宋" w:hAnsi="仿宋" w:eastAsia="仿宋"/>
                <w:sz w:val="24"/>
                <w:szCs w:val="24"/>
              </w:rPr>
              <w:t>、下边距</w:t>
            </w:r>
            <w:r>
              <w:rPr>
                <w:rFonts w:ascii="仿宋" w:hAnsi="仿宋" w:eastAsia="仿宋"/>
                <w:sz w:val="24"/>
                <w:szCs w:val="24"/>
              </w:rPr>
              <w:t>20mm</w:t>
            </w:r>
            <w:r>
              <w:rPr>
                <w:rFonts w:hint="eastAsia" w:ascii="仿宋" w:hAnsi="仿宋" w:eastAsia="仿宋"/>
                <w:sz w:val="24"/>
                <w:szCs w:val="24"/>
              </w:rPr>
              <w:t>；页眉顶端距离</w:t>
            </w:r>
            <w:r>
              <w:rPr>
                <w:rFonts w:ascii="仿宋" w:hAnsi="仿宋" w:eastAsia="仿宋"/>
                <w:sz w:val="24"/>
                <w:szCs w:val="24"/>
              </w:rPr>
              <w:t>20mm</w:t>
            </w:r>
            <w:r>
              <w:rPr>
                <w:rFonts w:hint="eastAsia" w:ascii="仿宋" w:hAnsi="仿宋" w:eastAsia="仿宋"/>
                <w:sz w:val="24"/>
                <w:szCs w:val="24"/>
              </w:rPr>
              <w:t>，页脚底端距离</w:t>
            </w:r>
            <w:r>
              <w:rPr>
                <w:rFonts w:ascii="仿宋" w:hAnsi="仿宋" w:eastAsia="仿宋"/>
                <w:sz w:val="24"/>
                <w:szCs w:val="24"/>
              </w:rPr>
              <w:t>15mm</w:t>
            </w:r>
            <w:r>
              <w:rPr>
                <w:rFonts w:hint="eastAsia" w:ascii="仿宋" w:hAnsi="仿宋" w:eastAsia="仿宋"/>
                <w:sz w:val="24"/>
                <w:szCs w:val="24"/>
              </w:rPr>
              <w:t>，页码位于页面底端，对齐方式为居中。前言、目录、正文排版要求见表</w:t>
            </w:r>
            <w:r>
              <w:rPr>
                <w:rFonts w:ascii="仿宋" w:hAnsi="仿宋" w:eastAsia="仿宋"/>
                <w:sz w:val="24"/>
                <w:szCs w:val="24"/>
              </w:rPr>
              <w:t>28</w:t>
            </w:r>
            <w:r>
              <w:rPr>
                <w:rFonts w:hint="eastAsia" w:ascii="仿宋" w:hAnsi="仿宋" w:eastAsia="仿宋"/>
                <w:sz w:val="24"/>
                <w:szCs w:val="24"/>
              </w:rPr>
              <w:t>。</w:t>
            </w:r>
          </w:p>
        </w:tc>
        <w:tc>
          <w:tcPr>
            <w:tcW w:w="578" w:type="pct"/>
            <w:shd w:val="clear" w:color="auto" w:fill="FFFFFF" w:themeFill="background1"/>
            <w:noWrap/>
            <w:vAlign w:val="center"/>
          </w:tcPr>
          <w:p w14:paraId="013C1233">
            <w:pPr>
              <w:pStyle w:val="4"/>
              <w:jc w:val="center"/>
              <w:rPr>
                <w:rFonts w:hint="eastAsia" w:ascii="仿宋" w:hAnsi="仿宋" w:eastAsia="仿宋" w:cs="微软雅黑"/>
                <w:color w:val="000000"/>
                <w:sz w:val="24"/>
                <w:szCs w:val="24"/>
              </w:rPr>
            </w:pPr>
            <w:r>
              <w:rPr>
                <w:rFonts w:ascii="仿宋" w:hAnsi="仿宋" w:eastAsia="仿宋"/>
                <w:sz w:val="24"/>
                <w:szCs w:val="24"/>
              </w:rPr>
              <w:t>13</w:t>
            </w:r>
            <w:r>
              <w:rPr>
                <w:rFonts w:hint="eastAsia" w:ascii="仿宋" w:hAnsi="仿宋" w:eastAsia="仿宋"/>
                <w:sz w:val="24"/>
                <w:szCs w:val="24"/>
              </w:rPr>
              <w:t>.</w:t>
            </w:r>
            <w:r>
              <w:rPr>
                <w:rFonts w:hint="eastAsia" w:ascii="仿宋" w:hAnsi="仿宋" w:eastAsia="仿宋"/>
                <w:sz w:val="24"/>
                <w:szCs w:val="24"/>
                <w:lang w:val="en-US"/>
              </w:rPr>
              <w:t>2</w:t>
            </w:r>
            <w:r>
              <w:rPr>
                <w:rFonts w:ascii="仿宋" w:hAnsi="仿宋" w:eastAsia="仿宋"/>
                <w:sz w:val="24"/>
                <w:szCs w:val="24"/>
              </w:rPr>
              <w:t xml:space="preserve"> </w:t>
            </w:r>
            <w:r>
              <w:rPr>
                <w:rFonts w:hint="eastAsia" w:ascii="仿宋" w:hAnsi="仿宋" w:eastAsia="仿宋"/>
                <w:sz w:val="24"/>
                <w:szCs w:val="24"/>
              </w:rPr>
              <w:t>纸张、排版</w:t>
            </w:r>
          </w:p>
        </w:tc>
        <w:tc>
          <w:tcPr>
            <w:tcW w:w="1473" w:type="pct"/>
            <w:shd w:val="clear" w:color="auto" w:fill="FFFFFF" w:themeFill="background1"/>
            <w:vAlign w:val="center"/>
          </w:tcPr>
          <w:p w14:paraId="7892E812">
            <w:pPr>
              <w:pStyle w:val="35"/>
              <w:spacing w:line="240" w:lineRule="auto"/>
              <w:ind w:firstLine="0" w:firstLineChars="0"/>
              <w:rPr>
                <w:rFonts w:hint="eastAsia" w:ascii="仿宋" w:hAnsi="仿宋" w:eastAsia="仿宋" w:cs="微软雅黑"/>
                <w:sz w:val="24"/>
                <w:szCs w:val="24"/>
              </w:rPr>
            </w:pPr>
            <w:r>
              <w:rPr>
                <w:rFonts w:hint="eastAsia" w:ascii="仿宋" w:hAnsi="仿宋" w:eastAsia="仿宋"/>
                <w:color w:val="auto"/>
                <w:kern w:val="0"/>
                <w:sz w:val="24"/>
                <w:szCs w:val="24"/>
              </w:rPr>
              <w:t>采用</w:t>
            </w:r>
            <w:r>
              <w:rPr>
                <w:rFonts w:ascii="仿宋" w:hAnsi="仿宋" w:eastAsia="仿宋"/>
                <w:color w:val="auto"/>
                <w:kern w:val="0"/>
                <w:sz w:val="24"/>
                <w:szCs w:val="24"/>
              </w:rPr>
              <w:t>A4</w:t>
            </w:r>
            <w:r>
              <w:rPr>
                <w:rFonts w:hint="eastAsia" w:ascii="仿宋" w:hAnsi="仿宋" w:eastAsia="仿宋"/>
                <w:color w:val="auto"/>
                <w:kern w:val="0"/>
                <w:sz w:val="24"/>
                <w:szCs w:val="24"/>
              </w:rPr>
              <w:t>白色胶版纸</w:t>
            </w:r>
            <w:r>
              <w:rPr>
                <w:rFonts w:ascii="仿宋" w:hAnsi="仿宋" w:eastAsia="仿宋"/>
                <w:color w:val="auto"/>
                <w:kern w:val="0"/>
                <w:sz w:val="24"/>
                <w:szCs w:val="24"/>
              </w:rPr>
              <w:t>（70g</w:t>
            </w:r>
            <w:r>
              <w:rPr>
                <w:rFonts w:hint="eastAsia" w:ascii="仿宋" w:hAnsi="仿宋" w:eastAsia="仿宋"/>
                <w:color w:val="auto"/>
                <w:kern w:val="0"/>
                <w:sz w:val="24"/>
                <w:szCs w:val="24"/>
              </w:rPr>
              <w:t>以上</w:t>
            </w:r>
            <w:r>
              <w:rPr>
                <w:rFonts w:ascii="仿宋" w:hAnsi="仿宋" w:eastAsia="仿宋"/>
                <w:color w:val="auto"/>
                <w:kern w:val="0"/>
                <w:sz w:val="24"/>
                <w:szCs w:val="24"/>
              </w:rPr>
              <w:t>）</w:t>
            </w:r>
            <w:r>
              <w:rPr>
                <w:rFonts w:hint="eastAsia" w:ascii="仿宋" w:hAnsi="仿宋" w:eastAsia="仿宋"/>
                <w:color w:val="auto"/>
                <w:kern w:val="0"/>
                <w:sz w:val="24"/>
                <w:szCs w:val="24"/>
              </w:rPr>
              <w:t>；纵向排版，左边距</w:t>
            </w:r>
            <w:r>
              <w:rPr>
                <w:rFonts w:ascii="仿宋" w:hAnsi="仿宋" w:eastAsia="仿宋"/>
                <w:color w:val="auto"/>
                <w:kern w:val="0"/>
                <w:sz w:val="24"/>
                <w:szCs w:val="24"/>
              </w:rPr>
              <w:t>28mm</w:t>
            </w:r>
            <w:r>
              <w:rPr>
                <w:rFonts w:hint="eastAsia" w:ascii="仿宋" w:hAnsi="仿宋" w:eastAsia="仿宋"/>
                <w:color w:val="auto"/>
                <w:kern w:val="0"/>
                <w:sz w:val="24"/>
                <w:szCs w:val="24"/>
              </w:rPr>
              <w:t>、右边距</w:t>
            </w:r>
            <w:r>
              <w:rPr>
                <w:rFonts w:ascii="仿宋" w:hAnsi="仿宋" w:eastAsia="仿宋"/>
                <w:color w:val="auto"/>
                <w:kern w:val="0"/>
                <w:sz w:val="24"/>
                <w:szCs w:val="24"/>
              </w:rPr>
              <w:t>20mm</w:t>
            </w:r>
            <w:r>
              <w:rPr>
                <w:rFonts w:hint="eastAsia" w:ascii="仿宋" w:hAnsi="仿宋" w:eastAsia="仿宋"/>
                <w:color w:val="auto"/>
                <w:kern w:val="0"/>
                <w:sz w:val="24"/>
                <w:szCs w:val="24"/>
              </w:rPr>
              <w:t>、上边距</w:t>
            </w:r>
            <w:r>
              <w:rPr>
                <w:rFonts w:ascii="仿宋" w:hAnsi="仿宋" w:eastAsia="仿宋"/>
                <w:color w:val="auto"/>
                <w:kern w:val="0"/>
                <w:sz w:val="24"/>
                <w:szCs w:val="24"/>
              </w:rPr>
              <w:t>25mm</w:t>
            </w:r>
            <w:r>
              <w:rPr>
                <w:rFonts w:hint="eastAsia" w:ascii="仿宋" w:hAnsi="仿宋" w:eastAsia="仿宋"/>
                <w:color w:val="auto"/>
                <w:kern w:val="0"/>
                <w:sz w:val="24"/>
                <w:szCs w:val="24"/>
              </w:rPr>
              <w:t>、下边距</w:t>
            </w:r>
            <w:r>
              <w:rPr>
                <w:rFonts w:ascii="仿宋" w:hAnsi="仿宋" w:eastAsia="仿宋"/>
                <w:color w:val="auto"/>
                <w:kern w:val="0"/>
                <w:sz w:val="24"/>
                <w:szCs w:val="24"/>
              </w:rPr>
              <w:t>20mm</w:t>
            </w:r>
            <w:r>
              <w:rPr>
                <w:rFonts w:hint="eastAsia" w:ascii="仿宋" w:hAnsi="仿宋" w:eastAsia="仿宋"/>
                <w:color w:val="auto"/>
                <w:kern w:val="0"/>
                <w:sz w:val="24"/>
                <w:szCs w:val="24"/>
              </w:rPr>
              <w:t>；页眉顶端距离</w:t>
            </w:r>
            <w:r>
              <w:rPr>
                <w:rFonts w:ascii="仿宋" w:hAnsi="仿宋" w:eastAsia="仿宋"/>
                <w:color w:val="auto"/>
                <w:kern w:val="0"/>
                <w:sz w:val="24"/>
                <w:szCs w:val="24"/>
              </w:rPr>
              <w:t>20mm</w:t>
            </w:r>
            <w:r>
              <w:rPr>
                <w:rFonts w:hint="eastAsia" w:ascii="仿宋" w:hAnsi="仿宋" w:eastAsia="仿宋"/>
                <w:color w:val="auto"/>
                <w:kern w:val="0"/>
                <w:sz w:val="24"/>
                <w:szCs w:val="24"/>
              </w:rPr>
              <w:t>，页脚底端距离</w:t>
            </w:r>
            <w:r>
              <w:rPr>
                <w:rFonts w:ascii="仿宋" w:hAnsi="仿宋" w:eastAsia="仿宋"/>
                <w:color w:val="auto"/>
                <w:kern w:val="0"/>
                <w:sz w:val="24"/>
                <w:szCs w:val="24"/>
              </w:rPr>
              <w:t>15mm</w:t>
            </w:r>
            <w:r>
              <w:rPr>
                <w:rFonts w:hint="eastAsia" w:ascii="仿宋" w:hAnsi="仿宋" w:eastAsia="仿宋"/>
                <w:color w:val="auto"/>
                <w:kern w:val="0"/>
                <w:sz w:val="24"/>
                <w:szCs w:val="24"/>
              </w:rPr>
              <w:t>，页码位于页面底端，对齐方式为居中。前言、目录、正文排版要求见表</w:t>
            </w:r>
            <w:r>
              <w:rPr>
                <w:rFonts w:ascii="仿宋" w:hAnsi="仿宋" w:eastAsia="仿宋"/>
                <w:color w:val="auto"/>
                <w:kern w:val="0"/>
                <w:sz w:val="24"/>
                <w:szCs w:val="24"/>
              </w:rPr>
              <w:t>33</w:t>
            </w:r>
            <w:r>
              <w:rPr>
                <w:rFonts w:hint="eastAsia" w:ascii="仿宋" w:hAnsi="仿宋" w:eastAsia="仿宋"/>
                <w:color w:val="auto"/>
                <w:kern w:val="0"/>
                <w:sz w:val="24"/>
                <w:szCs w:val="24"/>
              </w:rPr>
              <w:t>。</w:t>
            </w:r>
          </w:p>
        </w:tc>
        <w:tc>
          <w:tcPr>
            <w:tcW w:w="768" w:type="pct"/>
            <w:shd w:val="clear" w:color="auto" w:fill="FFFFFF" w:themeFill="background1"/>
            <w:vAlign w:val="center"/>
          </w:tcPr>
          <w:p w14:paraId="36DDE790">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7EDBAC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515259FF">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5F537A74">
            <w:pPr>
              <w:pStyle w:val="4"/>
              <w:jc w:val="center"/>
              <w:rPr>
                <w:rFonts w:hint="eastAsia" w:ascii="仿宋" w:hAnsi="仿宋" w:eastAsia="仿宋" w:cs="微软雅黑"/>
                <w:color w:val="000000"/>
                <w:sz w:val="24"/>
                <w:szCs w:val="24"/>
              </w:rPr>
            </w:pPr>
            <w:bookmarkStart w:id="358" w:name="_Toc535332693"/>
            <w:r>
              <w:rPr>
                <w:rFonts w:ascii="仿宋" w:hAnsi="仿宋" w:eastAsia="仿宋"/>
                <w:sz w:val="24"/>
                <w:szCs w:val="24"/>
              </w:rPr>
              <w:t>13</w:t>
            </w:r>
            <w:r>
              <w:rPr>
                <w:rFonts w:hint="eastAsia" w:ascii="仿宋" w:hAnsi="仿宋" w:eastAsia="仿宋"/>
                <w:sz w:val="24"/>
                <w:szCs w:val="24"/>
              </w:rPr>
              <w:t>.4</w:t>
            </w:r>
            <w:r>
              <w:rPr>
                <w:rFonts w:ascii="仿宋" w:hAnsi="仿宋" w:eastAsia="仿宋"/>
                <w:sz w:val="24"/>
                <w:szCs w:val="24"/>
              </w:rPr>
              <w:t xml:space="preserve"> </w:t>
            </w:r>
            <w:r>
              <w:rPr>
                <w:rFonts w:hint="eastAsia" w:ascii="仿宋" w:hAnsi="仿宋" w:eastAsia="仿宋"/>
                <w:sz w:val="24"/>
                <w:szCs w:val="24"/>
              </w:rPr>
              <w:t>印刷</w:t>
            </w:r>
            <w:bookmarkEnd w:id="358"/>
          </w:p>
        </w:tc>
        <w:tc>
          <w:tcPr>
            <w:tcW w:w="1479" w:type="pct"/>
            <w:shd w:val="clear" w:color="auto" w:fill="FFFFFF" w:themeFill="background1"/>
            <w:vAlign w:val="center"/>
          </w:tcPr>
          <w:p w14:paraId="208DA6C8">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除附件、附图外，应双面打印文本。</w:t>
            </w:r>
          </w:p>
        </w:tc>
        <w:tc>
          <w:tcPr>
            <w:tcW w:w="578" w:type="pct"/>
            <w:shd w:val="clear" w:color="auto" w:fill="FFFFFF" w:themeFill="background1"/>
            <w:noWrap/>
            <w:vAlign w:val="center"/>
          </w:tcPr>
          <w:p w14:paraId="75441D0C">
            <w:pPr>
              <w:pStyle w:val="4"/>
              <w:jc w:val="center"/>
              <w:rPr>
                <w:rFonts w:hint="eastAsia" w:ascii="仿宋" w:hAnsi="仿宋" w:eastAsia="仿宋" w:cs="微软雅黑"/>
                <w:color w:val="000000"/>
                <w:sz w:val="24"/>
                <w:szCs w:val="24"/>
              </w:rPr>
            </w:pPr>
            <w:r>
              <w:rPr>
                <w:rFonts w:ascii="仿宋" w:hAnsi="仿宋" w:eastAsia="仿宋"/>
                <w:sz w:val="24"/>
                <w:szCs w:val="24"/>
              </w:rPr>
              <w:t>13</w:t>
            </w:r>
            <w:r>
              <w:rPr>
                <w:rFonts w:hint="eastAsia" w:ascii="仿宋" w:hAnsi="仿宋" w:eastAsia="仿宋"/>
                <w:sz w:val="24"/>
                <w:szCs w:val="24"/>
              </w:rPr>
              <w:t>.</w:t>
            </w:r>
            <w:r>
              <w:rPr>
                <w:rFonts w:hint="eastAsia" w:ascii="仿宋" w:hAnsi="仿宋" w:eastAsia="仿宋"/>
                <w:sz w:val="24"/>
                <w:szCs w:val="24"/>
                <w:lang w:val="en-US"/>
              </w:rPr>
              <w:t>3</w:t>
            </w:r>
            <w:r>
              <w:rPr>
                <w:rFonts w:ascii="仿宋" w:hAnsi="仿宋" w:eastAsia="仿宋"/>
                <w:sz w:val="24"/>
                <w:szCs w:val="24"/>
              </w:rPr>
              <w:t xml:space="preserve"> </w:t>
            </w:r>
            <w:r>
              <w:rPr>
                <w:rFonts w:hint="eastAsia" w:ascii="仿宋" w:hAnsi="仿宋" w:eastAsia="仿宋"/>
                <w:sz w:val="24"/>
                <w:szCs w:val="24"/>
              </w:rPr>
              <w:t>印刷</w:t>
            </w:r>
          </w:p>
        </w:tc>
        <w:tc>
          <w:tcPr>
            <w:tcW w:w="1473" w:type="pct"/>
            <w:shd w:val="clear" w:color="auto" w:fill="FFFFFF" w:themeFill="background1"/>
            <w:vAlign w:val="center"/>
          </w:tcPr>
          <w:p w14:paraId="511B3FC2">
            <w:pPr>
              <w:pStyle w:val="155"/>
              <w:ind w:firstLine="0" w:firstLineChars="0"/>
              <w:rPr>
                <w:rFonts w:hint="eastAsia" w:ascii="仿宋" w:hAnsi="仿宋" w:eastAsia="仿宋" w:cs="微软雅黑"/>
                <w:color w:val="000000"/>
                <w:sz w:val="24"/>
                <w:szCs w:val="24"/>
              </w:rPr>
            </w:pPr>
            <w:r>
              <w:rPr>
                <w:rFonts w:hint="eastAsia" w:ascii="仿宋" w:hAnsi="仿宋" w:eastAsia="仿宋"/>
                <w:sz w:val="24"/>
                <w:szCs w:val="24"/>
              </w:rPr>
              <w:t>除附件、附图外，双面打印文本。</w:t>
            </w:r>
          </w:p>
        </w:tc>
        <w:tc>
          <w:tcPr>
            <w:tcW w:w="768" w:type="pct"/>
            <w:shd w:val="clear" w:color="auto" w:fill="FFFFFF" w:themeFill="background1"/>
            <w:vAlign w:val="center"/>
          </w:tcPr>
          <w:p w14:paraId="1D69CC9F">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652376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4C7F3C68">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483D48F5">
            <w:pPr>
              <w:pStyle w:val="4"/>
              <w:jc w:val="center"/>
              <w:rPr>
                <w:rFonts w:hint="eastAsia" w:ascii="仿宋" w:hAnsi="仿宋" w:eastAsia="仿宋" w:cs="微软雅黑"/>
                <w:color w:val="000000"/>
                <w:sz w:val="24"/>
                <w:szCs w:val="24"/>
              </w:rPr>
            </w:pPr>
            <w:bookmarkStart w:id="359" w:name="_Toc535332694"/>
            <w:r>
              <w:rPr>
                <w:rFonts w:ascii="仿宋" w:hAnsi="仿宋" w:eastAsia="仿宋"/>
                <w:sz w:val="24"/>
                <w:szCs w:val="24"/>
              </w:rPr>
              <w:t>13</w:t>
            </w:r>
            <w:r>
              <w:rPr>
                <w:rFonts w:hint="eastAsia" w:ascii="仿宋" w:hAnsi="仿宋" w:eastAsia="仿宋"/>
                <w:sz w:val="24"/>
                <w:szCs w:val="24"/>
              </w:rPr>
              <w:t>.5</w:t>
            </w:r>
            <w:r>
              <w:rPr>
                <w:rFonts w:ascii="仿宋" w:hAnsi="仿宋" w:eastAsia="仿宋"/>
                <w:sz w:val="24"/>
                <w:szCs w:val="24"/>
              </w:rPr>
              <w:t xml:space="preserve"> </w:t>
            </w:r>
            <w:r>
              <w:rPr>
                <w:rFonts w:hint="eastAsia" w:ascii="仿宋" w:hAnsi="仿宋" w:eastAsia="仿宋"/>
                <w:sz w:val="24"/>
                <w:szCs w:val="24"/>
              </w:rPr>
              <w:t>封装</w:t>
            </w:r>
            <w:bookmarkEnd w:id="359"/>
          </w:p>
        </w:tc>
        <w:tc>
          <w:tcPr>
            <w:tcW w:w="1479" w:type="pct"/>
            <w:shd w:val="clear" w:color="auto" w:fill="FFFFFF" w:themeFill="background1"/>
            <w:vAlign w:val="center"/>
          </w:tcPr>
          <w:p w14:paraId="7224BD69">
            <w:pPr>
              <w:pStyle w:val="65"/>
              <w:ind w:firstLine="0" w:firstLineChars="0"/>
              <w:jc w:val="left"/>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报告装订线左侧，正式文本装订后，应在报告以下位置加盖公章或签字：</w:t>
            </w:r>
          </w:p>
          <w:p w14:paraId="06836041">
            <w:pPr>
              <w:pStyle w:val="65"/>
              <w:ind w:firstLine="0" w:firstLineChars="0"/>
              <w:jc w:val="left"/>
              <w:rPr>
                <w:rFonts w:hint="eastAsia"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a</w:t>
            </w:r>
            <w:r>
              <w:rPr>
                <w:rFonts w:hint="eastAsia" w:ascii="仿宋" w:hAnsi="仿宋" w:eastAsia="仿宋"/>
                <w:sz w:val="24"/>
                <w:szCs w:val="24"/>
                <w:lang w:val="zh-CN"/>
              </w:rPr>
              <w:t xml:space="preserve">） </w:t>
            </w:r>
            <w:r>
              <w:rPr>
                <w:rFonts w:hint="eastAsia" w:ascii="仿宋" w:hAnsi="仿宋" w:eastAsia="仿宋"/>
                <w:color w:val="000000" w:themeColor="text1"/>
                <w:sz w:val="24"/>
                <w:szCs w:val="24"/>
                <w14:textFill>
                  <w14:solidFill>
                    <w14:schemeClr w14:val="tx1"/>
                  </w14:solidFill>
                </w14:textFill>
              </w:rPr>
              <w:t>封面加盖建设项目单位公章；</w:t>
            </w:r>
          </w:p>
          <w:p w14:paraId="791061DF">
            <w:pPr>
              <w:pStyle w:val="65"/>
              <w:ind w:firstLine="0" w:firstLineChars="0"/>
              <w:jc w:val="left"/>
              <w:rPr>
                <w:rFonts w:hint="eastAsia"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b</w:t>
            </w:r>
            <w:r>
              <w:rPr>
                <w:rFonts w:hint="eastAsia" w:ascii="仿宋" w:hAnsi="仿宋" w:eastAsia="仿宋"/>
                <w:sz w:val="24"/>
                <w:szCs w:val="24"/>
                <w:lang w:val="zh-CN"/>
              </w:rPr>
              <w:t xml:space="preserve">） </w:t>
            </w:r>
            <w:r>
              <w:rPr>
                <w:rFonts w:hint="eastAsia" w:ascii="仿宋" w:hAnsi="仿宋" w:eastAsia="仿宋"/>
                <w:color w:val="000000" w:themeColor="text1"/>
                <w:sz w:val="24"/>
                <w:szCs w:val="24"/>
                <w14:textFill>
                  <w14:solidFill>
                    <w14:schemeClr w14:val="tx1"/>
                  </w14:solidFill>
                </w14:textFill>
              </w:rPr>
              <w:t>扉页加盖评价机构公章；</w:t>
            </w:r>
          </w:p>
          <w:p w14:paraId="04879410">
            <w:pPr>
              <w:pStyle w:val="65"/>
              <w:ind w:firstLine="0" w:firstLineChars="0"/>
              <w:jc w:val="left"/>
              <w:rPr>
                <w:rFonts w:hint="eastAsia"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c</w:t>
            </w:r>
            <w:r>
              <w:rPr>
                <w:rFonts w:hint="eastAsia" w:ascii="仿宋" w:hAnsi="仿宋" w:eastAsia="仿宋"/>
                <w:sz w:val="24"/>
                <w:szCs w:val="24"/>
                <w:lang w:val="zh-CN"/>
              </w:rPr>
              <w:t xml:space="preserve">） </w:t>
            </w:r>
            <w:r>
              <w:rPr>
                <w:rFonts w:hint="eastAsia" w:ascii="仿宋" w:hAnsi="仿宋" w:eastAsia="仿宋"/>
                <w:color w:val="000000" w:themeColor="text1"/>
                <w:sz w:val="24"/>
                <w:szCs w:val="24"/>
                <w14:textFill>
                  <w14:solidFill>
                    <w14:schemeClr w14:val="tx1"/>
                  </w14:solidFill>
                </w14:textFill>
              </w:rPr>
              <w:t>评价人员名单进行手签字；</w:t>
            </w:r>
          </w:p>
          <w:p w14:paraId="6047DA97">
            <w:pPr>
              <w:pStyle w:val="65"/>
              <w:ind w:firstLine="0" w:firstLineChars="0"/>
              <w:jc w:val="left"/>
              <w:rPr>
                <w:rFonts w:hint="eastAsia"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d</w:t>
            </w:r>
            <w:r>
              <w:rPr>
                <w:rFonts w:hint="eastAsia" w:ascii="仿宋" w:hAnsi="仿宋" w:eastAsia="仿宋"/>
                <w:sz w:val="24"/>
                <w:szCs w:val="24"/>
                <w:lang w:val="zh-CN"/>
              </w:rPr>
              <w:t xml:space="preserve">） </w:t>
            </w:r>
            <w:r>
              <w:rPr>
                <w:rFonts w:hint="eastAsia" w:ascii="仿宋" w:hAnsi="仿宋" w:eastAsia="仿宋"/>
                <w:color w:val="000000" w:themeColor="text1"/>
                <w:sz w:val="24"/>
                <w:szCs w:val="24"/>
                <w14:textFill>
                  <w14:solidFill>
                    <w14:schemeClr w14:val="tx1"/>
                  </w14:solidFill>
                </w14:textFill>
              </w:rPr>
              <w:t>结论加盖评价机构公章；</w:t>
            </w:r>
          </w:p>
          <w:p w14:paraId="3F99B636">
            <w:pPr>
              <w:pStyle w:val="65"/>
              <w:ind w:firstLine="0" w:firstLineChars="0"/>
              <w:jc w:val="left"/>
              <w:rPr>
                <w:rFonts w:hint="eastAsia" w:ascii="仿宋" w:hAnsi="仿宋" w:eastAsia="仿宋" w:cs="微软雅黑"/>
                <w:color w:val="000000"/>
                <w:sz w:val="24"/>
              </w:rPr>
            </w:pPr>
            <w:r>
              <w:rPr>
                <w:rFonts w:ascii="仿宋" w:hAnsi="仿宋" w:eastAsia="仿宋"/>
                <w:color w:val="000000" w:themeColor="text1"/>
                <w:sz w:val="24"/>
                <w14:textFill>
                  <w14:solidFill>
                    <w14:schemeClr w14:val="tx1"/>
                  </w14:solidFill>
                </w14:textFill>
              </w:rPr>
              <w:t>e</w:t>
            </w:r>
            <w:r>
              <w:rPr>
                <w:rFonts w:hint="eastAsia" w:ascii="仿宋" w:hAnsi="仿宋" w:eastAsia="仿宋"/>
                <w:sz w:val="24"/>
                <w:lang w:val="zh-CN"/>
              </w:rPr>
              <w:t xml:space="preserve">） </w:t>
            </w:r>
            <w:r>
              <w:rPr>
                <w:rFonts w:hint="eastAsia" w:ascii="仿宋" w:hAnsi="仿宋" w:eastAsia="仿宋"/>
                <w:color w:val="000000" w:themeColor="text1"/>
                <w:sz w:val="24"/>
                <w14:textFill>
                  <w14:solidFill>
                    <w14:schemeClr w14:val="tx1"/>
                  </w14:solidFill>
                </w14:textFill>
              </w:rPr>
              <w:t>封页加盖评价机构公章。</w:t>
            </w:r>
          </w:p>
        </w:tc>
        <w:tc>
          <w:tcPr>
            <w:tcW w:w="578" w:type="pct"/>
            <w:shd w:val="clear" w:color="auto" w:fill="FFFFFF" w:themeFill="background1"/>
            <w:noWrap/>
            <w:vAlign w:val="center"/>
          </w:tcPr>
          <w:p w14:paraId="06F009EA">
            <w:pPr>
              <w:pStyle w:val="4"/>
              <w:jc w:val="center"/>
              <w:rPr>
                <w:rFonts w:hint="eastAsia" w:ascii="仿宋" w:hAnsi="仿宋" w:eastAsia="仿宋" w:cs="微软雅黑"/>
                <w:color w:val="000000"/>
                <w:sz w:val="24"/>
                <w:szCs w:val="24"/>
              </w:rPr>
            </w:pPr>
            <w:r>
              <w:rPr>
                <w:rFonts w:ascii="仿宋" w:hAnsi="仿宋" w:eastAsia="仿宋"/>
                <w:sz w:val="24"/>
                <w:szCs w:val="24"/>
              </w:rPr>
              <w:t>13</w:t>
            </w:r>
            <w:r>
              <w:rPr>
                <w:rFonts w:hint="eastAsia" w:ascii="仿宋" w:hAnsi="仿宋" w:eastAsia="仿宋"/>
                <w:sz w:val="24"/>
                <w:szCs w:val="24"/>
              </w:rPr>
              <w:t>.</w:t>
            </w:r>
            <w:r>
              <w:rPr>
                <w:rFonts w:hint="eastAsia" w:ascii="仿宋" w:hAnsi="仿宋" w:eastAsia="仿宋"/>
                <w:sz w:val="24"/>
                <w:szCs w:val="24"/>
                <w:lang w:val="en-US"/>
              </w:rPr>
              <w:t>4</w:t>
            </w:r>
            <w:r>
              <w:rPr>
                <w:rFonts w:ascii="仿宋" w:hAnsi="仿宋" w:eastAsia="仿宋"/>
                <w:sz w:val="24"/>
                <w:szCs w:val="24"/>
              </w:rPr>
              <w:t xml:space="preserve"> </w:t>
            </w:r>
            <w:r>
              <w:rPr>
                <w:rFonts w:hint="eastAsia" w:ascii="仿宋" w:hAnsi="仿宋" w:eastAsia="仿宋"/>
                <w:sz w:val="24"/>
                <w:szCs w:val="24"/>
              </w:rPr>
              <w:t>封装</w:t>
            </w:r>
          </w:p>
        </w:tc>
        <w:tc>
          <w:tcPr>
            <w:tcW w:w="1473" w:type="pct"/>
            <w:shd w:val="clear" w:color="auto" w:fill="FFFFFF" w:themeFill="background1"/>
            <w:vAlign w:val="center"/>
          </w:tcPr>
          <w:p w14:paraId="41B916BF">
            <w:pPr>
              <w:pStyle w:val="65"/>
              <w:ind w:firstLine="0" w:firstLineChars="0"/>
              <w:jc w:val="left"/>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报告装订线左侧，正式文本装订后，在报告以下位置加盖公章或签字：</w:t>
            </w:r>
          </w:p>
          <w:p w14:paraId="74AA74D3">
            <w:pPr>
              <w:pStyle w:val="65"/>
              <w:ind w:firstLine="0" w:firstLineChars="0"/>
              <w:jc w:val="left"/>
              <w:rPr>
                <w:rFonts w:hint="eastAsia"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a</w:t>
            </w:r>
            <w:r>
              <w:rPr>
                <w:rFonts w:hint="eastAsia" w:ascii="仿宋" w:hAnsi="仿宋" w:eastAsia="仿宋"/>
                <w:sz w:val="24"/>
                <w:szCs w:val="24"/>
                <w:lang w:val="zh-CN"/>
              </w:rPr>
              <w:t xml:space="preserve">） </w:t>
            </w:r>
            <w:r>
              <w:rPr>
                <w:rFonts w:hint="eastAsia" w:ascii="仿宋" w:hAnsi="仿宋" w:eastAsia="仿宋"/>
                <w:color w:val="000000" w:themeColor="text1"/>
                <w:sz w:val="24"/>
                <w:szCs w:val="24"/>
                <w14:textFill>
                  <w14:solidFill>
                    <w14:schemeClr w14:val="tx1"/>
                  </w14:solidFill>
                </w14:textFill>
              </w:rPr>
              <w:t>封面加盖建设单位公章；</w:t>
            </w:r>
          </w:p>
          <w:p w14:paraId="4A50C1E1">
            <w:pPr>
              <w:pStyle w:val="65"/>
              <w:ind w:firstLine="0" w:firstLineChars="0"/>
              <w:jc w:val="left"/>
              <w:rPr>
                <w:rFonts w:hint="eastAsia"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b</w:t>
            </w:r>
            <w:r>
              <w:rPr>
                <w:rFonts w:hint="eastAsia" w:ascii="仿宋" w:hAnsi="仿宋" w:eastAsia="仿宋"/>
                <w:sz w:val="24"/>
                <w:szCs w:val="24"/>
                <w:lang w:val="zh-CN"/>
              </w:rPr>
              <w:t xml:space="preserve">） </w:t>
            </w:r>
            <w:r>
              <w:rPr>
                <w:rFonts w:hint="eastAsia" w:ascii="仿宋" w:hAnsi="仿宋" w:eastAsia="仿宋"/>
                <w:color w:val="000000" w:themeColor="text1"/>
                <w:sz w:val="24"/>
                <w:szCs w:val="24"/>
                <w14:textFill>
                  <w14:solidFill>
                    <w14:schemeClr w14:val="tx1"/>
                  </w14:solidFill>
                </w14:textFill>
              </w:rPr>
              <w:t>扉页加盖安全评价机构公章；</w:t>
            </w:r>
          </w:p>
          <w:p w14:paraId="172ABF10">
            <w:pPr>
              <w:pStyle w:val="65"/>
              <w:ind w:firstLine="0" w:firstLineChars="0"/>
              <w:jc w:val="left"/>
              <w:rPr>
                <w:rFonts w:hint="eastAsia"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c</w:t>
            </w:r>
            <w:r>
              <w:rPr>
                <w:rFonts w:hint="eastAsia" w:ascii="仿宋" w:hAnsi="仿宋" w:eastAsia="仿宋"/>
                <w:sz w:val="24"/>
                <w:szCs w:val="24"/>
                <w:lang w:val="zh-CN"/>
              </w:rPr>
              <w:t xml:space="preserve">） </w:t>
            </w:r>
            <w:r>
              <w:rPr>
                <w:rFonts w:hint="eastAsia" w:ascii="仿宋" w:hAnsi="仿宋" w:eastAsia="仿宋"/>
                <w:color w:val="000000" w:themeColor="text1"/>
                <w:sz w:val="24"/>
                <w:szCs w:val="24"/>
                <w14:textFill>
                  <w14:solidFill>
                    <w14:schemeClr w14:val="tx1"/>
                  </w14:solidFill>
                </w14:textFill>
              </w:rPr>
              <w:t>评价人员名单进行手签字；</w:t>
            </w:r>
          </w:p>
          <w:p w14:paraId="5DF098FC">
            <w:pPr>
              <w:pStyle w:val="65"/>
              <w:ind w:firstLine="0" w:firstLineChars="0"/>
              <w:jc w:val="left"/>
              <w:rPr>
                <w:rFonts w:hint="eastAsia"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d</w:t>
            </w:r>
            <w:r>
              <w:rPr>
                <w:rFonts w:hint="eastAsia" w:ascii="仿宋" w:hAnsi="仿宋" w:eastAsia="仿宋"/>
                <w:sz w:val="24"/>
                <w:szCs w:val="24"/>
                <w:lang w:val="zh-CN"/>
              </w:rPr>
              <w:t xml:space="preserve">） </w:t>
            </w:r>
            <w:r>
              <w:rPr>
                <w:rFonts w:hint="eastAsia" w:ascii="仿宋" w:hAnsi="仿宋" w:eastAsia="仿宋"/>
                <w:color w:val="000000" w:themeColor="text1"/>
                <w:sz w:val="24"/>
                <w:szCs w:val="24"/>
                <w14:textFill>
                  <w14:solidFill>
                    <w14:schemeClr w14:val="tx1"/>
                  </w14:solidFill>
                </w14:textFill>
              </w:rPr>
              <w:t>结论加盖安全评价机构公章；</w:t>
            </w:r>
          </w:p>
          <w:p w14:paraId="7229E305">
            <w:pPr>
              <w:pStyle w:val="65"/>
              <w:ind w:firstLine="0" w:firstLineChars="0"/>
              <w:jc w:val="left"/>
              <w:rPr>
                <w:rFonts w:hint="eastAsia" w:ascii="仿宋" w:hAnsi="仿宋" w:eastAsia="仿宋" w:cs="微软雅黑"/>
                <w:color w:val="000000"/>
                <w:sz w:val="24"/>
              </w:rPr>
            </w:pPr>
            <w:r>
              <w:rPr>
                <w:rFonts w:ascii="仿宋" w:hAnsi="仿宋" w:eastAsia="仿宋"/>
                <w:color w:val="000000" w:themeColor="text1"/>
                <w:sz w:val="24"/>
                <w14:textFill>
                  <w14:solidFill>
                    <w14:schemeClr w14:val="tx1"/>
                  </w14:solidFill>
                </w14:textFill>
              </w:rPr>
              <w:t>e</w:t>
            </w:r>
            <w:r>
              <w:rPr>
                <w:rFonts w:hint="eastAsia" w:ascii="仿宋" w:hAnsi="仿宋" w:eastAsia="仿宋"/>
                <w:sz w:val="24"/>
                <w:lang w:val="zh-CN"/>
              </w:rPr>
              <w:t xml:space="preserve">） </w:t>
            </w:r>
            <w:r>
              <w:rPr>
                <w:rFonts w:ascii="仿宋" w:hAnsi="仿宋" w:eastAsia="仿宋"/>
                <w:color w:val="000000" w:themeColor="text1"/>
                <w:sz w:val="24"/>
                <w14:textFill>
                  <w14:solidFill>
                    <w14:schemeClr w14:val="tx1"/>
                  </w14:solidFill>
                </w14:textFill>
              </w:rPr>
              <w:t>报告侧面加盖安全评价机构骑缝章。</w:t>
            </w:r>
          </w:p>
        </w:tc>
        <w:tc>
          <w:tcPr>
            <w:tcW w:w="768" w:type="pct"/>
            <w:shd w:val="clear" w:color="auto" w:fill="FFFFFF" w:themeFill="background1"/>
            <w:vAlign w:val="center"/>
          </w:tcPr>
          <w:p w14:paraId="4BF73119">
            <w:pPr>
              <w:jc w:val="left"/>
              <w:textAlignment w:val="center"/>
              <w:rPr>
                <w:rFonts w:hint="eastAsia" w:ascii="仿宋" w:hAnsi="仿宋" w:eastAsia="仿宋" w:cs="微软雅黑"/>
                <w:sz w:val="24"/>
              </w:rPr>
            </w:pPr>
            <w:r>
              <w:rPr>
                <w:rFonts w:hint="eastAsia" w:ascii="仿宋" w:hAnsi="仿宋" w:eastAsia="仿宋" w:cs="微软雅黑"/>
                <w:sz w:val="24"/>
              </w:rPr>
              <w:t>进一步规范了文字的表述形式。</w:t>
            </w:r>
          </w:p>
        </w:tc>
      </w:tr>
      <w:tr w14:paraId="704916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1C8DC371">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058F76AF">
            <w:pPr>
              <w:pStyle w:val="4"/>
              <w:jc w:val="center"/>
              <w:rPr>
                <w:rFonts w:hint="eastAsia" w:ascii="仿宋" w:hAnsi="仿宋" w:eastAsia="仿宋" w:cs="微软雅黑"/>
                <w:color w:val="000000"/>
                <w:sz w:val="24"/>
                <w:szCs w:val="24"/>
              </w:rPr>
            </w:pPr>
            <w:r>
              <w:rPr>
                <w:rFonts w:hint="eastAsia" w:ascii="仿宋" w:hAnsi="仿宋" w:eastAsia="仿宋"/>
                <w:sz w:val="24"/>
                <w:szCs w:val="24"/>
                <w:lang w:val="en-US"/>
              </w:rPr>
              <w:t>附录A</w:t>
            </w:r>
            <w:r>
              <w:rPr>
                <w:rFonts w:ascii="仿宋" w:hAnsi="仿宋" w:eastAsia="仿宋"/>
                <w:sz w:val="24"/>
                <w:szCs w:val="24"/>
              </w:rPr>
              <w:br w:type="textWrapping"/>
            </w:r>
            <w:bookmarkStart w:id="360" w:name="_Toc535332695"/>
            <w:r>
              <w:rPr>
                <w:rFonts w:ascii="仿宋" w:hAnsi="仿宋" w:eastAsia="仿宋"/>
                <w:sz w:val="24"/>
                <w:szCs w:val="24"/>
              </w:rPr>
              <w:t>(</w:t>
            </w:r>
            <w:r>
              <w:rPr>
                <w:rFonts w:hint="eastAsia" w:ascii="仿宋" w:hAnsi="仿宋" w:eastAsia="仿宋"/>
                <w:sz w:val="24"/>
                <w:szCs w:val="24"/>
              </w:rPr>
              <w:t>资料性附录</w:t>
            </w:r>
            <w:r>
              <w:rPr>
                <w:rFonts w:ascii="仿宋" w:hAnsi="仿宋" w:eastAsia="仿宋"/>
                <w:sz w:val="24"/>
                <w:szCs w:val="24"/>
              </w:rPr>
              <w:t>)</w:t>
            </w:r>
            <w:r>
              <w:rPr>
                <w:rFonts w:ascii="仿宋" w:hAnsi="仿宋" w:eastAsia="仿宋"/>
                <w:sz w:val="24"/>
                <w:szCs w:val="24"/>
              </w:rPr>
              <w:br w:type="textWrapping"/>
            </w:r>
            <w:r>
              <w:rPr>
                <w:rFonts w:ascii="仿宋" w:hAnsi="仿宋" w:eastAsia="仿宋"/>
                <w:sz w:val="24"/>
                <w:szCs w:val="24"/>
              </w:rPr>
              <w:t>主要安全设施</w:t>
            </w:r>
            <w:bookmarkEnd w:id="360"/>
          </w:p>
        </w:tc>
        <w:tc>
          <w:tcPr>
            <w:tcW w:w="1479" w:type="pct"/>
            <w:shd w:val="clear" w:color="auto" w:fill="FFFFFF" w:themeFill="background1"/>
            <w:vAlign w:val="center"/>
          </w:tcPr>
          <w:p w14:paraId="6BC8C6A0">
            <w:pPr>
              <w:jc w:val="left"/>
              <w:textAlignment w:val="center"/>
              <w:rPr>
                <w:rFonts w:hint="eastAsia" w:ascii="仿宋" w:hAnsi="仿宋" w:eastAsia="仿宋" w:cs="微软雅黑"/>
                <w:sz w:val="24"/>
              </w:rPr>
            </w:pPr>
          </w:p>
        </w:tc>
        <w:tc>
          <w:tcPr>
            <w:tcW w:w="578" w:type="pct"/>
            <w:shd w:val="clear" w:color="auto" w:fill="FFFFFF" w:themeFill="background1"/>
            <w:noWrap/>
            <w:vAlign w:val="center"/>
          </w:tcPr>
          <w:p w14:paraId="1078EB07">
            <w:pPr>
              <w:pStyle w:val="4"/>
              <w:jc w:val="center"/>
              <w:rPr>
                <w:rFonts w:hint="eastAsia" w:ascii="仿宋" w:hAnsi="仿宋" w:eastAsia="仿宋" w:cs="微软雅黑"/>
                <w:color w:val="000000"/>
                <w:sz w:val="24"/>
                <w:szCs w:val="24"/>
              </w:rPr>
            </w:pPr>
            <w:r>
              <w:rPr>
                <w:rFonts w:hint="eastAsia" w:ascii="仿宋" w:hAnsi="仿宋" w:eastAsia="仿宋"/>
                <w:sz w:val="24"/>
                <w:szCs w:val="24"/>
                <w:lang w:val="en-US"/>
              </w:rPr>
              <w:t>附录A</w:t>
            </w:r>
            <w:r>
              <w:rPr>
                <w:rFonts w:ascii="仿宋" w:hAnsi="仿宋" w:eastAsia="仿宋"/>
                <w:sz w:val="24"/>
                <w:szCs w:val="24"/>
              </w:rPr>
              <w:br w:type="textWrapping"/>
            </w:r>
            <w:r>
              <w:rPr>
                <w:rFonts w:ascii="仿宋" w:hAnsi="仿宋" w:eastAsia="仿宋"/>
                <w:sz w:val="24"/>
                <w:szCs w:val="24"/>
              </w:rPr>
              <w:t>(</w:t>
            </w:r>
            <w:r>
              <w:rPr>
                <w:rFonts w:hint="eastAsia" w:ascii="仿宋" w:hAnsi="仿宋" w:eastAsia="仿宋"/>
                <w:sz w:val="24"/>
                <w:szCs w:val="24"/>
              </w:rPr>
              <w:t>资料性</w:t>
            </w:r>
            <w:r>
              <w:rPr>
                <w:rFonts w:ascii="仿宋" w:hAnsi="仿宋" w:eastAsia="仿宋"/>
                <w:sz w:val="24"/>
                <w:szCs w:val="24"/>
              </w:rPr>
              <w:t>)</w:t>
            </w:r>
            <w:r>
              <w:rPr>
                <w:rFonts w:ascii="仿宋" w:hAnsi="仿宋" w:eastAsia="仿宋"/>
                <w:sz w:val="24"/>
                <w:szCs w:val="24"/>
              </w:rPr>
              <w:br w:type="textWrapping"/>
            </w:r>
            <w:r>
              <w:rPr>
                <w:rFonts w:ascii="仿宋" w:hAnsi="仿宋" w:eastAsia="仿宋"/>
                <w:sz w:val="24"/>
                <w:szCs w:val="24"/>
              </w:rPr>
              <w:t>主要安全设施</w:t>
            </w:r>
          </w:p>
        </w:tc>
        <w:tc>
          <w:tcPr>
            <w:tcW w:w="1473" w:type="pct"/>
            <w:shd w:val="clear" w:color="auto" w:fill="FFFFFF" w:themeFill="background1"/>
            <w:vAlign w:val="center"/>
          </w:tcPr>
          <w:p w14:paraId="09DD2B9C">
            <w:pPr>
              <w:jc w:val="left"/>
              <w:textAlignment w:val="center"/>
              <w:rPr>
                <w:rFonts w:hint="eastAsia" w:ascii="仿宋" w:hAnsi="仿宋" w:eastAsia="仿宋" w:cs="微软雅黑"/>
                <w:sz w:val="24"/>
              </w:rPr>
            </w:pPr>
          </w:p>
        </w:tc>
        <w:tc>
          <w:tcPr>
            <w:tcW w:w="768" w:type="pct"/>
            <w:shd w:val="clear" w:color="auto" w:fill="FFFFFF" w:themeFill="background1"/>
            <w:vAlign w:val="center"/>
          </w:tcPr>
          <w:p w14:paraId="04DEBEC4">
            <w:pPr>
              <w:jc w:val="left"/>
              <w:textAlignment w:val="center"/>
              <w:rPr>
                <w:rFonts w:hint="eastAsia" w:ascii="仿宋" w:hAnsi="仿宋" w:eastAsia="仿宋" w:cs="微软雅黑"/>
                <w:sz w:val="24"/>
              </w:rPr>
            </w:pPr>
            <w:r>
              <w:rPr>
                <w:rFonts w:hint="eastAsia" w:ascii="仿宋" w:hAnsi="仿宋" w:eastAsia="仿宋" w:cs="微软雅黑"/>
                <w:sz w:val="24"/>
              </w:rPr>
              <w:t>修改了监控与数据采集（SCADA）系统等内容。</w:t>
            </w:r>
          </w:p>
        </w:tc>
      </w:tr>
      <w:tr w14:paraId="07B6A2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3EEE60C3">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5A02FAC5">
            <w:pPr>
              <w:jc w:val="center"/>
              <w:textAlignment w:val="center"/>
              <w:rPr>
                <w:rFonts w:hint="eastAsia" w:ascii="仿宋" w:hAnsi="仿宋" w:eastAsia="仿宋" w:cs="微软雅黑"/>
                <w:sz w:val="24"/>
              </w:rPr>
            </w:pPr>
          </w:p>
        </w:tc>
        <w:tc>
          <w:tcPr>
            <w:tcW w:w="1479" w:type="pct"/>
            <w:shd w:val="clear" w:color="auto" w:fill="FFFFFF" w:themeFill="background1"/>
            <w:vAlign w:val="center"/>
          </w:tcPr>
          <w:p w14:paraId="3F5B40EA">
            <w:pPr>
              <w:jc w:val="left"/>
              <w:textAlignment w:val="center"/>
              <w:rPr>
                <w:rFonts w:hint="eastAsia" w:ascii="仿宋" w:hAnsi="仿宋" w:eastAsia="仿宋" w:cs="微软雅黑"/>
                <w:sz w:val="24"/>
              </w:rPr>
            </w:pPr>
          </w:p>
        </w:tc>
        <w:tc>
          <w:tcPr>
            <w:tcW w:w="578" w:type="pct"/>
            <w:shd w:val="clear" w:color="auto" w:fill="FFFFFF" w:themeFill="background1"/>
            <w:noWrap/>
            <w:vAlign w:val="center"/>
          </w:tcPr>
          <w:p w14:paraId="2AD639AF">
            <w:pPr>
              <w:jc w:val="center"/>
              <w:textAlignment w:val="center"/>
              <w:rPr>
                <w:rFonts w:hint="eastAsia" w:ascii="仿宋" w:hAnsi="仿宋" w:eastAsia="仿宋" w:cs="微软雅黑"/>
                <w:sz w:val="24"/>
              </w:rPr>
            </w:pPr>
            <w:r>
              <w:rPr>
                <w:rFonts w:hint="eastAsia" w:ascii="仿宋" w:hAnsi="仿宋" w:eastAsia="仿宋"/>
                <w:sz w:val="24"/>
              </w:rPr>
              <w:t>附录B</w:t>
            </w:r>
            <w:r>
              <w:rPr>
                <w:rFonts w:ascii="仿宋" w:hAnsi="仿宋" w:eastAsia="仿宋"/>
                <w:sz w:val="24"/>
              </w:rPr>
              <w:br w:type="textWrapping"/>
            </w:r>
            <w:r>
              <w:rPr>
                <w:rFonts w:ascii="仿宋" w:hAnsi="仿宋" w:eastAsia="仿宋"/>
                <w:sz w:val="24"/>
              </w:rPr>
              <w:t>(</w:t>
            </w:r>
            <w:r>
              <w:rPr>
                <w:rFonts w:hint="eastAsia" w:ascii="仿宋" w:hAnsi="仿宋" w:eastAsia="仿宋"/>
                <w:sz w:val="24"/>
              </w:rPr>
              <w:t>资料性</w:t>
            </w:r>
            <w:r>
              <w:rPr>
                <w:rFonts w:ascii="仿宋" w:hAnsi="仿宋" w:eastAsia="仿宋"/>
                <w:sz w:val="24"/>
              </w:rPr>
              <w:t>)</w:t>
            </w:r>
            <w:r>
              <w:rPr>
                <w:rFonts w:ascii="仿宋" w:hAnsi="仿宋" w:eastAsia="仿宋"/>
                <w:sz w:val="24"/>
              </w:rPr>
              <w:br w:type="textWrapping"/>
            </w:r>
            <w:r>
              <w:rPr>
                <w:rFonts w:hint="eastAsia" w:ascii="仿宋" w:hAnsi="仿宋" w:eastAsia="仿宋"/>
                <w:sz w:val="24"/>
              </w:rPr>
              <w:t>定量风险评价法</w:t>
            </w:r>
          </w:p>
        </w:tc>
        <w:tc>
          <w:tcPr>
            <w:tcW w:w="1473" w:type="pct"/>
            <w:shd w:val="clear" w:color="auto" w:fill="FFFFFF" w:themeFill="background1"/>
            <w:vAlign w:val="center"/>
          </w:tcPr>
          <w:p w14:paraId="776FBEE5">
            <w:pPr>
              <w:jc w:val="left"/>
              <w:textAlignment w:val="center"/>
              <w:rPr>
                <w:rFonts w:hint="eastAsia" w:ascii="仿宋" w:hAnsi="仿宋" w:eastAsia="仿宋" w:cs="微软雅黑"/>
                <w:sz w:val="24"/>
              </w:rPr>
            </w:pPr>
          </w:p>
        </w:tc>
        <w:tc>
          <w:tcPr>
            <w:tcW w:w="768" w:type="pct"/>
            <w:shd w:val="clear" w:color="auto" w:fill="FFFFFF" w:themeFill="background1"/>
            <w:vAlign w:val="center"/>
          </w:tcPr>
          <w:p w14:paraId="14FB4C9B">
            <w:pPr>
              <w:jc w:val="left"/>
              <w:textAlignment w:val="center"/>
              <w:rPr>
                <w:rFonts w:hint="eastAsia" w:ascii="仿宋" w:hAnsi="仿宋" w:eastAsia="仿宋" w:cs="微软雅黑"/>
                <w:sz w:val="24"/>
              </w:rPr>
            </w:pPr>
            <w:r>
              <w:rPr>
                <w:rFonts w:hint="eastAsia" w:ascii="仿宋" w:hAnsi="仿宋" w:eastAsia="仿宋" w:cs="微软雅黑"/>
                <w:sz w:val="24"/>
              </w:rPr>
              <w:t>增加了陆上油气长输管道定量风险评价计算程序。</w:t>
            </w:r>
          </w:p>
        </w:tc>
      </w:tr>
      <w:tr w14:paraId="65C55C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04740BCB">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72F52543">
            <w:pPr>
              <w:jc w:val="center"/>
              <w:textAlignment w:val="center"/>
              <w:rPr>
                <w:rFonts w:hint="eastAsia" w:ascii="仿宋" w:hAnsi="仿宋" w:eastAsia="仿宋" w:cs="微软雅黑"/>
                <w:sz w:val="24"/>
              </w:rPr>
            </w:pPr>
          </w:p>
        </w:tc>
        <w:tc>
          <w:tcPr>
            <w:tcW w:w="1479" w:type="pct"/>
            <w:shd w:val="clear" w:color="auto" w:fill="FFFFFF" w:themeFill="background1"/>
            <w:vAlign w:val="center"/>
          </w:tcPr>
          <w:p w14:paraId="41A37639">
            <w:pPr>
              <w:jc w:val="left"/>
              <w:textAlignment w:val="center"/>
              <w:rPr>
                <w:rFonts w:hint="eastAsia" w:ascii="仿宋" w:hAnsi="仿宋" w:eastAsia="仿宋" w:cs="微软雅黑"/>
                <w:sz w:val="24"/>
              </w:rPr>
            </w:pPr>
          </w:p>
        </w:tc>
        <w:tc>
          <w:tcPr>
            <w:tcW w:w="578" w:type="pct"/>
            <w:shd w:val="clear" w:color="auto" w:fill="FFFFFF" w:themeFill="background1"/>
            <w:noWrap/>
            <w:vAlign w:val="center"/>
          </w:tcPr>
          <w:p w14:paraId="36FB3E5A">
            <w:pPr>
              <w:jc w:val="center"/>
              <w:textAlignment w:val="center"/>
              <w:rPr>
                <w:rFonts w:hint="eastAsia" w:ascii="仿宋" w:hAnsi="仿宋" w:eastAsia="仿宋"/>
                <w:sz w:val="24"/>
              </w:rPr>
            </w:pPr>
            <w:r>
              <w:rPr>
                <w:rFonts w:hint="eastAsia" w:ascii="仿宋" w:hAnsi="仿宋" w:eastAsia="仿宋"/>
                <w:sz w:val="24"/>
              </w:rPr>
              <w:t>附录C</w:t>
            </w:r>
            <w:r>
              <w:rPr>
                <w:rFonts w:ascii="仿宋" w:hAnsi="仿宋" w:eastAsia="仿宋"/>
                <w:sz w:val="24"/>
              </w:rPr>
              <w:br w:type="textWrapping"/>
            </w:r>
            <w:r>
              <w:rPr>
                <w:rFonts w:ascii="仿宋" w:hAnsi="仿宋" w:eastAsia="仿宋"/>
                <w:sz w:val="24"/>
              </w:rPr>
              <w:t>(</w:t>
            </w:r>
            <w:r>
              <w:rPr>
                <w:rFonts w:hint="eastAsia" w:ascii="仿宋" w:hAnsi="仿宋" w:eastAsia="仿宋"/>
                <w:sz w:val="24"/>
              </w:rPr>
              <w:t>规范性</w:t>
            </w:r>
            <w:r>
              <w:rPr>
                <w:rFonts w:ascii="仿宋" w:hAnsi="仿宋" w:eastAsia="仿宋"/>
                <w:sz w:val="24"/>
              </w:rPr>
              <w:t>)</w:t>
            </w:r>
            <w:r>
              <w:rPr>
                <w:rFonts w:ascii="仿宋" w:hAnsi="仿宋" w:eastAsia="仿宋"/>
                <w:sz w:val="24"/>
              </w:rPr>
              <w:br w:type="textWrapping"/>
            </w:r>
            <w:r>
              <w:rPr>
                <w:rFonts w:hint="eastAsia" w:ascii="仿宋" w:hAnsi="仿宋" w:eastAsia="仿宋"/>
                <w:sz w:val="24"/>
              </w:rPr>
              <w:t>个人风险基准</w:t>
            </w:r>
          </w:p>
        </w:tc>
        <w:tc>
          <w:tcPr>
            <w:tcW w:w="1473" w:type="pct"/>
            <w:shd w:val="clear" w:color="auto" w:fill="FFFFFF" w:themeFill="background1"/>
            <w:vAlign w:val="center"/>
          </w:tcPr>
          <w:p w14:paraId="5F93CDC6">
            <w:pPr>
              <w:jc w:val="left"/>
              <w:textAlignment w:val="center"/>
              <w:rPr>
                <w:rFonts w:hint="eastAsia" w:ascii="仿宋" w:hAnsi="仿宋" w:eastAsia="仿宋" w:cs="微软雅黑"/>
                <w:sz w:val="24"/>
              </w:rPr>
            </w:pPr>
          </w:p>
        </w:tc>
        <w:tc>
          <w:tcPr>
            <w:tcW w:w="768" w:type="pct"/>
            <w:shd w:val="clear" w:color="auto" w:fill="FFFFFF" w:themeFill="background1"/>
            <w:vAlign w:val="center"/>
          </w:tcPr>
          <w:p w14:paraId="4449FEEB">
            <w:pPr>
              <w:jc w:val="left"/>
              <w:textAlignment w:val="center"/>
              <w:rPr>
                <w:rFonts w:hint="eastAsia" w:ascii="仿宋" w:hAnsi="仿宋" w:eastAsia="仿宋" w:cs="微软雅黑"/>
                <w:sz w:val="24"/>
              </w:rPr>
            </w:pPr>
            <w:r>
              <w:rPr>
                <w:rFonts w:hint="eastAsia" w:ascii="仿宋" w:hAnsi="仿宋" w:eastAsia="仿宋" w:cs="微软雅黑"/>
                <w:sz w:val="24"/>
              </w:rPr>
              <w:t>增加了陆上油气长输管道定量风险评价的个人风险基准。</w:t>
            </w:r>
          </w:p>
        </w:tc>
      </w:tr>
      <w:tr w14:paraId="6DC101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5F8CDA54">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39A0BDDB">
            <w:pPr>
              <w:jc w:val="center"/>
              <w:textAlignment w:val="center"/>
              <w:rPr>
                <w:rFonts w:hint="eastAsia" w:ascii="仿宋" w:hAnsi="仿宋" w:eastAsia="仿宋" w:cs="微软雅黑"/>
                <w:sz w:val="24"/>
              </w:rPr>
            </w:pPr>
            <w:r>
              <w:rPr>
                <w:rFonts w:hint="eastAsia" w:ascii="仿宋" w:hAnsi="仿宋" w:eastAsia="仿宋"/>
                <w:sz w:val="24"/>
              </w:rPr>
              <w:t>附录B</w:t>
            </w:r>
            <w:r>
              <w:rPr>
                <w:rFonts w:ascii="仿宋" w:hAnsi="仿宋" w:eastAsia="仿宋"/>
                <w:color w:val="000000" w:themeColor="text1"/>
                <w:sz w:val="24"/>
                <w14:textFill>
                  <w14:solidFill>
                    <w14:schemeClr w14:val="tx1"/>
                  </w14:solidFill>
                </w14:textFill>
              </w:rPr>
              <w:br w:type="textWrapping"/>
            </w:r>
            <w:bookmarkStart w:id="361" w:name="_Toc535332696"/>
            <w:r>
              <w:rPr>
                <w:rFonts w:ascii="仿宋" w:hAnsi="仿宋" w:eastAsia="仿宋"/>
                <w:color w:val="000000" w:themeColor="text1"/>
                <w:sz w:val="24"/>
                <w14:textFill>
                  <w14:solidFill>
                    <w14:schemeClr w14:val="tx1"/>
                  </w14:solidFill>
                </w14:textFill>
              </w:rPr>
              <w:t>(</w:t>
            </w:r>
            <w:r>
              <w:rPr>
                <w:rFonts w:hint="eastAsia" w:ascii="仿宋" w:hAnsi="仿宋" w:eastAsia="仿宋"/>
                <w:color w:val="000000" w:themeColor="text1"/>
                <w:sz w:val="24"/>
                <w14:textFill>
                  <w14:solidFill>
                    <w14:schemeClr w14:val="tx1"/>
                  </w14:solidFill>
                </w14:textFill>
              </w:rPr>
              <w:t>规范性附录</w:t>
            </w:r>
            <w:r>
              <w:rPr>
                <w:rFonts w:ascii="仿宋" w:hAnsi="仿宋" w:eastAsia="仿宋"/>
                <w:color w:val="000000" w:themeColor="text1"/>
                <w:sz w:val="24"/>
                <w14:textFill>
                  <w14:solidFill>
                    <w14:schemeClr w14:val="tx1"/>
                  </w14:solidFill>
                </w14:textFill>
              </w:rPr>
              <w:t>)</w:t>
            </w:r>
            <w:r>
              <w:rPr>
                <w:rFonts w:ascii="仿宋" w:hAnsi="仿宋" w:eastAsia="仿宋"/>
                <w:color w:val="000000" w:themeColor="text1"/>
                <w:sz w:val="24"/>
                <w14:textFill>
                  <w14:solidFill>
                    <w14:schemeClr w14:val="tx1"/>
                  </w14:solidFill>
                </w14:textFill>
              </w:rPr>
              <w:br w:type="textWrapping"/>
            </w:r>
            <w:r>
              <w:rPr>
                <w:rFonts w:hint="eastAsia" w:ascii="仿宋" w:hAnsi="仿宋" w:eastAsia="仿宋"/>
                <w:color w:val="000000" w:themeColor="text1"/>
                <w:sz w:val="24"/>
                <w14:textFill>
                  <w14:solidFill>
                    <w14:schemeClr w14:val="tx1"/>
                  </w14:solidFill>
                </w14:textFill>
              </w:rPr>
              <w:t>安全评价报告封面格式</w:t>
            </w:r>
            <w:bookmarkEnd w:id="361"/>
          </w:p>
        </w:tc>
        <w:tc>
          <w:tcPr>
            <w:tcW w:w="1479" w:type="pct"/>
            <w:shd w:val="clear" w:color="auto" w:fill="FFFFFF" w:themeFill="background1"/>
            <w:vAlign w:val="center"/>
          </w:tcPr>
          <w:p w14:paraId="66A03F44">
            <w:pPr>
              <w:jc w:val="left"/>
              <w:textAlignment w:val="center"/>
              <w:rPr>
                <w:rFonts w:hint="eastAsia" w:ascii="仿宋" w:hAnsi="仿宋" w:eastAsia="仿宋" w:cs="微软雅黑"/>
                <w:sz w:val="24"/>
              </w:rPr>
            </w:pPr>
          </w:p>
        </w:tc>
        <w:tc>
          <w:tcPr>
            <w:tcW w:w="578" w:type="pct"/>
            <w:shd w:val="clear" w:color="auto" w:fill="FFFFFF" w:themeFill="background1"/>
            <w:noWrap/>
            <w:vAlign w:val="center"/>
          </w:tcPr>
          <w:p w14:paraId="2CA80333">
            <w:pPr>
              <w:jc w:val="center"/>
              <w:textAlignment w:val="center"/>
              <w:rPr>
                <w:rFonts w:hint="eastAsia" w:ascii="仿宋" w:hAnsi="仿宋" w:eastAsia="仿宋" w:cs="微软雅黑"/>
                <w:sz w:val="24"/>
              </w:rPr>
            </w:pPr>
            <w:r>
              <w:rPr>
                <w:rFonts w:hint="eastAsia" w:ascii="仿宋" w:hAnsi="仿宋" w:eastAsia="仿宋"/>
                <w:sz w:val="24"/>
              </w:rPr>
              <w:t>附录D</w:t>
            </w:r>
            <w:r>
              <w:rPr>
                <w:rFonts w:ascii="仿宋" w:hAnsi="仿宋" w:eastAsia="仿宋"/>
                <w:color w:val="000000" w:themeColor="text1"/>
                <w:sz w:val="24"/>
                <w14:textFill>
                  <w14:solidFill>
                    <w14:schemeClr w14:val="tx1"/>
                  </w14:solidFill>
                </w14:textFill>
              </w:rPr>
              <w:br w:type="textWrapping"/>
            </w:r>
            <w:r>
              <w:rPr>
                <w:rFonts w:ascii="仿宋" w:hAnsi="仿宋" w:eastAsia="仿宋"/>
                <w:color w:val="000000" w:themeColor="text1"/>
                <w:sz w:val="24"/>
                <w14:textFill>
                  <w14:solidFill>
                    <w14:schemeClr w14:val="tx1"/>
                  </w14:solidFill>
                </w14:textFill>
              </w:rPr>
              <w:t>(</w:t>
            </w:r>
            <w:r>
              <w:rPr>
                <w:rFonts w:hint="eastAsia" w:ascii="仿宋" w:hAnsi="仿宋" w:eastAsia="仿宋"/>
                <w:color w:val="000000" w:themeColor="text1"/>
                <w:sz w:val="24"/>
                <w14:textFill>
                  <w14:solidFill>
                    <w14:schemeClr w14:val="tx1"/>
                  </w14:solidFill>
                </w14:textFill>
              </w:rPr>
              <w:t>规范性</w:t>
            </w:r>
            <w:r>
              <w:rPr>
                <w:rFonts w:ascii="仿宋" w:hAnsi="仿宋" w:eastAsia="仿宋"/>
                <w:color w:val="000000" w:themeColor="text1"/>
                <w:sz w:val="24"/>
                <w14:textFill>
                  <w14:solidFill>
                    <w14:schemeClr w14:val="tx1"/>
                  </w14:solidFill>
                </w14:textFill>
              </w:rPr>
              <w:t>)</w:t>
            </w:r>
            <w:r>
              <w:rPr>
                <w:rFonts w:ascii="仿宋" w:hAnsi="仿宋" w:eastAsia="仿宋"/>
                <w:color w:val="000000" w:themeColor="text1"/>
                <w:sz w:val="24"/>
                <w14:textFill>
                  <w14:solidFill>
                    <w14:schemeClr w14:val="tx1"/>
                  </w14:solidFill>
                </w14:textFill>
              </w:rPr>
              <w:br w:type="textWrapping"/>
            </w:r>
            <w:r>
              <w:rPr>
                <w:rFonts w:hint="eastAsia" w:ascii="仿宋" w:hAnsi="仿宋" w:eastAsia="仿宋"/>
                <w:color w:val="000000" w:themeColor="text1"/>
                <w:sz w:val="24"/>
                <w14:textFill>
                  <w14:solidFill>
                    <w14:schemeClr w14:val="tx1"/>
                  </w14:solidFill>
                </w14:textFill>
              </w:rPr>
              <w:t>安全预评价报告封面格式</w:t>
            </w:r>
          </w:p>
        </w:tc>
        <w:tc>
          <w:tcPr>
            <w:tcW w:w="1473" w:type="pct"/>
            <w:shd w:val="clear" w:color="auto" w:fill="FFFFFF" w:themeFill="background1"/>
            <w:vAlign w:val="center"/>
          </w:tcPr>
          <w:p w14:paraId="448F79CB">
            <w:pPr>
              <w:jc w:val="left"/>
              <w:textAlignment w:val="center"/>
              <w:rPr>
                <w:rFonts w:hint="eastAsia" w:ascii="仿宋" w:hAnsi="仿宋" w:eastAsia="仿宋" w:cs="微软雅黑"/>
                <w:sz w:val="24"/>
              </w:rPr>
            </w:pPr>
          </w:p>
        </w:tc>
        <w:tc>
          <w:tcPr>
            <w:tcW w:w="768" w:type="pct"/>
            <w:shd w:val="clear" w:color="auto" w:fill="FFFFFF" w:themeFill="background1"/>
            <w:vAlign w:val="center"/>
          </w:tcPr>
          <w:p w14:paraId="4F403869">
            <w:pPr>
              <w:jc w:val="left"/>
              <w:textAlignment w:val="center"/>
              <w:rPr>
                <w:rFonts w:hint="eastAsia" w:ascii="仿宋" w:hAnsi="仿宋" w:eastAsia="仿宋" w:cs="微软雅黑"/>
                <w:sz w:val="24"/>
              </w:rPr>
            </w:pPr>
            <w:r>
              <w:rPr>
                <w:rFonts w:hint="eastAsia" w:ascii="仿宋" w:hAnsi="仿宋" w:eastAsia="仿宋" w:cs="微软雅黑"/>
                <w:sz w:val="24"/>
              </w:rPr>
              <w:t>进一步规范了报告封面格式，调整为建设单位公章。</w:t>
            </w:r>
          </w:p>
        </w:tc>
      </w:tr>
      <w:tr w14:paraId="5ABBC5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20734BD2">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02307AA7">
            <w:pPr>
              <w:jc w:val="center"/>
              <w:textAlignment w:val="center"/>
              <w:rPr>
                <w:rFonts w:hint="eastAsia" w:ascii="仿宋" w:hAnsi="仿宋" w:eastAsia="仿宋"/>
                <w:sz w:val="24"/>
              </w:rPr>
            </w:pPr>
            <w:bookmarkStart w:id="362" w:name="_Toc535332697"/>
            <w:r>
              <w:rPr>
                <w:rFonts w:hint="eastAsia" w:ascii="仿宋" w:hAnsi="仿宋" w:eastAsia="仿宋"/>
                <w:sz w:val="24"/>
              </w:rPr>
              <w:t>附录C</w:t>
            </w:r>
          </w:p>
          <w:p w14:paraId="18DE1776">
            <w:pPr>
              <w:jc w:val="center"/>
              <w:textAlignment w:val="center"/>
              <w:rPr>
                <w:rFonts w:hint="eastAsia" w:ascii="仿宋" w:hAnsi="仿宋" w:eastAsia="仿宋" w:cs="微软雅黑"/>
                <w:sz w:val="24"/>
              </w:rPr>
            </w:pPr>
            <w:r>
              <w:rPr>
                <w:rFonts w:ascii="仿宋" w:hAnsi="仿宋" w:eastAsia="仿宋"/>
                <w:color w:val="000000" w:themeColor="text1"/>
                <w:sz w:val="24"/>
                <w14:textFill>
                  <w14:solidFill>
                    <w14:schemeClr w14:val="tx1"/>
                  </w14:solidFill>
                </w14:textFill>
              </w:rPr>
              <w:t>(</w:t>
            </w:r>
            <w:r>
              <w:rPr>
                <w:rFonts w:hint="eastAsia" w:ascii="仿宋" w:hAnsi="仿宋" w:eastAsia="仿宋"/>
                <w:color w:val="000000" w:themeColor="text1"/>
                <w:sz w:val="24"/>
                <w14:textFill>
                  <w14:solidFill>
                    <w14:schemeClr w14:val="tx1"/>
                  </w14:solidFill>
                </w14:textFill>
              </w:rPr>
              <w:t>规范性附录</w:t>
            </w:r>
            <w:r>
              <w:rPr>
                <w:rFonts w:ascii="仿宋" w:hAnsi="仿宋" w:eastAsia="仿宋"/>
                <w:color w:val="000000" w:themeColor="text1"/>
                <w:sz w:val="24"/>
                <w14:textFill>
                  <w14:solidFill>
                    <w14:schemeClr w14:val="tx1"/>
                  </w14:solidFill>
                </w14:textFill>
              </w:rPr>
              <w:t>)</w:t>
            </w:r>
            <w:r>
              <w:rPr>
                <w:rFonts w:ascii="仿宋" w:hAnsi="仿宋" w:eastAsia="仿宋"/>
                <w:color w:val="000000" w:themeColor="text1"/>
                <w:sz w:val="24"/>
                <w14:textFill>
                  <w14:solidFill>
                    <w14:schemeClr w14:val="tx1"/>
                  </w14:solidFill>
                </w14:textFill>
              </w:rPr>
              <w:br w:type="textWrapping"/>
            </w:r>
            <w:r>
              <w:rPr>
                <w:rFonts w:hint="eastAsia" w:ascii="仿宋" w:hAnsi="仿宋" w:eastAsia="仿宋"/>
                <w:color w:val="000000" w:themeColor="text1"/>
                <w:sz w:val="24"/>
                <w14:textFill>
                  <w14:solidFill>
                    <w14:schemeClr w14:val="tx1"/>
                  </w14:solidFill>
                </w14:textFill>
              </w:rPr>
              <w:t>安全评价报告扉页格式</w:t>
            </w:r>
            <w:bookmarkEnd w:id="362"/>
          </w:p>
        </w:tc>
        <w:tc>
          <w:tcPr>
            <w:tcW w:w="1479" w:type="pct"/>
            <w:shd w:val="clear" w:color="auto" w:fill="FFFFFF" w:themeFill="background1"/>
            <w:vAlign w:val="center"/>
          </w:tcPr>
          <w:p w14:paraId="1B36C597">
            <w:pPr>
              <w:jc w:val="left"/>
              <w:textAlignment w:val="center"/>
              <w:rPr>
                <w:rFonts w:hint="eastAsia" w:ascii="仿宋" w:hAnsi="仿宋" w:eastAsia="仿宋" w:cs="微软雅黑"/>
                <w:sz w:val="24"/>
              </w:rPr>
            </w:pPr>
          </w:p>
        </w:tc>
        <w:tc>
          <w:tcPr>
            <w:tcW w:w="578" w:type="pct"/>
            <w:shd w:val="clear" w:color="auto" w:fill="FFFFFF" w:themeFill="background1"/>
            <w:noWrap/>
            <w:vAlign w:val="center"/>
          </w:tcPr>
          <w:p w14:paraId="1F46F36C">
            <w:pPr>
              <w:jc w:val="center"/>
              <w:textAlignment w:val="center"/>
              <w:rPr>
                <w:rFonts w:hint="eastAsia" w:ascii="仿宋" w:hAnsi="仿宋" w:eastAsia="仿宋"/>
                <w:sz w:val="24"/>
              </w:rPr>
            </w:pPr>
            <w:r>
              <w:rPr>
                <w:rFonts w:hint="eastAsia" w:ascii="仿宋" w:hAnsi="仿宋" w:eastAsia="仿宋"/>
                <w:sz w:val="24"/>
              </w:rPr>
              <w:t>附录E</w:t>
            </w:r>
          </w:p>
          <w:p w14:paraId="7FF5273C">
            <w:pPr>
              <w:jc w:val="center"/>
              <w:textAlignment w:val="center"/>
              <w:rPr>
                <w:rFonts w:hint="eastAsia" w:ascii="仿宋" w:hAnsi="仿宋" w:eastAsia="仿宋" w:cs="微软雅黑"/>
                <w:sz w:val="24"/>
              </w:rPr>
            </w:pPr>
            <w:r>
              <w:rPr>
                <w:rFonts w:ascii="仿宋" w:hAnsi="仿宋" w:eastAsia="仿宋"/>
                <w:color w:val="000000" w:themeColor="text1"/>
                <w:sz w:val="24"/>
                <w14:textFill>
                  <w14:solidFill>
                    <w14:schemeClr w14:val="tx1"/>
                  </w14:solidFill>
                </w14:textFill>
              </w:rPr>
              <w:t>(</w:t>
            </w:r>
            <w:r>
              <w:rPr>
                <w:rFonts w:hint="eastAsia" w:ascii="仿宋" w:hAnsi="仿宋" w:eastAsia="仿宋"/>
                <w:color w:val="000000" w:themeColor="text1"/>
                <w:sz w:val="24"/>
                <w14:textFill>
                  <w14:solidFill>
                    <w14:schemeClr w14:val="tx1"/>
                  </w14:solidFill>
                </w14:textFill>
              </w:rPr>
              <w:t>规范性</w:t>
            </w:r>
            <w:r>
              <w:rPr>
                <w:rFonts w:ascii="仿宋" w:hAnsi="仿宋" w:eastAsia="仿宋"/>
                <w:color w:val="000000" w:themeColor="text1"/>
                <w:sz w:val="24"/>
                <w14:textFill>
                  <w14:solidFill>
                    <w14:schemeClr w14:val="tx1"/>
                  </w14:solidFill>
                </w14:textFill>
              </w:rPr>
              <w:t>)</w:t>
            </w:r>
            <w:r>
              <w:rPr>
                <w:rFonts w:ascii="仿宋" w:hAnsi="仿宋" w:eastAsia="仿宋"/>
                <w:color w:val="000000" w:themeColor="text1"/>
                <w:sz w:val="24"/>
                <w14:textFill>
                  <w14:solidFill>
                    <w14:schemeClr w14:val="tx1"/>
                  </w14:solidFill>
                </w14:textFill>
              </w:rPr>
              <w:br w:type="textWrapping"/>
            </w:r>
            <w:r>
              <w:rPr>
                <w:rFonts w:hint="eastAsia" w:ascii="仿宋" w:hAnsi="仿宋" w:eastAsia="仿宋"/>
                <w:color w:val="000000" w:themeColor="text1"/>
                <w:sz w:val="24"/>
                <w14:textFill>
                  <w14:solidFill>
                    <w14:schemeClr w14:val="tx1"/>
                  </w14:solidFill>
                </w14:textFill>
              </w:rPr>
              <w:t>安全预评价报告扉页格式</w:t>
            </w:r>
          </w:p>
        </w:tc>
        <w:tc>
          <w:tcPr>
            <w:tcW w:w="1473" w:type="pct"/>
            <w:shd w:val="clear" w:color="auto" w:fill="FFFFFF" w:themeFill="background1"/>
            <w:vAlign w:val="center"/>
          </w:tcPr>
          <w:p w14:paraId="7AEF210E">
            <w:pPr>
              <w:jc w:val="left"/>
              <w:textAlignment w:val="center"/>
              <w:rPr>
                <w:rFonts w:hint="eastAsia" w:ascii="仿宋" w:hAnsi="仿宋" w:eastAsia="仿宋" w:cs="微软雅黑"/>
                <w:sz w:val="24"/>
              </w:rPr>
            </w:pPr>
          </w:p>
        </w:tc>
        <w:tc>
          <w:tcPr>
            <w:tcW w:w="768" w:type="pct"/>
            <w:shd w:val="clear" w:color="auto" w:fill="FFFFFF" w:themeFill="background1"/>
            <w:vAlign w:val="center"/>
          </w:tcPr>
          <w:p w14:paraId="42D40475">
            <w:pPr>
              <w:jc w:val="left"/>
              <w:textAlignment w:val="center"/>
              <w:rPr>
                <w:rFonts w:hint="eastAsia" w:ascii="仿宋" w:hAnsi="仿宋" w:eastAsia="仿宋" w:cs="微软雅黑"/>
                <w:sz w:val="24"/>
              </w:rPr>
            </w:pPr>
            <w:r>
              <w:rPr>
                <w:rFonts w:hint="eastAsia" w:ascii="仿宋" w:hAnsi="仿宋" w:eastAsia="仿宋" w:cs="微软雅黑"/>
                <w:sz w:val="24"/>
              </w:rPr>
              <w:t>进一步规范了扉页格式。</w:t>
            </w:r>
          </w:p>
        </w:tc>
      </w:tr>
      <w:tr w14:paraId="65EF5A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70911CDE">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0A0D54AE">
            <w:pPr>
              <w:jc w:val="center"/>
              <w:textAlignment w:val="center"/>
              <w:rPr>
                <w:rFonts w:hint="eastAsia" w:ascii="仿宋" w:hAnsi="仿宋" w:eastAsia="仿宋"/>
                <w:sz w:val="24"/>
              </w:rPr>
            </w:pPr>
            <w:r>
              <w:rPr>
                <w:rFonts w:hint="eastAsia" w:ascii="仿宋" w:hAnsi="仿宋" w:eastAsia="仿宋"/>
                <w:sz w:val="24"/>
              </w:rPr>
              <w:t>附录D</w:t>
            </w:r>
          </w:p>
          <w:p w14:paraId="3C765D92">
            <w:pPr>
              <w:jc w:val="center"/>
              <w:textAlignment w:val="center"/>
              <w:rPr>
                <w:rFonts w:hint="eastAsia" w:ascii="仿宋" w:hAnsi="仿宋" w:eastAsia="仿宋" w:cs="微软雅黑"/>
                <w:sz w:val="24"/>
              </w:rPr>
            </w:pPr>
            <w:r>
              <w:rPr>
                <w:rFonts w:ascii="仿宋" w:hAnsi="仿宋" w:eastAsia="仿宋"/>
                <w:color w:val="000000" w:themeColor="text1"/>
                <w:sz w:val="24"/>
                <w14:textFill>
                  <w14:solidFill>
                    <w14:schemeClr w14:val="tx1"/>
                  </w14:solidFill>
                </w14:textFill>
              </w:rPr>
              <w:t>(</w:t>
            </w:r>
            <w:r>
              <w:rPr>
                <w:rFonts w:hint="eastAsia" w:ascii="仿宋" w:hAnsi="仿宋" w:eastAsia="仿宋"/>
                <w:color w:val="000000" w:themeColor="text1"/>
                <w:sz w:val="24"/>
                <w14:textFill>
                  <w14:solidFill>
                    <w14:schemeClr w14:val="tx1"/>
                  </w14:solidFill>
                </w14:textFill>
              </w:rPr>
              <w:t>规范性附录</w:t>
            </w:r>
            <w:r>
              <w:rPr>
                <w:rFonts w:ascii="仿宋" w:hAnsi="仿宋" w:eastAsia="仿宋"/>
                <w:color w:val="000000" w:themeColor="text1"/>
                <w:sz w:val="24"/>
                <w14:textFill>
                  <w14:solidFill>
                    <w14:schemeClr w14:val="tx1"/>
                  </w14:solidFill>
                </w14:textFill>
              </w:rPr>
              <w:t>)</w:t>
            </w:r>
            <w:r>
              <w:rPr>
                <w:rFonts w:ascii="仿宋" w:hAnsi="仿宋" w:eastAsia="仿宋"/>
                <w:color w:val="000000" w:themeColor="text1"/>
                <w:sz w:val="24"/>
                <w14:textFill>
                  <w14:solidFill>
                    <w14:schemeClr w14:val="tx1"/>
                  </w14:solidFill>
                </w14:textFill>
              </w:rPr>
              <w:br w:type="textWrapping"/>
            </w:r>
            <w:r>
              <w:rPr>
                <w:rFonts w:hint="eastAsia" w:ascii="仿宋" w:hAnsi="仿宋" w:eastAsia="仿宋"/>
                <w:color w:val="000000" w:themeColor="text1"/>
                <w:sz w:val="24"/>
                <w14:textFill>
                  <w14:solidFill>
                    <w14:schemeClr w14:val="tx1"/>
                  </w14:solidFill>
                </w14:textFill>
              </w:rPr>
              <w:t>安全评价报告评价人员名单格式</w:t>
            </w:r>
          </w:p>
        </w:tc>
        <w:tc>
          <w:tcPr>
            <w:tcW w:w="1479" w:type="pct"/>
            <w:shd w:val="clear" w:color="auto" w:fill="FFFFFF" w:themeFill="background1"/>
            <w:vAlign w:val="center"/>
          </w:tcPr>
          <w:p w14:paraId="23F07305">
            <w:pPr>
              <w:jc w:val="left"/>
              <w:textAlignment w:val="center"/>
              <w:rPr>
                <w:rFonts w:hint="eastAsia" w:ascii="仿宋" w:hAnsi="仿宋" w:eastAsia="仿宋" w:cs="微软雅黑"/>
                <w:sz w:val="24"/>
              </w:rPr>
            </w:pPr>
          </w:p>
        </w:tc>
        <w:tc>
          <w:tcPr>
            <w:tcW w:w="578" w:type="pct"/>
            <w:shd w:val="clear" w:color="auto" w:fill="FFFFFF" w:themeFill="background1"/>
            <w:noWrap/>
            <w:vAlign w:val="center"/>
          </w:tcPr>
          <w:p w14:paraId="5A795D82">
            <w:pPr>
              <w:jc w:val="center"/>
              <w:textAlignment w:val="center"/>
              <w:rPr>
                <w:rFonts w:hint="eastAsia" w:ascii="仿宋" w:hAnsi="仿宋" w:eastAsia="仿宋"/>
                <w:sz w:val="24"/>
              </w:rPr>
            </w:pPr>
            <w:r>
              <w:rPr>
                <w:rFonts w:hint="eastAsia" w:ascii="仿宋" w:hAnsi="仿宋" w:eastAsia="仿宋"/>
                <w:sz w:val="24"/>
              </w:rPr>
              <w:t>附录F</w:t>
            </w:r>
          </w:p>
          <w:p w14:paraId="7D052422">
            <w:pPr>
              <w:jc w:val="center"/>
              <w:textAlignment w:val="center"/>
              <w:rPr>
                <w:rFonts w:hint="eastAsia" w:ascii="仿宋" w:hAnsi="仿宋" w:eastAsia="仿宋" w:cs="微软雅黑"/>
                <w:sz w:val="24"/>
              </w:rPr>
            </w:pPr>
            <w:r>
              <w:rPr>
                <w:rFonts w:ascii="仿宋" w:hAnsi="仿宋" w:eastAsia="仿宋"/>
                <w:color w:val="000000" w:themeColor="text1"/>
                <w:sz w:val="24"/>
                <w14:textFill>
                  <w14:solidFill>
                    <w14:schemeClr w14:val="tx1"/>
                  </w14:solidFill>
                </w14:textFill>
              </w:rPr>
              <w:t>(</w:t>
            </w:r>
            <w:r>
              <w:rPr>
                <w:rFonts w:hint="eastAsia" w:ascii="仿宋" w:hAnsi="仿宋" w:eastAsia="仿宋"/>
                <w:color w:val="000000" w:themeColor="text1"/>
                <w:sz w:val="24"/>
                <w14:textFill>
                  <w14:solidFill>
                    <w14:schemeClr w14:val="tx1"/>
                  </w14:solidFill>
                </w14:textFill>
              </w:rPr>
              <w:t>规范性</w:t>
            </w:r>
            <w:r>
              <w:rPr>
                <w:rFonts w:ascii="仿宋" w:hAnsi="仿宋" w:eastAsia="仿宋"/>
                <w:color w:val="000000" w:themeColor="text1"/>
                <w:sz w:val="24"/>
                <w14:textFill>
                  <w14:solidFill>
                    <w14:schemeClr w14:val="tx1"/>
                  </w14:solidFill>
                </w14:textFill>
              </w:rPr>
              <w:t>)</w:t>
            </w:r>
            <w:r>
              <w:rPr>
                <w:rFonts w:ascii="仿宋" w:hAnsi="仿宋" w:eastAsia="仿宋"/>
                <w:color w:val="000000" w:themeColor="text1"/>
                <w:sz w:val="24"/>
                <w14:textFill>
                  <w14:solidFill>
                    <w14:schemeClr w14:val="tx1"/>
                  </w14:solidFill>
                </w14:textFill>
              </w:rPr>
              <w:br w:type="textWrapping"/>
            </w:r>
            <w:r>
              <w:rPr>
                <w:rFonts w:hint="eastAsia" w:ascii="仿宋" w:hAnsi="仿宋" w:eastAsia="仿宋"/>
                <w:color w:val="000000" w:themeColor="text1"/>
                <w:sz w:val="24"/>
                <w14:textFill>
                  <w14:solidFill>
                    <w14:schemeClr w14:val="tx1"/>
                  </w14:solidFill>
                </w14:textFill>
              </w:rPr>
              <w:t>安全预评价报告评价人员名单格式</w:t>
            </w:r>
          </w:p>
        </w:tc>
        <w:tc>
          <w:tcPr>
            <w:tcW w:w="1473" w:type="pct"/>
            <w:shd w:val="clear" w:color="auto" w:fill="FFFFFF" w:themeFill="background1"/>
            <w:vAlign w:val="center"/>
          </w:tcPr>
          <w:p w14:paraId="4948195F">
            <w:pPr>
              <w:jc w:val="left"/>
              <w:textAlignment w:val="center"/>
              <w:rPr>
                <w:rFonts w:hint="eastAsia" w:ascii="仿宋" w:hAnsi="仿宋" w:eastAsia="仿宋" w:cs="微软雅黑"/>
                <w:sz w:val="24"/>
              </w:rPr>
            </w:pPr>
          </w:p>
        </w:tc>
        <w:tc>
          <w:tcPr>
            <w:tcW w:w="768" w:type="pct"/>
            <w:shd w:val="clear" w:color="auto" w:fill="FFFFFF" w:themeFill="background1"/>
            <w:vAlign w:val="center"/>
          </w:tcPr>
          <w:p w14:paraId="6E023670">
            <w:pPr>
              <w:jc w:val="left"/>
              <w:textAlignment w:val="center"/>
              <w:rPr>
                <w:rFonts w:hint="eastAsia" w:ascii="仿宋" w:hAnsi="仿宋" w:eastAsia="仿宋" w:cs="微软雅黑"/>
                <w:sz w:val="24"/>
              </w:rPr>
            </w:pPr>
            <w:r>
              <w:rPr>
                <w:rFonts w:hint="eastAsia" w:ascii="仿宋" w:hAnsi="仿宋" w:eastAsia="仿宋" w:cs="微软雅黑"/>
                <w:sz w:val="24"/>
              </w:rPr>
              <w:t>进一步规范了表格形式。</w:t>
            </w:r>
          </w:p>
        </w:tc>
      </w:tr>
      <w:tr w14:paraId="762460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5" w:type="pct"/>
            <w:shd w:val="clear" w:color="auto" w:fill="FFFFFF" w:themeFill="background1"/>
            <w:noWrap/>
            <w:vAlign w:val="center"/>
          </w:tcPr>
          <w:p w14:paraId="2A654082">
            <w:pPr>
              <w:pStyle w:val="136"/>
              <w:widowControl/>
              <w:numPr>
                <w:ilvl w:val="0"/>
                <w:numId w:val="20"/>
              </w:numPr>
              <w:tabs>
                <w:tab w:val="left" w:pos="420"/>
              </w:tabs>
              <w:ind w:left="0" w:firstLine="0" w:firstLineChars="0"/>
              <w:jc w:val="center"/>
              <w:textAlignment w:val="center"/>
              <w:rPr>
                <w:rFonts w:hint="eastAsia" w:ascii="仿宋" w:hAnsi="仿宋" w:eastAsia="仿宋" w:cs="微软雅黑"/>
                <w:color w:val="000000"/>
                <w:sz w:val="24"/>
              </w:rPr>
            </w:pPr>
          </w:p>
        </w:tc>
        <w:tc>
          <w:tcPr>
            <w:tcW w:w="535" w:type="pct"/>
            <w:shd w:val="clear" w:color="auto" w:fill="FFFFFF" w:themeFill="background1"/>
            <w:noWrap/>
            <w:vAlign w:val="center"/>
          </w:tcPr>
          <w:p w14:paraId="0968821D">
            <w:pPr>
              <w:jc w:val="center"/>
              <w:textAlignment w:val="center"/>
              <w:rPr>
                <w:rFonts w:hint="eastAsia" w:ascii="仿宋" w:hAnsi="仿宋" w:eastAsia="仿宋" w:cs="微软雅黑"/>
                <w:sz w:val="24"/>
              </w:rPr>
            </w:pPr>
          </w:p>
        </w:tc>
        <w:tc>
          <w:tcPr>
            <w:tcW w:w="1479" w:type="pct"/>
            <w:shd w:val="clear" w:color="auto" w:fill="FFFFFF" w:themeFill="background1"/>
            <w:vAlign w:val="center"/>
          </w:tcPr>
          <w:p w14:paraId="09543F92">
            <w:pPr>
              <w:jc w:val="left"/>
              <w:textAlignment w:val="center"/>
              <w:rPr>
                <w:rFonts w:hint="eastAsia" w:ascii="仿宋" w:hAnsi="仿宋" w:eastAsia="仿宋" w:cs="微软雅黑"/>
                <w:sz w:val="24"/>
              </w:rPr>
            </w:pPr>
          </w:p>
        </w:tc>
        <w:tc>
          <w:tcPr>
            <w:tcW w:w="578" w:type="pct"/>
            <w:shd w:val="clear" w:color="auto" w:fill="FFFFFF" w:themeFill="background1"/>
            <w:noWrap/>
            <w:vAlign w:val="center"/>
          </w:tcPr>
          <w:p w14:paraId="00177DE3">
            <w:pPr>
              <w:jc w:val="center"/>
              <w:textAlignment w:val="center"/>
              <w:rPr>
                <w:rFonts w:hint="eastAsia" w:ascii="仿宋" w:hAnsi="仿宋" w:eastAsia="仿宋" w:cs="微软雅黑"/>
                <w:sz w:val="24"/>
              </w:rPr>
            </w:pPr>
            <w:r>
              <w:rPr>
                <w:rFonts w:hint="eastAsia" w:ascii="仿宋" w:hAnsi="仿宋" w:eastAsia="仿宋" w:cs="微软雅黑"/>
                <w:sz w:val="24"/>
              </w:rPr>
              <w:t>参考文献</w:t>
            </w:r>
          </w:p>
        </w:tc>
        <w:tc>
          <w:tcPr>
            <w:tcW w:w="1473" w:type="pct"/>
            <w:shd w:val="clear" w:color="auto" w:fill="FFFFFF" w:themeFill="background1"/>
            <w:vAlign w:val="center"/>
          </w:tcPr>
          <w:p w14:paraId="204529A2">
            <w:pPr>
              <w:jc w:val="left"/>
              <w:textAlignment w:val="center"/>
              <w:rPr>
                <w:rFonts w:hint="eastAsia" w:ascii="仿宋" w:hAnsi="仿宋" w:eastAsia="仿宋" w:cs="微软雅黑"/>
                <w:sz w:val="24"/>
              </w:rPr>
            </w:pPr>
          </w:p>
        </w:tc>
        <w:tc>
          <w:tcPr>
            <w:tcW w:w="768" w:type="pct"/>
            <w:shd w:val="clear" w:color="auto" w:fill="FFFFFF" w:themeFill="background1"/>
            <w:vAlign w:val="center"/>
          </w:tcPr>
          <w:p w14:paraId="185B003A">
            <w:pPr>
              <w:jc w:val="left"/>
              <w:textAlignment w:val="center"/>
              <w:rPr>
                <w:rFonts w:hint="eastAsia" w:ascii="仿宋" w:hAnsi="仿宋" w:eastAsia="仿宋" w:cs="微软雅黑"/>
                <w:sz w:val="24"/>
              </w:rPr>
            </w:pPr>
            <w:r>
              <w:rPr>
                <w:rFonts w:hint="eastAsia" w:ascii="仿宋" w:hAnsi="仿宋" w:eastAsia="仿宋" w:cs="微软雅黑"/>
                <w:sz w:val="24"/>
              </w:rPr>
              <w:t>增加了参考文献。</w:t>
            </w:r>
          </w:p>
        </w:tc>
      </w:tr>
    </w:tbl>
    <w:p w14:paraId="62DE2576">
      <w:pPr>
        <w:jc w:val="center"/>
        <w:rPr>
          <w:rFonts w:hint="eastAsia" w:asciiTheme="minorEastAsia" w:hAnsiTheme="minorEastAsia" w:eastAsiaTheme="minorEastAsia" w:cstheme="minorEastAsia"/>
          <w:b/>
          <w:bCs/>
          <w:sz w:val="32"/>
          <w:szCs w:val="32"/>
        </w:rPr>
      </w:pPr>
    </w:p>
    <w:p w14:paraId="632A5954">
      <w:pPr>
        <w:spacing w:line="360" w:lineRule="auto"/>
        <w:ind w:firstLine="640" w:firstLineChars="200"/>
        <w:rPr>
          <w:rFonts w:ascii="仿宋_GB2312" w:eastAsia="仿宋_GB2312"/>
          <w:sz w:val="32"/>
          <w:szCs w:val="32"/>
          <w:shd w:val="clear" w:color="auto" w:fill="FFFFFF"/>
        </w:rPr>
        <w:sectPr>
          <w:footerReference r:id="rId15" w:type="default"/>
          <w:pgSz w:w="16838" w:h="11906" w:orient="landscape"/>
          <w:pgMar w:top="1587" w:right="1701" w:bottom="1474" w:left="1474" w:header="851" w:footer="992" w:gutter="0"/>
          <w:pgNumType w:fmt="numberInDash" w:start="13"/>
          <w:cols w:space="720" w:num="1"/>
          <w:docGrid w:type="lines" w:linePitch="312" w:charSpace="0"/>
        </w:sectPr>
      </w:pPr>
    </w:p>
    <w:p w14:paraId="3E307821">
      <w:pPr>
        <w:spacing w:line="360" w:lineRule="auto"/>
        <w:ind w:firstLine="640" w:firstLineChars="200"/>
        <w:rPr>
          <w:rFonts w:ascii="仿宋_GB2312" w:eastAsia="仿宋_GB2312"/>
          <w:sz w:val="32"/>
          <w:szCs w:val="32"/>
          <w:shd w:val="clear" w:color="auto" w:fill="FFFFFF"/>
        </w:rPr>
      </w:pPr>
    </w:p>
    <w:p w14:paraId="647D51D8">
      <w:pPr>
        <w:spacing w:line="560" w:lineRule="exact"/>
        <w:ind w:firstLine="640" w:firstLineChars="200"/>
        <w:outlineLvl w:val="0"/>
        <w:rPr>
          <w:rFonts w:eastAsia="黑体"/>
          <w:sz w:val="32"/>
          <w:szCs w:val="32"/>
        </w:rPr>
      </w:pPr>
      <w:r>
        <w:rPr>
          <w:rFonts w:eastAsia="黑体"/>
          <w:sz w:val="32"/>
          <w:szCs w:val="32"/>
        </w:rPr>
        <w:t>三、试验验证的分析、综述报告、技术经济论证，预期的经济效益、社会效益和生态效益。</w:t>
      </w:r>
    </w:p>
    <w:p w14:paraId="36B9ACBA">
      <w:pPr>
        <w:spacing w:line="560" w:lineRule="exact"/>
        <w:ind w:firstLine="640" w:firstLineChars="200"/>
        <w:rPr>
          <w:rFonts w:eastAsia="仿宋_GB2312"/>
          <w:sz w:val="32"/>
          <w:szCs w:val="32"/>
          <w:shd w:val="clear" w:color="auto" w:fill="FFFFFF"/>
        </w:rPr>
      </w:pPr>
      <w:r>
        <w:rPr>
          <w:rFonts w:eastAsia="仿宋_GB2312"/>
          <w:sz w:val="32"/>
          <w:szCs w:val="32"/>
          <w:shd w:val="clear" w:color="auto" w:fill="FFFFFF"/>
        </w:rPr>
        <w:t>通过修订该标准，一方面可以解决近几年标准实施过程中发现的问题，另一方面可以进一步规范工程项目安全评价行为，大大减少评价过程中定性、定量评价环节的占用时间，提高评价效率。陆上石油天然气长输管道建设项目安全评价报告的规范化，将为油气管道的发展带来明显的经济效益和社会效益。</w:t>
      </w:r>
    </w:p>
    <w:p w14:paraId="0C242C92">
      <w:pPr>
        <w:numPr>
          <w:ilvl w:val="0"/>
          <w:numId w:val="22"/>
        </w:numPr>
        <w:spacing w:line="560" w:lineRule="exact"/>
        <w:ind w:firstLine="640" w:firstLineChars="200"/>
        <w:textAlignment w:val="auto"/>
        <w:outlineLvl w:val="0"/>
        <w:rPr>
          <w:rFonts w:eastAsia="黑体"/>
          <w:sz w:val="32"/>
          <w:szCs w:val="32"/>
        </w:rPr>
      </w:pPr>
      <w:r>
        <w:rPr>
          <w:rFonts w:eastAsia="黑体"/>
          <w:sz w:val="32"/>
          <w:szCs w:val="32"/>
        </w:rPr>
        <w:t>与国际、国外同类标准技术内容的对比情况</w:t>
      </w:r>
    </w:p>
    <w:p w14:paraId="62CE9E13">
      <w:pPr>
        <w:spacing w:line="560" w:lineRule="exact"/>
        <w:ind w:firstLine="640" w:firstLineChars="200"/>
        <w:rPr>
          <w:rFonts w:eastAsia="仿宋_GB2312"/>
          <w:sz w:val="32"/>
          <w:szCs w:val="32"/>
          <w:shd w:val="clear" w:color="auto" w:fill="FFFFFF"/>
        </w:rPr>
      </w:pPr>
      <w:r>
        <w:rPr>
          <w:rFonts w:hint="eastAsia" w:ascii="宋体" w:hAnsi="宋体" w:cs="宋体"/>
          <w:sz w:val="32"/>
          <w:szCs w:val="32"/>
          <w:shd w:val="clear" w:color="auto" w:fill="FFFFFF"/>
        </w:rPr>
        <w:t>2019</w:t>
      </w:r>
      <w:r>
        <w:rPr>
          <w:rFonts w:eastAsia="仿宋_GB2312"/>
          <w:sz w:val="32"/>
          <w:szCs w:val="32"/>
          <w:shd w:val="clear" w:color="auto" w:fill="FFFFFF"/>
        </w:rPr>
        <w:t>年，应急管理部发布了《陆上油气管道建设项目安全评价导则》（</w:t>
      </w:r>
      <w:r>
        <w:rPr>
          <w:rFonts w:hint="eastAsia" w:ascii="宋体" w:hAnsi="宋体" w:cs="宋体"/>
          <w:sz w:val="32"/>
          <w:szCs w:val="32"/>
          <w:shd w:val="clear" w:color="auto" w:fill="FFFFFF"/>
        </w:rPr>
        <w:t>AQ/T 3057-2019</w:t>
      </w:r>
      <w:r>
        <w:rPr>
          <w:rFonts w:eastAsia="仿宋_GB2312"/>
          <w:sz w:val="32"/>
          <w:szCs w:val="32"/>
          <w:shd w:val="clear" w:color="auto" w:fill="FFFFFF"/>
        </w:rPr>
        <w:t>），重点对陆上油气管道建设项目安全评价的工作内容和报告编制提出了要求。本标准为《陆上油气管道建设项目安全评价导则》（</w:t>
      </w:r>
      <w:r>
        <w:rPr>
          <w:rFonts w:hint="eastAsia" w:ascii="宋体" w:hAnsi="宋体" w:cs="宋体"/>
          <w:sz w:val="32"/>
          <w:szCs w:val="32"/>
          <w:shd w:val="clear" w:color="auto" w:fill="FFFFFF"/>
        </w:rPr>
        <w:t>AQ/T 3057-2019</w:t>
      </w:r>
      <w:r>
        <w:rPr>
          <w:rFonts w:eastAsia="仿宋_GB2312"/>
          <w:sz w:val="32"/>
          <w:szCs w:val="32"/>
          <w:shd w:val="clear" w:color="auto" w:fill="FFFFFF"/>
        </w:rPr>
        <w:t>）的修订。</w:t>
      </w:r>
    </w:p>
    <w:p w14:paraId="2B933238">
      <w:pPr>
        <w:spacing w:line="560" w:lineRule="exact"/>
        <w:ind w:firstLine="640" w:firstLineChars="200"/>
        <w:rPr>
          <w:rFonts w:eastAsia="仿宋_GB2312"/>
          <w:sz w:val="32"/>
          <w:szCs w:val="32"/>
          <w:shd w:val="clear" w:color="auto" w:fill="FFFFFF"/>
        </w:rPr>
      </w:pPr>
      <w:r>
        <w:rPr>
          <w:rFonts w:eastAsia="仿宋_GB2312"/>
          <w:sz w:val="32"/>
          <w:szCs w:val="32"/>
          <w:shd w:val="clear" w:color="auto" w:fill="FFFFFF"/>
        </w:rPr>
        <w:t>通过对国外同类标准情况的调研，美国运输部（</w:t>
      </w:r>
      <w:r>
        <w:rPr>
          <w:rFonts w:hint="eastAsia" w:ascii="宋体" w:hAnsi="宋体" w:cs="宋体"/>
          <w:sz w:val="32"/>
          <w:szCs w:val="32"/>
          <w:shd w:val="clear" w:color="auto" w:fill="FFFFFF"/>
        </w:rPr>
        <w:t>DOT</w:t>
      </w:r>
      <w:r>
        <w:rPr>
          <w:rFonts w:eastAsia="仿宋_GB2312"/>
          <w:sz w:val="32"/>
          <w:szCs w:val="32"/>
          <w:shd w:val="clear" w:color="auto" w:fill="FFFFFF"/>
        </w:rPr>
        <w:t>）下设的管道和危险品安全管理局（</w:t>
      </w:r>
      <w:r>
        <w:rPr>
          <w:rFonts w:hint="eastAsia" w:ascii="宋体" w:hAnsi="宋体" w:cs="宋体"/>
          <w:sz w:val="32"/>
          <w:szCs w:val="32"/>
          <w:shd w:val="clear" w:color="auto" w:fill="FFFFFF"/>
        </w:rPr>
        <w:t>PHMSA</w:t>
      </w:r>
      <w:r>
        <w:rPr>
          <w:rFonts w:eastAsia="仿宋_GB2312"/>
          <w:sz w:val="32"/>
          <w:szCs w:val="32"/>
          <w:shd w:val="clear" w:color="auto" w:fill="FFFFFF"/>
        </w:rPr>
        <w:t>）负责省际和跨国油气管道的建设和运行监管，</w:t>
      </w:r>
      <w:r>
        <w:rPr>
          <w:rFonts w:hint="eastAsia" w:ascii="宋体" w:hAnsi="宋体" w:cs="宋体"/>
          <w:sz w:val="32"/>
          <w:szCs w:val="32"/>
          <w:shd w:val="clear" w:color="auto" w:fill="FFFFFF"/>
        </w:rPr>
        <w:t>PHMSA</w:t>
      </w:r>
      <w:r>
        <w:rPr>
          <w:rFonts w:eastAsia="仿宋_GB2312"/>
          <w:sz w:val="32"/>
          <w:szCs w:val="32"/>
          <w:shd w:val="clear" w:color="auto" w:fill="FFFFFF"/>
        </w:rPr>
        <w:t>根据《管道安全法》对油气管道的设计、建设、运行、维护以及应急响应全面监管。</w:t>
      </w:r>
    </w:p>
    <w:p w14:paraId="48FA56B9">
      <w:pPr>
        <w:spacing w:line="560" w:lineRule="exact"/>
        <w:ind w:firstLine="640" w:firstLineChars="200"/>
        <w:rPr>
          <w:rFonts w:eastAsia="仿宋_GB2312"/>
          <w:sz w:val="32"/>
          <w:szCs w:val="32"/>
          <w:shd w:val="clear" w:color="auto" w:fill="FFFFFF"/>
        </w:rPr>
      </w:pPr>
      <w:r>
        <w:rPr>
          <w:rFonts w:eastAsia="仿宋_GB2312"/>
          <w:sz w:val="32"/>
          <w:szCs w:val="32"/>
          <w:shd w:val="clear" w:color="auto" w:fill="FFFFFF"/>
        </w:rPr>
        <w:t xml:space="preserve">加拿大油气管道监管模式为联邦政府能源主管部门负责对省际和跨国油气管道的建设和运行进行监管，加拿大标准协会制定的 </w:t>
      </w:r>
      <w:r>
        <w:rPr>
          <w:rFonts w:hint="eastAsia" w:ascii="宋体" w:hAnsi="宋体" w:cs="宋体"/>
          <w:sz w:val="32"/>
          <w:szCs w:val="32"/>
          <w:shd w:val="clear" w:color="auto" w:fill="FFFFFF"/>
        </w:rPr>
        <w:t>CSA Z662</w:t>
      </w:r>
      <w:r>
        <w:rPr>
          <w:rFonts w:eastAsia="仿宋_GB2312"/>
          <w:sz w:val="32"/>
          <w:szCs w:val="32"/>
          <w:shd w:val="clear" w:color="auto" w:fill="FFFFFF"/>
        </w:rPr>
        <w:t>《石油和天然气管道系统》涵盖了管道的设计、材料、安装、焊接、检测、腐蚀控制、运行、维护、修理、废弃全生命周期的内容，是监管机构的监管依据。</w:t>
      </w:r>
    </w:p>
    <w:p w14:paraId="46DDE2E1">
      <w:pPr>
        <w:spacing w:line="560" w:lineRule="exact"/>
        <w:ind w:firstLine="640" w:firstLineChars="200"/>
        <w:rPr>
          <w:rFonts w:eastAsia="仿宋_GB2312"/>
          <w:sz w:val="32"/>
          <w:szCs w:val="32"/>
          <w:shd w:val="clear" w:color="auto" w:fill="FFFFFF"/>
        </w:rPr>
      </w:pPr>
      <w:r>
        <w:rPr>
          <w:rFonts w:eastAsia="仿宋_GB2312"/>
          <w:sz w:val="32"/>
          <w:szCs w:val="32"/>
          <w:shd w:val="clear" w:color="auto" w:fill="FFFFFF"/>
        </w:rPr>
        <w:t>国外标准均是建立在其特殊的国家背景下，本标准在修订过程中将充分结合我国的实际情况，并考虑吸纳国外相关先进的、成熟的经验。</w:t>
      </w:r>
    </w:p>
    <w:p w14:paraId="4955AC40">
      <w:pPr>
        <w:numPr>
          <w:ilvl w:val="0"/>
          <w:numId w:val="22"/>
        </w:numPr>
        <w:spacing w:line="560" w:lineRule="exact"/>
        <w:ind w:firstLine="640" w:firstLineChars="200"/>
        <w:textAlignment w:val="auto"/>
        <w:outlineLvl w:val="0"/>
        <w:rPr>
          <w:rFonts w:eastAsia="黑体"/>
          <w:sz w:val="32"/>
          <w:szCs w:val="32"/>
        </w:rPr>
      </w:pPr>
      <w:r>
        <w:rPr>
          <w:rFonts w:eastAsia="黑体"/>
          <w:sz w:val="32"/>
          <w:szCs w:val="32"/>
        </w:rPr>
        <w:t>以国际标准为基础的起草情况、是否合规引用或采用国际国外标准以及未采用国际标准的原因</w:t>
      </w:r>
    </w:p>
    <w:p w14:paraId="76BDFD45">
      <w:pPr>
        <w:spacing w:line="560" w:lineRule="exact"/>
        <w:ind w:firstLine="640" w:firstLineChars="200"/>
        <w:rPr>
          <w:rFonts w:eastAsia="仿宋_GB2312"/>
          <w:sz w:val="32"/>
          <w:szCs w:val="32"/>
          <w:shd w:val="clear" w:color="auto" w:fill="FFFFFF"/>
        </w:rPr>
      </w:pPr>
      <w:r>
        <w:rPr>
          <w:rFonts w:eastAsia="仿宋_GB2312"/>
          <w:sz w:val="32"/>
          <w:szCs w:val="32"/>
          <w:shd w:val="clear" w:color="auto" w:fill="FFFFFF"/>
        </w:rPr>
        <w:t>无。</w:t>
      </w:r>
    </w:p>
    <w:p w14:paraId="71AA4117">
      <w:pPr>
        <w:numPr>
          <w:ilvl w:val="0"/>
          <w:numId w:val="22"/>
        </w:numPr>
        <w:spacing w:line="560" w:lineRule="exact"/>
        <w:ind w:firstLine="640" w:firstLineChars="200"/>
        <w:textAlignment w:val="auto"/>
        <w:outlineLvl w:val="0"/>
        <w:rPr>
          <w:rFonts w:eastAsia="黑体"/>
          <w:sz w:val="32"/>
          <w:szCs w:val="32"/>
        </w:rPr>
      </w:pPr>
      <w:r>
        <w:rPr>
          <w:rFonts w:eastAsia="黑体"/>
          <w:sz w:val="32"/>
          <w:szCs w:val="32"/>
        </w:rPr>
        <w:t>与有关法律、行政法规及相关标准水平的关系</w:t>
      </w:r>
    </w:p>
    <w:p w14:paraId="2B900778">
      <w:pPr>
        <w:widowControl w:val="0"/>
        <w:numPr>
          <w:ilvl w:val="0"/>
          <w:numId w:val="23"/>
        </w:numPr>
        <w:spacing w:line="560" w:lineRule="exact"/>
        <w:ind w:firstLine="640" w:firstLineChars="200"/>
        <w:textAlignment w:val="auto"/>
        <w:rPr>
          <w:rFonts w:eastAsia="楷体"/>
          <w:sz w:val="32"/>
          <w:szCs w:val="32"/>
          <w:shd w:val="clear" w:color="auto" w:fill="FFFFFF"/>
        </w:rPr>
      </w:pPr>
      <w:r>
        <w:rPr>
          <w:rFonts w:eastAsia="楷体"/>
          <w:sz w:val="32"/>
          <w:szCs w:val="32"/>
          <w:shd w:val="clear" w:color="auto" w:fill="FFFFFF"/>
        </w:rPr>
        <w:t>与有关法律、行政法规、标准关系</w:t>
      </w:r>
    </w:p>
    <w:p w14:paraId="4F7B40AA">
      <w:pPr>
        <w:spacing w:line="560" w:lineRule="exact"/>
        <w:ind w:firstLine="640" w:firstLineChars="200"/>
        <w:rPr>
          <w:rFonts w:eastAsia="仿宋_GB2312"/>
          <w:sz w:val="32"/>
          <w:szCs w:val="32"/>
        </w:rPr>
      </w:pPr>
      <w:r>
        <w:rPr>
          <w:rFonts w:eastAsia="仿宋_GB2312"/>
          <w:sz w:val="32"/>
          <w:szCs w:val="32"/>
        </w:rPr>
        <w:t>本标准的编制工作根据应急管理部《“十四五”应急管理标准化发展计划》《应急管理标准化工作管理办法》等文件精神开展，在全国安全生产标准化技术委员会石油天然气开采安全分技术委员会（</w:t>
      </w:r>
      <w:r>
        <w:rPr>
          <w:rFonts w:hint="eastAsia" w:eastAsia="仿宋_GB2312"/>
          <w:sz w:val="32"/>
          <w:szCs w:val="32"/>
        </w:rPr>
        <w:t>TC 288/SC 10</w:t>
      </w:r>
      <w:r>
        <w:rPr>
          <w:rFonts w:eastAsia="仿宋_GB2312"/>
          <w:sz w:val="32"/>
          <w:szCs w:val="32"/>
        </w:rPr>
        <w:t>）的工作指导下进行，符合《安全生产法》《标准化法》等相关法律要求。</w:t>
      </w:r>
    </w:p>
    <w:p w14:paraId="466C8AD5">
      <w:pPr>
        <w:spacing w:line="560" w:lineRule="exact"/>
        <w:ind w:firstLine="640" w:firstLineChars="200"/>
        <w:rPr>
          <w:rFonts w:eastAsia="仿宋_GB2312"/>
          <w:sz w:val="32"/>
          <w:szCs w:val="32"/>
        </w:rPr>
      </w:pPr>
      <w:r>
        <w:rPr>
          <w:rFonts w:eastAsia="仿宋_GB2312"/>
          <w:sz w:val="32"/>
          <w:szCs w:val="32"/>
        </w:rPr>
        <w:t>本标准依据《标准化工作导则第1部分：标准化文件的结构和起草规则》（</w:t>
      </w:r>
      <w:r>
        <w:rPr>
          <w:rFonts w:hint="eastAsia" w:eastAsia="仿宋_GB2312"/>
          <w:sz w:val="32"/>
          <w:szCs w:val="32"/>
        </w:rPr>
        <w:t>GB/T 1.1-2020</w:t>
      </w:r>
      <w:r>
        <w:rPr>
          <w:rFonts w:eastAsia="仿宋_GB2312"/>
          <w:sz w:val="32"/>
          <w:szCs w:val="32"/>
        </w:rPr>
        <w:t>）的规定起草。</w:t>
      </w:r>
    </w:p>
    <w:p w14:paraId="4D16D562">
      <w:pPr>
        <w:spacing w:line="560" w:lineRule="exact"/>
        <w:ind w:firstLine="640" w:firstLineChars="200"/>
        <w:rPr>
          <w:rFonts w:eastAsia="仿宋_GB2312"/>
          <w:sz w:val="32"/>
          <w:szCs w:val="32"/>
          <w:shd w:val="clear" w:color="auto" w:fill="FFFFFF"/>
        </w:rPr>
      </w:pPr>
      <w:r>
        <w:rPr>
          <w:rFonts w:eastAsia="仿宋_GB2312"/>
          <w:sz w:val="32"/>
          <w:szCs w:val="32"/>
        </w:rPr>
        <w:t>本标准遵循《中华人民共和国安全生产法》《建设项目安全设施</w:t>
      </w:r>
      <w:r>
        <w:rPr>
          <w:rFonts w:eastAsia="仿宋_GB2312"/>
          <w:sz w:val="32"/>
          <w:szCs w:val="32"/>
          <w:shd w:val="clear" w:color="auto" w:fill="FFFFFF"/>
        </w:rPr>
        <w:t>“三同时”监督管理办法》《危险化学品建设项目安全监督管理办法》等相关要求而制定，标准内容是对法律、法规的进一步落实和细化，是指导陆上油气长输管道建设项目安全预评价工作的重要支撑。</w:t>
      </w:r>
    </w:p>
    <w:p w14:paraId="0004FFCD">
      <w:pPr>
        <w:widowControl w:val="0"/>
        <w:numPr>
          <w:ilvl w:val="0"/>
          <w:numId w:val="23"/>
        </w:numPr>
        <w:spacing w:line="560" w:lineRule="exact"/>
        <w:ind w:firstLine="640" w:firstLineChars="200"/>
        <w:textAlignment w:val="auto"/>
        <w:rPr>
          <w:rFonts w:eastAsia="楷体"/>
          <w:sz w:val="32"/>
          <w:szCs w:val="32"/>
          <w:shd w:val="clear" w:color="auto" w:fill="FFFFFF"/>
        </w:rPr>
      </w:pPr>
      <w:r>
        <w:rPr>
          <w:rFonts w:eastAsia="楷体"/>
          <w:sz w:val="32"/>
          <w:szCs w:val="32"/>
          <w:shd w:val="clear" w:color="auto" w:fill="FFFFFF"/>
        </w:rPr>
        <w:t>配套推荐性标准的制定情况（强制性标准应填写）</w:t>
      </w:r>
    </w:p>
    <w:p w14:paraId="5AD5FDDD">
      <w:pPr>
        <w:spacing w:line="560" w:lineRule="exact"/>
        <w:ind w:firstLine="640" w:firstLineChars="200"/>
        <w:rPr>
          <w:rFonts w:eastAsia="仿宋_GB2312"/>
          <w:sz w:val="32"/>
          <w:szCs w:val="32"/>
          <w:shd w:val="clear" w:color="auto" w:fill="FFFFFF"/>
        </w:rPr>
      </w:pPr>
      <w:r>
        <w:rPr>
          <w:rFonts w:eastAsia="仿宋_GB2312"/>
          <w:sz w:val="32"/>
          <w:szCs w:val="32"/>
          <w:shd w:val="clear" w:color="auto" w:fill="FFFFFF"/>
        </w:rPr>
        <w:t>本标准作为陆上油气长输管道安全预评价导则的安全生产专业性标准，是由原推荐性标准《陆上油气管道建设项目安全评价导则》（</w:t>
      </w:r>
      <w:r>
        <w:rPr>
          <w:rFonts w:hint="eastAsia" w:ascii="宋体" w:hAnsi="宋体" w:cs="宋体"/>
          <w:sz w:val="32"/>
          <w:szCs w:val="32"/>
          <w:shd w:val="clear" w:color="auto" w:fill="FFFFFF"/>
        </w:rPr>
        <w:t>AQ/T 3057-2019</w:t>
      </w:r>
      <w:r>
        <w:rPr>
          <w:rFonts w:eastAsia="仿宋_GB2312"/>
          <w:sz w:val="32"/>
          <w:szCs w:val="32"/>
          <w:shd w:val="clear" w:color="auto" w:fill="FFFFFF"/>
        </w:rPr>
        <w:t>）转化而成。</w:t>
      </w:r>
    </w:p>
    <w:p w14:paraId="5E78EF6F">
      <w:pPr>
        <w:numPr>
          <w:ilvl w:val="0"/>
          <w:numId w:val="22"/>
        </w:numPr>
        <w:spacing w:line="560" w:lineRule="exact"/>
        <w:ind w:firstLine="640" w:firstLineChars="200"/>
        <w:textAlignment w:val="auto"/>
        <w:outlineLvl w:val="0"/>
        <w:rPr>
          <w:rFonts w:eastAsia="黑体"/>
          <w:sz w:val="32"/>
          <w:szCs w:val="32"/>
        </w:rPr>
      </w:pPr>
      <w:r>
        <w:rPr>
          <w:rFonts w:eastAsia="黑体"/>
          <w:sz w:val="32"/>
          <w:szCs w:val="32"/>
        </w:rPr>
        <w:t>重大分歧意见的处理过程及依据</w:t>
      </w:r>
    </w:p>
    <w:p w14:paraId="60866F75">
      <w:pPr>
        <w:spacing w:line="560" w:lineRule="exact"/>
        <w:ind w:firstLine="640" w:firstLineChars="200"/>
        <w:rPr>
          <w:rFonts w:eastAsia="仿宋_GB2312"/>
          <w:sz w:val="32"/>
          <w:szCs w:val="32"/>
          <w:shd w:val="clear" w:color="auto" w:fill="FFFFFF"/>
        </w:rPr>
      </w:pPr>
      <w:r>
        <w:rPr>
          <w:rFonts w:eastAsia="仿宋_GB2312"/>
          <w:sz w:val="32"/>
          <w:szCs w:val="32"/>
          <w:shd w:val="clear" w:color="auto" w:fill="FFFFFF"/>
        </w:rPr>
        <w:t>无。</w:t>
      </w:r>
    </w:p>
    <w:p w14:paraId="206EB831">
      <w:pPr>
        <w:numPr>
          <w:ilvl w:val="0"/>
          <w:numId w:val="22"/>
        </w:numPr>
        <w:spacing w:line="560" w:lineRule="exact"/>
        <w:ind w:firstLine="640" w:firstLineChars="200"/>
        <w:textAlignment w:val="auto"/>
        <w:outlineLvl w:val="0"/>
        <w:rPr>
          <w:rFonts w:eastAsia="黑体"/>
          <w:sz w:val="32"/>
          <w:szCs w:val="32"/>
        </w:rPr>
      </w:pPr>
      <w:r>
        <w:rPr>
          <w:rFonts w:eastAsia="黑体"/>
          <w:sz w:val="32"/>
          <w:szCs w:val="32"/>
        </w:rPr>
        <w:t>作为强制性标准或推荐性标准的建议及理由</w:t>
      </w:r>
    </w:p>
    <w:p w14:paraId="529CFDBA">
      <w:pPr>
        <w:spacing w:line="560" w:lineRule="exact"/>
        <w:ind w:firstLine="640" w:firstLineChars="200"/>
        <w:rPr>
          <w:rFonts w:eastAsia="仿宋_GB2312"/>
          <w:sz w:val="32"/>
          <w:szCs w:val="32"/>
          <w:shd w:val="clear" w:color="auto" w:fill="FFFFFF"/>
        </w:rPr>
      </w:pPr>
      <w:r>
        <w:rPr>
          <w:rFonts w:eastAsia="仿宋_GB2312"/>
          <w:sz w:val="32"/>
          <w:szCs w:val="32"/>
          <w:shd w:val="clear" w:color="auto" w:fill="FFFFFF"/>
        </w:rPr>
        <w:t>现行标准为推荐性标准，建议本次修订改为强制性标准。一是陆上油气管道建设项目安全评价方法直接关系到项目从建设到使用、停用的全声明周期安全可靠性，影响企业安全生产和从业人员作业安全及周边人员的生命财产安全，强制性标准可以对评价机构在编制安全评价报告过程中对原合规性的条款遵循性不一致的行为进行有效约束。二是《安全生产法》第二十九条明确对建设项目提出了进行安全评价的要求，《管道保护法》和《危险化学品建设项目安全监督管理办法》《建设项目安全设施“三同时”监督管理办法》等相关法律法规、部门规章也在建设项目安全评价阶段提出了具体要求，尤其是对项目线路、站场、公用工程及安全管理及安全对策措施有明确规定，该标准转为强制性标准，将为法规规章实施提供更有力的技术支撑和必要补充。因此变更为强制性，使安全评价报告更加规范、科学，有利于指导油气管道建设单位进行项目预评价，提高油气管道建设项目的安全管理水平。</w:t>
      </w:r>
    </w:p>
    <w:p w14:paraId="6BBE9ECF">
      <w:pPr>
        <w:numPr>
          <w:ilvl w:val="0"/>
          <w:numId w:val="22"/>
        </w:numPr>
        <w:spacing w:line="560" w:lineRule="exact"/>
        <w:ind w:firstLine="640" w:firstLineChars="200"/>
        <w:textAlignment w:val="auto"/>
        <w:outlineLvl w:val="0"/>
        <w:rPr>
          <w:rFonts w:eastAsia="黑体"/>
          <w:sz w:val="32"/>
          <w:szCs w:val="32"/>
        </w:rPr>
      </w:pPr>
      <w:r>
        <w:rPr>
          <w:rFonts w:eastAsia="黑体"/>
          <w:sz w:val="32"/>
          <w:szCs w:val="32"/>
        </w:rPr>
        <w:t>标准自发布日期至实施日期的过渡期建议及理由</w:t>
      </w:r>
    </w:p>
    <w:p w14:paraId="0ADF6E07">
      <w:pPr>
        <w:spacing w:line="560" w:lineRule="exact"/>
        <w:ind w:firstLine="640" w:firstLineChars="200"/>
        <w:rPr>
          <w:rFonts w:eastAsia="仿宋_GB2312"/>
          <w:sz w:val="32"/>
          <w:szCs w:val="32"/>
          <w:shd w:val="clear" w:color="auto" w:fill="FFFFFF"/>
        </w:rPr>
      </w:pPr>
      <w:r>
        <w:rPr>
          <w:rFonts w:eastAsia="仿宋_GB2312"/>
          <w:sz w:val="32"/>
          <w:szCs w:val="32"/>
          <w:shd w:val="clear" w:color="auto" w:fill="FFFFFF"/>
        </w:rPr>
        <w:t>建议实施过渡期为</w:t>
      </w:r>
      <w:r>
        <w:rPr>
          <w:rFonts w:hint="eastAsia" w:ascii="宋体" w:hAnsi="宋体" w:cs="宋体"/>
          <w:sz w:val="32"/>
          <w:szCs w:val="32"/>
          <w:shd w:val="clear" w:color="auto" w:fill="FFFFFF"/>
        </w:rPr>
        <w:t>6</w:t>
      </w:r>
      <w:r>
        <w:rPr>
          <w:rFonts w:eastAsia="仿宋_GB2312"/>
          <w:sz w:val="32"/>
          <w:szCs w:val="32"/>
          <w:shd w:val="clear" w:color="auto" w:fill="FFFFFF"/>
        </w:rPr>
        <w:t>个月。</w:t>
      </w:r>
    </w:p>
    <w:p w14:paraId="388CBBB7">
      <w:pPr>
        <w:spacing w:line="560" w:lineRule="exact"/>
        <w:ind w:firstLine="640" w:firstLineChars="200"/>
        <w:rPr>
          <w:rFonts w:eastAsia="仿宋_GB2312"/>
          <w:sz w:val="32"/>
          <w:szCs w:val="32"/>
          <w:shd w:val="clear" w:color="auto" w:fill="FFFFFF"/>
        </w:rPr>
      </w:pPr>
      <w:r>
        <w:rPr>
          <w:rFonts w:eastAsia="仿宋_GB2312"/>
          <w:sz w:val="32"/>
          <w:szCs w:val="32"/>
          <w:shd w:val="clear" w:color="auto" w:fill="FFFFFF"/>
        </w:rPr>
        <w:t>考虑到标准实施之后，仍有部分实施之日前已经按照原</w:t>
      </w:r>
      <w:r>
        <w:rPr>
          <w:rFonts w:hint="eastAsia" w:ascii="宋体" w:hAnsi="宋体" w:cs="宋体"/>
          <w:sz w:val="32"/>
          <w:szCs w:val="32"/>
          <w:shd w:val="clear" w:color="auto" w:fill="FFFFFF"/>
        </w:rPr>
        <w:t xml:space="preserve">AQ/T 3057-2019 </w:t>
      </w:r>
      <w:r>
        <w:rPr>
          <w:rFonts w:eastAsia="仿宋_GB2312"/>
          <w:sz w:val="32"/>
          <w:szCs w:val="32"/>
          <w:shd w:val="clear" w:color="auto" w:fill="FFFFFF"/>
        </w:rPr>
        <w:t>编制完成建设项目安全预评价报告，并在流程实施过程中，为避免工作的反复消耗，允许这些已在流程实施中的的项目完成审批流程。</w:t>
      </w:r>
    </w:p>
    <w:p w14:paraId="0A0A25AA">
      <w:pPr>
        <w:spacing w:line="560" w:lineRule="exact"/>
        <w:ind w:firstLine="640" w:firstLineChars="200"/>
        <w:rPr>
          <w:rFonts w:eastAsia="仿宋_GB2312"/>
          <w:sz w:val="32"/>
          <w:szCs w:val="32"/>
          <w:shd w:val="clear" w:color="auto" w:fill="FFFFFF"/>
        </w:rPr>
      </w:pPr>
      <w:r>
        <w:rPr>
          <w:rFonts w:eastAsia="仿宋_GB2312"/>
          <w:sz w:val="32"/>
          <w:szCs w:val="32"/>
          <w:shd w:val="clear" w:color="auto" w:fill="FFFFFF"/>
        </w:rPr>
        <w:t>由于标准新增了部分技术要求，建设项目需要进行预评价改进等工作，需要一定的时间。因此，建议的实施过渡期为</w:t>
      </w:r>
      <w:r>
        <w:rPr>
          <w:sz w:val="32"/>
          <w:szCs w:val="32"/>
          <w:shd w:val="clear" w:color="auto" w:fill="FFFFFF"/>
        </w:rPr>
        <w:t>6</w:t>
      </w:r>
      <w:r>
        <w:rPr>
          <w:rFonts w:eastAsia="仿宋_GB2312"/>
          <w:sz w:val="32"/>
          <w:szCs w:val="32"/>
          <w:shd w:val="clear" w:color="auto" w:fill="FFFFFF"/>
        </w:rPr>
        <w:t>个月，以保证建设单位和评价单位能够充分消化理解新标准，确保该文件的落地实施。</w:t>
      </w:r>
    </w:p>
    <w:p w14:paraId="4253977D">
      <w:pPr>
        <w:spacing w:line="560" w:lineRule="exact"/>
        <w:ind w:firstLine="640" w:firstLineChars="200"/>
        <w:rPr>
          <w:rFonts w:eastAsia="仿宋_GB2312"/>
          <w:sz w:val="32"/>
          <w:szCs w:val="32"/>
        </w:rPr>
      </w:pPr>
      <w:r>
        <w:rPr>
          <w:rFonts w:eastAsia="仿宋_GB2312"/>
          <w:sz w:val="32"/>
          <w:szCs w:val="32"/>
        </w:rPr>
        <w:t>确保标准的有效实施‌：通过设置过渡期，可以确保标准在实施之前得到广泛的宣传和推广，使建设单位和评价单位有足够的时间来适应和遵守新标准的要求，从而确保标准的顺利实施。</w:t>
      </w:r>
    </w:p>
    <w:p w14:paraId="1BE7811C">
      <w:pPr>
        <w:spacing w:line="560" w:lineRule="exact"/>
        <w:ind w:firstLine="640" w:firstLineChars="200"/>
        <w:rPr>
          <w:rFonts w:eastAsia="仿宋_GB2312"/>
          <w:sz w:val="32"/>
          <w:szCs w:val="32"/>
        </w:rPr>
      </w:pPr>
      <w:r>
        <w:rPr>
          <w:rFonts w:eastAsia="仿宋_GB2312"/>
          <w:sz w:val="32"/>
          <w:szCs w:val="32"/>
        </w:rPr>
        <w:t>综上所述，建议的</w:t>
      </w:r>
      <w:r>
        <w:rPr>
          <w:rFonts w:hint="eastAsia" w:eastAsia="仿宋_GB2312"/>
          <w:sz w:val="32"/>
          <w:szCs w:val="32"/>
        </w:rPr>
        <w:t>6</w:t>
      </w:r>
      <w:r>
        <w:rPr>
          <w:rFonts w:eastAsia="仿宋_GB2312"/>
          <w:sz w:val="32"/>
          <w:szCs w:val="32"/>
        </w:rPr>
        <w:t>个月过渡期旨在平衡新标准的推广实施与建设单位和评价单位的适应时间，确保新标准的有效执行，同时减少不必要的工作消耗。‌</w:t>
      </w:r>
    </w:p>
    <w:p w14:paraId="1B50DBD3">
      <w:pPr>
        <w:numPr>
          <w:ilvl w:val="0"/>
          <w:numId w:val="22"/>
        </w:numPr>
        <w:spacing w:line="560" w:lineRule="exact"/>
        <w:ind w:firstLine="640" w:firstLineChars="200"/>
        <w:textAlignment w:val="auto"/>
        <w:outlineLvl w:val="0"/>
        <w:rPr>
          <w:rFonts w:eastAsia="黑体"/>
          <w:sz w:val="32"/>
          <w:szCs w:val="32"/>
        </w:rPr>
      </w:pPr>
      <w:r>
        <w:rPr>
          <w:rFonts w:eastAsia="黑体"/>
          <w:sz w:val="32"/>
          <w:szCs w:val="32"/>
        </w:rPr>
        <w:t>与实施标准有关的政策措施</w:t>
      </w:r>
    </w:p>
    <w:p w14:paraId="080E0087">
      <w:pPr>
        <w:spacing w:line="560" w:lineRule="exact"/>
        <w:ind w:firstLine="640" w:firstLineChars="200"/>
        <w:rPr>
          <w:rFonts w:eastAsia="仿宋_GB2312"/>
          <w:sz w:val="32"/>
          <w:szCs w:val="32"/>
        </w:rPr>
      </w:pPr>
      <w:r>
        <w:rPr>
          <w:rFonts w:eastAsia="仿宋_GB2312"/>
          <w:sz w:val="32"/>
          <w:szCs w:val="32"/>
        </w:rPr>
        <w:t>本标准符合国家现行法律、法规、规章和强制性标准的要求，对于规范国内设计企业提高本质安全设计水平，预防避免发生重大安全事故的发生有重要作用。</w:t>
      </w:r>
    </w:p>
    <w:p w14:paraId="1C36EA7A">
      <w:pPr>
        <w:spacing w:line="560" w:lineRule="exact"/>
        <w:ind w:firstLine="640" w:firstLineChars="200"/>
        <w:rPr>
          <w:rFonts w:eastAsia="仿宋_GB2312"/>
          <w:sz w:val="32"/>
          <w:szCs w:val="32"/>
        </w:rPr>
      </w:pPr>
      <w:r>
        <w:rPr>
          <w:rFonts w:eastAsia="仿宋_GB2312"/>
          <w:sz w:val="32"/>
          <w:szCs w:val="32"/>
        </w:rPr>
        <w:t>本标准制定以《中华人民共和国安全生产法》《危险化学品建设项目安全监督管理办法》《建设项目安全设施“三同时”监督管理办法》等作为违反标准行为进行处理的法律法规规章依据。具体条款如下：</w:t>
      </w:r>
    </w:p>
    <w:p w14:paraId="01CDFCFA">
      <w:pPr>
        <w:spacing w:line="560" w:lineRule="exact"/>
        <w:ind w:firstLine="640" w:firstLineChars="200"/>
        <w:rPr>
          <w:rFonts w:eastAsia="楷体"/>
          <w:sz w:val="32"/>
          <w:szCs w:val="32"/>
        </w:rPr>
      </w:pPr>
      <w:r>
        <w:rPr>
          <w:rFonts w:eastAsia="楷体"/>
          <w:sz w:val="32"/>
          <w:szCs w:val="32"/>
        </w:rPr>
        <w:t>（一）《中华人民共和国安全生产法》</w:t>
      </w:r>
    </w:p>
    <w:p w14:paraId="566EAE34">
      <w:pPr>
        <w:spacing w:line="560" w:lineRule="exact"/>
        <w:ind w:firstLine="640" w:firstLineChars="200"/>
        <w:rPr>
          <w:rFonts w:eastAsia="仿宋_GB2312"/>
          <w:sz w:val="32"/>
          <w:szCs w:val="32"/>
        </w:rPr>
      </w:pPr>
      <w:r>
        <w:rPr>
          <w:rFonts w:eastAsia="仿宋_GB2312"/>
          <w:sz w:val="32"/>
          <w:szCs w:val="32"/>
        </w:rPr>
        <w:t>第三十一条 生产经营单位新建、改建、扩建工程项目（以下统称建设项目）的安全设施，必须与主体工程同时设计、同时施工、同时投入生产和使用。安全设施投资应当纳入建设项目概算。</w:t>
      </w:r>
    </w:p>
    <w:p w14:paraId="6F1DE140">
      <w:pPr>
        <w:spacing w:line="560" w:lineRule="exact"/>
        <w:ind w:firstLine="640" w:firstLineChars="200"/>
        <w:rPr>
          <w:rFonts w:eastAsia="仿宋_GB2312"/>
          <w:sz w:val="32"/>
          <w:szCs w:val="32"/>
        </w:rPr>
      </w:pPr>
      <w:r>
        <w:rPr>
          <w:rFonts w:eastAsia="仿宋_GB2312"/>
          <w:sz w:val="32"/>
          <w:szCs w:val="32"/>
        </w:rPr>
        <w:t>第三十二条 矿山、金属冶炼建设项目和用于生产、储存、装卸危险物品的建设项目，应当按照国家有关规定进行安全评价。</w:t>
      </w:r>
    </w:p>
    <w:p w14:paraId="6857355B">
      <w:pPr>
        <w:spacing w:line="560" w:lineRule="exact"/>
        <w:ind w:firstLine="640" w:firstLineChars="200"/>
        <w:rPr>
          <w:rFonts w:eastAsia="仿宋_GB2312"/>
          <w:sz w:val="32"/>
          <w:szCs w:val="32"/>
        </w:rPr>
      </w:pPr>
      <w:r>
        <w:rPr>
          <w:rFonts w:eastAsia="仿宋_GB2312"/>
          <w:sz w:val="32"/>
          <w:szCs w:val="32"/>
        </w:rPr>
        <w:t>第九十二条 承担安全评价、认证、检测、检验职责的机构出具失实报告的，责令停业整顿，并处三万元以上十万元以下的罚款；给他人造成损害的，依法承担赔偿责任。</w:t>
      </w:r>
    </w:p>
    <w:p w14:paraId="74A6CD7B">
      <w:pPr>
        <w:spacing w:line="560" w:lineRule="exact"/>
        <w:ind w:firstLine="640" w:firstLineChars="200"/>
        <w:rPr>
          <w:rFonts w:eastAsia="仿宋_GB2312"/>
          <w:sz w:val="32"/>
          <w:szCs w:val="32"/>
        </w:rPr>
      </w:pPr>
      <w:r>
        <w:rPr>
          <w:rFonts w:eastAsia="仿宋_GB2312"/>
          <w:sz w:val="32"/>
          <w:szCs w:val="32"/>
        </w:rPr>
        <w:t>承担安全评价、认证、检测、检验职责的机构租借资质、挂靠、出具虚假报告的，没收违法所得；违法所得在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给他人造成损害的，与生产经营单位承担连带赔偿责任；构成犯罪的，依照刑法有关规定追究刑事责任。</w:t>
      </w:r>
    </w:p>
    <w:p w14:paraId="3E25D754">
      <w:pPr>
        <w:spacing w:line="560" w:lineRule="exact"/>
        <w:ind w:firstLine="640" w:firstLineChars="200"/>
        <w:rPr>
          <w:rFonts w:eastAsia="仿宋_GB2312"/>
          <w:sz w:val="32"/>
          <w:szCs w:val="32"/>
        </w:rPr>
      </w:pPr>
      <w:r>
        <w:rPr>
          <w:rFonts w:eastAsia="仿宋_GB2312"/>
          <w:sz w:val="32"/>
          <w:szCs w:val="32"/>
        </w:rPr>
        <w:t>对有前款违法行为的机构及其直接责任人员，吊销其相应资质和资格，五年内不得从事安全评价、认证、检测、检验等工作；情节严重的，实行终身行业和职业禁入。</w:t>
      </w:r>
    </w:p>
    <w:p w14:paraId="4CC27DDE">
      <w:pPr>
        <w:spacing w:line="560" w:lineRule="exact"/>
        <w:ind w:firstLine="640" w:firstLineChars="200"/>
        <w:rPr>
          <w:rFonts w:eastAsia="仿宋_GB2312"/>
          <w:sz w:val="32"/>
          <w:szCs w:val="32"/>
        </w:rPr>
      </w:pPr>
      <w:r>
        <w:rPr>
          <w:rFonts w:eastAsia="仿宋_GB2312"/>
          <w:sz w:val="32"/>
          <w:szCs w:val="32"/>
        </w:rPr>
        <w:t>第九十八条 生产经营单位有下列行为之一的，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构成犯罪的，依照刑法有关规定追究刑事责任：</w:t>
      </w:r>
    </w:p>
    <w:p w14:paraId="5C638B02">
      <w:pPr>
        <w:spacing w:line="560" w:lineRule="exact"/>
        <w:ind w:firstLine="640" w:firstLineChars="200"/>
        <w:rPr>
          <w:rFonts w:eastAsia="仿宋_GB2312"/>
          <w:sz w:val="32"/>
          <w:szCs w:val="32"/>
        </w:rPr>
      </w:pPr>
      <w:r>
        <w:rPr>
          <w:rFonts w:hint="eastAsia" w:eastAsia="仿宋_GB2312"/>
          <w:sz w:val="32"/>
          <w:szCs w:val="32"/>
        </w:rPr>
        <w:t>1.</w:t>
      </w:r>
      <w:r>
        <w:rPr>
          <w:rFonts w:eastAsia="仿宋_GB2312"/>
          <w:sz w:val="32"/>
          <w:szCs w:val="32"/>
        </w:rPr>
        <w:t>未按照规定对矿山、金属冶炼建设项目或者用于生产、储存、装卸危险物品的建设项目进行安全评价的；</w:t>
      </w:r>
    </w:p>
    <w:p w14:paraId="71D8B200">
      <w:pPr>
        <w:spacing w:line="560" w:lineRule="exact"/>
        <w:ind w:firstLine="640" w:firstLineChars="200"/>
        <w:rPr>
          <w:rFonts w:eastAsia="仿宋_GB2312"/>
          <w:sz w:val="32"/>
          <w:szCs w:val="32"/>
        </w:rPr>
      </w:pPr>
      <w:r>
        <w:rPr>
          <w:rFonts w:hint="eastAsia" w:eastAsia="仿宋_GB2312"/>
          <w:sz w:val="32"/>
          <w:szCs w:val="32"/>
        </w:rPr>
        <w:t>2.</w:t>
      </w:r>
      <w:r>
        <w:rPr>
          <w:rFonts w:eastAsia="仿宋_GB2312"/>
          <w:sz w:val="32"/>
          <w:szCs w:val="32"/>
        </w:rPr>
        <w:t>矿山、金属冶炼建设项目或者用于生产、储存、装卸危险物品的建设项目没有安全设施设计或者安全设施设计未按照规定报经有关部门审查同意的；</w:t>
      </w:r>
    </w:p>
    <w:p w14:paraId="2131A7E2">
      <w:pPr>
        <w:spacing w:line="560" w:lineRule="exact"/>
        <w:ind w:firstLine="640" w:firstLineChars="200"/>
        <w:rPr>
          <w:rFonts w:eastAsia="仿宋_GB2312"/>
          <w:sz w:val="32"/>
          <w:szCs w:val="32"/>
        </w:rPr>
      </w:pPr>
      <w:r>
        <w:rPr>
          <w:rFonts w:hint="eastAsia" w:eastAsia="仿宋_GB2312"/>
          <w:sz w:val="32"/>
          <w:szCs w:val="32"/>
        </w:rPr>
        <w:t>3.</w:t>
      </w:r>
      <w:r>
        <w:rPr>
          <w:rFonts w:eastAsia="仿宋_GB2312"/>
          <w:sz w:val="32"/>
          <w:szCs w:val="32"/>
        </w:rPr>
        <w:t>矿山、金属冶炼建设项目或者用于生产、储存、装卸危险物品的建设项目的施工单位未按照批准的安全设施设计施工的；</w:t>
      </w:r>
    </w:p>
    <w:p w14:paraId="09024293">
      <w:pPr>
        <w:pStyle w:val="21"/>
        <w:spacing w:line="560" w:lineRule="exact"/>
        <w:ind w:firstLine="640" w:firstLineChars="200"/>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4.</w:t>
      </w:r>
      <w:r>
        <w:rPr>
          <w:rFonts w:ascii="Times New Roman" w:hAnsi="Times New Roman" w:eastAsia="仿宋_GB2312"/>
          <w:color w:val="000000"/>
          <w:kern w:val="0"/>
          <w:sz w:val="32"/>
          <w:szCs w:val="32"/>
        </w:rPr>
        <w:t>矿山、金属冶炼建设项目或者用于生产、储存、装卸危险物品的建设项目竣工投入生产或者使用前，安全设施未经验收合格的。</w:t>
      </w:r>
    </w:p>
    <w:p w14:paraId="36C0C118">
      <w:pPr>
        <w:spacing w:line="560" w:lineRule="exact"/>
        <w:ind w:firstLine="640" w:firstLineChars="200"/>
        <w:rPr>
          <w:rFonts w:eastAsia="楷体"/>
          <w:sz w:val="32"/>
          <w:szCs w:val="32"/>
        </w:rPr>
      </w:pPr>
      <w:r>
        <w:rPr>
          <w:rFonts w:eastAsia="楷体"/>
          <w:sz w:val="32"/>
          <w:szCs w:val="32"/>
        </w:rPr>
        <w:t>（二）《危险化学品建设项目安全监督管理办法》（原国家安全生产监督管理总局令第</w:t>
      </w:r>
      <w:r>
        <w:rPr>
          <w:rFonts w:hint="eastAsia" w:ascii="宋体" w:hAnsi="宋体" w:cs="宋体"/>
          <w:sz w:val="32"/>
          <w:szCs w:val="32"/>
        </w:rPr>
        <w:t>45</w:t>
      </w:r>
      <w:r>
        <w:rPr>
          <w:rFonts w:eastAsia="楷体"/>
          <w:sz w:val="32"/>
          <w:szCs w:val="32"/>
        </w:rPr>
        <w:t>号）</w:t>
      </w:r>
    </w:p>
    <w:p w14:paraId="1BBC7855">
      <w:pPr>
        <w:spacing w:line="560" w:lineRule="exact"/>
        <w:ind w:firstLine="640" w:firstLineChars="200"/>
        <w:rPr>
          <w:rFonts w:eastAsia="仿宋_GB2312"/>
          <w:sz w:val="32"/>
          <w:szCs w:val="32"/>
        </w:rPr>
      </w:pPr>
      <w:r>
        <w:rPr>
          <w:rFonts w:eastAsia="仿宋_GB2312"/>
          <w:sz w:val="32"/>
          <w:szCs w:val="32"/>
        </w:rPr>
        <w:t>第七条 建设项目的设计、施工、监理单位和安全评价机构应当具备相应的资质，并对其工作成果负责。</w:t>
      </w:r>
    </w:p>
    <w:p w14:paraId="28611AB7">
      <w:pPr>
        <w:spacing w:line="560" w:lineRule="exact"/>
        <w:ind w:firstLine="640" w:firstLineChars="200"/>
        <w:rPr>
          <w:rFonts w:eastAsia="仿宋_GB2312"/>
          <w:sz w:val="32"/>
          <w:szCs w:val="32"/>
        </w:rPr>
      </w:pPr>
      <w:r>
        <w:rPr>
          <w:rFonts w:eastAsia="仿宋_GB2312"/>
          <w:sz w:val="32"/>
          <w:szCs w:val="32"/>
        </w:rPr>
        <w:t>第八条 建设单位应当在建设项目的可行性研究阶段，委托具备相应资质的安全评价机构对建设项目进行安全评价。</w:t>
      </w:r>
    </w:p>
    <w:p w14:paraId="304A9D0C">
      <w:pPr>
        <w:spacing w:line="560" w:lineRule="exact"/>
        <w:ind w:firstLine="640" w:firstLineChars="200"/>
        <w:rPr>
          <w:rFonts w:eastAsia="仿宋_GB2312"/>
          <w:sz w:val="32"/>
          <w:szCs w:val="32"/>
        </w:rPr>
      </w:pPr>
      <w:r>
        <w:rPr>
          <w:rFonts w:eastAsia="仿宋_GB2312"/>
          <w:sz w:val="32"/>
          <w:szCs w:val="32"/>
        </w:rPr>
        <w:t>安全评价机构应当根据有关安全生产法律、法规、规章和国家标准、行业标准，对建设项目进行安全评价，出具建设项目安全评价报告。安全评价报告应当符合《危险化学品建设项目安全评价细则》的要求。</w:t>
      </w:r>
    </w:p>
    <w:p w14:paraId="3977A289">
      <w:pPr>
        <w:spacing w:line="560" w:lineRule="exact"/>
        <w:ind w:firstLine="640" w:firstLineChars="200"/>
        <w:rPr>
          <w:rFonts w:eastAsia="仿宋_GB2312"/>
          <w:sz w:val="32"/>
          <w:szCs w:val="32"/>
        </w:rPr>
      </w:pPr>
      <w:r>
        <w:rPr>
          <w:rFonts w:eastAsia="仿宋_GB2312"/>
          <w:sz w:val="32"/>
          <w:szCs w:val="32"/>
        </w:rPr>
        <w:t>第十三条 建设项目有下列情形之一的，安全条件审查不予通过：</w:t>
      </w:r>
    </w:p>
    <w:p w14:paraId="3DA33F0E">
      <w:pPr>
        <w:spacing w:line="560" w:lineRule="exact"/>
        <w:ind w:firstLine="640" w:firstLineChars="200"/>
        <w:rPr>
          <w:rFonts w:eastAsia="仿宋_GB2312"/>
          <w:sz w:val="32"/>
          <w:szCs w:val="32"/>
        </w:rPr>
      </w:pPr>
      <w:r>
        <w:rPr>
          <w:rFonts w:eastAsia="仿宋_GB2312"/>
          <w:sz w:val="32"/>
          <w:szCs w:val="32"/>
        </w:rPr>
        <w:t>（一）安全评价报告存在重大缺陷、漏项的，包括建设项目主要危险、有害因素辨识和评价不全或者不准确的；</w:t>
      </w:r>
    </w:p>
    <w:p w14:paraId="3AB6DB65">
      <w:pPr>
        <w:spacing w:line="560" w:lineRule="exact"/>
        <w:ind w:firstLine="640" w:firstLineChars="200"/>
        <w:rPr>
          <w:rFonts w:eastAsia="仿宋_GB2312"/>
          <w:sz w:val="32"/>
          <w:szCs w:val="32"/>
        </w:rPr>
      </w:pPr>
      <w:r>
        <w:rPr>
          <w:rFonts w:eastAsia="仿宋_GB2312"/>
          <w:sz w:val="32"/>
          <w:szCs w:val="32"/>
        </w:rPr>
        <w:t>（二）建设项目与周边场所、设施的距离或者拟建场址自然条件不符合有关安全生产法律、法规、规章和国家标准、行业标准的规定的；</w:t>
      </w:r>
    </w:p>
    <w:p w14:paraId="140B8D55">
      <w:pPr>
        <w:spacing w:line="560" w:lineRule="exact"/>
        <w:ind w:firstLine="640" w:firstLineChars="200"/>
        <w:rPr>
          <w:rFonts w:eastAsia="仿宋_GB2312"/>
          <w:sz w:val="32"/>
          <w:szCs w:val="32"/>
        </w:rPr>
      </w:pPr>
      <w:r>
        <w:rPr>
          <w:rFonts w:eastAsia="仿宋_GB2312"/>
          <w:sz w:val="32"/>
          <w:szCs w:val="32"/>
        </w:rPr>
        <w:t>（三）主要技术、工艺未确定，或者不符合有关安全生产法律、法规、规章和国家标准、行业标准的规定的；</w:t>
      </w:r>
    </w:p>
    <w:p w14:paraId="1A39AEFA">
      <w:pPr>
        <w:spacing w:line="560" w:lineRule="exact"/>
        <w:ind w:firstLine="640" w:firstLineChars="200"/>
        <w:rPr>
          <w:rFonts w:eastAsia="仿宋_GB2312"/>
          <w:sz w:val="32"/>
          <w:szCs w:val="32"/>
        </w:rPr>
      </w:pPr>
      <w:r>
        <w:rPr>
          <w:rFonts w:eastAsia="仿宋_GB2312"/>
          <w:sz w:val="32"/>
          <w:szCs w:val="32"/>
        </w:rPr>
        <w:t>（四）国内首次使用的化工工艺，未经省级人民政府有关部门组织的安全可靠性论证的；</w:t>
      </w:r>
    </w:p>
    <w:p w14:paraId="31FA7008">
      <w:pPr>
        <w:spacing w:line="560" w:lineRule="exact"/>
        <w:ind w:firstLine="640" w:firstLineChars="200"/>
        <w:rPr>
          <w:rFonts w:eastAsia="仿宋_GB2312"/>
          <w:sz w:val="32"/>
          <w:szCs w:val="32"/>
        </w:rPr>
      </w:pPr>
      <w:r>
        <w:rPr>
          <w:rFonts w:eastAsia="仿宋_GB2312"/>
          <w:sz w:val="32"/>
          <w:szCs w:val="32"/>
        </w:rPr>
        <w:t>（五）对安全设施设计提出的对策与建议不符合法律、法规、规章和国家标准、行业标准的规定的；</w:t>
      </w:r>
    </w:p>
    <w:p w14:paraId="6FA8BA1F">
      <w:pPr>
        <w:spacing w:line="560" w:lineRule="exact"/>
        <w:ind w:firstLine="640" w:firstLineChars="200"/>
        <w:rPr>
          <w:rFonts w:eastAsia="仿宋_GB2312"/>
          <w:sz w:val="32"/>
          <w:szCs w:val="32"/>
        </w:rPr>
      </w:pPr>
      <w:r>
        <w:rPr>
          <w:rFonts w:eastAsia="仿宋_GB2312"/>
          <w:sz w:val="32"/>
          <w:szCs w:val="32"/>
        </w:rPr>
        <w:t>（六）未委托具备相应资质的安全评价机构进行安全评价的；</w:t>
      </w:r>
    </w:p>
    <w:p w14:paraId="36F92196">
      <w:pPr>
        <w:spacing w:line="560" w:lineRule="exact"/>
        <w:ind w:firstLine="640" w:firstLineChars="200"/>
        <w:rPr>
          <w:rFonts w:eastAsia="仿宋_GB2312"/>
          <w:sz w:val="32"/>
          <w:szCs w:val="32"/>
        </w:rPr>
      </w:pPr>
      <w:r>
        <w:rPr>
          <w:rFonts w:eastAsia="仿宋_GB2312"/>
          <w:sz w:val="32"/>
          <w:szCs w:val="32"/>
        </w:rPr>
        <w:t>（七）隐瞒有关情况或者提供虚假文件、资料的。</w:t>
      </w:r>
    </w:p>
    <w:p w14:paraId="0E8A47BE">
      <w:pPr>
        <w:spacing w:line="560" w:lineRule="exact"/>
        <w:ind w:firstLine="640" w:firstLineChars="200"/>
        <w:rPr>
          <w:rFonts w:eastAsia="仿宋_GB2312"/>
          <w:sz w:val="32"/>
          <w:szCs w:val="32"/>
        </w:rPr>
      </w:pPr>
      <w:r>
        <w:rPr>
          <w:rFonts w:eastAsia="仿宋_GB2312"/>
          <w:sz w:val="32"/>
          <w:szCs w:val="32"/>
        </w:rPr>
        <w:t>建设项目未通过安全条件审查的，建设单位经过整改后可以重新申请建设项目安全条件审查。</w:t>
      </w:r>
    </w:p>
    <w:p w14:paraId="69EF0C1A">
      <w:pPr>
        <w:spacing w:line="560" w:lineRule="exact"/>
        <w:ind w:firstLine="640" w:firstLineChars="200"/>
        <w:rPr>
          <w:rFonts w:eastAsia="仿宋_GB2312"/>
          <w:sz w:val="32"/>
          <w:szCs w:val="32"/>
        </w:rPr>
      </w:pPr>
      <w:r>
        <w:rPr>
          <w:rFonts w:eastAsia="仿宋_GB2312"/>
          <w:sz w:val="32"/>
          <w:szCs w:val="32"/>
        </w:rPr>
        <w:t>第十四条 已经通过安全条件审查的建设项目有下列情形之一的，建设单位应当重新进行安全评价，并申请审查：</w:t>
      </w:r>
    </w:p>
    <w:p w14:paraId="12B0379C">
      <w:pPr>
        <w:spacing w:line="560" w:lineRule="exact"/>
        <w:ind w:firstLine="640" w:firstLineChars="200"/>
        <w:rPr>
          <w:rFonts w:eastAsia="仿宋_GB2312"/>
          <w:sz w:val="32"/>
          <w:szCs w:val="32"/>
        </w:rPr>
      </w:pPr>
      <w:r>
        <w:rPr>
          <w:rFonts w:eastAsia="仿宋_GB2312"/>
          <w:sz w:val="32"/>
          <w:szCs w:val="32"/>
        </w:rPr>
        <w:t>（一）建设项目周边条件发生重大变化的；</w:t>
      </w:r>
    </w:p>
    <w:p w14:paraId="0D52204F">
      <w:pPr>
        <w:spacing w:line="560" w:lineRule="exact"/>
        <w:ind w:firstLine="640" w:firstLineChars="200"/>
        <w:rPr>
          <w:rFonts w:eastAsia="仿宋_GB2312"/>
          <w:sz w:val="32"/>
          <w:szCs w:val="32"/>
        </w:rPr>
      </w:pPr>
      <w:r>
        <w:rPr>
          <w:rFonts w:eastAsia="仿宋_GB2312"/>
          <w:sz w:val="32"/>
          <w:szCs w:val="32"/>
        </w:rPr>
        <w:t>（二）变更建设地址的；</w:t>
      </w:r>
    </w:p>
    <w:p w14:paraId="22AE38DD">
      <w:pPr>
        <w:spacing w:line="560" w:lineRule="exact"/>
        <w:ind w:firstLine="640" w:firstLineChars="200"/>
        <w:rPr>
          <w:rFonts w:eastAsia="仿宋_GB2312"/>
          <w:sz w:val="32"/>
          <w:szCs w:val="32"/>
        </w:rPr>
      </w:pPr>
      <w:r>
        <w:rPr>
          <w:rFonts w:eastAsia="仿宋_GB2312"/>
          <w:sz w:val="32"/>
          <w:szCs w:val="32"/>
        </w:rPr>
        <w:t>（三）主要技术、工艺路线、产品方案或者装置规模发生重大变化的；</w:t>
      </w:r>
    </w:p>
    <w:p w14:paraId="10C838AD">
      <w:pPr>
        <w:spacing w:line="560" w:lineRule="exact"/>
        <w:ind w:firstLine="640" w:firstLineChars="200"/>
        <w:rPr>
          <w:rFonts w:eastAsia="仿宋_GB2312"/>
          <w:sz w:val="32"/>
          <w:szCs w:val="32"/>
        </w:rPr>
      </w:pPr>
      <w:r>
        <w:rPr>
          <w:rFonts w:eastAsia="仿宋_GB2312"/>
          <w:sz w:val="32"/>
          <w:szCs w:val="32"/>
        </w:rPr>
        <w:t>（四）建设项目在安全条件审查意见书有效期内未开工建设，期限届满后需要开工建设的。</w:t>
      </w:r>
    </w:p>
    <w:p w14:paraId="6C32F5C6">
      <w:pPr>
        <w:spacing w:line="560" w:lineRule="exact"/>
        <w:ind w:firstLine="640" w:firstLineChars="200"/>
        <w:rPr>
          <w:rFonts w:eastAsia="楷体"/>
          <w:sz w:val="32"/>
          <w:szCs w:val="32"/>
        </w:rPr>
      </w:pPr>
      <w:r>
        <w:rPr>
          <w:rFonts w:eastAsia="楷体"/>
          <w:sz w:val="32"/>
          <w:szCs w:val="32"/>
        </w:rPr>
        <w:t>（三）《建设项目安全设施“三同时”监督管理办法》（原国家安全生产监督管理总局令第</w:t>
      </w:r>
      <w:r>
        <w:rPr>
          <w:rFonts w:hint="eastAsia" w:ascii="宋体" w:hAnsi="宋体" w:cs="宋体"/>
          <w:sz w:val="32"/>
          <w:szCs w:val="32"/>
        </w:rPr>
        <w:t>36</w:t>
      </w:r>
      <w:r>
        <w:rPr>
          <w:rFonts w:eastAsia="楷体"/>
          <w:sz w:val="32"/>
          <w:szCs w:val="32"/>
        </w:rPr>
        <w:t>号）</w:t>
      </w:r>
    </w:p>
    <w:p w14:paraId="7A0B9E38">
      <w:pPr>
        <w:spacing w:line="560" w:lineRule="exact"/>
        <w:ind w:firstLine="640" w:firstLineChars="200"/>
        <w:rPr>
          <w:rFonts w:eastAsia="仿宋_GB2312"/>
          <w:sz w:val="32"/>
          <w:szCs w:val="32"/>
        </w:rPr>
      </w:pPr>
      <w:r>
        <w:rPr>
          <w:rFonts w:eastAsia="仿宋_GB2312"/>
          <w:sz w:val="32"/>
          <w:szCs w:val="32"/>
        </w:rPr>
        <w:t>第七条 下列建设项目在进行可行性研究时，生产经营单位应当按照国家规定，进行安全预评价：</w:t>
      </w:r>
    </w:p>
    <w:p w14:paraId="2AC1BCC3">
      <w:pPr>
        <w:spacing w:line="560" w:lineRule="exact"/>
        <w:ind w:firstLine="640" w:firstLineChars="200"/>
        <w:rPr>
          <w:rFonts w:eastAsia="仿宋_GB2312"/>
          <w:sz w:val="32"/>
          <w:szCs w:val="32"/>
        </w:rPr>
      </w:pPr>
      <w:r>
        <w:rPr>
          <w:rFonts w:eastAsia="仿宋_GB2312"/>
          <w:sz w:val="32"/>
          <w:szCs w:val="32"/>
        </w:rPr>
        <w:t>（一）非煤矿矿山建设项目；</w:t>
      </w:r>
    </w:p>
    <w:p w14:paraId="65734666">
      <w:pPr>
        <w:spacing w:line="560" w:lineRule="exact"/>
        <w:ind w:firstLine="640" w:firstLineChars="200"/>
        <w:rPr>
          <w:rFonts w:eastAsia="仿宋_GB2312"/>
          <w:sz w:val="32"/>
          <w:szCs w:val="32"/>
        </w:rPr>
      </w:pPr>
      <w:r>
        <w:rPr>
          <w:rFonts w:eastAsia="仿宋_GB2312"/>
          <w:sz w:val="32"/>
          <w:szCs w:val="32"/>
        </w:rPr>
        <w:t>（二）生产、储存危险化学品（包括使用长输管道输送危险化学品，下同）的建设项目；</w:t>
      </w:r>
    </w:p>
    <w:p w14:paraId="1260B4CA">
      <w:pPr>
        <w:spacing w:line="560" w:lineRule="exact"/>
        <w:ind w:firstLine="640" w:firstLineChars="200"/>
        <w:rPr>
          <w:rFonts w:eastAsia="仿宋_GB2312"/>
          <w:sz w:val="32"/>
          <w:szCs w:val="32"/>
        </w:rPr>
      </w:pPr>
      <w:r>
        <w:rPr>
          <w:rFonts w:eastAsia="仿宋_GB2312"/>
          <w:sz w:val="32"/>
          <w:szCs w:val="32"/>
        </w:rPr>
        <w:t>（三）生产、储存烟花爆竹的建设项目；</w:t>
      </w:r>
    </w:p>
    <w:p w14:paraId="230454EB">
      <w:pPr>
        <w:spacing w:line="560" w:lineRule="exact"/>
        <w:ind w:firstLine="640" w:firstLineChars="200"/>
        <w:rPr>
          <w:rFonts w:eastAsia="仿宋_GB2312"/>
          <w:sz w:val="32"/>
          <w:szCs w:val="32"/>
        </w:rPr>
      </w:pPr>
      <w:r>
        <w:rPr>
          <w:rFonts w:eastAsia="仿宋_GB2312"/>
          <w:sz w:val="32"/>
          <w:szCs w:val="32"/>
        </w:rPr>
        <w:t>（四）金属冶炼建设项目；</w:t>
      </w:r>
    </w:p>
    <w:p w14:paraId="783A834D">
      <w:pPr>
        <w:spacing w:line="560" w:lineRule="exact"/>
        <w:ind w:firstLine="640" w:firstLineChars="200"/>
        <w:rPr>
          <w:rFonts w:eastAsia="仿宋_GB2312"/>
          <w:sz w:val="32"/>
          <w:szCs w:val="32"/>
        </w:rPr>
      </w:pPr>
      <w:r>
        <w:rPr>
          <w:rFonts w:eastAsia="仿宋_GB2312"/>
          <w:sz w:val="32"/>
          <w:szCs w:val="32"/>
        </w:rPr>
        <w:t>（五）使用危险化学品从事生产并且使用量达到规定数量的化工建设项目（属于危险化学品生产的除外，下同）；</w:t>
      </w:r>
    </w:p>
    <w:p w14:paraId="77CC0932">
      <w:pPr>
        <w:spacing w:line="560" w:lineRule="exact"/>
        <w:ind w:firstLine="640" w:firstLineChars="200"/>
        <w:rPr>
          <w:rFonts w:eastAsia="仿宋_GB2312"/>
          <w:sz w:val="32"/>
          <w:szCs w:val="32"/>
        </w:rPr>
      </w:pPr>
      <w:r>
        <w:rPr>
          <w:rFonts w:eastAsia="仿宋_GB2312"/>
          <w:sz w:val="32"/>
          <w:szCs w:val="32"/>
        </w:rPr>
        <w:t>（六）法律、行政法规和国务院规定的其他建设项目。</w:t>
      </w:r>
    </w:p>
    <w:p w14:paraId="6989B67A">
      <w:pPr>
        <w:spacing w:line="560" w:lineRule="exact"/>
        <w:ind w:firstLine="640" w:firstLineChars="200"/>
        <w:rPr>
          <w:rFonts w:eastAsia="仿宋_GB2312"/>
          <w:sz w:val="32"/>
          <w:szCs w:val="32"/>
        </w:rPr>
      </w:pPr>
      <w:r>
        <w:rPr>
          <w:rFonts w:eastAsia="仿宋_GB2312"/>
          <w:sz w:val="32"/>
          <w:szCs w:val="32"/>
        </w:rPr>
        <w:t>第八条 生产经营单位应当委托具有相应资质的安全评价机构，对其建设项目进行安全预评价，并编制安全预评价报告。</w:t>
      </w:r>
    </w:p>
    <w:p w14:paraId="632A5523">
      <w:pPr>
        <w:spacing w:line="560" w:lineRule="exact"/>
        <w:ind w:firstLine="640" w:firstLineChars="200"/>
        <w:rPr>
          <w:rFonts w:eastAsia="仿宋_GB2312"/>
          <w:sz w:val="32"/>
          <w:szCs w:val="32"/>
        </w:rPr>
      </w:pPr>
      <w:r>
        <w:rPr>
          <w:rFonts w:eastAsia="仿宋_GB2312"/>
          <w:sz w:val="32"/>
          <w:szCs w:val="32"/>
        </w:rPr>
        <w:t>建设项目安全预评价报告应当符合国家标准或者行业标准的规定。</w:t>
      </w:r>
    </w:p>
    <w:p w14:paraId="6A11125A">
      <w:pPr>
        <w:spacing w:line="560" w:lineRule="exact"/>
        <w:ind w:firstLine="640" w:firstLineChars="200"/>
        <w:rPr>
          <w:rFonts w:eastAsia="仿宋_GB2312"/>
          <w:sz w:val="32"/>
          <w:szCs w:val="32"/>
        </w:rPr>
      </w:pPr>
      <w:r>
        <w:rPr>
          <w:rFonts w:eastAsia="仿宋_GB2312"/>
          <w:sz w:val="32"/>
          <w:szCs w:val="32"/>
        </w:rPr>
        <w:t>生产、储存危险化学品的建设项目和化工建设项目安全预评价报告除符合本条第二款的规定外，还应当符合有关危险化学品建设项目的规定。</w:t>
      </w:r>
    </w:p>
    <w:p w14:paraId="2BFA0374">
      <w:pPr>
        <w:numPr>
          <w:ilvl w:val="0"/>
          <w:numId w:val="22"/>
        </w:numPr>
        <w:spacing w:line="560" w:lineRule="exact"/>
        <w:ind w:firstLine="640" w:firstLineChars="200"/>
        <w:textAlignment w:val="auto"/>
        <w:outlineLvl w:val="0"/>
        <w:rPr>
          <w:rFonts w:eastAsia="黑体"/>
          <w:sz w:val="32"/>
          <w:szCs w:val="32"/>
        </w:rPr>
      </w:pPr>
      <w:r>
        <w:rPr>
          <w:rFonts w:eastAsia="黑体"/>
          <w:sz w:val="32"/>
          <w:szCs w:val="32"/>
        </w:rPr>
        <w:t>是否需要对外通报的建议及理由。</w:t>
      </w:r>
    </w:p>
    <w:p w14:paraId="31633D2D">
      <w:pPr>
        <w:spacing w:line="560" w:lineRule="exact"/>
        <w:ind w:firstLine="640" w:firstLineChars="200"/>
        <w:rPr>
          <w:rFonts w:eastAsia="仿宋_GB2312"/>
          <w:sz w:val="32"/>
          <w:szCs w:val="32"/>
        </w:rPr>
      </w:pPr>
      <w:r>
        <w:rPr>
          <w:rFonts w:eastAsia="仿宋_GB2312"/>
          <w:sz w:val="32"/>
          <w:szCs w:val="32"/>
        </w:rPr>
        <w:t>该标准为强制性标准，建议通报。</w:t>
      </w:r>
    </w:p>
    <w:p w14:paraId="472EBE7D">
      <w:pPr>
        <w:numPr>
          <w:ilvl w:val="0"/>
          <w:numId w:val="22"/>
        </w:numPr>
        <w:spacing w:line="560" w:lineRule="exact"/>
        <w:ind w:firstLine="640" w:firstLineChars="200"/>
        <w:textAlignment w:val="auto"/>
        <w:outlineLvl w:val="0"/>
        <w:rPr>
          <w:rFonts w:eastAsia="黑体"/>
          <w:sz w:val="32"/>
          <w:szCs w:val="32"/>
        </w:rPr>
      </w:pPr>
      <w:r>
        <w:rPr>
          <w:rFonts w:eastAsia="黑体"/>
          <w:sz w:val="32"/>
          <w:szCs w:val="32"/>
        </w:rPr>
        <w:t>废止现行有关标准的建议</w:t>
      </w:r>
    </w:p>
    <w:p w14:paraId="674EA4C3">
      <w:pPr>
        <w:spacing w:line="560" w:lineRule="exact"/>
        <w:ind w:firstLine="640" w:firstLineChars="200"/>
        <w:rPr>
          <w:rFonts w:eastAsia="仿宋_GB2312"/>
          <w:i/>
          <w:iCs/>
          <w:color w:val="FF0000"/>
          <w:sz w:val="32"/>
          <w:szCs w:val="32"/>
        </w:rPr>
      </w:pPr>
      <w:r>
        <w:rPr>
          <w:rFonts w:eastAsia="仿宋_GB2312"/>
          <w:sz w:val="32"/>
          <w:szCs w:val="32"/>
        </w:rPr>
        <w:t>本标准代替安全行业标准《陆上油气管道建设项目安全评价导则》（</w:t>
      </w:r>
      <w:r>
        <w:rPr>
          <w:rFonts w:hint="eastAsia" w:ascii="宋体" w:hAnsi="宋体" w:cs="宋体"/>
          <w:sz w:val="32"/>
          <w:szCs w:val="32"/>
        </w:rPr>
        <w:t>AQ/T 3057-2019</w:t>
      </w:r>
      <w:r>
        <w:rPr>
          <w:rFonts w:eastAsia="仿宋_GB2312"/>
          <w:sz w:val="32"/>
          <w:szCs w:val="32"/>
        </w:rPr>
        <w:t>）。</w:t>
      </w:r>
    </w:p>
    <w:p w14:paraId="4F13C77F">
      <w:pPr>
        <w:numPr>
          <w:ilvl w:val="0"/>
          <w:numId w:val="22"/>
        </w:numPr>
        <w:spacing w:line="560" w:lineRule="exact"/>
        <w:ind w:firstLine="640" w:firstLineChars="200"/>
        <w:textAlignment w:val="auto"/>
        <w:outlineLvl w:val="0"/>
        <w:rPr>
          <w:rFonts w:eastAsia="黑体"/>
          <w:sz w:val="32"/>
          <w:szCs w:val="32"/>
        </w:rPr>
      </w:pPr>
      <w:r>
        <w:rPr>
          <w:rFonts w:eastAsia="黑体"/>
          <w:sz w:val="32"/>
          <w:szCs w:val="32"/>
        </w:rPr>
        <w:t>涉及专利的有关说明</w:t>
      </w:r>
    </w:p>
    <w:p w14:paraId="44D93A3D">
      <w:pPr>
        <w:spacing w:line="560" w:lineRule="exact"/>
        <w:ind w:firstLine="640" w:firstLineChars="200"/>
        <w:rPr>
          <w:rFonts w:eastAsia="仿宋_GB2312"/>
          <w:sz w:val="32"/>
          <w:szCs w:val="32"/>
        </w:rPr>
      </w:pPr>
      <w:r>
        <w:rPr>
          <w:rFonts w:eastAsia="仿宋_GB2312"/>
          <w:sz w:val="32"/>
          <w:szCs w:val="32"/>
        </w:rPr>
        <w:t>本标准未涉及相关专利。</w:t>
      </w:r>
    </w:p>
    <w:p w14:paraId="5C9C0D9A">
      <w:pPr>
        <w:numPr>
          <w:ilvl w:val="0"/>
          <w:numId w:val="22"/>
        </w:numPr>
        <w:spacing w:line="560" w:lineRule="exact"/>
        <w:ind w:firstLine="640" w:firstLineChars="200"/>
        <w:textAlignment w:val="auto"/>
        <w:outlineLvl w:val="0"/>
        <w:rPr>
          <w:rFonts w:eastAsia="黑体"/>
          <w:sz w:val="32"/>
          <w:szCs w:val="32"/>
        </w:rPr>
      </w:pPr>
      <w:r>
        <w:rPr>
          <w:rFonts w:eastAsia="黑体"/>
          <w:sz w:val="32"/>
          <w:szCs w:val="32"/>
        </w:rPr>
        <w:t>标准所涉及的产品、过程或者服务目录</w:t>
      </w:r>
    </w:p>
    <w:p w14:paraId="69C2A5CF">
      <w:pPr>
        <w:spacing w:line="560" w:lineRule="exact"/>
        <w:ind w:firstLine="640" w:firstLineChars="200"/>
        <w:rPr>
          <w:rFonts w:eastAsia="仿宋_GB2312"/>
          <w:sz w:val="32"/>
          <w:szCs w:val="32"/>
        </w:rPr>
      </w:pPr>
      <w:r>
        <w:rPr>
          <w:rFonts w:eastAsia="仿宋_GB2312"/>
          <w:sz w:val="32"/>
          <w:szCs w:val="32"/>
        </w:rPr>
        <w:t>无。</w:t>
      </w:r>
    </w:p>
    <w:p w14:paraId="6B5FE05F">
      <w:pPr>
        <w:numPr>
          <w:ilvl w:val="0"/>
          <w:numId w:val="22"/>
        </w:numPr>
        <w:spacing w:line="560" w:lineRule="exact"/>
        <w:ind w:firstLine="640" w:firstLineChars="200"/>
        <w:textAlignment w:val="auto"/>
        <w:outlineLvl w:val="0"/>
        <w:rPr>
          <w:rFonts w:eastAsia="黑体"/>
          <w:sz w:val="32"/>
          <w:szCs w:val="32"/>
        </w:rPr>
      </w:pPr>
      <w:r>
        <w:rPr>
          <w:rFonts w:eastAsia="黑体"/>
          <w:sz w:val="32"/>
          <w:szCs w:val="32"/>
        </w:rPr>
        <w:t>其他应予以说明的事项</w:t>
      </w:r>
    </w:p>
    <w:p w14:paraId="582F851C">
      <w:pPr>
        <w:spacing w:line="560" w:lineRule="exact"/>
        <w:ind w:firstLine="640" w:firstLineChars="200"/>
        <w:rPr>
          <w:rFonts w:eastAsia="仿宋_GB2312"/>
          <w:sz w:val="32"/>
          <w:szCs w:val="32"/>
        </w:rPr>
      </w:pPr>
      <w:r>
        <w:rPr>
          <w:rFonts w:eastAsia="仿宋_GB2312"/>
          <w:sz w:val="32"/>
          <w:szCs w:val="32"/>
        </w:rPr>
        <w:t>无。</w:t>
      </w:r>
    </w:p>
    <w:p w14:paraId="321272E4"/>
    <w:p w14:paraId="701FDEBA"/>
    <w:sectPr>
      <w:headerReference r:id="rId16" w:type="even"/>
      <w:pgSz w:w="11907" w:h="16839"/>
      <w:pgMar w:top="1418" w:right="1134" w:bottom="1134" w:left="1418" w:header="1418" w:footer="851"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A00002EF" w:usb1="4000004B" w:usb2="00000000" w:usb3="00000000" w:csb0="2000019F" w:csb1="00000000"/>
  </w:font>
  <w:font w:name="CG Times">
    <w:altName w:val="Times New Roman"/>
    <w:panose1 w:val="00000000000000000000"/>
    <w:charset w:val="00"/>
    <w:family w:val="roman"/>
    <w:pitch w:val="default"/>
    <w:sig w:usb0="00000000" w:usb1="00000000" w:usb2="00000000" w:usb3="00000000" w:csb0="00000001"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方正小标宋_GBK">
    <w:altName w:val="微软雅黑"/>
    <w:panose1 w:val="00000000000000000000"/>
    <w:charset w:val="86"/>
    <w:family w:val="auto"/>
    <w:pitch w:val="default"/>
    <w:sig w:usb0="00000000" w:usb1="00000000" w:usb2="00082016" w:usb3="00000000" w:csb0="00040001" w:csb1="00000000"/>
  </w:font>
  <w:font w:name="微软雅黑">
    <w:panose1 w:val="020B0503020204020204"/>
    <w:charset w:val="86"/>
    <w:family w:val="swiss"/>
    <w:pitch w:val="default"/>
    <w:sig w:usb0="80000287" w:usb1="280F3C52" w:usb2="00000016" w:usb3="00000000" w:csb0="0004001F" w:csb1="00000000"/>
  </w:font>
  <w:font w:name="华文宋体">
    <w:panose1 w:val="02010600040101010101"/>
    <w:charset w:val="86"/>
    <w:family w:val="auto"/>
    <w:pitch w:val="default"/>
    <w:sig w:usb0="00000287" w:usb1="080F0000" w:usb2="00000000" w:usb3="00000000" w:csb0="0004009F" w:csb1="DFD7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99A1D9">
    <w:pPr>
      <w:pStyle w:val="27"/>
      <w:framePr w:wrap="around" w:vAnchor="text" w:hAnchor="margin" w:xAlign="outside" w:y="1"/>
      <w:rPr>
        <w:rStyle w:val="40"/>
      </w:rPr>
    </w:pPr>
    <w:r>
      <w:fldChar w:fldCharType="begin"/>
    </w:r>
    <w:r>
      <w:rPr>
        <w:rStyle w:val="40"/>
      </w:rPr>
      <w:instrText xml:space="preserve">PAGE  </w:instrText>
    </w:r>
    <w:r>
      <w:fldChar w:fldCharType="separate"/>
    </w:r>
    <w:r>
      <w:rPr>
        <w:rStyle w:val="40"/>
      </w:rPr>
      <w:t>I</w:t>
    </w:r>
    <w:r>
      <w:fldChar w:fldCharType="end"/>
    </w:r>
  </w:p>
  <w:p w14:paraId="28E2BEFA">
    <w:pPr>
      <w:pStyle w:val="86"/>
      <w:ind w:right="360" w:firstLine="360"/>
      <w:rPr>
        <w:rStyle w:val="40"/>
        <w:rFonts w:hint="eastAsia" w:ascii="宋体" w:hAns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B20FFF">
    <w:pPr>
      <w:pStyle w:val="27"/>
      <w:framePr w:wrap="around" w:vAnchor="text" w:hAnchor="margin" w:xAlign="outside" w:y="1"/>
      <w:rPr>
        <w:rStyle w:val="40"/>
        <w:rFonts w:hint="eastAsia" w:ascii="宋体" w:hAnsi="宋体"/>
      </w:rPr>
    </w:pPr>
    <w:r>
      <w:rPr>
        <w:rFonts w:ascii="宋体" w:hAnsi="宋体"/>
      </w:rPr>
      <w:fldChar w:fldCharType="begin"/>
    </w:r>
    <w:r>
      <w:rPr>
        <w:rStyle w:val="40"/>
        <w:rFonts w:ascii="宋体" w:hAnsi="宋体"/>
      </w:rPr>
      <w:instrText xml:space="preserve">PAGE  </w:instrText>
    </w:r>
    <w:r>
      <w:rPr>
        <w:rFonts w:ascii="宋体" w:hAnsi="宋体"/>
      </w:rPr>
      <w:fldChar w:fldCharType="separate"/>
    </w:r>
    <w:r>
      <w:rPr>
        <w:rStyle w:val="40"/>
        <w:rFonts w:ascii="宋体" w:hAnsi="宋体"/>
      </w:rPr>
      <w:t>II</w:t>
    </w:r>
    <w:r>
      <w:rPr>
        <w:rFonts w:ascii="宋体" w:hAnsi="宋体"/>
      </w:rPr>
      <w:fldChar w:fldCharType="end"/>
    </w:r>
  </w:p>
  <w:p w14:paraId="461C7863">
    <w:pPr>
      <w:pStyle w:val="2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C96CC">
    <w:pPr>
      <w:pStyle w:val="2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C9A3CB">
    <w:pPr>
      <w:pStyle w:val="27"/>
      <w:framePr w:wrap="around" w:vAnchor="text" w:hAnchor="margin" w:xAlign="outside" w:y="1"/>
      <w:rPr>
        <w:rStyle w:val="40"/>
      </w:rPr>
    </w:pPr>
    <w:r>
      <w:fldChar w:fldCharType="begin"/>
    </w:r>
    <w:r>
      <w:rPr>
        <w:rStyle w:val="40"/>
      </w:rPr>
      <w:instrText xml:space="preserve">PAGE  </w:instrText>
    </w:r>
    <w:r>
      <w:fldChar w:fldCharType="separate"/>
    </w:r>
    <w:r>
      <w:rPr>
        <w:rStyle w:val="40"/>
      </w:rPr>
      <w:t>I</w:t>
    </w:r>
    <w:r>
      <w:fldChar w:fldCharType="end"/>
    </w:r>
  </w:p>
  <w:p w14:paraId="7A9D8A12">
    <w:pPr>
      <w:pStyle w:val="86"/>
      <w:ind w:right="360" w:firstLine="360"/>
      <w:rPr>
        <w:rStyle w:val="40"/>
        <w:rFonts w:hint="eastAsia" w:ascii="宋体" w:hAnsi="宋体"/>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2911E">
    <w:pPr>
      <w:pStyle w:val="27"/>
      <w:tabs>
        <w:tab w:val="left" w:pos="9345"/>
      </w:tabs>
      <w:ind w:right="8" w:rightChars="4" w:firstLine="360"/>
      <w:rPr>
        <w:rStyle w:val="40"/>
      </w:rPr>
    </w:pPr>
    <w:r>
      <w:rPr>
        <w:rStyle w:val="40"/>
        <w:rFonts w:hint="eastAsia"/>
      </w:rPr>
      <w:t>Ⅲ</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BA15D">
    <w:pPr>
      <w:pStyle w:val="27"/>
      <w:rPr>
        <w:rFonts w:hint="eastAsia" w:ascii="宋体" w:hAnsi="宋体"/>
      </w:rP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23</w:t>
    </w:r>
    <w:r>
      <w:rPr>
        <w:rFonts w:ascii="宋体" w:hAnsi="宋体"/>
        <w:lang w:val="zh-CN"/>
      </w:rPr>
      <w:fldChar w:fldCharType="end"/>
    </w:r>
  </w:p>
  <w:p w14:paraId="3B1A1F70">
    <w:pPr>
      <w:pStyle w:val="27"/>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89576">
    <w:pPr>
      <w:tabs>
        <w:tab w:val="center" w:pos="4153"/>
        <w:tab w:val="right" w:pos="8306"/>
      </w:tabs>
      <w:snapToGrid w:val="0"/>
      <w:jc w:val="center"/>
      <w:rPr>
        <w:rFonts w:hint="eastAsia" w:ascii="等线" w:hAnsi="等线" w:eastAsia="等线"/>
        <w:sz w:val="18"/>
        <w:szCs w:val="18"/>
      </w:rPr>
    </w:pPr>
  </w:p>
  <w:p w14:paraId="156ABAA5">
    <w:pPr>
      <w:tabs>
        <w:tab w:val="center" w:pos="4153"/>
        <w:tab w:val="right" w:pos="8306"/>
      </w:tabs>
      <w:snapToGrid w:val="0"/>
      <w:jc w:val="left"/>
      <w:rPr>
        <w:rFonts w:hint="eastAsia" w:ascii="等线" w:hAnsi="等线" w:eastAsia="等线"/>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2E846">
    <w:pPr>
      <w:tabs>
        <w:tab w:val="center" w:pos="4153"/>
        <w:tab w:val="right" w:pos="8306"/>
      </w:tabs>
      <w:snapToGrid w:val="0"/>
      <w:jc w:val="center"/>
      <w:rPr>
        <w:rFonts w:hint="eastAsia" w:ascii="等线" w:hAnsi="等线" w:eastAsia="等线"/>
        <w:szCs w:val="21"/>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87519634" name="文本框 6875196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CE6801">
                          <w:pPr>
                            <w:tabs>
                              <w:tab w:val="center" w:pos="4153"/>
                              <w:tab w:val="right" w:pos="8306"/>
                            </w:tabs>
                            <w:snapToGrid w:val="0"/>
                            <w:jc w:val="center"/>
                          </w:pPr>
                          <w:r>
                            <w:rPr>
                              <w:rFonts w:ascii="宋体" w:hAnsi="宋体"/>
                              <w:szCs w:val="21"/>
                            </w:rPr>
                            <w:fldChar w:fldCharType="begin"/>
                          </w:r>
                          <w:r>
                            <w:rPr>
                              <w:rFonts w:ascii="宋体" w:hAnsi="宋体"/>
                              <w:szCs w:val="21"/>
                            </w:rPr>
                            <w:instrText xml:space="preserve">PAGE   \* MERGEFORMAT</w:instrText>
                          </w:r>
                          <w:r>
                            <w:rPr>
                              <w:rFonts w:ascii="宋体" w:hAnsi="宋体"/>
                              <w:szCs w:val="21"/>
                            </w:rPr>
                            <w:fldChar w:fldCharType="separate"/>
                          </w:r>
                          <w:r>
                            <w:rPr>
                              <w:rFonts w:ascii="宋体" w:hAnsi="宋体"/>
                              <w:szCs w:val="21"/>
                              <w:lang w:val="zh-CN"/>
                            </w:rPr>
                            <w:t>2</w:t>
                          </w:r>
                          <w:r>
                            <w:rPr>
                              <w:rFonts w:ascii="宋体" w:hAnsi="宋体"/>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OwQo2DUCAABlBAAADgAAAAAAAAABACAAAAAfAQAAZHJzL2Uyb0RvYy54bWxQ&#10;SwUGAAAAAAYABgBZAQAAxgUAAAAA&#10;">
              <v:fill on="f" focussize="0,0"/>
              <v:stroke on="f" weight="0.5pt"/>
              <v:imagedata o:title=""/>
              <o:lock v:ext="edit" aspectratio="f"/>
              <v:textbox inset="0mm,0mm,0mm,0mm" style="mso-fit-shape-to-text:t;">
                <w:txbxContent>
                  <w:p w14:paraId="08CE6801">
                    <w:pPr>
                      <w:tabs>
                        <w:tab w:val="center" w:pos="4153"/>
                        <w:tab w:val="right" w:pos="8306"/>
                      </w:tabs>
                      <w:snapToGrid w:val="0"/>
                      <w:jc w:val="center"/>
                    </w:pPr>
                    <w:r>
                      <w:rPr>
                        <w:rFonts w:ascii="宋体" w:hAnsi="宋体"/>
                        <w:szCs w:val="21"/>
                      </w:rPr>
                      <w:fldChar w:fldCharType="begin"/>
                    </w:r>
                    <w:r>
                      <w:rPr>
                        <w:rFonts w:ascii="宋体" w:hAnsi="宋体"/>
                        <w:szCs w:val="21"/>
                      </w:rPr>
                      <w:instrText xml:space="preserve">PAGE   \* MERGEFORMAT</w:instrText>
                    </w:r>
                    <w:r>
                      <w:rPr>
                        <w:rFonts w:ascii="宋体" w:hAnsi="宋体"/>
                        <w:szCs w:val="21"/>
                      </w:rPr>
                      <w:fldChar w:fldCharType="separate"/>
                    </w:r>
                    <w:r>
                      <w:rPr>
                        <w:rFonts w:ascii="宋体" w:hAnsi="宋体"/>
                        <w:szCs w:val="21"/>
                        <w:lang w:val="zh-CN"/>
                      </w:rPr>
                      <w:t>2</w:t>
                    </w:r>
                    <w:r>
                      <w:rPr>
                        <w:rFonts w:ascii="宋体" w:hAnsi="宋体"/>
                        <w:szCs w:val="21"/>
                      </w:rPr>
                      <w:fldChar w:fldCharType="end"/>
                    </w:r>
                  </w:p>
                </w:txbxContent>
              </v:textbox>
            </v:shape>
          </w:pict>
        </mc:Fallback>
      </mc:AlternateContent>
    </w:r>
  </w:p>
  <w:p w14:paraId="5B65C1F6">
    <w:pPr>
      <w:tabs>
        <w:tab w:val="center" w:pos="4153"/>
        <w:tab w:val="right" w:pos="8306"/>
      </w:tabs>
      <w:snapToGrid w:val="0"/>
      <w:jc w:val="left"/>
      <w:rPr>
        <w:rFonts w:hint="eastAsia" w:ascii="等线" w:hAnsi="等线" w:eastAsia="等线"/>
        <w:sz w:val="18"/>
        <w:szCs w:val="1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90E6D">
    <w:pPr>
      <w:tabs>
        <w:tab w:val="center" w:pos="4153"/>
        <w:tab w:val="right" w:pos="8306"/>
      </w:tabs>
      <w:snapToGrid w:val="0"/>
      <w:jc w:val="center"/>
      <w:rPr>
        <w:rFonts w:hint="eastAsia" w:ascii="等线" w:hAnsi="等线" w:eastAsia="等线"/>
        <w:szCs w:val="21"/>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40092871" name="文本框 3400928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B7DFDE">
                          <w:pPr>
                            <w:tabs>
                              <w:tab w:val="center" w:pos="4153"/>
                              <w:tab w:val="right" w:pos="8306"/>
                            </w:tabs>
                            <w:snapToGrid w:val="0"/>
                            <w:jc w:val="center"/>
                          </w:pPr>
                          <w:r>
                            <w:rPr>
                              <w:rFonts w:ascii="宋体" w:hAnsi="宋体"/>
                              <w:szCs w:val="21"/>
                            </w:rPr>
                            <w:fldChar w:fldCharType="begin"/>
                          </w:r>
                          <w:r>
                            <w:rPr>
                              <w:rFonts w:ascii="宋体" w:hAnsi="宋体"/>
                              <w:szCs w:val="21"/>
                            </w:rPr>
                            <w:instrText xml:space="preserve">PAGE   \* MERGEFORMAT</w:instrText>
                          </w:r>
                          <w:r>
                            <w:rPr>
                              <w:rFonts w:ascii="宋体" w:hAnsi="宋体"/>
                              <w:szCs w:val="21"/>
                            </w:rPr>
                            <w:fldChar w:fldCharType="separate"/>
                          </w:r>
                          <w:r>
                            <w:rPr>
                              <w:rFonts w:ascii="宋体" w:hAnsi="宋体"/>
                              <w:szCs w:val="21"/>
                              <w:lang w:val="zh-CN"/>
                            </w:rPr>
                            <w:t>2</w:t>
                          </w:r>
                          <w:r>
                            <w:rPr>
                              <w:rFonts w:ascii="宋体" w:hAnsi="宋体"/>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qVUtENAIAAGUEAAAOAAAAAAAAAAEAIAAAAB8BAABkcnMvZTJvRG9jLnhtbFBL&#10;BQYAAAAABgAGAFkBAADFBQAAAAA=&#10;">
              <v:fill on="f" focussize="0,0"/>
              <v:stroke on="f" weight="0.5pt"/>
              <v:imagedata o:title=""/>
              <o:lock v:ext="edit" aspectratio="f"/>
              <v:textbox inset="0mm,0mm,0mm,0mm" style="mso-fit-shape-to-text:t;">
                <w:txbxContent>
                  <w:p w14:paraId="39B7DFDE">
                    <w:pPr>
                      <w:tabs>
                        <w:tab w:val="center" w:pos="4153"/>
                        <w:tab w:val="right" w:pos="8306"/>
                      </w:tabs>
                      <w:snapToGrid w:val="0"/>
                      <w:jc w:val="center"/>
                    </w:pPr>
                    <w:r>
                      <w:rPr>
                        <w:rFonts w:ascii="宋体" w:hAnsi="宋体"/>
                        <w:szCs w:val="21"/>
                      </w:rPr>
                      <w:fldChar w:fldCharType="begin"/>
                    </w:r>
                    <w:r>
                      <w:rPr>
                        <w:rFonts w:ascii="宋体" w:hAnsi="宋体"/>
                        <w:szCs w:val="21"/>
                      </w:rPr>
                      <w:instrText xml:space="preserve">PAGE   \* MERGEFORMAT</w:instrText>
                    </w:r>
                    <w:r>
                      <w:rPr>
                        <w:rFonts w:ascii="宋体" w:hAnsi="宋体"/>
                        <w:szCs w:val="21"/>
                      </w:rPr>
                      <w:fldChar w:fldCharType="separate"/>
                    </w:r>
                    <w:r>
                      <w:rPr>
                        <w:rFonts w:ascii="宋体" w:hAnsi="宋体"/>
                        <w:szCs w:val="21"/>
                        <w:lang w:val="zh-CN"/>
                      </w:rPr>
                      <w:t>2</w:t>
                    </w:r>
                    <w:r>
                      <w:rPr>
                        <w:rFonts w:ascii="宋体" w:hAnsi="宋体"/>
                        <w:szCs w:val="21"/>
                      </w:rPr>
                      <w:fldChar w:fldCharType="end"/>
                    </w:r>
                  </w:p>
                </w:txbxContent>
              </v:textbox>
            </v:shape>
          </w:pict>
        </mc:Fallback>
      </mc:AlternateContent>
    </w:r>
  </w:p>
  <w:p w14:paraId="7C7B4DD3">
    <w:pPr>
      <w:tabs>
        <w:tab w:val="center" w:pos="4153"/>
        <w:tab w:val="right" w:pos="8306"/>
      </w:tabs>
      <w:snapToGrid w:val="0"/>
      <w:jc w:val="left"/>
      <w:rPr>
        <w:rFonts w:hint="eastAsia" w:ascii="等线" w:hAnsi="等线" w:eastAsia="等线"/>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26BE2">
    <w:pPr>
      <w:pStyle w:val="94"/>
    </w:pPr>
    <w:r>
      <w:rPr>
        <w:rFonts w:eastAsia="黑体"/>
      </w:rPr>
      <w:t>AQ 3057—20XX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91C8EA">
    <w:pPr>
      <w:pStyle w:val="28"/>
      <w:jc w:val="both"/>
      <w:rPr>
        <w:sz w:val="21"/>
        <w:szCs w:val="21"/>
      </w:rPr>
    </w:pPr>
    <w:r>
      <w:rPr>
        <w:rFonts w:hint="eastAsia" w:ascii="黑体" w:eastAsia="黑体"/>
        <w:sz w:val="21"/>
        <w:szCs w:val="21"/>
      </w:rPr>
      <w:t>AQ 3057—20XX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1FCBAF">
    <w:pPr>
      <w:pStyle w:val="96"/>
      <w:rPr>
        <w:rFonts w:ascii="黑体" w:eastAsia="黑体"/>
        <w:szCs w:val="21"/>
      </w:rPr>
    </w:pPr>
    <w:r>
      <w:rPr>
        <w:rFonts w:hint="eastAsia" w:ascii="黑体" w:eastAsia="黑体"/>
        <w:szCs w:val="21"/>
      </w:rPr>
      <w:t>AQ 3057—20XX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A38F67"/>
    <w:multiLevelType w:val="singleLevel"/>
    <w:tmpl w:val="9FA38F67"/>
    <w:lvl w:ilvl="0" w:tentative="0">
      <w:start w:val="1"/>
      <w:numFmt w:val="lowerLetter"/>
      <w:suff w:val="space"/>
      <w:lvlText w:val="%1）"/>
      <w:lvlJc w:val="left"/>
    </w:lvl>
  </w:abstractNum>
  <w:abstractNum w:abstractNumId="1">
    <w:nsid w:val="BED7BBAD"/>
    <w:multiLevelType w:val="singleLevel"/>
    <w:tmpl w:val="BED7BBAD"/>
    <w:lvl w:ilvl="0" w:tentative="0">
      <w:start w:val="1"/>
      <w:numFmt w:val="decimal"/>
      <w:suff w:val="nothing"/>
      <w:lvlText w:val="%1．"/>
      <w:lvlJc w:val="left"/>
      <w:pPr>
        <w:ind w:left="0" w:firstLine="400"/>
      </w:pPr>
      <w:rPr>
        <w:rFonts w:hint="default" w:ascii="宋体" w:hAnsi="宋体" w:eastAsia="宋体" w:cs="宋体"/>
      </w:rPr>
    </w:lvl>
  </w:abstractNum>
  <w:abstractNum w:abstractNumId="2">
    <w:nsid w:val="EFEE6F9B"/>
    <w:multiLevelType w:val="singleLevel"/>
    <w:tmpl w:val="EFEE6F9B"/>
    <w:lvl w:ilvl="0" w:tentative="0">
      <w:start w:val="2"/>
      <w:numFmt w:val="chineseCounting"/>
      <w:suff w:val="nothing"/>
      <w:lvlText w:val="%1、"/>
      <w:lvlJc w:val="left"/>
      <w:rPr>
        <w:rFonts w:hint="eastAsia"/>
      </w:rPr>
    </w:lvl>
  </w:abstractNum>
  <w:abstractNum w:abstractNumId="3">
    <w:nsid w:val="F79EAE0B"/>
    <w:multiLevelType w:val="singleLevel"/>
    <w:tmpl w:val="F79EAE0B"/>
    <w:lvl w:ilvl="0" w:tentative="0">
      <w:start w:val="1"/>
      <w:numFmt w:val="chineseCounting"/>
      <w:suff w:val="nothing"/>
      <w:lvlText w:val="（%1）"/>
      <w:lvlJc w:val="left"/>
      <w:rPr>
        <w:rFonts w:hint="eastAsia"/>
      </w:rPr>
    </w:lvl>
  </w:abstractNum>
  <w:abstractNum w:abstractNumId="4">
    <w:nsid w:val="0000000B"/>
    <w:multiLevelType w:val="multilevel"/>
    <w:tmpl w:val="0000000B"/>
    <w:lvl w:ilvl="0" w:tentative="0">
      <w:start w:val="1"/>
      <w:numFmt w:val="none"/>
      <w:lvlText w:val=" "/>
      <w:lvlJc w:val="left"/>
      <w:pPr>
        <w:tabs>
          <w:tab w:val="left" w:pos="360"/>
        </w:tabs>
      </w:pPr>
      <w:rPr>
        <w:rFonts w:hint="eastAsia" w:ascii="黑体" w:hAnsi="Symbol" w:eastAsia="黑体" w:cs="Times New Roman"/>
        <w:b w:val="0"/>
        <w:i w:val="0"/>
        <w:sz w:val="21"/>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5">
    <w:nsid w:val="0AE367E9"/>
    <w:multiLevelType w:val="multilevel"/>
    <w:tmpl w:val="0AE367E9"/>
    <w:lvl w:ilvl="0" w:tentative="0">
      <w:start w:val="1"/>
      <w:numFmt w:val="none"/>
      <w:pStyle w:val="102"/>
      <w:lvlText w:val="%1示例"/>
      <w:lvlJc w:val="left"/>
      <w:pPr>
        <w:tabs>
          <w:tab w:val="left" w:pos="1120"/>
        </w:tabs>
        <w:ind w:left="0" w:firstLine="400"/>
      </w:pPr>
      <w:rPr>
        <w:rFonts w:hint="eastAsia" w:ascii="宋体"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7E555C"/>
    <w:multiLevelType w:val="multilevel"/>
    <w:tmpl w:val="0D7E555C"/>
    <w:lvl w:ilvl="0" w:tentative="0">
      <w:start w:val="1"/>
      <w:numFmt w:val="decimal"/>
      <w:suff w:val="nothing"/>
      <w:lvlText w:val="%1"/>
      <w:lvlJc w:val="left"/>
      <w:pPr>
        <w:ind w:left="630" w:hanging="420"/>
      </w:pPr>
      <w:rPr>
        <w:rFonts w:hint="eastAsia"/>
      </w:rPr>
    </w:lvl>
    <w:lvl w:ilvl="1" w:tentative="0">
      <w:start w:val="1"/>
      <w:numFmt w:val="lowerLetter"/>
      <w:lvlText w:val="%2)"/>
      <w:lvlJc w:val="left"/>
      <w:pPr>
        <w:ind w:left="1050" w:hanging="420"/>
      </w:pPr>
    </w:lvl>
    <w:lvl w:ilvl="2" w:tentative="0">
      <w:start w:val="1"/>
      <w:numFmt w:val="lowerRoman"/>
      <w:lvlText w:val="%3."/>
      <w:lvlJc w:val="right"/>
      <w:pPr>
        <w:ind w:left="1470" w:hanging="420"/>
      </w:pPr>
    </w:lvl>
    <w:lvl w:ilvl="3" w:tentative="0">
      <w:start w:val="1"/>
      <w:numFmt w:val="decimal"/>
      <w:lvlText w:val="%4."/>
      <w:lvlJc w:val="left"/>
      <w:pPr>
        <w:ind w:left="1890" w:hanging="420"/>
      </w:pPr>
    </w:lvl>
    <w:lvl w:ilvl="4" w:tentative="0">
      <w:start w:val="1"/>
      <w:numFmt w:val="lowerLetter"/>
      <w:lvlText w:val="%5)"/>
      <w:lvlJc w:val="left"/>
      <w:pPr>
        <w:ind w:left="2310" w:hanging="420"/>
      </w:pPr>
    </w:lvl>
    <w:lvl w:ilvl="5" w:tentative="0">
      <w:start w:val="1"/>
      <w:numFmt w:val="lowerRoman"/>
      <w:lvlText w:val="%6."/>
      <w:lvlJc w:val="right"/>
      <w:pPr>
        <w:ind w:left="2730" w:hanging="420"/>
      </w:pPr>
    </w:lvl>
    <w:lvl w:ilvl="6" w:tentative="0">
      <w:start w:val="1"/>
      <w:numFmt w:val="decimal"/>
      <w:lvlText w:val="%7."/>
      <w:lvlJc w:val="left"/>
      <w:pPr>
        <w:ind w:left="3150" w:hanging="420"/>
      </w:pPr>
    </w:lvl>
    <w:lvl w:ilvl="7" w:tentative="0">
      <w:start w:val="1"/>
      <w:numFmt w:val="lowerLetter"/>
      <w:lvlText w:val="%8)"/>
      <w:lvlJc w:val="left"/>
      <w:pPr>
        <w:ind w:left="3570" w:hanging="420"/>
      </w:pPr>
    </w:lvl>
    <w:lvl w:ilvl="8" w:tentative="0">
      <w:start w:val="1"/>
      <w:numFmt w:val="lowerRoman"/>
      <w:lvlText w:val="%9."/>
      <w:lvlJc w:val="right"/>
      <w:pPr>
        <w:ind w:left="3990" w:hanging="420"/>
      </w:pPr>
    </w:lvl>
  </w:abstractNum>
  <w:abstractNum w:abstractNumId="7">
    <w:nsid w:val="42EC0E42"/>
    <w:multiLevelType w:val="multilevel"/>
    <w:tmpl w:val="42EC0E42"/>
    <w:lvl w:ilvl="0" w:tentative="0">
      <w:start w:val="1"/>
      <w:numFmt w:val="decimal"/>
      <w:lvlText w:val="%1、"/>
      <w:lvlJc w:val="left"/>
      <w:pPr>
        <w:tabs>
          <w:tab w:val="left" w:pos="360"/>
        </w:tabs>
        <w:ind w:left="360" w:hanging="360"/>
      </w:pPr>
      <w:rPr>
        <w:rFonts w:hint="eastAsia"/>
      </w:rPr>
    </w:lvl>
    <w:lvl w:ilvl="1" w:tentative="0">
      <w:start w:val="1"/>
      <w:numFmt w:val="lowerLetter"/>
      <w:pStyle w:val="138"/>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45E16FCB"/>
    <w:multiLevelType w:val="singleLevel"/>
    <w:tmpl w:val="45E16FCB"/>
    <w:lvl w:ilvl="0" w:tentative="0">
      <w:start w:val="1"/>
      <w:numFmt w:val="decimal"/>
      <w:suff w:val="nothing"/>
      <w:lvlText w:val="（%1）"/>
      <w:lvlJc w:val="left"/>
      <w:pPr>
        <w:tabs>
          <w:tab w:val="left" w:pos="0"/>
        </w:tabs>
      </w:pPr>
      <w:rPr>
        <w:rFonts w:hint="default"/>
      </w:rPr>
    </w:lvl>
  </w:abstractNum>
  <w:abstractNum w:abstractNumId="9">
    <w:nsid w:val="46806F7D"/>
    <w:multiLevelType w:val="multilevel"/>
    <w:tmpl w:val="46806F7D"/>
    <w:lvl w:ilvl="0" w:tentative="0">
      <w:start w:val="1"/>
      <w:numFmt w:val="none"/>
      <w:pStyle w:val="116"/>
      <w:lvlText w:val="图"/>
      <w:lvlJc w:val="left"/>
      <w:pPr>
        <w:tabs>
          <w:tab w:val="left" w:pos="360"/>
        </w:tabs>
        <w:ind w:left="0" w:firstLine="0"/>
      </w:pPr>
      <w:rPr>
        <w:rFonts w:hint="eastAsia" w:ascii="黑体" w:eastAsia="黑体"/>
        <w:b w:val="0"/>
        <w:i w:val="0"/>
        <w:sz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46D22D8F"/>
    <w:multiLevelType w:val="multilevel"/>
    <w:tmpl w:val="46D22D8F"/>
    <w:lvl w:ilvl="0" w:tentative="0">
      <w:start w:val="1"/>
      <w:numFmt w:val="none"/>
      <w:pStyle w:val="120"/>
      <w:lvlText w:val="%1◆　"/>
      <w:lvlJc w:val="left"/>
      <w:pPr>
        <w:tabs>
          <w:tab w:val="left" w:pos="960"/>
        </w:tabs>
        <w:ind w:left="917" w:hanging="317"/>
      </w:pPr>
      <w:rPr>
        <w:rFonts w:hint="eastAsia" w:ascii="宋体" w:hAnsi="Times New Roman" w:eastAsia="宋体"/>
        <w:b w:val="0"/>
        <w:i w:val="0"/>
        <w:position w:val="4"/>
        <w:sz w:val="1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496E4D7B"/>
    <w:multiLevelType w:val="multilevel"/>
    <w:tmpl w:val="496E4D7B"/>
    <w:lvl w:ilvl="0" w:tentative="0">
      <w:start w:val="1"/>
      <w:numFmt w:val="none"/>
      <w:pStyle w:val="132"/>
      <w:lvlText w:val="%1注"/>
      <w:lvlJc w:val="left"/>
      <w:pPr>
        <w:tabs>
          <w:tab w:val="left" w:pos="900"/>
        </w:tabs>
        <w:ind w:left="900" w:hanging="500"/>
      </w:pPr>
      <w:rPr>
        <w:rFonts w:hint="eastAsia" w:ascii="宋体" w:hAnsi="Times New Roman"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4F302902"/>
    <w:multiLevelType w:val="multilevel"/>
    <w:tmpl w:val="4F302902"/>
    <w:lvl w:ilvl="0" w:tentative="0">
      <w:start w:val="1"/>
      <w:numFmt w:val="none"/>
      <w:pStyle w:val="110"/>
      <w:lvlText w:val="表"/>
      <w:lvlJc w:val="left"/>
      <w:pPr>
        <w:tabs>
          <w:tab w:val="left" w:pos="360"/>
        </w:tabs>
        <w:ind w:left="0" w:firstLine="0"/>
      </w:pPr>
      <w:rPr>
        <w:rFonts w:hint="eastAsia" w:ascii="黑体" w:eastAsia="黑体"/>
        <w:b w:val="0"/>
        <w:i w:val="0"/>
        <w:sz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5442E711"/>
    <w:multiLevelType w:val="singleLevel"/>
    <w:tmpl w:val="5442E711"/>
    <w:lvl w:ilvl="0" w:tentative="0">
      <w:start w:val="1"/>
      <w:numFmt w:val="lowerLetter"/>
      <w:suff w:val="nothing"/>
      <w:lvlText w:val="%1）"/>
      <w:lvlJc w:val="left"/>
      <w:pPr>
        <w:ind w:left="0" w:firstLine="0"/>
      </w:pPr>
      <w:rPr>
        <w:rFonts w:hint="default"/>
        <w:color w:val="auto"/>
      </w:rPr>
    </w:lvl>
  </w:abstractNum>
  <w:abstractNum w:abstractNumId="14">
    <w:nsid w:val="557C2AF5"/>
    <w:multiLevelType w:val="multilevel"/>
    <w:tmpl w:val="557C2AF5"/>
    <w:lvl w:ilvl="0" w:tentative="0">
      <w:start w:val="1"/>
      <w:numFmt w:val="decimal"/>
      <w:pStyle w:val="130"/>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5">
    <w:nsid w:val="6350366A"/>
    <w:multiLevelType w:val="multilevel"/>
    <w:tmpl w:val="6350366A"/>
    <w:lvl w:ilvl="0" w:tentative="0">
      <w:start w:val="1"/>
      <w:numFmt w:val="none"/>
      <w:pStyle w:val="121"/>
      <w:lvlText w:val="%1●　"/>
      <w:lvlJc w:val="left"/>
      <w:pPr>
        <w:tabs>
          <w:tab w:val="left" w:pos="760"/>
        </w:tabs>
        <w:ind w:left="717" w:hanging="317"/>
      </w:pPr>
      <w:rPr>
        <w:rFonts w:hint="eastAsia" w:ascii="宋体" w:hAnsi="Times New Roman" w:eastAsia="宋体"/>
        <w:b w:val="0"/>
        <w:i w:val="0"/>
        <w:position w:val="4"/>
        <w:sz w:val="13"/>
      </w:rPr>
    </w:lvl>
    <w:lvl w:ilvl="1" w:tentative="0">
      <w:start w:val="1"/>
      <w:numFmt w:val="lowerLetter"/>
      <w:lvlText w:val="%2)"/>
      <w:lvlJc w:val="left"/>
      <w:pPr>
        <w:tabs>
          <w:tab w:val="left" w:pos="780"/>
        </w:tabs>
        <w:ind w:left="780" w:hanging="360"/>
      </w:pPr>
      <w:rPr>
        <w:rFonts w:hint="eastAsia"/>
      </w:rPr>
    </w:lvl>
    <w:lvl w:ilvl="2" w:tentative="0">
      <w:start w:val="1"/>
      <w:numFmt w:val="decimal"/>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646260FA"/>
    <w:multiLevelType w:val="multilevel"/>
    <w:tmpl w:val="646260FA"/>
    <w:lvl w:ilvl="0" w:tentative="0">
      <w:start w:val="1"/>
      <w:numFmt w:val="decimal"/>
      <w:pStyle w:val="129"/>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7">
    <w:nsid w:val="657D3FBC"/>
    <w:multiLevelType w:val="multilevel"/>
    <w:tmpl w:val="657D3FBC"/>
    <w:lvl w:ilvl="0" w:tentative="0">
      <w:start w:val="1"/>
      <w:numFmt w:val="upperLetter"/>
      <w:pStyle w:val="109"/>
      <w:suff w:val="nothing"/>
      <w:lvlText w:val="附　录　%1"/>
      <w:lvlJc w:val="left"/>
      <w:pPr>
        <w:ind w:left="0" w:firstLine="0"/>
      </w:pPr>
      <w:rPr>
        <w:rFonts w:hint="eastAsia" w:ascii="黑体" w:hAnsi="Times New Roman" w:eastAsia="黑体"/>
        <w:b w:val="0"/>
        <w:i w:val="0"/>
        <w:sz w:val="21"/>
      </w:rPr>
    </w:lvl>
    <w:lvl w:ilvl="1" w:tentative="0">
      <w:start w:val="1"/>
      <w:numFmt w:val="decimal"/>
      <w:pStyle w:val="93"/>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11"/>
      <w:suff w:val="nothing"/>
      <w:lvlText w:val="%1.%2.%3　"/>
      <w:lvlJc w:val="left"/>
      <w:pPr>
        <w:ind w:left="0" w:firstLine="0"/>
      </w:pPr>
      <w:rPr>
        <w:rFonts w:hint="eastAsia" w:ascii="黑体" w:hAnsi="Times New Roman" w:eastAsia="黑体"/>
        <w:b w:val="0"/>
        <w:i w:val="0"/>
        <w:sz w:val="21"/>
      </w:rPr>
    </w:lvl>
    <w:lvl w:ilvl="3" w:tentative="0">
      <w:start w:val="1"/>
      <w:numFmt w:val="decimal"/>
      <w:pStyle w:val="112"/>
      <w:suff w:val="nothing"/>
      <w:lvlText w:val="%1.%2.%3.%4　"/>
      <w:lvlJc w:val="left"/>
      <w:pPr>
        <w:ind w:left="0" w:firstLine="0"/>
      </w:pPr>
      <w:rPr>
        <w:rFonts w:hint="eastAsia" w:ascii="黑体" w:hAnsi="Times New Roman" w:eastAsia="黑体"/>
        <w:b w:val="0"/>
        <w:i w:val="0"/>
        <w:sz w:val="21"/>
      </w:rPr>
    </w:lvl>
    <w:lvl w:ilvl="4" w:tentative="0">
      <w:start w:val="1"/>
      <w:numFmt w:val="decimal"/>
      <w:pStyle w:val="113"/>
      <w:suff w:val="nothing"/>
      <w:lvlText w:val="%1.%2.%3.%4.%5　"/>
      <w:lvlJc w:val="left"/>
      <w:pPr>
        <w:ind w:left="0" w:firstLine="0"/>
      </w:pPr>
      <w:rPr>
        <w:rFonts w:hint="eastAsia" w:ascii="黑体" w:hAnsi="Times New Roman" w:eastAsia="黑体"/>
        <w:b w:val="0"/>
        <w:i w:val="0"/>
        <w:sz w:val="21"/>
      </w:rPr>
    </w:lvl>
    <w:lvl w:ilvl="5" w:tentative="0">
      <w:start w:val="1"/>
      <w:numFmt w:val="decimal"/>
      <w:pStyle w:val="114"/>
      <w:suff w:val="nothing"/>
      <w:lvlText w:val="%1.%2.%3.%4.%5.%6　"/>
      <w:lvlJc w:val="left"/>
      <w:pPr>
        <w:ind w:left="0" w:firstLine="0"/>
      </w:pPr>
      <w:rPr>
        <w:rFonts w:hint="eastAsia" w:ascii="黑体" w:hAnsi="Times New Roman" w:eastAsia="黑体"/>
        <w:b w:val="0"/>
        <w:i w:val="0"/>
        <w:sz w:val="21"/>
      </w:rPr>
    </w:lvl>
    <w:lvl w:ilvl="6" w:tentative="0">
      <w:start w:val="1"/>
      <w:numFmt w:val="decimal"/>
      <w:pStyle w:val="11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8">
    <w:nsid w:val="671F11B1"/>
    <w:multiLevelType w:val="singleLevel"/>
    <w:tmpl w:val="671F11B1"/>
    <w:lvl w:ilvl="0" w:tentative="0">
      <w:start w:val="4"/>
      <w:numFmt w:val="chineseCounting"/>
      <w:suff w:val="nothing"/>
      <w:lvlText w:val="%1、"/>
      <w:lvlJc w:val="left"/>
      <w:rPr>
        <w:rFonts w:hint="eastAsia"/>
      </w:rPr>
    </w:lvl>
  </w:abstractNum>
  <w:abstractNum w:abstractNumId="19">
    <w:nsid w:val="6CEA2025"/>
    <w:multiLevelType w:val="multilevel"/>
    <w:tmpl w:val="6CEA2025"/>
    <w:lvl w:ilvl="0" w:tentative="0">
      <w:start w:val="1"/>
      <w:numFmt w:val="none"/>
      <w:pStyle w:val="83"/>
      <w:suff w:val="nothing"/>
      <w:lvlText w:val="%1"/>
      <w:lvlJc w:val="left"/>
      <w:pPr>
        <w:ind w:left="0" w:firstLine="0"/>
      </w:pPr>
      <w:rPr>
        <w:rFonts w:hint="default" w:ascii="Times New Roman" w:hAnsi="Times New Roman"/>
        <w:b/>
        <w:i w:val="0"/>
        <w:sz w:val="21"/>
      </w:rPr>
    </w:lvl>
    <w:lvl w:ilvl="1" w:tentative="0">
      <w:start w:val="1"/>
      <w:numFmt w:val="decimal"/>
      <w:pStyle w:val="97"/>
      <w:suff w:val="nothing"/>
      <w:lvlText w:val="%1%2　"/>
      <w:lvlJc w:val="left"/>
      <w:pPr>
        <w:ind w:left="0" w:firstLine="0"/>
      </w:pPr>
      <w:rPr>
        <w:rFonts w:hint="eastAsia" w:ascii="黑体" w:hAnsi="Times New Roman" w:eastAsia="黑体"/>
        <w:b w:val="0"/>
        <w:i w:val="0"/>
        <w:sz w:val="21"/>
      </w:rPr>
    </w:lvl>
    <w:lvl w:ilvl="2" w:tentative="0">
      <w:start w:val="1"/>
      <w:numFmt w:val="decimal"/>
      <w:pStyle w:val="81"/>
      <w:suff w:val="nothing"/>
      <w:lvlText w:val="%1%2.%3　"/>
      <w:lvlJc w:val="left"/>
      <w:pPr>
        <w:ind w:left="0" w:firstLine="0"/>
      </w:pPr>
      <w:rPr>
        <w:rFonts w:hint="eastAsia" w:ascii="黑体" w:hAnsi="Times New Roman" w:eastAsia="黑体"/>
        <w:b w:val="0"/>
        <w:i w:val="0"/>
        <w:sz w:val="21"/>
      </w:rPr>
    </w:lvl>
    <w:lvl w:ilvl="3" w:tentative="0">
      <w:start w:val="1"/>
      <w:numFmt w:val="decimal"/>
      <w:pStyle w:val="91"/>
      <w:suff w:val="nothing"/>
      <w:lvlText w:val="%1%2.%3.%4　"/>
      <w:lvlJc w:val="left"/>
      <w:pPr>
        <w:ind w:left="0" w:firstLine="0"/>
      </w:pPr>
      <w:rPr>
        <w:rFonts w:hint="eastAsia" w:ascii="黑体" w:hAnsi="Times New Roman" w:eastAsia="黑体"/>
        <w:b w:val="0"/>
        <w:i w:val="0"/>
        <w:sz w:val="21"/>
      </w:rPr>
    </w:lvl>
    <w:lvl w:ilvl="4" w:tentative="0">
      <w:start w:val="1"/>
      <w:numFmt w:val="decimal"/>
      <w:pStyle w:val="90"/>
      <w:suff w:val="nothing"/>
      <w:lvlText w:val="%1%2.%3.%4.%5　"/>
      <w:lvlJc w:val="left"/>
      <w:pPr>
        <w:ind w:left="0" w:firstLine="0"/>
      </w:pPr>
      <w:rPr>
        <w:rFonts w:hint="eastAsia" w:ascii="黑体" w:hAnsi="Times New Roman" w:eastAsia="黑体"/>
        <w:b w:val="0"/>
        <w:i w:val="0"/>
        <w:sz w:val="21"/>
      </w:rPr>
    </w:lvl>
    <w:lvl w:ilvl="5" w:tentative="0">
      <w:start w:val="1"/>
      <w:numFmt w:val="decimal"/>
      <w:pStyle w:val="89"/>
      <w:suff w:val="nothing"/>
      <w:lvlText w:val="%1%2.%3.%4.%5.%6　"/>
      <w:lvlJc w:val="left"/>
      <w:pPr>
        <w:ind w:left="0" w:firstLine="0"/>
      </w:pPr>
      <w:rPr>
        <w:rFonts w:hint="eastAsia" w:ascii="黑体" w:hAnsi="Times New Roman" w:eastAsia="黑体"/>
        <w:b w:val="0"/>
        <w:i w:val="0"/>
        <w:sz w:val="21"/>
      </w:rPr>
    </w:lvl>
    <w:lvl w:ilvl="6" w:tentative="0">
      <w:start w:val="1"/>
      <w:numFmt w:val="decimal"/>
      <w:pStyle w:val="8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0">
    <w:nsid w:val="6DBF04F4"/>
    <w:multiLevelType w:val="multilevel"/>
    <w:tmpl w:val="6DBF04F4"/>
    <w:lvl w:ilvl="0" w:tentative="0">
      <w:start w:val="1"/>
      <w:numFmt w:val="none"/>
      <w:pStyle w:val="131"/>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pStyle w:val="157"/>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749685AE"/>
    <w:multiLevelType w:val="singleLevel"/>
    <w:tmpl w:val="749685AE"/>
    <w:lvl w:ilvl="0" w:tentative="0">
      <w:start w:val="1"/>
      <w:numFmt w:val="lowerLetter"/>
      <w:suff w:val="space"/>
      <w:lvlText w:val="%1）"/>
      <w:lvlJc w:val="left"/>
    </w:lvl>
  </w:abstractNum>
  <w:abstractNum w:abstractNumId="22">
    <w:nsid w:val="76933334"/>
    <w:multiLevelType w:val="multilevel"/>
    <w:tmpl w:val="76933334"/>
    <w:lvl w:ilvl="0" w:tentative="0">
      <w:start w:val="1"/>
      <w:numFmt w:val="none"/>
      <w:pStyle w:val="119"/>
      <w:lvlText w:val="%1——"/>
      <w:lvlJc w:val="left"/>
      <w:pPr>
        <w:tabs>
          <w:tab w:val="left" w:pos="11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9"/>
  </w:num>
  <w:num w:numId="2">
    <w:abstractNumId w:val="17"/>
  </w:num>
  <w:num w:numId="3">
    <w:abstractNumId w:val="5"/>
  </w:num>
  <w:num w:numId="4">
    <w:abstractNumId w:val="12"/>
  </w:num>
  <w:num w:numId="5">
    <w:abstractNumId w:val="9"/>
  </w:num>
  <w:num w:numId="6">
    <w:abstractNumId w:val="22"/>
  </w:num>
  <w:num w:numId="7">
    <w:abstractNumId w:val="10"/>
  </w:num>
  <w:num w:numId="8">
    <w:abstractNumId w:val="15"/>
  </w:num>
  <w:num w:numId="9">
    <w:abstractNumId w:val="16"/>
  </w:num>
  <w:num w:numId="10">
    <w:abstractNumId w:val="14"/>
  </w:num>
  <w:num w:numId="11">
    <w:abstractNumId w:val="20"/>
  </w:num>
  <w:num w:numId="12">
    <w:abstractNumId w:val="11"/>
  </w:num>
  <w:num w:numId="13">
    <w:abstractNumId w:val="7"/>
  </w:num>
  <w:num w:numId="14">
    <w:abstractNumId w:val="0"/>
  </w:num>
  <w:num w:numId="15">
    <w:abstractNumId w:val="13"/>
  </w:num>
  <w:num w:numId="16">
    <w:abstractNumId w:val="4"/>
  </w:num>
  <w:num w:numId="17">
    <w:abstractNumId w:val="2"/>
  </w:num>
  <w:num w:numId="18">
    <w:abstractNumId w:val="8"/>
  </w:num>
  <w:num w:numId="19">
    <w:abstractNumId w:val="1"/>
  </w:num>
  <w:num w:numId="20">
    <w:abstractNumId w:val="6"/>
  </w:num>
  <w:num w:numId="21">
    <w:abstractNumId w:val="21"/>
  </w:num>
  <w:num w:numId="22">
    <w:abstractNumId w:val="18"/>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evenAndOddHeaders w:val="1"/>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Y5NjBjNmI1OGVmNWZhODZmZDdmMzA0ZDU2NmYwNDAifQ=="/>
  </w:docVars>
  <w:rsids>
    <w:rsidRoot w:val="00B05F81"/>
    <w:rsid w:val="00001510"/>
    <w:rsid w:val="00002849"/>
    <w:rsid w:val="0000404A"/>
    <w:rsid w:val="0000476B"/>
    <w:rsid w:val="00004813"/>
    <w:rsid w:val="00005CC8"/>
    <w:rsid w:val="00007992"/>
    <w:rsid w:val="00007FEB"/>
    <w:rsid w:val="00012527"/>
    <w:rsid w:val="0001274F"/>
    <w:rsid w:val="0001354F"/>
    <w:rsid w:val="000205B0"/>
    <w:rsid w:val="00020D6C"/>
    <w:rsid w:val="00021405"/>
    <w:rsid w:val="00021F81"/>
    <w:rsid w:val="00026FED"/>
    <w:rsid w:val="000273A9"/>
    <w:rsid w:val="00030AEA"/>
    <w:rsid w:val="00031221"/>
    <w:rsid w:val="0003206D"/>
    <w:rsid w:val="00032B6D"/>
    <w:rsid w:val="000334D6"/>
    <w:rsid w:val="00035754"/>
    <w:rsid w:val="00035FB4"/>
    <w:rsid w:val="00036F89"/>
    <w:rsid w:val="000372FA"/>
    <w:rsid w:val="000404A4"/>
    <w:rsid w:val="0004083A"/>
    <w:rsid w:val="00040F11"/>
    <w:rsid w:val="0004157E"/>
    <w:rsid w:val="000422C5"/>
    <w:rsid w:val="00044391"/>
    <w:rsid w:val="00045055"/>
    <w:rsid w:val="00045118"/>
    <w:rsid w:val="00045464"/>
    <w:rsid w:val="000461E5"/>
    <w:rsid w:val="00046494"/>
    <w:rsid w:val="00046610"/>
    <w:rsid w:val="00046ABC"/>
    <w:rsid w:val="00047E6D"/>
    <w:rsid w:val="0005074E"/>
    <w:rsid w:val="000511F3"/>
    <w:rsid w:val="00052466"/>
    <w:rsid w:val="00052A8D"/>
    <w:rsid w:val="00053AD2"/>
    <w:rsid w:val="00056297"/>
    <w:rsid w:val="0005667E"/>
    <w:rsid w:val="00060729"/>
    <w:rsid w:val="0006191C"/>
    <w:rsid w:val="00062518"/>
    <w:rsid w:val="00064E23"/>
    <w:rsid w:val="000655B5"/>
    <w:rsid w:val="0006572B"/>
    <w:rsid w:val="00065ACE"/>
    <w:rsid w:val="00065CBE"/>
    <w:rsid w:val="000666CF"/>
    <w:rsid w:val="000669EF"/>
    <w:rsid w:val="0006738B"/>
    <w:rsid w:val="000743D1"/>
    <w:rsid w:val="00076299"/>
    <w:rsid w:val="00076C36"/>
    <w:rsid w:val="00080F62"/>
    <w:rsid w:val="000810C7"/>
    <w:rsid w:val="0008197C"/>
    <w:rsid w:val="00081D0F"/>
    <w:rsid w:val="00081FB0"/>
    <w:rsid w:val="000840AF"/>
    <w:rsid w:val="00085A54"/>
    <w:rsid w:val="00085F9D"/>
    <w:rsid w:val="00086255"/>
    <w:rsid w:val="000867CC"/>
    <w:rsid w:val="00086812"/>
    <w:rsid w:val="000872E0"/>
    <w:rsid w:val="00090234"/>
    <w:rsid w:val="00090E25"/>
    <w:rsid w:val="0009140A"/>
    <w:rsid w:val="00092610"/>
    <w:rsid w:val="000927A8"/>
    <w:rsid w:val="000927F9"/>
    <w:rsid w:val="00092E6E"/>
    <w:rsid w:val="00093FC7"/>
    <w:rsid w:val="000958AC"/>
    <w:rsid w:val="0009633F"/>
    <w:rsid w:val="00096420"/>
    <w:rsid w:val="00097A77"/>
    <w:rsid w:val="000A17FE"/>
    <w:rsid w:val="000A1A21"/>
    <w:rsid w:val="000A1B1A"/>
    <w:rsid w:val="000A2799"/>
    <w:rsid w:val="000A3008"/>
    <w:rsid w:val="000A6333"/>
    <w:rsid w:val="000A6A66"/>
    <w:rsid w:val="000A7189"/>
    <w:rsid w:val="000A7951"/>
    <w:rsid w:val="000B014E"/>
    <w:rsid w:val="000B0CB5"/>
    <w:rsid w:val="000B114A"/>
    <w:rsid w:val="000B133A"/>
    <w:rsid w:val="000B1B92"/>
    <w:rsid w:val="000B1F64"/>
    <w:rsid w:val="000B2FD6"/>
    <w:rsid w:val="000B3862"/>
    <w:rsid w:val="000B3BCD"/>
    <w:rsid w:val="000B638F"/>
    <w:rsid w:val="000B7CF6"/>
    <w:rsid w:val="000C08B0"/>
    <w:rsid w:val="000C1540"/>
    <w:rsid w:val="000C165A"/>
    <w:rsid w:val="000C1CFF"/>
    <w:rsid w:val="000C212E"/>
    <w:rsid w:val="000C2E39"/>
    <w:rsid w:val="000C31D9"/>
    <w:rsid w:val="000C3EBC"/>
    <w:rsid w:val="000C420F"/>
    <w:rsid w:val="000D058A"/>
    <w:rsid w:val="000D0642"/>
    <w:rsid w:val="000D2A92"/>
    <w:rsid w:val="000D348F"/>
    <w:rsid w:val="000D44D4"/>
    <w:rsid w:val="000D4B40"/>
    <w:rsid w:val="000D52C9"/>
    <w:rsid w:val="000D67CF"/>
    <w:rsid w:val="000D7594"/>
    <w:rsid w:val="000E1E64"/>
    <w:rsid w:val="000E300C"/>
    <w:rsid w:val="000E3A04"/>
    <w:rsid w:val="000E3A88"/>
    <w:rsid w:val="000E4B98"/>
    <w:rsid w:val="000E5E3F"/>
    <w:rsid w:val="000E60E5"/>
    <w:rsid w:val="000E6F07"/>
    <w:rsid w:val="000E76FC"/>
    <w:rsid w:val="000F01C8"/>
    <w:rsid w:val="000F454F"/>
    <w:rsid w:val="000F503E"/>
    <w:rsid w:val="000F5D39"/>
    <w:rsid w:val="000F6EC5"/>
    <w:rsid w:val="000F7346"/>
    <w:rsid w:val="000F7D96"/>
    <w:rsid w:val="00100DC0"/>
    <w:rsid w:val="00101FB8"/>
    <w:rsid w:val="0010306A"/>
    <w:rsid w:val="00104EFC"/>
    <w:rsid w:val="00106227"/>
    <w:rsid w:val="0010733C"/>
    <w:rsid w:val="0011153E"/>
    <w:rsid w:val="00111CD7"/>
    <w:rsid w:val="00112309"/>
    <w:rsid w:val="00113F97"/>
    <w:rsid w:val="00114619"/>
    <w:rsid w:val="001146A7"/>
    <w:rsid w:val="001166B4"/>
    <w:rsid w:val="0012058D"/>
    <w:rsid w:val="00121F63"/>
    <w:rsid w:val="0012590D"/>
    <w:rsid w:val="001269AE"/>
    <w:rsid w:val="0012736A"/>
    <w:rsid w:val="001309B2"/>
    <w:rsid w:val="00131227"/>
    <w:rsid w:val="0013297B"/>
    <w:rsid w:val="00132B20"/>
    <w:rsid w:val="001330C8"/>
    <w:rsid w:val="0013340D"/>
    <w:rsid w:val="00133AC9"/>
    <w:rsid w:val="00135135"/>
    <w:rsid w:val="001417CC"/>
    <w:rsid w:val="001437E7"/>
    <w:rsid w:val="00143BAF"/>
    <w:rsid w:val="00143FD5"/>
    <w:rsid w:val="001450F2"/>
    <w:rsid w:val="00151B1D"/>
    <w:rsid w:val="00156DB6"/>
    <w:rsid w:val="00157352"/>
    <w:rsid w:val="0016015A"/>
    <w:rsid w:val="0016015F"/>
    <w:rsid w:val="0016202D"/>
    <w:rsid w:val="00162209"/>
    <w:rsid w:val="00163876"/>
    <w:rsid w:val="00163D39"/>
    <w:rsid w:val="00164902"/>
    <w:rsid w:val="00165E3C"/>
    <w:rsid w:val="001670C4"/>
    <w:rsid w:val="001676A5"/>
    <w:rsid w:val="00170A66"/>
    <w:rsid w:val="0017250D"/>
    <w:rsid w:val="0017260D"/>
    <w:rsid w:val="00172CE6"/>
    <w:rsid w:val="0017383F"/>
    <w:rsid w:val="00173F03"/>
    <w:rsid w:val="00174900"/>
    <w:rsid w:val="0017562C"/>
    <w:rsid w:val="00175868"/>
    <w:rsid w:val="001768F5"/>
    <w:rsid w:val="00177124"/>
    <w:rsid w:val="00177FD5"/>
    <w:rsid w:val="00180F43"/>
    <w:rsid w:val="00181997"/>
    <w:rsid w:val="0018206A"/>
    <w:rsid w:val="0018212E"/>
    <w:rsid w:val="0018413C"/>
    <w:rsid w:val="00184344"/>
    <w:rsid w:val="0018511A"/>
    <w:rsid w:val="0018667B"/>
    <w:rsid w:val="00186BF0"/>
    <w:rsid w:val="00192B63"/>
    <w:rsid w:val="001953A2"/>
    <w:rsid w:val="001955E0"/>
    <w:rsid w:val="00196132"/>
    <w:rsid w:val="00196AAD"/>
    <w:rsid w:val="001A0AB3"/>
    <w:rsid w:val="001A0D9B"/>
    <w:rsid w:val="001A2172"/>
    <w:rsid w:val="001A3287"/>
    <w:rsid w:val="001A4A2A"/>
    <w:rsid w:val="001A4C78"/>
    <w:rsid w:val="001A61BF"/>
    <w:rsid w:val="001A6292"/>
    <w:rsid w:val="001B003B"/>
    <w:rsid w:val="001B098B"/>
    <w:rsid w:val="001B487B"/>
    <w:rsid w:val="001B5751"/>
    <w:rsid w:val="001B5879"/>
    <w:rsid w:val="001B5D62"/>
    <w:rsid w:val="001B5EE4"/>
    <w:rsid w:val="001B6938"/>
    <w:rsid w:val="001C145B"/>
    <w:rsid w:val="001C4F20"/>
    <w:rsid w:val="001C4FC2"/>
    <w:rsid w:val="001C63D8"/>
    <w:rsid w:val="001C7D2F"/>
    <w:rsid w:val="001D048B"/>
    <w:rsid w:val="001D0496"/>
    <w:rsid w:val="001D0735"/>
    <w:rsid w:val="001D0BF0"/>
    <w:rsid w:val="001D0C94"/>
    <w:rsid w:val="001D11B6"/>
    <w:rsid w:val="001D120F"/>
    <w:rsid w:val="001D1BA7"/>
    <w:rsid w:val="001D1BFD"/>
    <w:rsid w:val="001D1DDE"/>
    <w:rsid w:val="001D34A8"/>
    <w:rsid w:val="001D56A9"/>
    <w:rsid w:val="001D6554"/>
    <w:rsid w:val="001E0CA3"/>
    <w:rsid w:val="001E180F"/>
    <w:rsid w:val="001E236E"/>
    <w:rsid w:val="001E2447"/>
    <w:rsid w:val="001F2385"/>
    <w:rsid w:val="001F399F"/>
    <w:rsid w:val="001F4355"/>
    <w:rsid w:val="001F4F2C"/>
    <w:rsid w:val="001F58F1"/>
    <w:rsid w:val="002004C3"/>
    <w:rsid w:val="0020098E"/>
    <w:rsid w:val="00200F60"/>
    <w:rsid w:val="00200FAD"/>
    <w:rsid w:val="00203854"/>
    <w:rsid w:val="0020427E"/>
    <w:rsid w:val="002056B5"/>
    <w:rsid w:val="00206F1E"/>
    <w:rsid w:val="0020763C"/>
    <w:rsid w:val="00213C54"/>
    <w:rsid w:val="00215066"/>
    <w:rsid w:val="0021514F"/>
    <w:rsid w:val="002156D6"/>
    <w:rsid w:val="00215D99"/>
    <w:rsid w:val="002207E6"/>
    <w:rsid w:val="00220A43"/>
    <w:rsid w:val="00221177"/>
    <w:rsid w:val="0022131A"/>
    <w:rsid w:val="00225B32"/>
    <w:rsid w:val="00226602"/>
    <w:rsid w:val="00226E12"/>
    <w:rsid w:val="002302E0"/>
    <w:rsid w:val="00230333"/>
    <w:rsid w:val="002305E4"/>
    <w:rsid w:val="00230CC3"/>
    <w:rsid w:val="00231CE5"/>
    <w:rsid w:val="002322C0"/>
    <w:rsid w:val="00232F61"/>
    <w:rsid w:val="002339A5"/>
    <w:rsid w:val="00234392"/>
    <w:rsid w:val="00234A17"/>
    <w:rsid w:val="002367F3"/>
    <w:rsid w:val="00240D81"/>
    <w:rsid w:val="002429FF"/>
    <w:rsid w:val="00242A3C"/>
    <w:rsid w:val="00244205"/>
    <w:rsid w:val="00244A8C"/>
    <w:rsid w:val="002452B6"/>
    <w:rsid w:val="00245934"/>
    <w:rsid w:val="00245B25"/>
    <w:rsid w:val="00246724"/>
    <w:rsid w:val="002474E1"/>
    <w:rsid w:val="00247DBF"/>
    <w:rsid w:val="0025044B"/>
    <w:rsid w:val="00252CC8"/>
    <w:rsid w:val="00252E4E"/>
    <w:rsid w:val="00254E16"/>
    <w:rsid w:val="0025533C"/>
    <w:rsid w:val="002575BB"/>
    <w:rsid w:val="002576D0"/>
    <w:rsid w:val="0025778E"/>
    <w:rsid w:val="00257FA5"/>
    <w:rsid w:val="00260B0E"/>
    <w:rsid w:val="002610AA"/>
    <w:rsid w:val="002616CA"/>
    <w:rsid w:val="0026310F"/>
    <w:rsid w:val="002638D1"/>
    <w:rsid w:val="00264D2E"/>
    <w:rsid w:val="00271DD7"/>
    <w:rsid w:val="0027237C"/>
    <w:rsid w:val="00273117"/>
    <w:rsid w:val="00273F57"/>
    <w:rsid w:val="0027432D"/>
    <w:rsid w:val="00274AB5"/>
    <w:rsid w:val="0027588C"/>
    <w:rsid w:val="00276A3B"/>
    <w:rsid w:val="00277672"/>
    <w:rsid w:val="0028025C"/>
    <w:rsid w:val="00282B6D"/>
    <w:rsid w:val="00282CDD"/>
    <w:rsid w:val="0028313F"/>
    <w:rsid w:val="00283E5B"/>
    <w:rsid w:val="00291C4A"/>
    <w:rsid w:val="00293D40"/>
    <w:rsid w:val="00295FF1"/>
    <w:rsid w:val="00296669"/>
    <w:rsid w:val="002973B0"/>
    <w:rsid w:val="00297736"/>
    <w:rsid w:val="002A0C78"/>
    <w:rsid w:val="002A13E7"/>
    <w:rsid w:val="002A174E"/>
    <w:rsid w:val="002A18ED"/>
    <w:rsid w:val="002A20E2"/>
    <w:rsid w:val="002A48AE"/>
    <w:rsid w:val="002A48B7"/>
    <w:rsid w:val="002A4EC2"/>
    <w:rsid w:val="002A5A5C"/>
    <w:rsid w:val="002A62C5"/>
    <w:rsid w:val="002A7059"/>
    <w:rsid w:val="002B07B2"/>
    <w:rsid w:val="002B0895"/>
    <w:rsid w:val="002B33C2"/>
    <w:rsid w:val="002B34D0"/>
    <w:rsid w:val="002B3927"/>
    <w:rsid w:val="002B3C39"/>
    <w:rsid w:val="002B46ED"/>
    <w:rsid w:val="002B5F74"/>
    <w:rsid w:val="002B795B"/>
    <w:rsid w:val="002C08B1"/>
    <w:rsid w:val="002C1ACD"/>
    <w:rsid w:val="002C5480"/>
    <w:rsid w:val="002C6FD8"/>
    <w:rsid w:val="002D0514"/>
    <w:rsid w:val="002D0C25"/>
    <w:rsid w:val="002D13EA"/>
    <w:rsid w:val="002D2D00"/>
    <w:rsid w:val="002D2E99"/>
    <w:rsid w:val="002D33BC"/>
    <w:rsid w:val="002D3E76"/>
    <w:rsid w:val="002D5258"/>
    <w:rsid w:val="002D5D5D"/>
    <w:rsid w:val="002D7923"/>
    <w:rsid w:val="002E02E0"/>
    <w:rsid w:val="002E3099"/>
    <w:rsid w:val="002E352B"/>
    <w:rsid w:val="002E392B"/>
    <w:rsid w:val="002E3DF0"/>
    <w:rsid w:val="002E4784"/>
    <w:rsid w:val="002E58D0"/>
    <w:rsid w:val="002E60C6"/>
    <w:rsid w:val="002E6413"/>
    <w:rsid w:val="002E6A30"/>
    <w:rsid w:val="002E6A6D"/>
    <w:rsid w:val="002E7943"/>
    <w:rsid w:val="002E7A7B"/>
    <w:rsid w:val="002F0847"/>
    <w:rsid w:val="002F12A4"/>
    <w:rsid w:val="002F2CFD"/>
    <w:rsid w:val="002F30EB"/>
    <w:rsid w:val="002F3174"/>
    <w:rsid w:val="002F724B"/>
    <w:rsid w:val="0030063D"/>
    <w:rsid w:val="0030168A"/>
    <w:rsid w:val="00301EA3"/>
    <w:rsid w:val="00302125"/>
    <w:rsid w:val="00302421"/>
    <w:rsid w:val="00302DFE"/>
    <w:rsid w:val="00303118"/>
    <w:rsid w:val="00303391"/>
    <w:rsid w:val="0030567B"/>
    <w:rsid w:val="00305EC8"/>
    <w:rsid w:val="00307295"/>
    <w:rsid w:val="003102D6"/>
    <w:rsid w:val="00310F71"/>
    <w:rsid w:val="00315224"/>
    <w:rsid w:val="00316486"/>
    <w:rsid w:val="00316DDC"/>
    <w:rsid w:val="003210D2"/>
    <w:rsid w:val="00322941"/>
    <w:rsid w:val="00322A14"/>
    <w:rsid w:val="00324647"/>
    <w:rsid w:val="003249F1"/>
    <w:rsid w:val="003300F2"/>
    <w:rsid w:val="0033179C"/>
    <w:rsid w:val="003320E9"/>
    <w:rsid w:val="003332FA"/>
    <w:rsid w:val="003336F0"/>
    <w:rsid w:val="003346CC"/>
    <w:rsid w:val="003358AB"/>
    <w:rsid w:val="00335AD3"/>
    <w:rsid w:val="0033656B"/>
    <w:rsid w:val="00336DAE"/>
    <w:rsid w:val="003409A4"/>
    <w:rsid w:val="0034134E"/>
    <w:rsid w:val="00342B02"/>
    <w:rsid w:val="00344242"/>
    <w:rsid w:val="00345719"/>
    <w:rsid w:val="00345871"/>
    <w:rsid w:val="00347D60"/>
    <w:rsid w:val="003505B1"/>
    <w:rsid w:val="003530CB"/>
    <w:rsid w:val="00353949"/>
    <w:rsid w:val="003569DD"/>
    <w:rsid w:val="00362627"/>
    <w:rsid w:val="00363173"/>
    <w:rsid w:val="00363F09"/>
    <w:rsid w:val="003649FE"/>
    <w:rsid w:val="00364FA7"/>
    <w:rsid w:val="0036525B"/>
    <w:rsid w:val="0036758A"/>
    <w:rsid w:val="00371135"/>
    <w:rsid w:val="0037249B"/>
    <w:rsid w:val="003734DE"/>
    <w:rsid w:val="0037606B"/>
    <w:rsid w:val="0037628D"/>
    <w:rsid w:val="003774D2"/>
    <w:rsid w:val="003776B1"/>
    <w:rsid w:val="00377E47"/>
    <w:rsid w:val="0038033B"/>
    <w:rsid w:val="00380A32"/>
    <w:rsid w:val="003812CD"/>
    <w:rsid w:val="003836A5"/>
    <w:rsid w:val="003901B7"/>
    <w:rsid w:val="00390CA0"/>
    <w:rsid w:val="00391083"/>
    <w:rsid w:val="00392F29"/>
    <w:rsid w:val="00395397"/>
    <w:rsid w:val="00395BD1"/>
    <w:rsid w:val="00396791"/>
    <w:rsid w:val="00396EE9"/>
    <w:rsid w:val="0039727E"/>
    <w:rsid w:val="003A2B86"/>
    <w:rsid w:val="003A6201"/>
    <w:rsid w:val="003B24FF"/>
    <w:rsid w:val="003B290D"/>
    <w:rsid w:val="003B469E"/>
    <w:rsid w:val="003B476E"/>
    <w:rsid w:val="003B4975"/>
    <w:rsid w:val="003B5A41"/>
    <w:rsid w:val="003B78AB"/>
    <w:rsid w:val="003C1238"/>
    <w:rsid w:val="003C1E77"/>
    <w:rsid w:val="003C217A"/>
    <w:rsid w:val="003C264C"/>
    <w:rsid w:val="003C331A"/>
    <w:rsid w:val="003C3892"/>
    <w:rsid w:val="003C407C"/>
    <w:rsid w:val="003C4640"/>
    <w:rsid w:val="003C5940"/>
    <w:rsid w:val="003C634A"/>
    <w:rsid w:val="003C7835"/>
    <w:rsid w:val="003C7F3E"/>
    <w:rsid w:val="003D05CE"/>
    <w:rsid w:val="003D07BB"/>
    <w:rsid w:val="003D0909"/>
    <w:rsid w:val="003D13DE"/>
    <w:rsid w:val="003D1CC2"/>
    <w:rsid w:val="003D22C9"/>
    <w:rsid w:val="003D23E8"/>
    <w:rsid w:val="003D3939"/>
    <w:rsid w:val="003D6A4F"/>
    <w:rsid w:val="003D7966"/>
    <w:rsid w:val="003E21A1"/>
    <w:rsid w:val="003E37E7"/>
    <w:rsid w:val="003E4252"/>
    <w:rsid w:val="003E429A"/>
    <w:rsid w:val="003E59E3"/>
    <w:rsid w:val="003E5DA7"/>
    <w:rsid w:val="003E6122"/>
    <w:rsid w:val="003E6C01"/>
    <w:rsid w:val="003F32A2"/>
    <w:rsid w:val="003F36D8"/>
    <w:rsid w:val="003F4129"/>
    <w:rsid w:val="003F484D"/>
    <w:rsid w:val="003F4E56"/>
    <w:rsid w:val="003F4FA4"/>
    <w:rsid w:val="003F50B3"/>
    <w:rsid w:val="003F5593"/>
    <w:rsid w:val="003F5FB8"/>
    <w:rsid w:val="003F7154"/>
    <w:rsid w:val="0040113A"/>
    <w:rsid w:val="004017F0"/>
    <w:rsid w:val="00403950"/>
    <w:rsid w:val="00405139"/>
    <w:rsid w:val="00405CFF"/>
    <w:rsid w:val="00407B52"/>
    <w:rsid w:val="004103B3"/>
    <w:rsid w:val="00410BC9"/>
    <w:rsid w:val="00411497"/>
    <w:rsid w:val="00411D20"/>
    <w:rsid w:val="00412916"/>
    <w:rsid w:val="0041335F"/>
    <w:rsid w:val="00414CEC"/>
    <w:rsid w:val="00415967"/>
    <w:rsid w:val="00421013"/>
    <w:rsid w:val="00422A6C"/>
    <w:rsid w:val="00422DD0"/>
    <w:rsid w:val="00423AB0"/>
    <w:rsid w:val="00424042"/>
    <w:rsid w:val="004263E9"/>
    <w:rsid w:val="00427604"/>
    <w:rsid w:val="00430279"/>
    <w:rsid w:val="00430837"/>
    <w:rsid w:val="004310F6"/>
    <w:rsid w:val="0043186A"/>
    <w:rsid w:val="004320FA"/>
    <w:rsid w:val="00432DF4"/>
    <w:rsid w:val="0043316E"/>
    <w:rsid w:val="00433C24"/>
    <w:rsid w:val="00433DB5"/>
    <w:rsid w:val="00434A89"/>
    <w:rsid w:val="00434D57"/>
    <w:rsid w:val="0043506A"/>
    <w:rsid w:val="00437264"/>
    <w:rsid w:val="004410A5"/>
    <w:rsid w:val="00443519"/>
    <w:rsid w:val="00443AE0"/>
    <w:rsid w:val="00443B30"/>
    <w:rsid w:val="00444250"/>
    <w:rsid w:val="00444609"/>
    <w:rsid w:val="00447F9A"/>
    <w:rsid w:val="0045043A"/>
    <w:rsid w:val="00450589"/>
    <w:rsid w:val="00450D5D"/>
    <w:rsid w:val="00451E00"/>
    <w:rsid w:val="00451F79"/>
    <w:rsid w:val="0045248A"/>
    <w:rsid w:val="00452F17"/>
    <w:rsid w:val="00455663"/>
    <w:rsid w:val="00455B84"/>
    <w:rsid w:val="00455ECF"/>
    <w:rsid w:val="004561B6"/>
    <w:rsid w:val="004566E3"/>
    <w:rsid w:val="00456DD9"/>
    <w:rsid w:val="0046103F"/>
    <w:rsid w:val="0046130F"/>
    <w:rsid w:val="004620B5"/>
    <w:rsid w:val="00462388"/>
    <w:rsid w:val="0046240B"/>
    <w:rsid w:val="00462E6D"/>
    <w:rsid w:val="004654AF"/>
    <w:rsid w:val="0046560E"/>
    <w:rsid w:val="00465A70"/>
    <w:rsid w:val="00465F2C"/>
    <w:rsid w:val="004668A6"/>
    <w:rsid w:val="00466C9C"/>
    <w:rsid w:val="00467014"/>
    <w:rsid w:val="00472D70"/>
    <w:rsid w:val="00475008"/>
    <w:rsid w:val="00476376"/>
    <w:rsid w:val="00476533"/>
    <w:rsid w:val="004771FA"/>
    <w:rsid w:val="0048050B"/>
    <w:rsid w:val="004813CB"/>
    <w:rsid w:val="0048355E"/>
    <w:rsid w:val="0048518C"/>
    <w:rsid w:val="0048556E"/>
    <w:rsid w:val="00486ABC"/>
    <w:rsid w:val="00486D17"/>
    <w:rsid w:val="00487C16"/>
    <w:rsid w:val="00490510"/>
    <w:rsid w:val="00490B9A"/>
    <w:rsid w:val="00494A38"/>
    <w:rsid w:val="00494FBF"/>
    <w:rsid w:val="00495405"/>
    <w:rsid w:val="0049557B"/>
    <w:rsid w:val="004A084F"/>
    <w:rsid w:val="004A0DBD"/>
    <w:rsid w:val="004A12F8"/>
    <w:rsid w:val="004A16C8"/>
    <w:rsid w:val="004A1B53"/>
    <w:rsid w:val="004A5EE5"/>
    <w:rsid w:val="004A64A3"/>
    <w:rsid w:val="004A688E"/>
    <w:rsid w:val="004A6BE2"/>
    <w:rsid w:val="004A7510"/>
    <w:rsid w:val="004B0E37"/>
    <w:rsid w:val="004B1A55"/>
    <w:rsid w:val="004B3BDF"/>
    <w:rsid w:val="004C15E3"/>
    <w:rsid w:val="004C51CF"/>
    <w:rsid w:val="004C55FB"/>
    <w:rsid w:val="004C6743"/>
    <w:rsid w:val="004C7845"/>
    <w:rsid w:val="004D1454"/>
    <w:rsid w:val="004D171C"/>
    <w:rsid w:val="004D1857"/>
    <w:rsid w:val="004D1D6F"/>
    <w:rsid w:val="004D4FB4"/>
    <w:rsid w:val="004D5F2E"/>
    <w:rsid w:val="004D6290"/>
    <w:rsid w:val="004D6D06"/>
    <w:rsid w:val="004E04D5"/>
    <w:rsid w:val="004E20E5"/>
    <w:rsid w:val="004E25B4"/>
    <w:rsid w:val="004E36F1"/>
    <w:rsid w:val="004E4D4A"/>
    <w:rsid w:val="004E65D0"/>
    <w:rsid w:val="004E670F"/>
    <w:rsid w:val="004E6FCB"/>
    <w:rsid w:val="004F0E80"/>
    <w:rsid w:val="004F1245"/>
    <w:rsid w:val="004F1CDB"/>
    <w:rsid w:val="004F3B19"/>
    <w:rsid w:val="004F44D9"/>
    <w:rsid w:val="004F54DD"/>
    <w:rsid w:val="004F74F4"/>
    <w:rsid w:val="00500E66"/>
    <w:rsid w:val="0050179D"/>
    <w:rsid w:val="00502596"/>
    <w:rsid w:val="005031AE"/>
    <w:rsid w:val="00503476"/>
    <w:rsid w:val="00504A24"/>
    <w:rsid w:val="00505AAF"/>
    <w:rsid w:val="00507E88"/>
    <w:rsid w:val="005105E3"/>
    <w:rsid w:val="005111FE"/>
    <w:rsid w:val="005128C2"/>
    <w:rsid w:val="00512DA4"/>
    <w:rsid w:val="0051729B"/>
    <w:rsid w:val="00520D82"/>
    <w:rsid w:val="0052144D"/>
    <w:rsid w:val="005229C0"/>
    <w:rsid w:val="00524076"/>
    <w:rsid w:val="00524A1C"/>
    <w:rsid w:val="00524BC7"/>
    <w:rsid w:val="00526D8E"/>
    <w:rsid w:val="005305A7"/>
    <w:rsid w:val="005316BF"/>
    <w:rsid w:val="00532BCF"/>
    <w:rsid w:val="0053380A"/>
    <w:rsid w:val="0053392D"/>
    <w:rsid w:val="00533D9E"/>
    <w:rsid w:val="005342A9"/>
    <w:rsid w:val="00535807"/>
    <w:rsid w:val="00535C3A"/>
    <w:rsid w:val="0053605F"/>
    <w:rsid w:val="00537310"/>
    <w:rsid w:val="00542F22"/>
    <w:rsid w:val="00543E4C"/>
    <w:rsid w:val="0054400C"/>
    <w:rsid w:val="00544D0C"/>
    <w:rsid w:val="00545C01"/>
    <w:rsid w:val="00546189"/>
    <w:rsid w:val="0054661A"/>
    <w:rsid w:val="0054676C"/>
    <w:rsid w:val="005467D2"/>
    <w:rsid w:val="0055113C"/>
    <w:rsid w:val="00551829"/>
    <w:rsid w:val="00553028"/>
    <w:rsid w:val="005534BE"/>
    <w:rsid w:val="00553C6A"/>
    <w:rsid w:val="00554A74"/>
    <w:rsid w:val="0055596F"/>
    <w:rsid w:val="00555E51"/>
    <w:rsid w:val="00560BC8"/>
    <w:rsid w:val="005615D3"/>
    <w:rsid w:val="00561910"/>
    <w:rsid w:val="00561F9A"/>
    <w:rsid w:val="005646B2"/>
    <w:rsid w:val="005657BC"/>
    <w:rsid w:val="005668DD"/>
    <w:rsid w:val="005670AE"/>
    <w:rsid w:val="00567196"/>
    <w:rsid w:val="00567F77"/>
    <w:rsid w:val="00570024"/>
    <w:rsid w:val="0057016E"/>
    <w:rsid w:val="005730FA"/>
    <w:rsid w:val="00573422"/>
    <w:rsid w:val="0057390A"/>
    <w:rsid w:val="00573D86"/>
    <w:rsid w:val="005742C9"/>
    <w:rsid w:val="00575BC7"/>
    <w:rsid w:val="0057669C"/>
    <w:rsid w:val="00577640"/>
    <w:rsid w:val="00581C50"/>
    <w:rsid w:val="00584447"/>
    <w:rsid w:val="00584B03"/>
    <w:rsid w:val="00585583"/>
    <w:rsid w:val="0058669B"/>
    <w:rsid w:val="00587E70"/>
    <w:rsid w:val="00590298"/>
    <w:rsid w:val="00590AB0"/>
    <w:rsid w:val="005917F1"/>
    <w:rsid w:val="00591983"/>
    <w:rsid w:val="00591A88"/>
    <w:rsid w:val="00592196"/>
    <w:rsid w:val="00592AAB"/>
    <w:rsid w:val="005947C2"/>
    <w:rsid w:val="00596A28"/>
    <w:rsid w:val="005974B5"/>
    <w:rsid w:val="00597BEC"/>
    <w:rsid w:val="005A27C4"/>
    <w:rsid w:val="005A2B68"/>
    <w:rsid w:val="005A2D57"/>
    <w:rsid w:val="005A46BE"/>
    <w:rsid w:val="005A64D0"/>
    <w:rsid w:val="005A6EF7"/>
    <w:rsid w:val="005A7099"/>
    <w:rsid w:val="005B1144"/>
    <w:rsid w:val="005B18B0"/>
    <w:rsid w:val="005B31C9"/>
    <w:rsid w:val="005B31D0"/>
    <w:rsid w:val="005B3D0B"/>
    <w:rsid w:val="005B57E9"/>
    <w:rsid w:val="005B59CA"/>
    <w:rsid w:val="005B707E"/>
    <w:rsid w:val="005B7403"/>
    <w:rsid w:val="005B786A"/>
    <w:rsid w:val="005C08D0"/>
    <w:rsid w:val="005C1950"/>
    <w:rsid w:val="005C21FD"/>
    <w:rsid w:val="005C26C2"/>
    <w:rsid w:val="005C396B"/>
    <w:rsid w:val="005C4B16"/>
    <w:rsid w:val="005C6017"/>
    <w:rsid w:val="005D0A24"/>
    <w:rsid w:val="005D166E"/>
    <w:rsid w:val="005D2554"/>
    <w:rsid w:val="005D276A"/>
    <w:rsid w:val="005D2947"/>
    <w:rsid w:val="005D5E15"/>
    <w:rsid w:val="005D5F7A"/>
    <w:rsid w:val="005D79CE"/>
    <w:rsid w:val="005E0994"/>
    <w:rsid w:val="005E0BCE"/>
    <w:rsid w:val="005E3499"/>
    <w:rsid w:val="005E49E0"/>
    <w:rsid w:val="005E4CE3"/>
    <w:rsid w:val="005E5DD2"/>
    <w:rsid w:val="005E72BB"/>
    <w:rsid w:val="005E7C3F"/>
    <w:rsid w:val="005E7C93"/>
    <w:rsid w:val="005F022E"/>
    <w:rsid w:val="005F10AD"/>
    <w:rsid w:val="005F1B81"/>
    <w:rsid w:val="005F5B9A"/>
    <w:rsid w:val="005F61F2"/>
    <w:rsid w:val="005F68E1"/>
    <w:rsid w:val="005F6B6F"/>
    <w:rsid w:val="005F7788"/>
    <w:rsid w:val="00600DD4"/>
    <w:rsid w:val="00601281"/>
    <w:rsid w:val="00602626"/>
    <w:rsid w:val="006045A3"/>
    <w:rsid w:val="006068A8"/>
    <w:rsid w:val="006075FC"/>
    <w:rsid w:val="00607AD9"/>
    <w:rsid w:val="00610BB4"/>
    <w:rsid w:val="00610FC5"/>
    <w:rsid w:val="00611450"/>
    <w:rsid w:val="0061200C"/>
    <w:rsid w:val="00612015"/>
    <w:rsid w:val="006134D5"/>
    <w:rsid w:val="00614B88"/>
    <w:rsid w:val="006174B7"/>
    <w:rsid w:val="00621026"/>
    <w:rsid w:val="00621AC8"/>
    <w:rsid w:val="00622B6A"/>
    <w:rsid w:val="00623BD4"/>
    <w:rsid w:val="006245C8"/>
    <w:rsid w:val="0062779B"/>
    <w:rsid w:val="006303EB"/>
    <w:rsid w:val="0063076B"/>
    <w:rsid w:val="00630CD8"/>
    <w:rsid w:val="00631A16"/>
    <w:rsid w:val="00632493"/>
    <w:rsid w:val="00632497"/>
    <w:rsid w:val="00633B1D"/>
    <w:rsid w:val="00634F49"/>
    <w:rsid w:val="00636665"/>
    <w:rsid w:val="00636F3B"/>
    <w:rsid w:val="00637650"/>
    <w:rsid w:val="0064362C"/>
    <w:rsid w:val="006436A9"/>
    <w:rsid w:val="0064391D"/>
    <w:rsid w:val="0064578B"/>
    <w:rsid w:val="00646A9E"/>
    <w:rsid w:val="00650AD6"/>
    <w:rsid w:val="006529BC"/>
    <w:rsid w:val="006564BF"/>
    <w:rsid w:val="006566CA"/>
    <w:rsid w:val="00660064"/>
    <w:rsid w:val="00661376"/>
    <w:rsid w:val="006622E3"/>
    <w:rsid w:val="00662DA9"/>
    <w:rsid w:val="0066424E"/>
    <w:rsid w:val="0066483C"/>
    <w:rsid w:val="006650BB"/>
    <w:rsid w:val="0067057E"/>
    <w:rsid w:val="0067240F"/>
    <w:rsid w:val="00672ACE"/>
    <w:rsid w:val="00672B52"/>
    <w:rsid w:val="006742DA"/>
    <w:rsid w:val="00675E8B"/>
    <w:rsid w:val="00676ED4"/>
    <w:rsid w:val="00677838"/>
    <w:rsid w:val="00685502"/>
    <w:rsid w:val="00686B75"/>
    <w:rsid w:val="006951EF"/>
    <w:rsid w:val="00695489"/>
    <w:rsid w:val="00695A53"/>
    <w:rsid w:val="00696F0E"/>
    <w:rsid w:val="006A1134"/>
    <w:rsid w:val="006A3E81"/>
    <w:rsid w:val="006A59B4"/>
    <w:rsid w:val="006A5C29"/>
    <w:rsid w:val="006A5E02"/>
    <w:rsid w:val="006A626B"/>
    <w:rsid w:val="006A62E7"/>
    <w:rsid w:val="006A6716"/>
    <w:rsid w:val="006B0A6F"/>
    <w:rsid w:val="006B1FAB"/>
    <w:rsid w:val="006B3DA4"/>
    <w:rsid w:val="006B4343"/>
    <w:rsid w:val="006B4D67"/>
    <w:rsid w:val="006B58F3"/>
    <w:rsid w:val="006C0C88"/>
    <w:rsid w:val="006C0D3C"/>
    <w:rsid w:val="006C1C01"/>
    <w:rsid w:val="006C1C82"/>
    <w:rsid w:val="006C230D"/>
    <w:rsid w:val="006C23D3"/>
    <w:rsid w:val="006C23EB"/>
    <w:rsid w:val="006C260A"/>
    <w:rsid w:val="006C4355"/>
    <w:rsid w:val="006C49FB"/>
    <w:rsid w:val="006C4E4C"/>
    <w:rsid w:val="006D0259"/>
    <w:rsid w:val="006D04B2"/>
    <w:rsid w:val="006D1441"/>
    <w:rsid w:val="006D18AB"/>
    <w:rsid w:val="006D4BD1"/>
    <w:rsid w:val="006D5CC4"/>
    <w:rsid w:val="006D63FF"/>
    <w:rsid w:val="006D6D3B"/>
    <w:rsid w:val="006E1F12"/>
    <w:rsid w:val="006E2085"/>
    <w:rsid w:val="006F0CBD"/>
    <w:rsid w:val="006F35BF"/>
    <w:rsid w:val="006F3BE5"/>
    <w:rsid w:val="006F6296"/>
    <w:rsid w:val="006F7393"/>
    <w:rsid w:val="007004B6"/>
    <w:rsid w:val="00700876"/>
    <w:rsid w:val="00701168"/>
    <w:rsid w:val="00703280"/>
    <w:rsid w:val="0070431B"/>
    <w:rsid w:val="007044F9"/>
    <w:rsid w:val="00705018"/>
    <w:rsid w:val="00705ABE"/>
    <w:rsid w:val="007078D0"/>
    <w:rsid w:val="00707F07"/>
    <w:rsid w:val="007113AC"/>
    <w:rsid w:val="00713154"/>
    <w:rsid w:val="00713454"/>
    <w:rsid w:val="00713488"/>
    <w:rsid w:val="007152E7"/>
    <w:rsid w:val="007152F1"/>
    <w:rsid w:val="00716011"/>
    <w:rsid w:val="0071654B"/>
    <w:rsid w:val="0072039F"/>
    <w:rsid w:val="00720D26"/>
    <w:rsid w:val="0072230A"/>
    <w:rsid w:val="007231B8"/>
    <w:rsid w:val="007245A4"/>
    <w:rsid w:val="00724CA1"/>
    <w:rsid w:val="00726382"/>
    <w:rsid w:val="00727924"/>
    <w:rsid w:val="00727E45"/>
    <w:rsid w:val="00730E07"/>
    <w:rsid w:val="00730F56"/>
    <w:rsid w:val="00732899"/>
    <w:rsid w:val="00732D52"/>
    <w:rsid w:val="007340F5"/>
    <w:rsid w:val="00734E21"/>
    <w:rsid w:val="00734E2C"/>
    <w:rsid w:val="0073661C"/>
    <w:rsid w:val="00737642"/>
    <w:rsid w:val="00742740"/>
    <w:rsid w:val="00743679"/>
    <w:rsid w:val="00743797"/>
    <w:rsid w:val="00743FB4"/>
    <w:rsid w:val="00745895"/>
    <w:rsid w:val="00747A8D"/>
    <w:rsid w:val="00750A9D"/>
    <w:rsid w:val="00750E26"/>
    <w:rsid w:val="00750E49"/>
    <w:rsid w:val="00751006"/>
    <w:rsid w:val="007513C6"/>
    <w:rsid w:val="007517D5"/>
    <w:rsid w:val="00751840"/>
    <w:rsid w:val="007518F5"/>
    <w:rsid w:val="00751B65"/>
    <w:rsid w:val="00753F20"/>
    <w:rsid w:val="00755DF0"/>
    <w:rsid w:val="00755DF9"/>
    <w:rsid w:val="00757F78"/>
    <w:rsid w:val="007601E2"/>
    <w:rsid w:val="00760462"/>
    <w:rsid w:val="00760712"/>
    <w:rsid w:val="00762696"/>
    <w:rsid w:val="00764252"/>
    <w:rsid w:val="0076431D"/>
    <w:rsid w:val="007658B8"/>
    <w:rsid w:val="0076616F"/>
    <w:rsid w:val="00767C26"/>
    <w:rsid w:val="00770A43"/>
    <w:rsid w:val="007711E4"/>
    <w:rsid w:val="00771B0A"/>
    <w:rsid w:val="00772DD2"/>
    <w:rsid w:val="00774EE2"/>
    <w:rsid w:val="00775876"/>
    <w:rsid w:val="0078033A"/>
    <w:rsid w:val="00780748"/>
    <w:rsid w:val="00781530"/>
    <w:rsid w:val="007815FE"/>
    <w:rsid w:val="0078238C"/>
    <w:rsid w:val="00782429"/>
    <w:rsid w:val="00783225"/>
    <w:rsid w:val="00783367"/>
    <w:rsid w:val="0078406A"/>
    <w:rsid w:val="00784DFA"/>
    <w:rsid w:val="007851B7"/>
    <w:rsid w:val="00785383"/>
    <w:rsid w:val="007858E9"/>
    <w:rsid w:val="00786070"/>
    <w:rsid w:val="007872DC"/>
    <w:rsid w:val="0078785D"/>
    <w:rsid w:val="0079071E"/>
    <w:rsid w:val="0079097F"/>
    <w:rsid w:val="00790F14"/>
    <w:rsid w:val="00791A7D"/>
    <w:rsid w:val="00791AF9"/>
    <w:rsid w:val="00791AFA"/>
    <w:rsid w:val="00793291"/>
    <w:rsid w:val="00793497"/>
    <w:rsid w:val="007948CA"/>
    <w:rsid w:val="00796AA7"/>
    <w:rsid w:val="00796C18"/>
    <w:rsid w:val="00797780"/>
    <w:rsid w:val="00797A57"/>
    <w:rsid w:val="007A07EC"/>
    <w:rsid w:val="007A0ACB"/>
    <w:rsid w:val="007A378B"/>
    <w:rsid w:val="007A4038"/>
    <w:rsid w:val="007A508F"/>
    <w:rsid w:val="007A54EE"/>
    <w:rsid w:val="007A5D63"/>
    <w:rsid w:val="007A694B"/>
    <w:rsid w:val="007A6B01"/>
    <w:rsid w:val="007A7C99"/>
    <w:rsid w:val="007B04F5"/>
    <w:rsid w:val="007B0F84"/>
    <w:rsid w:val="007B156E"/>
    <w:rsid w:val="007B367C"/>
    <w:rsid w:val="007B6449"/>
    <w:rsid w:val="007B7844"/>
    <w:rsid w:val="007C06F0"/>
    <w:rsid w:val="007C2E80"/>
    <w:rsid w:val="007C334C"/>
    <w:rsid w:val="007C37B8"/>
    <w:rsid w:val="007C6FAE"/>
    <w:rsid w:val="007C729C"/>
    <w:rsid w:val="007C7D08"/>
    <w:rsid w:val="007D1120"/>
    <w:rsid w:val="007D159E"/>
    <w:rsid w:val="007D4504"/>
    <w:rsid w:val="007D4B96"/>
    <w:rsid w:val="007D5C13"/>
    <w:rsid w:val="007D74EE"/>
    <w:rsid w:val="007D777A"/>
    <w:rsid w:val="007E0DFD"/>
    <w:rsid w:val="007E3A14"/>
    <w:rsid w:val="007E3FBC"/>
    <w:rsid w:val="007E48B7"/>
    <w:rsid w:val="007E5E21"/>
    <w:rsid w:val="007F0D75"/>
    <w:rsid w:val="007F1B4A"/>
    <w:rsid w:val="007F1E52"/>
    <w:rsid w:val="007F1E9A"/>
    <w:rsid w:val="007F3D2D"/>
    <w:rsid w:val="007F422C"/>
    <w:rsid w:val="007F63D8"/>
    <w:rsid w:val="007F712D"/>
    <w:rsid w:val="007F7407"/>
    <w:rsid w:val="00800980"/>
    <w:rsid w:val="0080281C"/>
    <w:rsid w:val="00802E61"/>
    <w:rsid w:val="00811655"/>
    <w:rsid w:val="00811A72"/>
    <w:rsid w:val="00812F25"/>
    <w:rsid w:val="00813C1B"/>
    <w:rsid w:val="00814709"/>
    <w:rsid w:val="00817025"/>
    <w:rsid w:val="00817301"/>
    <w:rsid w:val="008179E8"/>
    <w:rsid w:val="00817BF2"/>
    <w:rsid w:val="00820E22"/>
    <w:rsid w:val="00821DD8"/>
    <w:rsid w:val="00822159"/>
    <w:rsid w:val="008221A8"/>
    <w:rsid w:val="00822DCD"/>
    <w:rsid w:val="00823288"/>
    <w:rsid w:val="0082719A"/>
    <w:rsid w:val="00827429"/>
    <w:rsid w:val="00831B81"/>
    <w:rsid w:val="008322BB"/>
    <w:rsid w:val="00833D2A"/>
    <w:rsid w:val="00833D44"/>
    <w:rsid w:val="00833FB0"/>
    <w:rsid w:val="00834CD2"/>
    <w:rsid w:val="008366AD"/>
    <w:rsid w:val="00837EC0"/>
    <w:rsid w:val="00842DA0"/>
    <w:rsid w:val="00842E63"/>
    <w:rsid w:val="00843856"/>
    <w:rsid w:val="00843C1A"/>
    <w:rsid w:val="00845492"/>
    <w:rsid w:val="008457B3"/>
    <w:rsid w:val="00846544"/>
    <w:rsid w:val="00851CDC"/>
    <w:rsid w:val="00851F64"/>
    <w:rsid w:val="00852803"/>
    <w:rsid w:val="00852ADB"/>
    <w:rsid w:val="00854069"/>
    <w:rsid w:val="00855EF5"/>
    <w:rsid w:val="00857D46"/>
    <w:rsid w:val="00857DF8"/>
    <w:rsid w:val="00864D28"/>
    <w:rsid w:val="008650E3"/>
    <w:rsid w:val="008657DA"/>
    <w:rsid w:val="00867D82"/>
    <w:rsid w:val="00870B57"/>
    <w:rsid w:val="00871042"/>
    <w:rsid w:val="008718EF"/>
    <w:rsid w:val="00874445"/>
    <w:rsid w:val="008745A5"/>
    <w:rsid w:val="00876AD6"/>
    <w:rsid w:val="00877788"/>
    <w:rsid w:val="0087788A"/>
    <w:rsid w:val="00882190"/>
    <w:rsid w:val="008825CF"/>
    <w:rsid w:val="00882FA8"/>
    <w:rsid w:val="0088390E"/>
    <w:rsid w:val="00883B2A"/>
    <w:rsid w:val="00884D45"/>
    <w:rsid w:val="00885758"/>
    <w:rsid w:val="008859B9"/>
    <w:rsid w:val="00885D18"/>
    <w:rsid w:val="00885F51"/>
    <w:rsid w:val="00886CF7"/>
    <w:rsid w:val="00890129"/>
    <w:rsid w:val="008901BB"/>
    <w:rsid w:val="0089163B"/>
    <w:rsid w:val="00891B3F"/>
    <w:rsid w:val="00891C29"/>
    <w:rsid w:val="00893655"/>
    <w:rsid w:val="008939B9"/>
    <w:rsid w:val="00893D16"/>
    <w:rsid w:val="008A3343"/>
    <w:rsid w:val="008A43C1"/>
    <w:rsid w:val="008A65A8"/>
    <w:rsid w:val="008A72CB"/>
    <w:rsid w:val="008A7819"/>
    <w:rsid w:val="008B1A25"/>
    <w:rsid w:val="008B385E"/>
    <w:rsid w:val="008B3A05"/>
    <w:rsid w:val="008B4258"/>
    <w:rsid w:val="008B43A2"/>
    <w:rsid w:val="008B6F2F"/>
    <w:rsid w:val="008C0304"/>
    <w:rsid w:val="008C036B"/>
    <w:rsid w:val="008C134D"/>
    <w:rsid w:val="008C2334"/>
    <w:rsid w:val="008C6841"/>
    <w:rsid w:val="008D02CA"/>
    <w:rsid w:val="008D0341"/>
    <w:rsid w:val="008D1EB3"/>
    <w:rsid w:val="008D341F"/>
    <w:rsid w:val="008D3D14"/>
    <w:rsid w:val="008D487D"/>
    <w:rsid w:val="008D7B91"/>
    <w:rsid w:val="008E1461"/>
    <w:rsid w:val="008E2F05"/>
    <w:rsid w:val="008E5407"/>
    <w:rsid w:val="008E71C4"/>
    <w:rsid w:val="008E7EAE"/>
    <w:rsid w:val="008F1334"/>
    <w:rsid w:val="008F21A0"/>
    <w:rsid w:val="008F2EB8"/>
    <w:rsid w:val="008F2F37"/>
    <w:rsid w:val="008F47AB"/>
    <w:rsid w:val="008F4F56"/>
    <w:rsid w:val="00900CA6"/>
    <w:rsid w:val="00901ADA"/>
    <w:rsid w:val="00902503"/>
    <w:rsid w:val="009025E0"/>
    <w:rsid w:val="00902A3C"/>
    <w:rsid w:val="0090321D"/>
    <w:rsid w:val="00905A47"/>
    <w:rsid w:val="009062C7"/>
    <w:rsid w:val="00906BE3"/>
    <w:rsid w:val="0090744B"/>
    <w:rsid w:val="00907479"/>
    <w:rsid w:val="00907650"/>
    <w:rsid w:val="00907C59"/>
    <w:rsid w:val="009114BF"/>
    <w:rsid w:val="0091243D"/>
    <w:rsid w:val="00914157"/>
    <w:rsid w:val="00915BE3"/>
    <w:rsid w:val="00917135"/>
    <w:rsid w:val="0092014C"/>
    <w:rsid w:val="00920D5D"/>
    <w:rsid w:val="00921ABC"/>
    <w:rsid w:val="00922A57"/>
    <w:rsid w:val="009241EF"/>
    <w:rsid w:val="009248EB"/>
    <w:rsid w:val="00925CF2"/>
    <w:rsid w:val="0092687D"/>
    <w:rsid w:val="00927DB7"/>
    <w:rsid w:val="009303BE"/>
    <w:rsid w:val="00930402"/>
    <w:rsid w:val="00931460"/>
    <w:rsid w:val="009318BF"/>
    <w:rsid w:val="00931A7A"/>
    <w:rsid w:val="009329CC"/>
    <w:rsid w:val="009371D3"/>
    <w:rsid w:val="009374E3"/>
    <w:rsid w:val="00940C7A"/>
    <w:rsid w:val="00941699"/>
    <w:rsid w:val="009418D2"/>
    <w:rsid w:val="00943B03"/>
    <w:rsid w:val="00945B78"/>
    <w:rsid w:val="0094633A"/>
    <w:rsid w:val="0094643B"/>
    <w:rsid w:val="0094686D"/>
    <w:rsid w:val="00947DA9"/>
    <w:rsid w:val="009504B9"/>
    <w:rsid w:val="009508E0"/>
    <w:rsid w:val="00951AD3"/>
    <w:rsid w:val="00953A55"/>
    <w:rsid w:val="00960644"/>
    <w:rsid w:val="0096178A"/>
    <w:rsid w:val="009620E7"/>
    <w:rsid w:val="00962CDA"/>
    <w:rsid w:val="00963046"/>
    <w:rsid w:val="0096349B"/>
    <w:rsid w:val="009645BB"/>
    <w:rsid w:val="009647B8"/>
    <w:rsid w:val="009662D3"/>
    <w:rsid w:val="00966360"/>
    <w:rsid w:val="0096748A"/>
    <w:rsid w:val="009708F2"/>
    <w:rsid w:val="0097154D"/>
    <w:rsid w:val="00971C71"/>
    <w:rsid w:val="00974010"/>
    <w:rsid w:val="00975DF3"/>
    <w:rsid w:val="00976304"/>
    <w:rsid w:val="00980864"/>
    <w:rsid w:val="0098720E"/>
    <w:rsid w:val="00987256"/>
    <w:rsid w:val="00987634"/>
    <w:rsid w:val="0099039A"/>
    <w:rsid w:val="00990D6F"/>
    <w:rsid w:val="00991652"/>
    <w:rsid w:val="009926B7"/>
    <w:rsid w:val="00993072"/>
    <w:rsid w:val="00993CB2"/>
    <w:rsid w:val="00993FA1"/>
    <w:rsid w:val="009949B6"/>
    <w:rsid w:val="00995F21"/>
    <w:rsid w:val="009965CA"/>
    <w:rsid w:val="00996E1F"/>
    <w:rsid w:val="009970EF"/>
    <w:rsid w:val="00997287"/>
    <w:rsid w:val="009A0DE3"/>
    <w:rsid w:val="009A1032"/>
    <w:rsid w:val="009A127E"/>
    <w:rsid w:val="009A16D0"/>
    <w:rsid w:val="009A2E80"/>
    <w:rsid w:val="009A3337"/>
    <w:rsid w:val="009A4893"/>
    <w:rsid w:val="009A563A"/>
    <w:rsid w:val="009A6765"/>
    <w:rsid w:val="009A6922"/>
    <w:rsid w:val="009A71D5"/>
    <w:rsid w:val="009B2E55"/>
    <w:rsid w:val="009B3C52"/>
    <w:rsid w:val="009B4310"/>
    <w:rsid w:val="009B435A"/>
    <w:rsid w:val="009B4931"/>
    <w:rsid w:val="009B5A2D"/>
    <w:rsid w:val="009B7226"/>
    <w:rsid w:val="009B733C"/>
    <w:rsid w:val="009B73C6"/>
    <w:rsid w:val="009B7DAA"/>
    <w:rsid w:val="009C0DEE"/>
    <w:rsid w:val="009C0F76"/>
    <w:rsid w:val="009C15E2"/>
    <w:rsid w:val="009C287C"/>
    <w:rsid w:val="009C30C1"/>
    <w:rsid w:val="009C3252"/>
    <w:rsid w:val="009C407A"/>
    <w:rsid w:val="009C4DFA"/>
    <w:rsid w:val="009D02F3"/>
    <w:rsid w:val="009D129D"/>
    <w:rsid w:val="009D1E62"/>
    <w:rsid w:val="009D3F2F"/>
    <w:rsid w:val="009D58C7"/>
    <w:rsid w:val="009D6443"/>
    <w:rsid w:val="009D66F9"/>
    <w:rsid w:val="009D6963"/>
    <w:rsid w:val="009D7803"/>
    <w:rsid w:val="009E07F1"/>
    <w:rsid w:val="009E0E4E"/>
    <w:rsid w:val="009E3CB9"/>
    <w:rsid w:val="009E59C9"/>
    <w:rsid w:val="009E656A"/>
    <w:rsid w:val="009E6803"/>
    <w:rsid w:val="009E7CAE"/>
    <w:rsid w:val="009F250E"/>
    <w:rsid w:val="009F29B8"/>
    <w:rsid w:val="009F314A"/>
    <w:rsid w:val="009F3420"/>
    <w:rsid w:val="009F3727"/>
    <w:rsid w:val="009F3745"/>
    <w:rsid w:val="009F57FE"/>
    <w:rsid w:val="009F6EB2"/>
    <w:rsid w:val="009F7086"/>
    <w:rsid w:val="009F75D6"/>
    <w:rsid w:val="00A00968"/>
    <w:rsid w:val="00A019B2"/>
    <w:rsid w:val="00A01F36"/>
    <w:rsid w:val="00A023B8"/>
    <w:rsid w:val="00A02ACB"/>
    <w:rsid w:val="00A05099"/>
    <w:rsid w:val="00A0784A"/>
    <w:rsid w:val="00A11C0D"/>
    <w:rsid w:val="00A1250B"/>
    <w:rsid w:val="00A150D0"/>
    <w:rsid w:val="00A15825"/>
    <w:rsid w:val="00A15DCC"/>
    <w:rsid w:val="00A20087"/>
    <w:rsid w:val="00A2161E"/>
    <w:rsid w:val="00A223F2"/>
    <w:rsid w:val="00A22F01"/>
    <w:rsid w:val="00A2555F"/>
    <w:rsid w:val="00A2669E"/>
    <w:rsid w:val="00A2704C"/>
    <w:rsid w:val="00A27F67"/>
    <w:rsid w:val="00A305A6"/>
    <w:rsid w:val="00A316E0"/>
    <w:rsid w:val="00A31B01"/>
    <w:rsid w:val="00A3402E"/>
    <w:rsid w:val="00A3623C"/>
    <w:rsid w:val="00A364F4"/>
    <w:rsid w:val="00A40782"/>
    <w:rsid w:val="00A42CDD"/>
    <w:rsid w:val="00A42F52"/>
    <w:rsid w:val="00A4307D"/>
    <w:rsid w:val="00A439B3"/>
    <w:rsid w:val="00A43E6A"/>
    <w:rsid w:val="00A45497"/>
    <w:rsid w:val="00A4552A"/>
    <w:rsid w:val="00A45603"/>
    <w:rsid w:val="00A4640B"/>
    <w:rsid w:val="00A46DF9"/>
    <w:rsid w:val="00A474D5"/>
    <w:rsid w:val="00A47781"/>
    <w:rsid w:val="00A50293"/>
    <w:rsid w:val="00A511B5"/>
    <w:rsid w:val="00A517DF"/>
    <w:rsid w:val="00A551D0"/>
    <w:rsid w:val="00A559DB"/>
    <w:rsid w:val="00A579A7"/>
    <w:rsid w:val="00A6196F"/>
    <w:rsid w:val="00A61A4A"/>
    <w:rsid w:val="00A62A50"/>
    <w:rsid w:val="00A62D55"/>
    <w:rsid w:val="00A65A1F"/>
    <w:rsid w:val="00A663D4"/>
    <w:rsid w:val="00A6669D"/>
    <w:rsid w:val="00A67691"/>
    <w:rsid w:val="00A71DDA"/>
    <w:rsid w:val="00A73545"/>
    <w:rsid w:val="00A735B3"/>
    <w:rsid w:val="00A763DC"/>
    <w:rsid w:val="00A77A8B"/>
    <w:rsid w:val="00A8079C"/>
    <w:rsid w:val="00A82B73"/>
    <w:rsid w:val="00A857B0"/>
    <w:rsid w:val="00A859E9"/>
    <w:rsid w:val="00A85B8F"/>
    <w:rsid w:val="00A865C6"/>
    <w:rsid w:val="00A90996"/>
    <w:rsid w:val="00A90F43"/>
    <w:rsid w:val="00A91474"/>
    <w:rsid w:val="00A93910"/>
    <w:rsid w:val="00A94A10"/>
    <w:rsid w:val="00A94FD5"/>
    <w:rsid w:val="00A9503D"/>
    <w:rsid w:val="00A957A5"/>
    <w:rsid w:val="00A95E1F"/>
    <w:rsid w:val="00A96D89"/>
    <w:rsid w:val="00AA0202"/>
    <w:rsid w:val="00AA04C3"/>
    <w:rsid w:val="00AA1E3D"/>
    <w:rsid w:val="00AA287E"/>
    <w:rsid w:val="00AA361E"/>
    <w:rsid w:val="00AA3EE6"/>
    <w:rsid w:val="00AA5899"/>
    <w:rsid w:val="00AA7EF0"/>
    <w:rsid w:val="00AB0F10"/>
    <w:rsid w:val="00AB52DD"/>
    <w:rsid w:val="00AB5F5E"/>
    <w:rsid w:val="00AC25B8"/>
    <w:rsid w:val="00AC2DA8"/>
    <w:rsid w:val="00AC2FDC"/>
    <w:rsid w:val="00AC4848"/>
    <w:rsid w:val="00AC4A48"/>
    <w:rsid w:val="00AC5BCA"/>
    <w:rsid w:val="00AC6D2F"/>
    <w:rsid w:val="00AC7980"/>
    <w:rsid w:val="00AD1A66"/>
    <w:rsid w:val="00AD1C40"/>
    <w:rsid w:val="00AD3FB5"/>
    <w:rsid w:val="00AD6202"/>
    <w:rsid w:val="00AE26A7"/>
    <w:rsid w:val="00AE37DF"/>
    <w:rsid w:val="00AE39E1"/>
    <w:rsid w:val="00AE4157"/>
    <w:rsid w:val="00AE4661"/>
    <w:rsid w:val="00AE6CA7"/>
    <w:rsid w:val="00AF43B7"/>
    <w:rsid w:val="00AF6236"/>
    <w:rsid w:val="00AF66B4"/>
    <w:rsid w:val="00AF7CAA"/>
    <w:rsid w:val="00B00530"/>
    <w:rsid w:val="00B00D71"/>
    <w:rsid w:val="00B015F1"/>
    <w:rsid w:val="00B01ABF"/>
    <w:rsid w:val="00B01C74"/>
    <w:rsid w:val="00B026CC"/>
    <w:rsid w:val="00B0528A"/>
    <w:rsid w:val="00B05CAA"/>
    <w:rsid w:val="00B05F81"/>
    <w:rsid w:val="00B0604A"/>
    <w:rsid w:val="00B06584"/>
    <w:rsid w:val="00B074C4"/>
    <w:rsid w:val="00B077B2"/>
    <w:rsid w:val="00B12D45"/>
    <w:rsid w:val="00B135EC"/>
    <w:rsid w:val="00B1469D"/>
    <w:rsid w:val="00B14BBD"/>
    <w:rsid w:val="00B14F38"/>
    <w:rsid w:val="00B155A7"/>
    <w:rsid w:val="00B201E5"/>
    <w:rsid w:val="00B20F44"/>
    <w:rsid w:val="00B212A7"/>
    <w:rsid w:val="00B22074"/>
    <w:rsid w:val="00B22C47"/>
    <w:rsid w:val="00B22CFE"/>
    <w:rsid w:val="00B23660"/>
    <w:rsid w:val="00B24055"/>
    <w:rsid w:val="00B26377"/>
    <w:rsid w:val="00B305EB"/>
    <w:rsid w:val="00B31887"/>
    <w:rsid w:val="00B338A9"/>
    <w:rsid w:val="00B34BCE"/>
    <w:rsid w:val="00B36DA7"/>
    <w:rsid w:val="00B42598"/>
    <w:rsid w:val="00B44DAE"/>
    <w:rsid w:val="00B451C3"/>
    <w:rsid w:val="00B45290"/>
    <w:rsid w:val="00B46E78"/>
    <w:rsid w:val="00B47E07"/>
    <w:rsid w:val="00B511FB"/>
    <w:rsid w:val="00B519A2"/>
    <w:rsid w:val="00B526DC"/>
    <w:rsid w:val="00B53E60"/>
    <w:rsid w:val="00B555FD"/>
    <w:rsid w:val="00B55AB4"/>
    <w:rsid w:val="00B560CB"/>
    <w:rsid w:val="00B565C6"/>
    <w:rsid w:val="00B603B1"/>
    <w:rsid w:val="00B6078F"/>
    <w:rsid w:val="00B61303"/>
    <w:rsid w:val="00B64015"/>
    <w:rsid w:val="00B6484C"/>
    <w:rsid w:val="00B66891"/>
    <w:rsid w:val="00B668EA"/>
    <w:rsid w:val="00B671A6"/>
    <w:rsid w:val="00B7083F"/>
    <w:rsid w:val="00B70D4E"/>
    <w:rsid w:val="00B7443A"/>
    <w:rsid w:val="00B749A1"/>
    <w:rsid w:val="00B76267"/>
    <w:rsid w:val="00B80717"/>
    <w:rsid w:val="00B81712"/>
    <w:rsid w:val="00B818AC"/>
    <w:rsid w:val="00B82BC2"/>
    <w:rsid w:val="00B82D3A"/>
    <w:rsid w:val="00B8580F"/>
    <w:rsid w:val="00B86C77"/>
    <w:rsid w:val="00B906EC"/>
    <w:rsid w:val="00B916E3"/>
    <w:rsid w:val="00B931F8"/>
    <w:rsid w:val="00B93C70"/>
    <w:rsid w:val="00B940DC"/>
    <w:rsid w:val="00B95196"/>
    <w:rsid w:val="00B9696C"/>
    <w:rsid w:val="00B97172"/>
    <w:rsid w:val="00B977B7"/>
    <w:rsid w:val="00BA02C4"/>
    <w:rsid w:val="00BA086C"/>
    <w:rsid w:val="00BA0C94"/>
    <w:rsid w:val="00BA2E65"/>
    <w:rsid w:val="00BA3113"/>
    <w:rsid w:val="00BA3C24"/>
    <w:rsid w:val="00BA4546"/>
    <w:rsid w:val="00BA5C9F"/>
    <w:rsid w:val="00BA5D96"/>
    <w:rsid w:val="00BB0C07"/>
    <w:rsid w:val="00BB1DFB"/>
    <w:rsid w:val="00BB5F13"/>
    <w:rsid w:val="00BB754C"/>
    <w:rsid w:val="00BB75D8"/>
    <w:rsid w:val="00BB7983"/>
    <w:rsid w:val="00BC1704"/>
    <w:rsid w:val="00BC1A87"/>
    <w:rsid w:val="00BC3A71"/>
    <w:rsid w:val="00BC4B30"/>
    <w:rsid w:val="00BC5096"/>
    <w:rsid w:val="00BC6798"/>
    <w:rsid w:val="00BD2352"/>
    <w:rsid w:val="00BD2CDE"/>
    <w:rsid w:val="00BD7565"/>
    <w:rsid w:val="00BE0085"/>
    <w:rsid w:val="00BE0431"/>
    <w:rsid w:val="00BE13A5"/>
    <w:rsid w:val="00BE1714"/>
    <w:rsid w:val="00BE2354"/>
    <w:rsid w:val="00BE2961"/>
    <w:rsid w:val="00BE445C"/>
    <w:rsid w:val="00BE5010"/>
    <w:rsid w:val="00BE5DC3"/>
    <w:rsid w:val="00BE732D"/>
    <w:rsid w:val="00BE74C4"/>
    <w:rsid w:val="00BE7EC3"/>
    <w:rsid w:val="00BF0DE0"/>
    <w:rsid w:val="00BF0EF4"/>
    <w:rsid w:val="00BF2F3D"/>
    <w:rsid w:val="00BF4A96"/>
    <w:rsid w:val="00BF4D7A"/>
    <w:rsid w:val="00BF50AD"/>
    <w:rsid w:val="00C00EF2"/>
    <w:rsid w:val="00C012C8"/>
    <w:rsid w:val="00C0191B"/>
    <w:rsid w:val="00C02D4E"/>
    <w:rsid w:val="00C04F71"/>
    <w:rsid w:val="00C05FFA"/>
    <w:rsid w:val="00C10859"/>
    <w:rsid w:val="00C10CB0"/>
    <w:rsid w:val="00C12149"/>
    <w:rsid w:val="00C12444"/>
    <w:rsid w:val="00C12652"/>
    <w:rsid w:val="00C12BF3"/>
    <w:rsid w:val="00C1417B"/>
    <w:rsid w:val="00C16634"/>
    <w:rsid w:val="00C203E9"/>
    <w:rsid w:val="00C207F0"/>
    <w:rsid w:val="00C2110D"/>
    <w:rsid w:val="00C218F7"/>
    <w:rsid w:val="00C2201C"/>
    <w:rsid w:val="00C25618"/>
    <w:rsid w:val="00C26B7C"/>
    <w:rsid w:val="00C315A6"/>
    <w:rsid w:val="00C34AAE"/>
    <w:rsid w:val="00C34DAD"/>
    <w:rsid w:val="00C34FFB"/>
    <w:rsid w:val="00C35628"/>
    <w:rsid w:val="00C36004"/>
    <w:rsid w:val="00C36FD2"/>
    <w:rsid w:val="00C40A2A"/>
    <w:rsid w:val="00C40BA4"/>
    <w:rsid w:val="00C41585"/>
    <w:rsid w:val="00C41A80"/>
    <w:rsid w:val="00C427C0"/>
    <w:rsid w:val="00C43DCB"/>
    <w:rsid w:val="00C44418"/>
    <w:rsid w:val="00C45F9E"/>
    <w:rsid w:val="00C4625B"/>
    <w:rsid w:val="00C46379"/>
    <w:rsid w:val="00C47246"/>
    <w:rsid w:val="00C47F38"/>
    <w:rsid w:val="00C531B5"/>
    <w:rsid w:val="00C53A41"/>
    <w:rsid w:val="00C55232"/>
    <w:rsid w:val="00C5570A"/>
    <w:rsid w:val="00C56A3B"/>
    <w:rsid w:val="00C56C89"/>
    <w:rsid w:val="00C575A2"/>
    <w:rsid w:val="00C57A94"/>
    <w:rsid w:val="00C6086C"/>
    <w:rsid w:val="00C6244F"/>
    <w:rsid w:val="00C62F6B"/>
    <w:rsid w:val="00C633D6"/>
    <w:rsid w:val="00C6433D"/>
    <w:rsid w:val="00C65F2E"/>
    <w:rsid w:val="00C66BCC"/>
    <w:rsid w:val="00C67002"/>
    <w:rsid w:val="00C67AE0"/>
    <w:rsid w:val="00C70E93"/>
    <w:rsid w:val="00C71A4D"/>
    <w:rsid w:val="00C723EF"/>
    <w:rsid w:val="00C72D9D"/>
    <w:rsid w:val="00C73EFC"/>
    <w:rsid w:val="00C74940"/>
    <w:rsid w:val="00C76B68"/>
    <w:rsid w:val="00C77855"/>
    <w:rsid w:val="00C80467"/>
    <w:rsid w:val="00C823B3"/>
    <w:rsid w:val="00C83954"/>
    <w:rsid w:val="00C83BDB"/>
    <w:rsid w:val="00C8421B"/>
    <w:rsid w:val="00C8643A"/>
    <w:rsid w:val="00C86593"/>
    <w:rsid w:val="00C87CCF"/>
    <w:rsid w:val="00C91489"/>
    <w:rsid w:val="00C915B1"/>
    <w:rsid w:val="00C92135"/>
    <w:rsid w:val="00C928D8"/>
    <w:rsid w:val="00C92980"/>
    <w:rsid w:val="00C94BCD"/>
    <w:rsid w:val="00C95EE2"/>
    <w:rsid w:val="00CA0C24"/>
    <w:rsid w:val="00CA1566"/>
    <w:rsid w:val="00CA4DCB"/>
    <w:rsid w:val="00CA516A"/>
    <w:rsid w:val="00CA5EB2"/>
    <w:rsid w:val="00CA7EEA"/>
    <w:rsid w:val="00CB1A1C"/>
    <w:rsid w:val="00CB207F"/>
    <w:rsid w:val="00CB27DD"/>
    <w:rsid w:val="00CB2941"/>
    <w:rsid w:val="00CB2985"/>
    <w:rsid w:val="00CB327D"/>
    <w:rsid w:val="00CB3323"/>
    <w:rsid w:val="00CB37AD"/>
    <w:rsid w:val="00CB4184"/>
    <w:rsid w:val="00CC1417"/>
    <w:rsid w:val="00CC1936"/>
    <w:rsid w:val="00CC24EC"/>
    <w:rsid w:val="00CC2AD2"/>
    <w:rsid w:val="00CC304D"/>
    <w:rsid w:val="00CC35C5"/>
    <w:rsid w:val="00CC3BB5"/>
    <w:rsid w:val="00CC470C"/>
    <w:rsid w:val="00CD001A"/>
    <w:rsid w:val="00CD0170"/>
    <w:rsid w:val="00CD07F5"/>
    <w:rsid w:val="00CD2650"/>
    <w:rsid w:val="00CD2728"/>
    <w:rsid w:val="00CD2D2C"/>
    <w:rsid w:val="00CD2ED5"/>
    <w:rsid w:val="00CD46B8"/>
    <w:rsid w:val="00CD4878"/>
    <w:rsid w:val="00CD6740"/>
    <w:rsid w:val="00CD6F00"/>
    <w:rsid w:val="00CD74F5"/>
    <w:rsid w:val="00CD7A44"/>
    <w:rsid w:val="00CE1BA4"/>
    <w:rsid w:val="00CE320F"/>
    <w:rsid w:val="00CE56F2"/>
    <w:rsid w:val="00CE6797"/>
    <w:rsid w:val="00CE6C19"/>
    <w:rsid w:val="00CE6D22"/>
    <w:rsid w:val="00CF3B36"/>
    <w:rsid w:val="00CF5FAF"/>
    <w:rsid w:val="00CF7B1E"/>
    <w:rsid w:val="00D000B4"/>
    <w:rsid w:val="00D007D5"/>
    <w:rsid w:val="00D04FA9"/>
    <w:rsid w:val="00D1236B"/>
    <w:rsid w:val="00D13527"/>
    <w:rsid w:val="00D138B9"/>
    <w:rsid w:val="00D151A1"/>
    <w:rsid w:val="00D17E8C"/>
    <w:rsid w:val="00D206E4"/>
    <w:rsid w:val="00D21987"/>
    <w:rsid w:val="00D21B19"/>
    <w:rsid w:val="00D22732"/>
    <w:rsid w:val="00D22B4E"/>
    <w:rsid w:val="00D23C00"/>
    <w:rsid w:val="00D2442C"/>
    <w:rsid w:val="00D24FE0"/>
    <w:rsid w:val="00D25153"/>
    <w:rsid w:val="00D25E67"/>
    <w:rsid w:val="00D25F2B"/>
    <w:rsid w:val="00D2637B"/>
    <w:rsid w:val="00D26AB8"/>
    <w:rsid w:val="00D32C2D"/>
    <w:rsid w:val="00D3541B"/>
    <w:rsid w:val="00D368F1"/>
    <w:rsid w:val="00D36935"/>
    <w:rsid w:val="00D369B6"/>
    <w:rsid w:val="00D4195B"/>
    <w:rsid w:val="00D429AD"/>
    <w:rsid w:val="00D45FDF"/>
    <w:rsid w:val="00D466C3"/>
    <w:rsid w:val="00D474BE"/>
    <w:rsid w:val="00D47AA2"/>
    <w:rsid w:val="00D47B88"/>
    <w:rsid w:val="00D520D1"/>
    <w:rsid w:val="00D52C88"/>
    <w:rsid w:val="00D54955"/>
    <w:rsid w:val="00D5560E"/>
    <w:rsid w:val="00D56244"/>
    <w:rsid w:val="00D56411"/>
    <w:rsid w:val="00D57373"/>
    <w:rsid w:val="00D57BC0"/>
    <w:rsid w:val="00D6094E"/>
    <w:rsid w:val="00D60E37"/>
    <w:rsid w:val="00D60EF8"/>
    <w:rsid w:val="00D61481"/>
    <w:rsid w:val="00D618A1"/>
    <w:rsid w:val="00D61BD3"/>
    <w:rsid w:val="00D62F37"/>
    <w:rsid w:val="00D63961"/>
    <w:rsid w:val="00D64468"/>
    <w:rsid w:val="00D65E4E"/>
    <w:rsid w:val="00D6634D"/>
    <w:rsid w:val="00D70483"/>
    <w:rsid w:val="00D718F1"/>
    <w:rsid w:val="00D7607C"/>
    <w:rsid w:val="00D765FF"/>
    <w:rsid w:val="00D77159"/>
    <w:rsid w:val="00D80E8A"/>
    <w:rsid w:val="00D81117"/>
    <w:rsid w:val="00D83302"/>
    <w:rsid w:val="00D83957"/>
    <w:rsid w:val="00D87E6E"/>
    <w:rsid w:val="00D90078"/>
    <w:rsid w:val="00D91065"/>
    <w:rsid w:val="00D9164F"/>
    <w:rsid w:val="00D92DE5"/>
    <w:rsid w:val="00D93E99"/>
    <w:rsid w:val="00D94065"/>
    <w:rsid w:val="00D944A5"/>
    <w:rsid w:val="00D95100"/>
    <w:rsid w:val="00D95462"/>
    <w:rsid w:val="00D95E0B"/>
    <w:rsid w:val="00D968CD"/>
    <w:rsid w:val="00D96F71"/>
    <w:rsid w:val="00DA300D"/>
    <w:rsid w:val="00DA3680"/>
    <w:rsid w:val="00DA5502"/>
    <w:rsid w:val="00DA5A79"/>
    <w:rsid w:val="00DA6E92"/>
    <w:rsid w:val="00DA7B9F"/>
    <w:rsid w:val="00DA7E81"/>
    <w:rsid w:val="00DB1576"/>
    <w:rsid w:val="00DB3E9A"/>
    <w:rsid w:val="00DB663A"/>
    <w:rsid w:val="00DC05FB"/>
    <w:rsid w:val="00DC068C"/>
    <w:rsid w:val="00DC1906"/>
    <w:rsid w:val="00DC3D50"/>
    <w:rsid w:val="00DC5383"/>
    <w:rsid w:val="00DC6199"/>
    <w:rsid w:val="00DD0A19"/>
    <w:rsid w:val="00DD3075"/>
    <w:rsid w:val="00DD51A3"/>
    <w:rsid w:val="00DD53A1"/>
    <w:rsid w:val="00DD5B92"/>
    <w:rsid w:val="00DD6F2F"/>
    <w:rsid w:val="00DD7D5E"/>
    <w:rsid w:val="00DE4977"/>
    <w:rsid w:val="00DE57F1"/>
    <w:rsid w:val="00DE5AE4"/>
    <w:rsid w:val="00DE66FC"/>
    <w:rsid w:val="00DF0048"/>
    <w:rsid w:val="00DF1BA8"/>
    <w:rsid w:val="00DF1BF0"/>
    <w:rsid w:val="00DF31B4"/>
    <w:rsid w:val="00DF363C"/>
    <w:rsid w:val="00DF369E"/>
    <w:rsid w:val="00DF43F5"/>
    <w:rsid w:val="00DF7D5C"/>
    <w:rsid w:val="00E02CD3"/>
    <w:rsid w:val="00E06362"/>
    <w:rsid w:val="00E065EA"/>
    <w:rsid w:val="00E079BA"/>
    <w:rsid w:val="00E12FC1"/>
    <w:rsid w:val="00E138B6"/>
    <w:rsid w:val="00E168BF"/>
    <w:rsid w:val="00E211CD"/>
    <w:rsid w:val="00E21A64"/>
    <w:rsid w:val="00E21AAA"/>
    <w:rsid w:val="00E25AC7"/>
    <w:rsid w:val="00E25B90"/>
    <w:rsid w:val="00E2694E"/>
    <w:rsid w:val="00E27488"/>
    <w:rsid w:val="00E27DC2"/>
    <w:rsid w:val="00E31547"/>
    <w:rsid w:val="00E3177B"/>
    <w:rsid w:val="00E321F8"/>
    <w:rsid w:val="00E32CD6"/>
    <w:rsid w:val="00E3477F"/>
    <w:rsid w:val="00E34BC9"/>
    <w:rsid w:val="00E350B4"/>
    <w:rsid w:val="00E353FF"/>
    <w:rsid w:val="00E36150"/>
    <w:rsid w:val="00E361B5"/>
    <w:rsid w:val="00E3660A"/>
    <w:rsid w:val="00E408E0"/>
    <w:rsid w:val="00E414EE"/>
    <w:rsid w:val="00E44F76"/>
    <w:rsid w:val="00E50506"/>
    <w:rsid w:val="00E513C4"/>
    <w:rsid w:val="00E534F5"/>
    <w:rsid w:val="00E60DEF"/>
    <w:rsid w:val="00E61A33"/>
    <w:rsid w:val="00E61DA8"/>
    <w:rsid w:val="00E64577"/>
    <w:rsid w:val="00E64913"/>
    <w:rsid w:val="00E6593C"/>
    <w:rsid w:val="00E66F0D"/>
    <w:rsid w:val="00E67177"/>
    <w:rsid w:val="00E67916"/>
    <w:rsid w:val="00E67A79"/>
    <w:rsid w:val="00E70BAB"/>
    <w:rsid w:val="00E71531"/>
    <w:rsid w:val="00E7155B"/>
    <w:rsid w:val="00E82D99"/>
    <w:rsid w:val="00E82EA5"/>
    <w:rsid w:val="00E846A1"/>
    <w:rsid w:val="00E84963"/>
    <w:rsid w:val="00E84BCD"/>
    <w:rsid w:val="00E8511D"/>
    <w:rsid w:val="00E85814"/>
    <w:rsid w:val="00E85858"/>
    <w:rsid w:val="00E85EA3"/>
    <w:rsid w:val="00E861A1"/>
    <w:rsid w:val="00E86E14"/>
    <w:rsid w:val="00E917F6"/>
    <w:rsid w:val="00E92C93"/>
    <w:rsid w:val="00E940A0"/>
    <w:rsid w:val="00E94A7C"/>
    <w:rsid w:val="00E94E94"/>
    <w:rsid w:val="00E95E98"/>
    <w:rsid w:val="00E96776"/>
    <w:rsid w:val="00E97EBC"/>
    <w:rsid w:val="00EA047D"/>
    <w:rsid w:val="00EA10EC"/>
    <w:rsid w:val="00EA180F"/>
    <w:rsid w:val="00EA28DD"/>
    <w:rsid w:val="00EA4ABF"/>
    <w:rsid w:val="00EA5977"/>
    <w:rsid w:val="00EA5F3E"/>
    <w:rsid w:val="00EA62D8"/>
    <w:rsid w:val="00EA78E1"/>
    <w:rsid w:val="00EB0680"/>
    <w:rsid w:val="00EB1127"/>
    <w:rsid w:val="00EB242C"/>
    <w:rsid w:val="00EB3012"/>
    <w:rsid w:val="00EB368A"/>
    <w:rsid w:val="00EB5C86"/>
    <w:rsid w:val="00EB658C"/>
    <w:rsid w:val="00EB6706"/>
    <w:rsid w:val="00EC0303"/>
    <w:rsid w:val="00EC035B"/>
    <w:rsid w:val="00EC2744"/>
    <w:rsid w:val="00EC344B"/>
    <w:rsid w:val="00EC7DBB"/>
    <w:rsid w:val="00EC7EF9"/>
    <w:rsid w:val="00ED01F4"/>
    <w:rsid w:val="00ED3699"/>
    <w:rsid w:val="00ED41C4"/>
    <w:rsid w:val="00ED5390"/>
    <w:rsid w:val="00ED758E"/>
    <w:rsid w:val="00ED79FF"/>
    <w:rsid w:val="00ED7B89"/>
    <w:rsid w:val="00EE069C"/>
    <w:rsid w:val="00EE0C4D"/>
    <w:rsid w:val="00EE0F62"/>
    <w:rsid w:val="00EE10DB"/>
    <w:rsid w:val="00EE5901"/>
    <w:rsid w:val="00EE5E5E"/>
    <w:rsid w:val="00EE6601"/>
    <w:rsid w:val="00EE6612"/>
    <w:rsid w:val="00EE72EA"/>
    <w:rsid w:val="00EF1318"/>
    <w:rsid w:val="00EF201B"/>
    <w:rsid w:val="00EF3213"/>
    <w:rsid w:val="00EF3515"/>
    <w:rsid w:val="00EF3766"/>
    <w:rsid w:val="00EF51A7"/>
    <w:rsid w:val="00EF5679"/>
    <w:rsid w:val="00EF5DCD"/>
    <w:rsid w:val="00EF6907"/>
    <w:rsid w:val="00F0249E"/>
    <w:rsid w:val="00F0436B"/>
    <w:rsid w:val="00F051A3"/>
    <w:rsid w:val="00F05631"/>
    <w:rsid w:val="00F05918"/>
    <w:rsid w:val="00F06B9E"/>
    <w:rsid w:val="00F07735"/>
    <w:rsid w:val="00F07798"/>
    <w:rsid w:val="00F07EC7"/>
    <w:rsid w:val="00F10D99"/>
    <w:rsid w:val="00F10DB6"/>
    <w:rsid w:val="00F120DE"/>
    <w:rsid w:val="00F142B5"/>
    <w:rsid w:val="00F14AAC"/>
    <w:rsid w:val="00F14B9C"/>
    <w:rsid w:val="00F1504D"/>
    <w:rsid w:val="00F16D31"/>
    <w:rsid w:val="00F17B21"/>
    <w:rsid w:val="00F22AA7"/>
    <w:rsid w:val="00F22FDA"/>
    <w:rsid w:val="00F24FC4"/>
    <w:rsid w:val="00F259AF"/>
    <w:rsid w:val="00F26589"/>
    <w:rsid w:val="00F3114A"/>
    <w:rsid w:val="00F31EB3"/>
    <w:rsid w:val="00F3400C"/>
    <w:rsid w:val="00F357CF"/>
    <w:rsid w:val="00F3628F"/>
    <w:rsid w:val="00F36E04"/>
    <w:rsid w:val="00F36FF8"/>
    <w:rsid w:val="00F37FB8"/>
    <w:rsid w:val="00F449A3"/>
    <w:rsid w:val="00F47CA8"/>
    <w:rsid w:val="00F51BAD"/>
    <w:rsid w:val="00F525BA"/>
    <w:rsid w:val="00F53751"/>
    <w:rsid w:val="00F54E7D"/>
    <w:rsid w:val="00F5528A"/>
    <w:rsid w:val="00F557AD"/>
    <w:rsid w:val="00F561A4"/>
    <w:rsid w:val="00F56D5C"/>
    <w:rsid w:val="00F572E7"/>
    <w:rsid w:val="00F60110"/>
    <w:rsid w:val="00F6062E"/>
    <w:rsid w:val="00F61036"/>
    <w:rsid w:val="00F64CDB"/>
    <w:rsid w:val="00F65ECE"/>
    <w:rsid w:val="00F6685A"/>
    <w:rsid w:val="00F66DEA"/>
    <w:rsid w:val="00F7041E"/>
    <w:rsid w:val="00F71039"/>
    <w:rsid w:val="00F71AEA"/>
    <w:rsid w:val="00F73A43"/>
    <w:rsid w:val="00F73AB6"/>
    <w:rsid w:val="00F772F3"/>
    <w:rsid w:val="00F77860"/>
    <w:rsid w:val="00F8086D"/>
    <w:rsid w:val="00F810E8"/>
    <w:rsid w:val="00F81529"/>
    <w:rsid w:val="00F81C4E"/>
    <w:rsid w:val="00F8556E"/>
    <w:rsid w:val="00F86BA3"/>
    <w:rsid w:val="00F90B9A"/>
    <w:rsid w:val="00F91A26"/>
    <w:rsid w:val="00F940BF"/>
    <w:rsid w:val="00F94BAD"/>
    <w:rsid w:val="00F95654"/>
    <w:rsid w:val="00F95AEE"/>
    <w:rsid w:val="00F968A3"/>
    <w:rsid w:val="00F97503"/>
    <w:rsid w:val="00FA1B4A"/>
    <w:rsid w:val="00FA22C3"/>
    <w:rsid w:val="00FA231E"/>
    <w:rsid w:val="00FA29D6"/>
    <w:rsid w:val="00FA2EF4"/>
    <w:rsid w:val="00FA464C"/>
    <w:rsid w:val="00FA4CCA"/>
    <w:rsid w:val="00FA6A1C"/>
    <w:rsid w:val="00FB1821"/>
    <w:rsid w:val="00FB4E66"/>
    <w:rsid w:val="00FB5169"/>
    <w:rsid w:val="00FB567C"/>
    <w:rsid w:val="00FB5835"/>
    <w:rsid w:val="00FB5890"/>
    <w:rsid w:val="00FB59D7"/>
    <w:rsid w:val="00FC181B"/>
    <w:rsid w:val="00FC2668"/>
    <w:rsid w:val="00FC4D5B"/>
    <w:rsid w:val="00FC4E9A"/>
    <w:rsid w:val="00FC730E"/>
    <w:rsid w:val="00FD0BF8"/>
    <w:rsid w:val="00FD1B45"/>
    <w:rsid w:val="00FD4DD6"/>
    <w:rsid w:val="00FD500E"/>
    <w:rsid w:val="00FD61E5"/>
    <w:rsid w:val="00FE1095"/>
    <w:rsid w:val="00FE131B"/>
    <w:rsid w:val="00FE2C14"/>
    <w:rsid w:val="00FE4F73"/>
    <w:rsid w:val="00FE5496"/>
    <w:rsid w:val="00FE6B85"/>
    <w:rsid w:val="00FE6EBC"/>
    <w:rsid w:val="00FF0256"/>
    <w:rsid w:val="00FF3498"/>
    <w:rsid w:val="00FF3AD8"/>
    <w:rsid w:val="00FF49DB"/>
    <w:rsid w:val="00FF5D2C"/>
    <w:rsid w:val="00FF5E06"/>
    <w:rsid w:val="00FF792E"/>
    <w:rsid w:val="011253ED"/>
    <w:rsid w:val="011D61EE"/>
    <w:rsid w:val="01303AC5"/>
    <w:rsid w:val="0132783D"/>
    <w:rsid w:val="01623770"/>
    <w:rsid w:val="01657C13"/>
    <w:rsid w:val="01671BDD"/>
    <w:rsid w:val="018F6A3E"/>
    <w:rsid w:val="01AC5842"/>
    <w:rsid w:val="01AE2DD6"/>
    <w:rsid w:val="01BA61B0"/>
    <w:rsid w:val="01CE57B8"/>
    <w:rsid w:val="01ED7A04"/>
    <w:rsid w:val="02021905"/>
    <w:rsid w:val="02041E86"/>
    <w:rsid w:val="02111B48"/>
    <w:rsid w:val="02313F99"/>
    <w:rsid w:val="024C0DD3"/>
    <w:rsid w:val="026305F6"/>
    <w:rsid w:val="02664063"/>
    <w:rsid w:val="02B56978"/>
    <w:rsid w:val="02BC1AB4"/>
    <w:rsid w:val="02DD1A2B"/>
    <w:rsid w:val="030B2A3C"/>
    <w:rsid w:val="0328714A"/>
    <w:rsid w:val="03393105"/>
    <w:rsid w:val="033C2BF5"/>
    <w:rsid w:val="035C5045"/>
    <w:rsid w:val="03831B28"/>
    <w:rsid w:val="0383668D"/>
    <w:rsid w:val="03CF3A69"/>
    <w:rsid w:val="03E33071"/>
    <w:rsid w:val="03E5328D"/>
    <w:rsid w:val="03EE0393"/>
    <w:rsid w:val="0414147C"/>
    <w:rsid w:val="042E0790"/>
    <w:rsid w:val="04561A95"/>
    <w:rsid w:val="04690C83"/>
    <w:rsid w:val="04785EAF"/>
    <w:rsid w:val="049F168E"/>
    <w:rsid w:val="04DD3F64"/>
    <w:rsid w:val="04F80D9E"/>
    <w:rsid w:val="04FC43EA"/>
    <w:rsid w:val="0506170D"/>
    <w:rsid w:val="05433347"/>
    <w:rsid w:val="0548762F"/>
    <w:rsid w:val="05597A8E"/>
    <w:rsid w:val="055C30DB"/>
    <w:rsid w:val="056A3A4A"/>
    <w:rsid w:val="057E74F5"/>
    <w:rsid w:val="05937208"/>
    <w:rsid w:val="0598566E"/>
    <w:rsid w:val="05A50F26"/>
    <w:rsid w:val="05AB5774"/>
    <w:rsid w:val="05B64EE1"/>
    <w:rsid w:val="05CC64B2"/>
    <w:rsid w:val="05E51322"/>
    <w:rsid w:val="05F50593"/>
    <w:rsid w:val="05F96B7B"/>
    <w:rsid w:val="06110369"/>
    <w:rsid w:val="062C20D7"/>
    <w:rsid w:val="0639166E"/>
    <w:rsid w:val="06710E08"/>
    <w:rsid w:val="068F128E"/>
    <w:rsid w:val="069A036D"/>
    <w:rsid w:val="06D77AC5"/>
    <w:rsid w:val="071C0D73"/>
    <w:rsid w:val="072440CC"/>
    <w:rsid w:val="07294C7E"/>
    <w:rsid w:val="076D5A73"/>
    <w:rsid w:val="077706A0"/>
    <w:rsid w:val="07D96C64"/>
    <w:rsid w:val="08362309"/>
    <w:rsid w:val="08536A17"/>
    <w:rsid w:val="085B3309"/>
    <w:rsid w:val="086C5D2B"/>
    <w:rsid w:val="089D7C92"/>
    <w:rsid w:val="08BD6586"/>
    <w:rsid w:val="08E57274"/>
    <w:rsid w:val="092E4D8E"/>
    <w:rsid w:val="095E1B17"/>
    <w:rsid w:val="096E162E"/>
    <w:rsid w:val="0980162B"/>
    <w:rsid w:val="098175B4"/>
    <w:rsid w:val="098A22EA"/>
    <w:rsid w:val="098B3260"/>
    <w:rsid w:val="099E1F14"/>
    <w:rsid w:val="09B90AFC"/>
    <w:rsid w:val="09C86F91"/>
    <w:rsid w:val="09D73678"/>
    <w:rsid w:val="09D9119E"/>
    <w:rsid w:val="09DA6CC4"/>
    <w:rsid w:val="09EA33AB"/>
    <w:rsid w:val="0A03621B"/>
    <w:rsid w:val="0A1E070E"/>
    <w:rsid w:val="0A3D797F"/>
    <w:rsid w:val="0A6071C9"/>
    <w:rsid w:val="0A8C015C"/>
    <w:rsid w:val="0A9B46A5"/>
    <w:rsid w:val="0A9D041D"/>
    <w:rsid w:val="0AA74DF8"/>
    <w:rsid w:val="0AB67731"/>
    <w:rsid w:val="0ABF0394"/>
    <w:rsid w:val="0AE4604C"/>
    <w:rsid w:val="0AEF054D"/>
    <w:rsid w:val="0AFA298B"/>
    <w:rsid w:val="0AFA5870"/>
    <w:rsid w:val="0B050935"/>
    <w:rsid w:val="0B095AB3"/>
    <w:rsid w:val="0B0E131B"/>
    <w:rsid w:val="0B112BB9"/>
    <w:rsid w:val="0B381EF4"/>
    <w:rsid w:val="0B3C7C36"/>
    <w:rsid w:val="0B5A4560"/>
    <w:rsid w:val="0B5C2086"/>
    <w:rsid w:val="0B8213C1"/>
    <w:rsid w:val="0B996E37"/>
    <w:rsid w:val="0BC87F6C"/>
    <w:rsid w:val="0BC96FF0"/>
    <w:rsid w:val="0BD95485"/>
    <w:rsid w:val="0BFE313E"/>
    <w:rsid w:val="0C061FF2"/>
    <w:rsid w:val="0C0B3F3F"/>
    <w:rsid w:val="0C2F1549"/>
    <w:rsid w:val="0C394176"/>
    <w:rsid w:val="0C487BCF"/>
    <w:rsid w:val="0C523E69"/>
    <w:rsid w:val="0C670CE3"/>
    <w:rsid w:val="0C790A16"/>
    <w:rsid w:val="0C825B1D"/>
    <w:rsid w:val="0C85560D"/>
    <w:rsid w:val="0C941CF1"/>
    <w:rsid w:val="0CB8153E"/>
    <w:rsid w:val="0CC7352F"/>
    <w:rsid w:val="0CD12600"/>
    <w:rsid w:val="0D1A0908"/>
    <w:rsid w:val="0D1A3FA7"/>
    <w:rsid w:val="0D1A6772"/>
    <w:rsid w:val="0D321FB9"/>
    <w:rsid w:val="0D5D20E6"/>
    <w:rsid w:val="0D6C40D7"/>
    <w:rsid w:val="0D7A2C98"/>
    <w:rsid w:val="0DA41AC3"/>
    <w:rsid w:val="0DAE46EF"/>
    <w:rsid w:val="0DCB52A1"/>
    <w:rsid w:val="0DEB14A0"/>
    <w:rsid w:val="0DFD1F23"/>
    <w:rsid w:val="0E285407"/>
    <w:rsid w:val="0E2A021A"/>
    <w:rsid w:val="0E4D5CB6"/>
    <w:rsid w:val="0E576B35"/>
    <w:rsid w:val="0E8042DE"/>
    <w:rsid w:val="0EA0672E"/>
    <w:rsid w:val="0EA63619"/>
    <w:rsid w:val="0EC817E1"/>
    <w:rsid w:val="0ED168E7"/>
    <w:rsid w:val="0ED87437"/>
    <w:rsid w:val="0F57576D"/>
    <w:rsid w:val="0F7C190B"/>
    <w:rsid w:val="0F9811B3"/>
    <w:rsid w:val="0FFC7994"/>
    <w:rsid w:val="104B26C9"/>
    <w:rsid w:val="104F3F68"/>
    <w:rsid w:val="10596B94"/>
    <w:rsid w:val="105C0433"/>
    <w:rsid w:val="10612BD8"/>
    <w:rsid w:val="106317C1"/>
    <w:rsid w:val="10725EA8"/>
    <w:rsid w:val="107C6D27"/>
    <w:rsid w:val="10914580"/>
    <w:rsid w:val="10973B61"/>
    <w:rsid w:val="10DD362A"/>
    <w:rsid w:val="11254CC9"/>
    <w:rsid w:val="113B44EC"/>
    <w:rsid w:val="113D0264"/>
    <w:rsid w:val="11407D54"/>
    <w:rsid w:val="117D2D56"/>
    <w:rsid w:val="119F69DA"/>
    <w:rsid w:val="11AC2B18"/>
    <w:rsid w:val="11B76268"/>
    <w:rsid w:val="11CA68A8"/>
    <w:rsid w:val="11F76665"/>
    <w:rsid w:val="11FA7F03"/>
    <w:rsid w:val="125E66E4"/>
    <w:rsid w:val="125F6469"/>
    <w:rsid w:val="12A85BB1"/>
    <w:rsid w:val="12B26899"/>
    <w:rsid w:val="12D469A6"/>
    <w:rsid w:val="132C0590"/>
    <w:rsid w:val="13453400"/>
    <w:rsid w:val="13533D6F"/>
    <w:rsid w:val="13737F6D"/>
    <w:rsid w:val="137837D5"/>
    <w:rsid w:val="137F2651"/>
    <w:rsid w:val="13854144"/>
    <w:rsid w:val="13901C58"/>
    <w:rsid w:val="139A199E"/>
    <w:rsid w:val="13CB7DA9"/>
    <w:rsid w:val="13EA69FB"/>
    <w:rsid w:val="13FA68E0"/>
    <w:rsid w:val="14117786"/>
    <w:rsid w:val="141D25CF"/>
    <w:rsid w:val="14495172"/>
    <w:rsid w:val="14634486"/>
    <w:rsid w:val="146A27B3"/>
    <w:rsid w:val="148B7538"/>
    <w:rsid w:val="149363ED"/>
    <w:rsid w:val="149A777C"/>
    <w:rsid w:val="150115A9"/>
    <w:rsid w:val="151A266A"/>
    <w:rsid w:val="151C4F7F"/>
    <w:rsid w:val="15376B99"/>
    <w:rsid w:val="153B40D2"/>
    <w:rsid w:val="154A11A2"/>
    <w:rsid w:val="157B75AD"/>
    <w:rsid w:val="157D1577"/>
    <w:rsid w:val="15842905"/>
    <w:rsid w:val="15B14D7D"/>
    <w:rsid w:val="15B66837"/>
    <w:rsid w:val="15D631D4"/>
    <w:rsid w:val="15DA2525"/>
    <w:rsid w:val="15E57A7B"/>
    <w:rsid w:val="15F23853"/>
    <w:rsid w:val="15FD7FC2"/>
    <w:rsid w:val="160550C9"/>
    <w:rsid w:val="163E0CCF"/>
    <w:rsid w:val="16461C96"/>
    <w:rsid w:val="164D719B"/>
    <w:rsid w:val="16556838"/>
    <w:rsid w:val="16704C38"/>
    <w:rsid w:val="167A4B7C"/>
    <w:rsid w:val="167C538B"/>
    <w:rsid w:val="16924BAE"/>
    <w:rsid w:val="16966E39"/>
    <w:rsid w:val="17BA0860"/>
    <w:rsid w:val="17C074F9"/>
    <w:rsid w:val="17D061B1"/>
    <w:rsid w:val="17EC02EE"/>
    <w:rsid w:val="180C273E"/>
    <w:rsid w:val="181E2472"/>
    <w:rsid w:val="18371EB1"/>
    <w:rsid w:val="185F78CE"/>
    <w:rsid w:val="18AA38BA"/>
    <w:rsid w:val="18D85379"/>
    <w:rsid w:val="18D94D16"/>
    <w:rsid w:val="18DA0A8E"/>
    <w:rsid w:val="19136A2B"/>
    <w:rsid w:val="191C4C03"/>
    <w:rsid w:val="19267830"/>
    <w:rsid w:val="19434886"/>
    <w:rsid w:val="19481E9C"/>
    <w:rsid w:val="198F3627"/>
    <w:rsid w:val="19C31523"/>
    <w:rsid w:val="19E5593D"/>
    <w:rsid w:val="19FD4A34"/>
    <w:rsid w:val="19FE2CE3"/>
    <w:rsid w:val="1A0C4C78"/>
    <w:rsid w:val="1A1245F4"/>
    <w:rsid w:val="1A1D0C33"/>
    <w:rsid w:val="1A5905CD"/>
    <w:rsid w:val="1A730DD5"/>
    <w:rsid w:val="1A8E1B30"/>
    <w:rsid w:val="1ADC0AEE"/>
    <w:rsid w:val="1B542D7A"/>
    <w:rsid w:val="1B59213E"/>
    <w:rsid w:val="1B6805D3"/>
    <w:rsid w:val="1B965141"/>
    <w:rsid w:val="1BA3785E"/>
    <w:rsid w:val="1BB630ED"/>
    <w:rsid w:val="1BCC389F"/>
    <w:rsid w:val="1BD90056"/>
    <w:rsid w:val="1BE340FE"/>
    <w:rsid w:val="1BEA0FE8"/>
    <w:rsid w:val="1C314E69"/>
    <w:rsid w:val="1C3258A5"/>
    <w:rsid w:val="1C9365B5"/>
    <w:rsid w:val="1CAE64BA"/>
    <w:rsid w:val="1CBA6C0D"/>
    <w:rsid w:val="1CED6FE2"/>
    <w:rsid w:val="1CF74729"/>
    <w:rsid w:val="1D091942"/>
    <w:rsid w:val="1D527B3B"/>
    <w:rsid w:val="1D532BBD"/>
    <w:rsid w:val="1D5A3F4C"/>
    <w:rsid w:val="1D682B0D"/>
    <w:rsid w:val="1D7768AC"/>
    <w:rsid w:val="1D807E78"/>
    <w:rsid w:val="1D8A2A83"/>
    <w:rsid w:val="1D994A74"/>
    <w:rsid w:val="1D9D0C3D"/>
    <w:rsid w:val="1DB21FDA"/>
    <w:rsid w:val="1DE33F41"/>
    <w:rsid w:val="1DFC3255"/>
    <w:rsid w:val="1E6037E4"/>
    <w:rsid w:val="1E8474D2"/>
    <w:rsid w:val="1E8B1934"/>
    <w:rsid w:val="1EB8717C"/>
    <w:rsid w:val="1EC73863"/>
    <w:rsid w:val="1EDA17E8"/>
    <w:rsid w:val="1EE44415"/>
    <w:rsid w:val="1EFA1543"/>
    <w:rsid w:val="1F1903A6"/>
    <w:rsid w:val="1F2D4510"/>
    <w:rsid w:val="1F5A46D7"/>
    <w:rsid w:val="1F66307C"/>
    <w:rsid w:val="1F6D7F66"/>
    <w:rsid w:val="1FDE2C12"/>
    <w:rsid w:val="20005D65"/>
    <w:rsid w:val="202F346E"/>
    <w:rsid w:val="20692E24"/>
    <w:rsid w:val="20B10327"/>
    <w:rsid w:val="20BF0C96"/>
    <w:rsid w:val="20C444FE"/>
    <w:rsid w:val="2100305C"/>
    <w:rsid w:val="211014F1"/>
    <w:rsid w:val="21925A7A"/>
    <w:rsid w:val="21A34113"/>
    <w:rsid w:val="21BE49FD"/>
    <w:rsid w:val="222178E4"/>
    <w:rsid w:val="22266AF2"/>
    <w:rsid w:val="2230727D"/>
    <w:rsid w:val="22430D33"/>
    <w:rsid w:val="226F3225"/>
    <w:rsid w:val="22704963"/>
    <w:rsid w:val="228F33A1"/>
    <w:rsid w:val="22BA5BB9"/>
    <w:rsid w:val="22CB4C06"/>
    <w:rsid w:val="22CD4A0D"/>
    <w:rsid w:val="22E449E3"/>
    <w:rsid w:val="22EA26EC"/>
    <w:rsid w:val="22F015DA"/>
    <w:rsid w:val="231B5F2B"/>
    <w:rsid w:val="233D6629"/>
    <w:rsid w:val="23425BAE"/>
    <w:rsid w:val="23490CEA"/>
    <w:rsid w:val="23563407"/>
    <w:rsid w:val="23582CDC"/>
    <w:rsid w:val="236C50A2"/>
    <w:rsid w:val="23782997"/>
    <w:rsid w:val="238C6E29"/>
    <w:rsid w:val="23B819CC"/>
    <w:rsid w:val="23CD743C"/>
    <w:rsid w:val="24247062"/>
    <w:rsid w:val="244514B2"/>
    <w:rsid w:val="244F2331"/>
    <w:rsid w:val="245076FF"/>
    <w:rsid w:val="24763D61"/>
    <w:rsid w:val="24977834"/>
    <w:rsid w:val="24A26904"/>
    <w:rsid w:val="24B72734"/>
    <w:rsid w:val="24E10366"/>
    <w:rsid w:val="24E707BB"/>
    <w:rsid w:val="250550E5"/>
    <w:rsid w:val="251470D6"/>
    <w:rsid w:val="2536529E"/>
    <w:rsid w:val="254B6F9C"/>
    <w:rsid w:val="25853B30"/>
    <w:rsid w:val="25900E53"/>
    <w:rsid w:val="25B131B8"/>
    <w:rsid w:val="25DF76E4"/>
    <w:rsid w:val="2604714B"/>
    <w:rsid w:val="262275D1"/>
    <w:rsid w:val="263E7431"/>
    <w:rsid w:val="26502390"/>
    <w:rsid w:val="2665408D"/>
    <w:rsid w:val="267267AA"/>
    <w:rsid w:val="26AA7CF2"/>
    <w:rsid w:val="26C708A4"/>
    <w:rsid w:val="26D46A58"/>
    <w:rsid w:val="26E56F7C"/>
    <w:rsid w:val="26E66850"/>
    <w:rsid w:val="27131AA3"/>
    <w:rsid w:val="271D04C4"/>
    <w:rsid w:val="27237085"/>
    <w:rsid w:val="27321A96"/>
    <w:rsid w:val="274D3F28"/>
    <w:rsid w:val="275F0ADD"/>
    <w:rsid w:val="27907541"/>
    <w:rsid w:val="27912C60"/>
    <w:rsid w:val="27A03B7F"/>
    <w:rsid w:val="27C272BD"/>
    <w:rsid w:val="28137B19"/>
    <w:rsid w:val="28180C8B"/>
    <w:rsid w:val="28327F9F"/>
    <w:rsid w:val="283E4B96"/>
    <w:rsid w:val="28552E5C"/>
    <w:rsid w:val="28577A06"/>
    <w:rsid w:val="287C121A"/>
    <w:rsid w:val="288325A9"/>
    <w:rsid w:val="28A11ACC"/>
    <w:rsid w:val="28C50E13"/>
    <w:rsid w:val="28C62164"/>
    <w:rsid w:val="28EF3AAA"/>
    <w:rsid w:val="28F9286B"/>
    <w:rsid w:val="2903193C"/>
    <w:rsid w:val="290C07F0"/>
    <w:rsid w:val="291853E7"/>
    <w:rsid w:val="292673D8"/>
    <w:rsid w:val="29777D58"/>
    <w:rsid w:val="29AC1FD3"/>
    <w:rsid w:val="29D37560"/>
    <w:rsid w:val="29D819B6"/>
    <w:rsid w:val="29EB58A7"/>
    <w:rsid w:val="29F85218"/>
    <w:rsid w:val="29FA4AED"/>
    <w:rsid w:val="2A06107F"/>
    <w:rsid w:val="2A24600D"/>
    <w:rsid w:val="2A355B25"/>
    <w:rsid w:val="2A6308E4"/>
    <w:rsid w:val="2A7B2605"/>
    <w:rsid w:val="2A8D5961"/>
    <w:rsid w:val="2AA6073E"/>
    <w:rsid w:val="2AA67384"/>
    <w:rsid w:val="2AD357BE"/>
    <w:rsid w:val="2AFC4894"/>
    <w:rsid w:val="2B430715"/>
    <w:rsid w:val="2B465B0F"/>
    <w:rsid w:val="2B585F6F"/>
    <w:rsid w:val="2B85488A"/>
    <w:rsid w:val="2BAA7930"/>
    <w:rsid w:val="2BAF7B59"/>
    <w:rsid w:val="2BC2788C"/>
    <w:rsid w:val="2BC453B2"/>
    <w:rsid w:val="2BC5737C"/>
    <w:rsid w:val="2BD001FB"/>
    <w:rsid w:val="2BD83C98"/>
    <w:rsid w:val="2BEB7C00"/>
    <w:rsid w:val="2BEE68D3"/>
    <w:rsid w:val="2C153E60"/>
    <w:rsid w:val="2C4127D5"/>
    <w:rsid w:val="2C4C53A8"/>
    <w:rsid w:val="2C5030EA"/>
    <w:rsid w:val="2CD94E8D"/>
    <w:rsid w:val="2CDE24A4"/>
    <w:rsid w:val="2D1934DC"/>
    <w:rsid w:val="2D26209C"/>
    <w:rsid w:val="2D295A59"/>
    <w:rsid w:val="2D412A32"/>
    <w:rsid w:val="2D8D3ECA"/>
    <w:rsid w:val="2D991D14"/>
    <w:rsid w:val="2DD13DB6"/>
    <w:rsid w:val="2E0777D8"/>
    <w:rsid w:val="2E0B376C"/>
    <w:rsid w:val="2E1A39AF"/>
    <w:rsid w:val="2E255EB0"/>
    <w:rsid w:val="2E262354"/>
    <w:rsid w:val="2E2E2FB7"/>
    <w:rsid w:val="2E3D31FA"/>
    <w:rsid w:val="2E4A5917"/>
    <w:rsid w:val="2E6421B8"/>
    <w:rsid w:val="2E840E29"/>
    <w:rsid w:val="2E99107F"/>
    <w:rsid w:val="2EB5368F"/>
    <w:rsid w:val="2EC35DF5"/>
    <w:rsid w:val="2ECE02F6"/>
    <w:rsid w:val="2EF97A69"/>
    <w:rsid w:val="2F0D0E1E"/>
    <w:rsid w:val="2F2A5E74"/>
    <w:rsid w:val="2F324D29"/>
    <w:rsid w:val="2F48454C"/>
    <w:rsid w:val="2F4D56BE"/>
    <w:rsid w:val="2F5416DE"/>
    <w:rsid w:val="2F715851"/>
    <w:rsid w:val="2F953881"/>
    <w:rsid w:val="2FC811E9"/>
    <w:rsid w:val="2FD81838"/>
    <w:rsid w:val="2FDA552E"/>
    <w:rsid w:val="2FDE489C"/>
    <w:rsid w:val="30470360"/>
    <w:rsid w:val="304F5466"/>
    <w:rsid w:val="307A24E3"/>
    <w:rsid w:val="30A77050"/>
    <w:rsid w:val="30DF2C8E"/>
    <w:rsid w:val="30E16A06"/>
    <w:rsid w:val="30EC0F07"/>
    <w:rsid w:val="30ED53AB"/>
    <w:rsid w:val="30FD4EC2"/>
    <w:rsid w:val="31067C7A"/>
    <w:rsid w:val="314D3926"/>
    <w:rsid w:val="316D3DF6"/>
    <w:rsid w:val="3179279B"/>
    <w:rsid w:val="318A2BFA"/>
    <w:rsid w:val="318C4BC4"/>
    <w:rsid w:val="318F6462"/>
    <w:rsid w:val="31B41A25"/>
    <w:rsid w:val="31C3610C"/>
    <w:rsid w:val="31E90C4F"/>
    <w:rsid w:val="31F97D80"/>
    <w:rsid w:val="32700042"/>
    <w:rsid w:val="3281224F"/>
    <w:rsid w:val="32AB107A"/>
    <w:rsid w:val="32AE7C54"/>
    <w:rsid w:val="32C4038E"/>
    <w:rsid w:val="32CE6B16"/>
    <w:rsid w:val="33130626"/>
    <w:rsid w:val="331D35FA"/>
    <w:rsid w:val="331F7372"/>
    <w:rsid w:val="333E1EEE"/>
    <w:rsid w:val="33704071"/>
    <w:rsid w:val="33792F26"/>
    <w:rsid w:val="337F42B4"/>
    <w:rsid w:val="33802506"/>
    <w:rsid w:val="34390907"/>
    <w:rsid w:val="344A6670"/>
    <w:rsid w:val="344A74B3"/>
    <w:rsid w:val="34763909"/>
    <w:rsid w:val="34A00986"/>
    <w:rsid w:val="34CA09B8"/>
    <w:rsid w:val="34EB1C02"/>
    <w:rsid w:val="34FA62E8"/>
    <w:rsid w:val="352A2B8A"/>
    <w:rsid w:val="355A28E3"/>
    <w:rsid w:val="35841A27"/>
    <w:rsid w:val="358D4A67"/>
    <w:rsid w:val="35906305"/>
    <w:rsid w:val="35AA386B"/>
    <w:rsid w:val="35D00DF7"/>
    <w:rsid w:val="35E92EFE"/>
    <w:rsid w:val="36121410"/>
    <w:rsid w:val="3625255D"/>
    <w:rsid w:val="36274EBB"/>
    <w:rsid w:val="36407D2B"/>
    <w:rsid w:val="36590DED"/>
    <w:rsid w:val="366302C2"/>
    <w:rsid w:val="368E4F3A"/>
    <w:rsid w:val="36AC716F"/>
    <w:rsid w:val="36B64491"/>
    <w:rsid w:val="36E032BC"/>
    <w:rsid w:val="36F80606"/>
    <w:rsid w:val="371B2546"/>
    <w:rsid w:val="372E5DD5"/>
    <w:rsid w:val="372F04E9"/>
    <w:rsid w:val="3739720A"/>
    <w:rsid w:val="37504CAA"/>
    <w:rsid w:val="37677539"/>
    <w:rsid w:val="379A790F"/>
    <w:rsid w:val="379D047C"/>
    <w:rsid w:val="37AE5168"/>
    <w:rsid w:val="37B26A07"/>
    <w:rsid w:val="37BB7F6F"/>
    <w:rsid w:val="37D050DF"/>
    <w:rsid w:val="37F30DCD"/>
    <w:rsid w:val="380A4A95"/>
    <w:rsid w:val="382C4A0B"/>
    <w:rsid w:val="383E64EC"/>
    <w:rsid w:val="38575800"/>
    <w:rsid w:val="385775AE"/>
    <w:rsid w:val="386C12AB"/>
    <w:rsid w:val="38E52A39"/>
    <w:rsid w:val="38E71FF3"/>
    <w:rsid w:val="38ED3A6E"/>
    <w:rsid w:val="38F6225F"/>
    <w:rsid w:val="38FE7A29"/>
    <w:rsid w:val="39205BF2"/>
    <w:rsid w:val="393B2A2C"/>
    <w:rsid w:val="39447B32"/>
    <w:rsid w:val="395B30CE"/>
    <w:rsid w:val="397C6CE5"/>
    <w:rsid w:val="39983AE3"/>
    <w:rsid w:val="399860D0"/>
    <w:rsid w:val="39A9208B"/>
    <w:rsid w:val="39B50A30"/>
    <w:rsid w:val="39EB4452"/>
    <w:rsid w:val="39F01A68"/>
    <w:rsid w:val="3A095C78"/>
    <w:rsid w:val="3A1305D9"/>
    <w:rsid w:val="3A1A5C49"/>
    <w:rsid w:val="3A4818A4"/>
    <w:rsid w:val="3A5913BB"/>
    <w:rsid w:val="3A6366DE"/>
    <w:rsid w:val="3A8C21FC"/>
    <w:rsid w:val="3A8D72B7"/>
    <w:rsid w:val="3AA82343"/>
    <w:rsid w:val="3AC0768C"/>
    <w:rsid w:val="3AF8506B"/>
    <w:rsid w:val="3B0357CB"/>
    <w:rsid w:val="3B18438A"/>
    <w:rsid w:val="3B1B2B15"/>
    <w:rsid w:val="3B365BA1"/>
    <w:rsid w:val="3B8701AA"/>
    <w:rsid w:val="3B895CD0"/>
    <w:rsid w:val="3C3419C0"/>
    <w:rsid w:val="3C507EC0"/>
    <w:rsid w:val="3C5D483B"/>
    <w:rsid w:val="3C964B49"/>
    <w:rsid w:val="3CA12E38"/>
    <w:rsid w:val="3CBE5970"/>
    <w:rsid w:val="3CCD42E3"/>
    <w:rsid w:val="3CCF005B"/>
    <w:rsid w:val="3CE37662"/>
    <w:rsid w:val="3CF33D49"/>
    <w:rsid w:val="3D000214"/>
    <w:rsid w:val="3D204412"/>
    <w:rsid w:val="3D314871"/>
    <w:rsid w:val="3D355FF0"/>
    <w:rsid w:val="3D5F5B26"/>
    <w:rsid w:val="3D845004"/>
    <w:rsid w:val="3D913562"/>
    <w:rsid w:val="3D98669F"/>
    <w:rsid w:val="3DA05553"/>
    <w:rsid w:val="3DCC2535"/>
    <w:rsid w:val="3DD27E02"/>
    <w:rsid w:val="3DE6740A"/>
    <w:rsid w:val="3E09134A"/>
    <w:rsid w:val="3E375EB7"/>
    <w:rsid w:val="3E3D2DA2"/>
    <w:rsid w:val="3E9C3F6D"/>
    <w:rsid w:val="3EA8529E"/>
    <w:rsid w:val="3EB2553E"/>
    <w:rsid w:val="3EE15E23"/>
    <w:rsid w:val="3EF67B21"/>
    <w:rsid w:val="3EFB0C93"/>
    <w:rsid w:val="3F1C6E5B"/>
    <w:rsid w:val="3F1E4982"/>
    <w:rsid w:val="3F2301EA"/>
    <w:rsid w:val="3F400E84"/>
    <w:rsid w:val="3F5D36FC"/>
    <w:rsid w:val="3F656A54"/>
    <w:rsid w:val="3F7171A7"/>
    <w:rsid w:val="3FA56E51"/>
    <w:rsid w:val="3FBB48C6"/>
    <w:rsid w:val="3FC217B1"/>
    <w:rsid w:val="3FC27A03"/>
    <w:rsid w:val="3FCD6EB1"/>
    <w:rsid w:val="3FE21E53"/>
    <w:rsid w:val="40490124"/>
    <w:rsid w:val="404E573A"/>
    <w:rsid w:val="405F16F6"/>
    <w:rsid w:val="40672358"/>
    <w:rsid w:val="409C0547"/>
    <w:rsid w:val="40CD2B03"/>
    <w:rsid w:val="40D20119"/>
    <w:rsid w:val="40DA0D7C"/>
    <w:rsid w:val="410B53D9"/>
    <w:rsid w:val="410D1152"/>
    <w:rsid w:val="41456B3D"/>
    <w:rsid w:val="41523008"/>
    <w:rsid w:val="416A0352"/>
    <w:rsid w:val="41886A2A"/>
    <w:rsid w:val="41A01FC6"/>
    <w:rsid w:val="41AF045B"/>
    <w:rsid w:val="41EC1BF8"/>
    <w:rsid w:val="421F738E"/>
    <w:rsid w:val="423D5A66"/>
    <w:rsid w:val="42412C44"/>
    <w:rsid w:val="427A7A22"/>
    <w:rsid w:val="42815953"/>
    <w:rsid w:val="42EB101F"/>
    <w:rsid w:val="42ED2FE9"/>
    <w:rsid w:val="4320516C"/>
    <w:rsid w:val="433E55F2"/>
    <w:rsid w:val="439C056B"/>
    <w:rsid w:val="43BA29DA"/>
    <w:rsid w:val="43F44FDF"/>
    <w:rsid w:val="441B3B85"/>
    <w:rsid w:val="442B4884"/>
    <w:rsid w:val="442C7B41"/>
    <w:rsid w:val="444A6219"/>
    <w:rsid w:val="44657AF6"/>
    <w:rsid w:val="44BB380A"/>
    <w:rsid w:val="44F71EFD"/>
    <w:rsid w:val="45091337"/>
    <w:rsid w:val="4517434D"/>
    <w:rsid w:val="45563B7B"/>
    <w:rsid w:val="456F5F37"/>
    <w:rsid w:val="45701CAF"/>
    <w:rsid w:val="45703A5D"/>
    <w:rsid w:val="4577303D"/>
    <w:rsid w:val="45AB2CE7"/>
    <w:rsid w:val="45B44292"/>
    <w:rsid w:val="461940F5"/>
    <w:rsid w:val="462907DC"/>
    <w:rsid w:val="46294306"/>
    <w:rsid w:val="465670F7"/>
    <w:rsid w:val="46623CEE"/>
    <w:rsid w:val="469519CD"/>
    <w:rsid w:val="46B75DE7"/>
    <w:rsid w:val="46F56910"/>
    <w:rsid w:val="46F72688"/>
    <w:rsid w:val="46FD7572"/>
    <w:rsid w:val="471A0124"/>
    <w:rsid w:val="47507FEA"/>
    <w:rsid w:val="476475F1"/>
    <w:rsid w:val="476F66C2"/>
    <w:rsid w:val="478163F5"/>
    <w:rsid w:val="47A125F4"/>
    <w:rsid w:val="47CB141F"/>
    <w:rsid w:val="47CF0F0F"/>
    <w:rsid w:val="485760FA"/>
    <w:rsid w:val="487D4E0F"/>
    <w:rsid w:val="489108BA"/>
    <w:rsid w:val="48934632"/>
    <w:rsid w:val="489839F7"/>
    <w:rsid w:val="489F2FD7"/>
    <w:rsid w:val="489F6B33"/>
    <w:rsid w:val="48A00AFD"/>
    <w:rsid w:val="48A6207B"/>
    <w:rsid w:val="48B14AB8"/>
    <w:rsid w:val="48BF0B5B"/>
    <w:rsid w:val="48DB38E3"/>
    <w:rsid w:val="48F7696F"/>
    <w:rsid w:val="4901555D"/>
    <w:rsid w:val="490E3CB9"/>
    <w:rsid w:val="49262DB0"/>
    <w:rsid w:val="49396F88"/>
    <w:rsid w:val="49543DC1"/>
    <w:rsid w:val="4960664C"/>
    <w:rsid w:val="49CB3958"/>
    <w:rsid w:val="4A121587"/>
    <w:rsid w:val="4A7E3730"/>
    <w:rsid w:val="4B635E4C"/>
    <w:rsid w:val="4B720B40"/>
    <w:rsid w:val="4B75001F"/>
    <w:rsid w:val="4B7A5635"/>
    <w:rsid w:val="4B7F0E9E"/>
    <w:rsid w:val="4B9F6196"/>
    <w:rsid w:val="4BAB57EF"/>
    <w:rsid w:val="4BDF193C"/>
    <w:rsid w:val="4BE609C1"/>
    <w:rsid w:val="4BEB02E1"/>
    <w:rsid w:val="4C027571"/>
    <w:rsid w:val="4C2537F3"/>
    <w:rsid w:val="4C5C7F72"/>
    <w:rsid w:val="4C5E4F57"/>
    <w:rsid w:val="4C72630D"/>
    <w:rsid w:val="4C7B3413"/>
    <w:rsid w:val="4CBD1C7E"/>
    <w:rsid w:val="4CCF375F"/>
    <w:rsid w:val="4CD35DA9"/>
    <w:rsid w:val="4D496FBC"/>
    <w:rsid w:val="4D587BF8"/>
    <w:rsid w:val="4D8409ED"/>
    <w:rsid w:val="4D8E53C8"/>
    <w:rsid w:val="4D9A3D6D"/>
    <w:rsid w:val="4D9F6104"/>
    <w:rsid w:val="4DA1334D"/>
    <w:rsid w:val="4DB43081"/>
    <w:rsid w:val="4DB50BA7"/>
    <w:rsid w:val="4DB96FDD"/>
    <w:rsid w:val="4DC82688"/>
    <w:rsid w:val="4E0F475B"/>
    <w:rsid w:val="4E21623C"/>
    <w:rsid w:val="4E376A4E"/>
    <w:rsid w:val="4E467A51"/>
    <w:rsid w:val="4E473EF5"/>
    <w:rsid w:val="4E577EB0"/>
    <w:rsid w:val="4E740A62"/>
    <w:rsid w:val="4E9B5FEF"/>
    <w:rsid w:val="4E9E5ADF"/>
    <w:rsid w:val="4EB946C7"/>
    <w:rsid w:val="4ECA741E"/>
    <w:rsid w:val="4ED11A10"/>
    <w:rsid w:val="4EF76DE6"/>
    <w:rsid w:val="4EFA0F67"/>
    <w:rsid w:val="4F05790C"/>
    <w:rsid w:val="4F155DA1"/>
    <w:rsid w:val="4F1813ED"/>
    <w:rsid w:val="4F195165"/>
    <w:rsid w:val="4F2558B8"/>
    <w:rsid w:val="4F2E18B0"/>
    <w:rsid w:val="4F5A37B4"/>
    <w:rsid w:val="4F6050C6"/>
    <w:rsid w:val="4F6C798B"/>
    <w:rsid w:val="4F9D7B44"/>
    <w:rsid w:val="4FA964E9"/>
    <w:rsid w:val="4FB31116"/>
    <w:rsid w:val="4FD07F1A"/>
    <w:rsid w:val="4FDA48F5"/>
    <w:rsid w:val="4FFD05E3"/>
    <w:rsid w:val="50035F83"/>
    <w:rsid w:val="50134125"/>
    <w:rsid w:val="502D78E6"/>
    <w:rsid w:val="50302767"/>
    <w:rsid w:val="50574197"/>
    <w:rsid w:val="50577CF3"/>
    <w:rsid w:val="5066262C"/>
    <w:rsid w:val="507C775A"/>
    <w:rsid w:val="508A631B"/>
    <w:rsid w:val="508F6744"/>
    <w:rsid w:val="50A02E6C"/>
    <w:rsid w:val="50AC44E3"/>
    <w:rsid w:val="50B42925"/>
    <w:rsid w:val="50CD4459"/>
    <w:rsid w:val="50D149F1"/>
    <w:rsid w:val="50E278DA"/>
    <w:rsid w:val="50E61077"/>
    <w:rsid w:val="51134562"/>
    <w:rsid w:val="513D513B"/>
    <w:rsid w:val="514E7348"/>
    <w:rsid w:val="51736DAF"/>
    <w:rsid w:val="517B2107"/>
    <w:rsid w:val="51AE428B"/>
    <w:rsid w:val="51CC64BF"/>
    <w:rsid w:val="5201085F"/>
    <w:rsid w:val="520774F7"/>
    <w:rsid w:val="52202B8B"/>
    <w:rsid w:val="524C39A1"/>
    <w:rsid w:val="527F6C60"/>
    <w:rsid w:val="52A31916"/>
    <w:rsid w:val="52BE04FE"/>
    <w:rsid w:val="52C41B2D"/>
    <w:rsid w:val="52C5188C"/>
    <w:rsid w:val="52D941BD"/>
    <w:rsid w:val="53346A12"/>
    <w:rsid w:val="53530C46"/>
    <w:rsid w:val="53807561"/>
    <w:rsid w:val="5386726D"/>
    <w:rsid w:val="5394125E"/>
    <w:rsid w:val="53A25729"/>
    <w:rsid w:val="53B10062"/>
    <w:rsid w:val="53C953AC"/>
    <w:rsid w:val="53E21FCA"/>
    <w:rsid w:val="53E2749B"/>
    <w:rsid w:val="54065CB8"/>
    <w:rsid w:val="542B3971"/>
    <w:rsid w:val="54331E6A"/>
    <w:rsid w:val="543F566E"/>
    <w:rsid w:val="544114C2"/>
    <w:rsid w:val="54484523"/>
    <w:rsid w:val="544B5DC1"/>
    <w:rsid w:val="544E58B1"/>
    <w:rsid w:val="545409EB"/>
    <w:rsid w:val="5478427C"/>
    <w:rsid w:val="54847897"/>
    <w:rsid w:val="54971006"/>
    <w:rsid w:val="54A43723"/>
    <w:rsid w:val="54AA6F8B"/>
    <w:rsid w:val="54AB2D04"/>
    <w:rsid w:val="54BC281B"/>
    <w:rsid w:val="54C142D5"/>
    <w:rsid w:val="54C47921"/>
    <w:rsid w:val="54E33CEA"/>
    <w:rsid w:val="554271C4"/>
    <w:rsid w:val="55474E28"/>
    <w:rsid w:val="555D5DAC"/>
    <w:rsid w:val="55937937"/>
    <w:rsid w:val="55E77D6B"/>
    <w:rsid w:val="56073F6A"/>
    <w:rsid w:val="561F5757"/>
    <w:rsid w:val="5621327D"/>
    <w:rsid w:val="563048CC"/>
    <w:rsid w:val="564451BE"/>
    <w:rsid w:val="567C6706"/>
    <w:rsid w:val="567F7FA4"/>
    <w:rsid w:val="568F0E2D"/>
    <w:rsid w:val="56A96DCF"/>
    <w:rsid w:val="56BB75CD"/>
    <w:rsid w:val="56BE1520"/>
    <w:rsid w:val="56C500AD"/>
    <w:rsid w:val="56FE711B"/>
    <w:rsid w:val="572D3C16"/>
    <w:rsid w:val="57364B06"/>
    <w:rsid w:val="579F723E"/>
    <w:rsid w:val="57BE68AA"/>
    <w:rsid w:val="57E417E0"/>
    <w:rsid w:val="58140DF3"/>
    <w:rsid w:val="58160494"/>
    <w:rsid w:val="58164938"/>
    <w:rsid w:val="58240E03"/>
    <w:rsid w:val="58313520"/>
    <w:rsid w:val="5889510A"/>
    <w:rsid w:val="58922210"/>
    <w:rsid w:val="58B008E9"/>
    <w:rsid w:val="58E00F99"/>
    <w:rsid w:val="59080725"/>
    <w:rsid w:val="5913791F"/>
    <w:rsid w:val="59246BE1"/>
    <w:rsid w:val="594A4899"/>
    <w:rsid w:val="59712234"/>
    <w:rsid w:val="59723DF0"/>
    <w:rsid w:val="597464F9"/>
    <w:rsid w:val="597B4402"/>
    <w:rsid w:val="597C07CB"/>
    <w:rsid w:val="598558D1"/>
    <w:rsid w:val="598D4786"/>
    <w:rsid w:val="59C44AFB"/>
    <w:rsid w:val="59C7302F"/>
    <w:rsid w:val="59C81C62"/>
    <w:rsid w:val="59D2663D"/>
    <w:rsid w:val="5A113609"/>
    <w:rsid w:val="5A44753A"/>
    <w:rsid w:val="5A623E64"/>
    <w:rsid w:val="5A9047A7"/>
    <w:rsid w:val="5AA24261"/>
    <w:rsid w:val="5AA4622B"/>
    <w:rsid w:val="5AAF59A9"/>
    <w:rsid w:val="5ADC59C5"/>
    <w:rsid w:val="5ADD720D"/>
    <w:rsid w:val="5ADF7263"/>
    <w:rsid w:val="5AFB3AFB"/>
    <w:rsid w:val="5AFC6067"/>
    <w:rsid w:val="5B1C69F1"/>
    <w:rsid w:val="5B2630E4"/>
    <w:rsid w:val="5B2D74A8"/>
    <w:rsid w:val="5B48305A"/>
    <w:rsid w:val="5B653C0C"/>
    <w:rsid w:val="5B841BB9"/>
    <w:rsid w:val="5B955B74"/>
    <w:rsid w:val="5BA52D0A"/>
    <w:rsid w:val="5BAC35E9"/>
    <w:rsid w:val="5BC36B85"/>
    <w:rsid w:val="5C0D7E00"/>
    <w:rsid w:val="5C447CC6"/>
    <w:rsid w:val="5C7B1D48"/>
    <w:rsid w:val="5CDF0A88"/>
    <w:rsid w:val="5CFB5EAA"/>
    <w:rsid w:val="5D101956"/>
    <w:rsid w:val="5D153410"/>
    <w:rsid w:val="5D1E0517"/>
    <w:rsid w:val="5D3C6BEF"/>
    <w:rsid w:val="5D445AA3"/>
    <w:rsid w:val="5D916F3A"/>
    <w:rsid w:val="5D924A61"/>
    <w:rsid w:val="5D9E3405"/>
    <w:rsid w:val="5E1611EE"/>
    <w:rsid w:val="5E337FF2"/>
    <w:rsid w:val="5E451AD3"/>
    <w:rsid w:val="5E6006BB"/>
    <w:rsid w:val="5E655CD1"/>
    <w:rsid w:val="5E734892"/>
    <w:rsid w:val="5EDD61AF"/>
    <w:rsid w:val="5EE17A4E"/>
    <w:rsid w:val="5EE27322"/>
    <w:rsid w:val="5EF37781"/>
    <w:rsid w:val="5EFD5F0A"/>
    <w:rsid w:val="5F0279C4"/>
    <w:rsid w:val="5F797C86"/>
    <w:rsid w:val="5F8108E9"/>
    <w:rsid w:val="5FEB2206"/>
    <w:rsid w:val="601169A3"/>
    <w:rsid w:val="60310561"/>
    <w:rsid w:val="60514A9F"/>
    <w:rsid w:val="608F34D9"/>
    <w:rsid w:val="609D1752"/>
    <w:rsid w:val="60C63751"/>
    <w:rsid w:val="60EF0A8D"/>
    <w:rsid w:val="611B344F"/>
    <w:rsid w:val="614C4F26"/>
    <w:rsid w:val="615E35D8"/>
    <w:rsid w:val="61630BEE"/>
    <w:rsid w:val="618475DE"/>
    <w:rsid w:val="61F53810"/>
    <w:rsid w:val="626369CC"/>
    <w:rsid w:val="626A1B08"/>
    <w:rsid w:val="62A72D5C"/>
    <w:rsid w:val="62CC27C3"/>
    <w:rsid w:val="62E35E91"/>
    <w:rsid w:val="63224191"/>
    <w:rsid w:val="632C2040"/>
    <w:rsid w:val="632F68AE"/>
    <w:rsid w:val="633914DA"/>
    <w:rsid w:val="633C1452"/>
    <w:rsid w:val="63442359"/>
    <w:rsid w:val="63AA21E7"/>
    <w:rsid w:val="63C90AB0"/>
    <w:rsid w:val="63F55D49"/>
    <w:rsid w:val="6410335F"/>
    <w:rsid w:val="64195594"/>
    <w:rsid w:val="641C32D6"/>
    <w:rsid w:val="64340620"/>
    <w:rsid w:val="64373C6C"/>
    <w:rsid w:val="64414AEB"/>
    <w:rsid w:val="646802C9"/>
    <w:rsid w:val="64C86FBA"/>
    <w:rsid w:val="64CF20F6"/>
    <w:rsid w:val="64D140C0"/>
    <w:rsid w:val="64E738E4"/>
    <w:rsid w:val="651B4647"/>
    <w:rsid w:val="65240694"/>
    <w:rsid w:val="65270184"/>
    <w:rsid w:val="652E32C1"/>
    <w:rsid w:val="658168F5"/>
    <w:rsid w:val="65905D2A"/>
    <w:rsid w:val="6591721A"/>
    <w:rsid w:val="65B35574"/>
    <w:rsid w:val="65CA6D08"/>
    <w:rsid w:val="65E10333"/>
    <w:rsid w:val="65F04A1A"/>
    <w:rsid w:val="65F75DA9"/>
    <w:rsid w:val="6609788A"/>
    <w:rsid w:val="66442670"/>
    <w:rsid w:val="665C6CD5"/>
    <w:rsid w:val="666176C6"/>
    <w:rsid w:val="668C72FC"/>
    <w:rsid w:val="66B26720"/>
    <w:rsid w:val="66B95196"/>
    <w:rsid w:val="66C8504F"/>
    <w:rsid w:val="672C55DE"/>
    <w:rsid w:val="675F3C06"/>
    <w:rsid w:val="67654F94"/>
    <w:rsid w:val="678169CB"/>
    <w:rsid w:val="679522B9"/>
    <w:rsid w:val="67AE2497"/>
    <w:rsid w:val="67DF6EC0"/>
    <w:rsid w:val="67EC1211"/>
    <w:rsid w:val="67F500C6"/>
    <w:rsid w:val="682D3D04"/>
    <w:rsid w:val="68376930"/>
    <w:rsid w:val="68460921"/>
    <w:rsid w:val="689E075E"/>
    <w:rsid w:val="68AD274F"/>
    <w:rsid w:val="68AF2E06"/>
    <w:rsid w:val="68D0792E"/>
    <w:rsid w:val="691B1A32"/>
    <w:rsid w:val="691B71A5"/>
    <w:rsid w:val="69232D3B"/>
    <w:rsid w:val="69280027"/>
    <w:rsid w:val="694D7A8E"/>
    <w:rsid w:val="697119CE"/>
    <w:rsid w:val="69821E2D"/>
    <w:rsid w:val="69873008"/>
    <w:rsid w:val="69961435"/>
    <w:rsid w:val="699F478D"/>
    <w:rsid w:val="69A55B1C"/>
    <w:rsid w:val="69B33D95"/>
    <w:rsid w:val="69F875E7"/>
    <w:rsid w:val="69FD3262"/>
    <w:rsid w:val="6A047FD5"/>
    <w:rsid w:val="6A152CA1"/>
    <w:rsid w:val="6A170D32"/>
    <w:rsid w:val="6A6652AB"/>
    <w:rsid w:val="6A681023"/>
    <w:rsid w:val="6A70612A"/>
    <w:rsid w:val="6A8219B9"/>
    <w:rsid w:val="6A8676FB"/>
    <w:rsid w:val="6A8B4D12"/>
    <w:rsid w:val="6AA3205B"/>
    <w:rsid w:val="6AC344AB"/>
    <w:rsid w:val="6AC83870"/>
    <w:rsid w:val="6ADE3093"/>
    <w:rsid w:val="6AFC176B"/>
    <w:rsid w:val="6B574BF4"/>
    <w:rsid w:val="6B7457A6"/>
    <w:rsid w:val="6BAE515B"/>
    <w:rsid w:val="6BB40298"/>
    <w:rsid w:val="6BCA3618"/>
    <w:rsid w:val="6BDF5315"/>
    <w:rsid w:val="6BDF70C3"/>
    <w:rsid w:val="6C031950"/>
    <w:rsid w:val="6C0F54CE"/>
    <w:rsid w:val="6C450EF0"/>
    <w:rsid w:val="6C506213"/>
    <w:rsid w:val="6C7C2B64"/>
    <w:rsid w:val="6C8E0AE9"/>
    <w:rsid w:val="6C983716"/>
    <w:rsid w:val="6CB06CB1"/>
    <w:rsid w:val="6CDE737B"/>
    <w:rsid w:val="6CF7668E"/>
    <w:rsid w:val="6D4F2026"/>
    <w:rsid w:val="6D8C327A"/>
    <w:rsid w:val="6D943EDD"/>
    <w:rsid w:val="6D9739CD"/>
    <w:rsid w:val="6D9A3E00"/>
    <w:rsid w:val="6DC06885"/>
    <w:rsid w:val="6DC1453F"/>
    <w:rsid w:val="6DC347C2"/>
    <w:rsid w:val="6DD4077E"/>
    <w:rsid w:val="6DE46AE6"/>
    <w:rsid w:val="6E001573"/>
    <w:rsid w:val="6E0B0643"/>
    <w:rsid w:val="6E1E6EDE"/>
    <w:rsid w:val="6E2C2368"/>
    <w:rsid w:val="6E313E22"/>
    <w:rsid w:val="6E3F14AB"/>
    <w:rsid w:val="6E5024FA"/>
    <w:rsid w:val="6E602011"/>
    <w:rsid w:val="6E6B7334"/>
    <w:rsid w:val="6E9028F6"/>
    <w:rsid w:val="6E930639"/>
    <w:rsid w:val="6EC30F1E"/>
    <w:rsid w:val="6ECD58F9"/>
    <w:rsid w:val="6F0F4163"/>
    <w:rsid w:val="6F240C8D"/>
    <w:rsid w:val="6F547DC8"/>
    <w:rsid w:val="6F6F4977"/>
    <w:rsid w:val="6F7B5355"/>
    <w:rsid w:val="6F7E6BF3"/>
    <w:rsid w:val="6F8A1A3C"/>
    <w:rsid w:val="6FD748A4"/>
    <w:rsid w:val="6FE3114C"/>
    <w:rsid w:val="700417EE"/>
    <w:rsid w:val="700C2451"/>
    <w:rsid w:val="700D5040"/>
    <w:rsid w:val="70187047"/>
    <w:rsid w:val="703D260A"/>
    <w:rsid w:val="70457711"/>
    <w:rsid w:val="705F6A24"/>
    <w:rsid w:val="70893AA1"/>
    <w:rsid w:val="70BC3E77"/>
    <w:rsid w:val="70CB40BA"/>
    <w:rsid w:val="70F42B31"/>
    <w:rsid w:val="71096990"/>
    <w:rsid w:val="713F23B2"/>
    <w:rsid w:val="718030F6"/>
    <w:rsid w:val="71924BD7"/>
    <w:rsid w:val="71995F66"/>
    <w:rsid w:val="7218332F"/>
    <w:rsid w:val="72251164"/>
    <w:rsid w:val="7253345D"/>
    <w:rsid w:val="72B15531"/>
    <w:rsid w:val="72B73CE2"/>
    <w:rsid w:val="72BD5C84"/>
    <w:rsid w:val="72D134DE"/>
    <w:rsid w:val="72D51220"/>
    <w:rsid w:val="72DB610A"/>
    <w:rsid w:val="72EF7CA5"/>
    <w:rsid w:val="730E64E0"/>
    <w:rsid w:val="73165394"/>
    <w:rsid w:val="732950C8"/>
    <w:rsid w:val="736305DA"/>
    <w:rsid w:val="73697BBA"/>
    <w:rsid w:val="73942E89"/>
    <w:rsid w:val="73B2330F"/>
    <w:rsid w:val="747E6034"/>
    <w:rsid w:val="74806BAC"/>
    <w:rsid w:val="74827185"/>
    <w:rsid w:val="749D7B1B"/>
    <w:rsid w:val="74A0585D"/>
    <w:rsid w:val="74C4779E"/>
    <w:rsid w:val="74CB28DA"/>
    <w:rsid w:val="750758DC"/>
    <w:rsid w:val="75666C8B"/>
    <w:rsid w:val="756F711B"/>
    <w:rsid w:val="757A60AE"/>
    <w:rsid w:val="758D193E"/>
    <w:rsid w:val="75B47E1E"/>
    <w:rsid w:val="75D25EEA"/>
    <w:rsid w:val="75D70183"/>
    <w:rsid w:val="75D94B83"/>
    <w:rsid w:val="75F61BD9"/>
    <w:rsid w:val="75FC2F67"/>
    <w:rsid w:val="762D3121"/>
    <w:rsid w:val="765E777E"/>
    <w:rsid w:val="76636B42"/>
    <w:rsid w:val="766E5C13"/>
    <w:rsid w:val="768B3A90"/>
    <w:rsid w:val="76D637B8"/>
    <w:rsid w:val="770B16B4"/>
    <w:rsid w:val="774B1AB0"/>
    <w:rsid w:val="776E1C43"/>
    <w:rsid w:val="77A94A29"/>
    <w:rsid w:val="77B07B65"/>
    <w:rsid w:val="77CF26E1"/>
    <w:rsid w:val="77EB2296"/>
    <w:rsid w:val="78333C51"/>
    <w:rsid w:val="7854532C"/>
    <w:rsid w:val="78632E2A"/>
    <w:rsid w:val="7866291A"/>
    <w:rsid w:val="786D3CA8"/>
    <w:rsid w:val="78967CE1"/>
    <w:rsid w:val="78A26C2D"/>
    <w:rsid w:val="78AE679B"/>
    <w:rsid w:val="78F63C9E"/>
    <w:rsid w:val="790A599B"/>
    <w:rsid w:val="794C7D62"/>
    <w:rsid w:val="79517126"/>
    <w:rsid w:val="79CB0C87"/>
    <w:rsid w:val="79F857F4"/>
    <w:rsid w:val="7A236D15"/>
    <w:rsid w:val="7A254CCB"/>
    <w:rsid w:val="7A2C7A47"/>
    <w:rsid w:val="7A41363F"/>
    <w:rsid w:val="7A431165"/>
    <w:rsid w:val="7A6B4218"/>
    <w:rsid w:val="7A765096"/>
    <w:rsid w:val="7A804F72"/>
    <w:rsid w:val="7A835A05"/>
    <w:rsid w:val="7A8A6D94"/>
    <w:rsid w:val="7A992B33"/>
    <w:rsid w:val="7AD93877"/>
    <w:rsid w:val="7B05641A"/>
    <w:rsid w:val="7B09527D"/>
    <w:rsid w:val="7B10357C"/>
    <w:rsid w:val="7B110F3C"/>
    <w:rsid w:val="7B136D89"/>
    <w:rsid w:val="7B2A40D3"/>
    <w:rsid w:val="7B2C74BB"/>
    <w:rsid w:val="7B537186"/>
    <w:rsid w:val="7BB37F1C"/>
    <w:rsid w:val="7BC462D5"/>
    <w:rsid w:val="7BCC6F38"/>
    <w:rsid w:val="7BD535E3"/>
    <w:rsid w:val="7BE20509"/>
    <w:rsid w:val="7C277F07"/>
    <w:rsid w:val="7C4A4A2C"/>
    <w:rsid w:val="7C5C30C4"/>
    <w:rsid w:val="7C6158D2"/>
    <w:rsid w:val="7C653614"/>
    <w:rsid w:val="7C790E68"/>
    <w:rsid w:val="7C9133F8"/>
    <w:rsid w:val="7C9E2682"/>
    <w:rsid w:val="7CD04806"/>
    <w:rsid w:val="7CD2057E"/>
    <w:rsid w:val="7CE56503"/>
    <w:rsid w:val="7CFB5D27"/>
    <w:rsid w:val="7CFE096E"/>
    <w:rsid w:val="7D133070"/>
    <w:rsid w:val="7D3B25C7"/>
    <w:rsid w:val="7D4A280A"/>
    <w:rsid w:val="7D69301A"/>
    <w:rsid w:val="7DB36601"/>
    <w:rsid w:val="7DBF4FA6"/>
    <w:rsid w:val="7E132BFC"/>
    <w:rsid w:val="7E2369FE"/>
    <w:rsid w:val="7E370FE0"/>
    <w:rsid w:val="7E9A331D"/>
    <w:rsid w:val="7EA321D2"/>
    <w:rsid w:val="7EAB1087"/>
    <w:rsid w:val="7ECD36F3"/>
    <w:rsid w:val="7EEB60DD"/>
    <w:rsid w:val="7EEC7F8C"/>
    <w:rsid w:val="7EED78F1"/>
    <w:rsid w:val="7EEF3669"/>
    <w:rsid w:val="7EFB200E"/>
    <w:rsid w:val="7F1B620C"/>
    <w:rsid w:val="7F211349"/>
    <w:rsid w:val="7F47412F"/>
    <w:rsid w:val="7F4E65E2"/>
    <w:rsid w:val="7F5045C0"/>
    <w:rsid w:val="7F587460"/>
    <w:rsid w:val="7F5D6825"/>
    <w:rsid w:val="7F5E259D"/>
    <w:rsid w:val="7F652226"/>
    <w:rsid w:val="7F6776A3"/>
    <w:rsid w:val="7F8E739D"/>
    <w:rsid w:val="7FA77AA0"/>
    <w:rsid w:val="7FA94392"/>
    <w:rsid w:val="7FB56661"/>
    <w:rsid w:val="7FB83B12"/>
    <w:rsid w:val="7FBB179D"/>
    <w:rsid w:val="7FBB22C9"/>
    <w:rsid w:val="7FC32F50"/>
    <w:rsid w:val="7FCB7D39"/>
    <w:rsid w:val="7FD74D08"/>
    <w:rsid w:val="7FF802FC"/>
    <w:rsid w:val="7FFF168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0" w:name="Normal Indent"/>
    <w:lsdException w:qFormat="1" w:unhideWhenUsed="0" w:uiPriority="0" w:name="footnote text"/>
    <w:lsdException w:qFormat="1"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name="footnote reference"/>
    <w:lsdException w:qFormat="1"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qFormat="1" w:uiPriority="99"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qFormat="1" w:uiPriority="0" w:semiHidden="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iPriority="0" w:name="Salutation"/>
    <w:lsdException w:qFormat="1" w:uiPriority="99" w:semiHidden="0" w:name="Date"/>
    <w:lsdException w:qFormat="1"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unhideWhenUsed="0" w:uiPriority="0" w:semiHidden="0" w:name="Emphasis"/>
    <w:lsdException w:qFormat="1" w:unhideWhenUsed="0" w:uiPriority="99" w:semiHidden="0" w:name="Document Map"/>
    <w:lsdException w:qFormat="1" w:unhideWhenUsed="0" w:uiPriority="0" w:semiHidden="0" w:name="Plain Text"/>
    <w:lsdException w:uiPriority="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57" w:lineRule="atLeast"/>
      <w:jc w:val="both"/>
      <w:textAlignment w:val="baseline"/>
    </w:pPr>
    <w:rPr>
      <w:rFonts w:ascii="Times New Roman" w:hAnsi="Times New Roman" w:eastAsia="宋体" w:cs="Times New Roman"/>
      <w:color w:val="000000"/>
      <w:sz w:val="21"/>
      <w:u w:color="000000"/>
      <w:lang w:val="en-US" w:eastAsia="zh-CN" w:bidi="ar-SA"/>
    </w:rPr>
  </w:style>
  <w:style w:type="paragraph" w:styleId="3">
    <w:name w:val="heading 1"/>
    <w:basedOn w:val="1"/>
    <w:next w:val="1"/>
    <w:link w:val="53"/>
    <w:qFormat/>
    <w:uiPriority w:val="0"/>
    <w:pPr>
      <w:keepNext/>
      <w:keepLines/>
      <w:widowControl w:val="0"/>
      <w:spacing w:before="312" w:beforeLines="100" w:after="312" w:afterLines="100" w:line="240" w:lineRule="auto"/>
      <w:textAlignment w:val="auto"/>
      <w:outlineLvl w:val="0"/>
    </w:pPr>
    <w:rPr>
      <w:rFonts w:ascii="黑体" w:hAnsi="黑体" w:eastAsia="黑体"/>
      <w:bCs/>
      <w:color w:val="auto"/>
      <w:kern w:val="44"/>
      <w:szCs w:val="44"/>
      <w:lang w:val="zh-CN"/>
    </w:rPr>
  </w:style>
  <w:style w:type="paragraph" w:styleId="4">
    <w:name w:val="heading 2"/>
    <w:basedOn w:val="1"/>
    <w:next w:val="1"/>
    <w:link w:val="151"/>
    <w:qFormat/>
    <w:uiPriority w:val="0"/>
    <w:pPr>
      <w:keepNext/>
      <w:keepLines/>
      <w:widowControl w:val="0"/>
      <w:spacing w:before="156" w:beforeLines="50" w:after="156" w:afterLines="50" w:line="240" w:lineRule="auto"/>
      <w:textAlignment w:val="auto"/>
      <w:outlineLvl w:val="1"/>
    </w:pPr>
    <w:rPr>
      <w:rFonts w:ascii="黑体" w:hAnsi="黑体" w:eastAsia="黑体"/>
      <w:bCs/>
      <w:color w:val="auto"/>
      <w:kern w:val="2"/>
      <w:szCs w:val="32"/>
      <w:lang w:val="zh-CN"/>
    </w:rPr>
  </w:style>
  <w:style w:type="paragraph" w:styleId="5">
    <w:name w:val="heading 3"/>
    <w:basedOn w:val="1"/>
    <w:next w:val="1"/>
    <w:link w:val="152"/>
    <w:qFormat/>
    <w:uiPriority w:val="0"/>
    <w:pPr>
      <w:keepNext/>
      <w:keepLines/>
      <w:widowControl w:val="0"/>
      <w:spacing w:before="156" w:beforeLines="50" w:after="156" w:afterLines="50" w:line="240" w:lineRule="auto"/>
      <w:jc w:val="center"/>
      <w:textAlignment w:val="auto"/>
      <w:outlineLvl w:val="2"/>
    </w:pPr>
    <w:rPr>
      <w:rFonts w:ascii="黑体" w:hAnsi="黑体" w:eastAsia="黑体"/>
      <w:bCs/>
      <w:color w:val="auto"/>
      <w:kern w:val="2"/>
      <w:szCs w:val="32"/>
      <w:lang w:val="zh-CN"/>
    </w:rPr>
  </w:style>
  <w:style w:type="paragraph" w:styleId="6">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qFormat/>
    <w:uiPriority w:val="0"/>
    <w:pPr>
      <w:keepNext/>
      <w:keepLines/>
      <w:spacing w:before="280" w:after="290" w:line="376" w:lineRule="auto"/>
      <w:outlineLvl w:val="4"/>
    </w:pPr>
    <w:rPr>
      <w:b/>
      <w:bCs/>
      <w:sz w:val="28"/>
      <w:szCs w:val="28"/>
    </w:rPr>
  </w:style>
  <w:style w:type="paragraph" w:styleId="8">
    <w:name w:val="heading 6"/>
    <w:basedOn w:val="1"/>
    <w:next w:val="1"/>
    <w:qFormat/>
    <w:uiPriority w:val="0"/>
    <w:pPr>
      <w:keepNext/>
      <w:keepLines/>
      <w:spacing w:before="240" w:after="64" w:line="320" w:lineRule="auto"/>
      <w:outlineLvl w:val="5"/>
    </w:pPr>
    <w:rPr>
      <w:rFonts w:ascii="Arial" w:hAnsi="Arial" w:eastAsia="黑体"/>
      <w:b/>
      <w:bCs/>
      <w:sz w:val="24"/>
    </w:rPr>
  </w:style>
  <w:style w:type="paragraph" w:styleId="9">
    <w:name w:val="heading 7"/>
    <w:basedOn w:val="1"/>
    <w:next w:val="1"/>
    <w:qFormat/>
    <w:uiPriority w:val="0"/>
    <w:pPr>
      <w:keepNext/>
      <w:keepLines/>
      <w:spacing w:before="240" w:after="64" w:line="320" w:lineRule="auto"/>
      <w:outlineLvl w:val="6"/>
    </w:pPr>
    <w:rPr>
      <w:b/>
      <w:bCs/>
      <w:sz w:val="24"/>
    </w:rPr>
  </w:style>
  <w:style w:type="paragraph" w:styleId="10">
    <w:name w:val="heading 8"/>
    <w:basedOn w:val="1"/>
    <w:next w:val="1"/>
    <w:qFormat/>
    <w:uiPriority w:val="0"/>
    <w:pPr>
      <w:keepNext/>
      <w:keepLines/>
      <w:spacing w:before="240" w:after="64" w:line="320" w:lineRule="auto"/>
      <w:outlineLvl w:val="7"/>
    </w:pPr>
    <w:rPr>
      <w:rFonts w:ascii="Arial" w:hAnsi="Arial" w:eastAsia="黑体"/>
      <w:sz w:val="24"/>
    </w:rPr>
  </w:style>
  <w:style w:type="paragraph" w:styleId="11">
    <w:name w:val="heading 9"/>
    <w:basedOn w:val="1"/>
    <w:next w:val="1"/>
    <w:qFormat/>
    <w:uiPriority w:val="0"/>
    <w:pPr>
      <w:keepNext/>
      <w:keepLines/>
      <w:spacing w:before="240" w:after="64" w:line="320" w:lineRule="auto"/>
      <w:outlineLvl w:val="8"/>
    </w:pPr>
    <w:rPr>
      <w:rFonts w:ascii="Arial" w:hAnsi="Arial" w:eastAsia="黑体"/>
      <w:szCs w:val="21"/>
    </w:rPr>
  </w:style>
  <w:style w:type="character" w:default="1" w:styleId="38">
    <w:name w:val="Default Paragraph Font"/>
    <w:semiHidden/>
    <w:unhideWhenUsed/>
    <w:uiPriority w:val="1"/>
  </w:style>
  <w:style w:type="table" w:default="1" w:styleId="36">
    <w:name w:val="Normal Table"/>
    <w:semiHidden/>
    <w:unhideWhenUsed/>
    <w:uiPriority w:val="99"/>
    <w:tblPr>
      <w:tblCellMar>
        <w:top w:w="0" w:type="dxa"/>
        <w:left w:w="108" w:type="dxa"/>
        <w:bottom w:w="0" w:type="dxa"/>
        <w:right w:w="108" w:type="dxa"/>
      </w:tblCellMar>
    </w:tblPr>
  </w:style>
  <w:style w:type="paragraph" w:styleId="2">
    <w:name w:val="macro"/>
    <w:link w:val="61"/>
    <w:unhideWhenUsed/>
    <w:qFormat/>
    <w:uiPriority w:val="99"/>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toc 7"/>
    <w:basedOn w:val="13"/>
    <w:qFormat/>
    <w:uiPriority w:val="39"/>
    <w:pPr>
      <w:ind w:left="1260"/>
    </w:pPr>
  </w:style>
  <w:style w:type="paragraph" w:styleId="13">
    <w:name w:val="toc 6"/>
    <w:basedOn w:val="14"/>
    <w:qFormat/>
    <w:uiPriority w:val="39"/>
    <w:pPr>
      <w:ind w:left="1050"/>
    </w:pPr>
  </w:style>
  <w:style w:type="paragraph" w:styleId="14">
    <w:name w:val="toc 5"/>
    <w:basedOn w:val="15"/>
    <w:qFormat/>
    <w:uiPriority w:val="39"/>
    <w:pPr>
      <w:ind w:left="840"/>
    </w:pPr>
  </w:style>
  <w:style w:type="paragraph" w:styleId="15">
    <w:name w:val="toc 4"/>
    <w:basedOn w:val="16"/>
    <w:qFormat/>
    <w:uiPriority w:val="39"/>
    <w:pPr>
      <w:ind w:left="630"/>
    </w:pPr>
    <w:rPr>
      <w:i w:val="0"/>
      <w:iCs w:val="0"/>
      <w:sz w:val="18"/>
      <w:szCs w:val="18"/>
    </w:rPr>
  </w:style>
  <w:style w:type="paragraph" w:styleId="16">
    <w:name w:val="toc 3"/>
    <w:basedOn w:val="17"/>
    <w:qFormat/>
    <w:uiPriority w:val="39"/>
    <w:pPr>
      <w:ind w:left="420"/>
    </w:pPr>
    <w:rPr>
      <w:i/>
      <w:iCs/>
      <w:smallCaps w:val="0"/>
    </w:rPr>
  </w:style>
  <w:style w:type="paragraph" w:styleId="17">
    <w:name w:val="toc 2"/>
    <w:basedOn w:val="18"/>
    <w:qFormat/>
    <w:uiPriority w:val="39"/>
    <w:pPr>
      <w:spacing w:before="0" w:after="0"/>
      <w:ind w:left="210"/>
    </w:pPr>
    <w:rPr>
      <w:b w:val="0"/>
      <w:bCs w:val="0"/>
      <w:caps w:val="0"/>
      <w:smallCaps/>
    </w:rPr>
  </w:style>
  <w:style w:type="paragraph" w:styleId="18">
    <w:name w:val="toc 1"/>
    <w:qFormat/>
    <w:uiPriority w:val="39"/>
    <w:pPr>
      <w:spacing w:before="120" w:after="120" w:line="357" w:lineRule="atLeast"/>
      <w:textAlignment w:val="baseline"/>
    </w:pPr>
    <w:rPr>
      <w:rFonts w:eastAsia="宋体" w:cs="Times New Roman" w:asciiTheme="minorHAnsi" w:hAnsiTheme="minorHAnsi"/>
      <w:b/>
      <w:bCs/>
      <w:caps/>
      <w:color w:val="000000"/>
      <w:u w:color="000000"/>
      <w:lang w:val="en-US" w:eastAsia="zh-CN" w:bidi="ar-SA"/>
    </w:rPr>
  </w:style>
  <w:style w:type="paragraph" w:styleId="19">
    <w:name w:val="Document Map"/>
    <w:basedOn w:val="1"/>
    <w:link w:val="58"/>
    <w:qFormat/>
    <w:uiPriority w:val="99"/>
    <w:rPr>
      <w:rFonts w:ascii="宋体"/>
      <w:sz w:val="18"/>
      <w:szCs w:val="18"/>
    </w:rPr>
  </w:style>
  <w:style w:type="paragraph" w:styleId="20">
    <w:name w:val="annotation text"/>
    <w:basedOn w:val="1"/>
    <w:link w:val="52"/>
    <w:unhideWhenUsed/>
    <w:qFormat/>
    <w:uiPriority w:val="0"/>
    <w:pPr>
      <w:widowControl w:val="0"/>
      <w:spacing w:line="240" w:lineRule="auto"/>
      <w:jc w:val="left"/>
      <w:textAlignment w:val="auto"/>
    </w:pPr>
    <w:rPr>
      <w:rFonts w:ascii="Calibri" w:hAnsi="Calibri"/>
      <w:color w:val="auto"/>
      <w:kern w:val="2"/>
      <w:szCs w:val="22"/>
    </w:rPr>
  </w:style>
  <w:style w:type="paragraph" w:styleId="21">
    <w:name w:val="Body Text"/>
    <w:basedOn w:val="1"/>
    <w:link w:val="72"/>
    <w:unhideWhenUsed/>
    <w:qFormat/>
    <w:uiPriority w:val="0"/>
    <w:pPr>
      <w:widowControl w:val="0"/>
      <w:spacing w:after="120" w:line="240" w:lineRule="auto"/>
      <w:textAlignment w:val="auto"/>
    </w:pPr>
    <w:rPr>
      <w:rFonts w:ascii="Calibri" w:hAnsi="Calibri"/>
      <w:color w:val="auto"/>
      <w:kern w:val="2"/>
      <w:szCs w:val="22"/>
    </w:rPr>
  </w:style>
  <w:style w:type="paragraph" w:styleId="22">
    <w:name w:val="HTML Address"/>
    <w:basedOn w:val="1"/>
    <w:qFormat/>
    <w:uiPriority w:val="0"/>
    <w:rPr>
      <w:i/>
      <w:iCs/>
    </w:rPr>
  </w:style>
  <w:style w:type="paragraph" w:styleId="23">
    <w:name w:val="Plain Text"/>
    <w:basedOn w:val="1"/>
    <w:link w:val="70"/>
    <w:qFormat/>
    <w:uiPriority w:val="0"/>
    <w:pPr>
      <w:widowControl w:val="0"/>
      <w:spacing w:line="240" w:lineRule="auto"/>
      <w:textAlignment w:val="auto"/>
    </w:pPr>
    <w:rPr>
      <w:rFonts w:ascii="宋体" w:hAnsi="Courier New"/>
      <w:color w:val="auto"/>
      <w:kern w:val="2"/>
      <w:szCs w:val="21"/>
    </w:rPr>
  </w:style>
  <w:style w:type="paragraph" w:styleId="24">
    <w:name w:val="toc 8"/>
    <w:basedOn w:val="12"/>
    <w:qFormat/>
    <w:uiPriority w:val="39"/>
    <w:pPr>
      <w:ind w:left="1470"/>
    </w:pPr>
  </w:style>
  <w:style w:type="paragraph" w:styleId="25">
    <w:name w:val="Date"/>
    <w:basedOn w:val="1"/>
    <w:next w:val="1"/>
    <w:link w:val="73"/>
    <w:unhideWhenUsed/>
    <w:qFormat/>
    <w:uiPriority w:val="99"/>
    <w:pPr>
      <w:widowControl w:val="0"/>
      <w:spacing w:line="240" w:lineRule="auto"/>
      <w:ind w:left="100" w:leftChars="2500"/>
      <w:textAlignment w:val="auto"/>
    </w:pPr>
    <w:rPr>
      <w:rFonts w:ascii="Calibri" w:hAnsi="Calibri"/>
      <w:color w:val="auto"/>
      <w:kern w:val="2"/>
      <w:szCs w:val="22"/>
    </w:rPr>
  </w:style>
  <w:style w:type="paragraph" w:styleId="26">
    <w:name w:val="Balloon Text"/>
    <w:basedOn w:val="1"/>
    <w:link w:val="74"/>
    <w:unhideWhenUsed/>
    <w:qFormat/>
    <w:uiPriority w:val="99"/>
    <w:pPr>
      <w:widowControl w:val="0"/>
      <w:spacing w:line="240" w:lineRule="auto"/>
      <w:textAlignment w:val="auto"/>
    </w:pPr>
    <w:rPr>
      <w:rFonts w:ascii="Calibri" w:hAnsi="Calibri"/>
      <w:color w:val="auto"/>
      <w:kern w:val="2"/>
      <w:sz w:val="18"/>
      <w:szCs w:val="18"/>
    </w:rPr>
  </w:style>
  <w:style w:type="paragraph" w:styleId="27">
    <w:name w:val="footer"/>
    <w:basedOn w:val="1"/>
    <w:link w:val="71"/>
    <w:qFormat/>
    <w:uiPriority w:val="0"/>
    <w:pPr>
      <w:tabs>
        <w:tab w:val="center" w:pos="4153"/>
        <w:tab w:val="right" w:pos="8306"/>
      </w:tabs>
      <w:snapToGrid w:val="0"/>
      <w:ind w:right="210" w:rightChars="100"/>
      <w:jc w:val="right"/>
    </w:pPr>
    <w:rPr>
      <w:sz w:val="18"/>
      <w:szCs w:val="18"/>
    </w:rPr>
  </w:style>
  <w:style w:type="paragraph" w:styleId="28">
    <w:name w:val="header"/>
    <w:basedOn w:val="1"/>
    <w:link w:val="67"/>
    <w:qFormat/>
    <w:uiPriority w:val="0"/>
    <w:pPr>
      <w:shd w:val="clear" w:color="auto" w:fill="FFFFFF"/>
      <w:tabs>
        <w:tab w:val="center" w:pos="4153"/>
        <w:tab w:val="right" w:pos="8306"/>
      </w:tabs>
      <w:snapToGrid w:val="0"/>
      <w:jc w:val="center"/>
    </w:pPr>
    <w:rPr>
      <w:sz w:val="18"/>
      <w:szCs w:val="18"/>
    </w:rPr>
  </w:style>
  <w:style w:type="paragraph" w:styleId="29">
    <w:name w:val="footnote text"/>
    <w:basedOn w:val="1"/>
    <w:semiHidden/>
    <w:qFormat/>
    <w:uiPriority w:val="0"/>
    <w:pPr>
      <w:snapToGrid w:val="0"/>
      <w:jc w:val="left"/>
    </w:pPr>
    <w:rPr>
      <w:sz w:val="18"/>
      <w:szCs w:val="18"/>
    </w:rPr>
  </w:style>
  <w:style w:type="paragraph" w:styleId="30">
    <w:name w:val="toc 9"/>
    <w:basedOn w:val="24"/>
    <w:qFormat/>
    <w:uiPriority w:val="39"/>
    <w:pPr>
      <w:ind w:left="1680"/>
    </w:pPr>
  </w:style>
  <w:style w:type="paragraph" w:styleId="31">
    <w:name w:val="HTML Preformatted"/>
    <w:basedOn w:val="1"/>
    <w:qFormat/>
    <w:uiPriority w:val="0"/>
    <w:rPr>
      <w:rFonts w:ascii="Courier New" w:hAnsi="Courier New" w:cs="Courier New"/>
      <w:sz w:val="20"/>
    </w:rPr>
  </w:style>
  <w:style w:type="paragraph" w:styleId="32">
    <w:name w:val="Normal (Web)"/>
    <w:basedOn w:val="1"/>
    <w:qFormat/>
    <w:uiPriority w:val="0"/>
    <w:pPr>
      <w:spacing w:before="100" w:beforeAutospacing="1" w:after="100" w:afterAutospacing="1" w:line="240" w:lineRule="auto"/>
      <w:jc w:val="left"/>
      <w:textAlignment w:val="auto"/>
    </w:pPr>
    <w:rPr>
      <w:rFonts w:hint="eastAsia" w:ascii="宋体" w:hAnsi="宋体"/>
      <w:color w:val="auto"/>
      <w:sz w:val="24"/>
      <w:szCs w:val="24"/>
    </w:rPr>
  </w:style>
  <w:style w:type="paragraph" w:styleId="33">
    <w:name w:val="Title"/>
    <w:basedOn w:val="1"/>
    <w:link w:val="164"/>
    <w:qFormat/>
    <w:uiPriority w:val="10"/>
    <w:pPr>
      <w:spacing w:before="240" w:after="60"/>
      <w:jc w:val="center"/>
      <w:outlineLvl w:val="0"/>
    </w:pPr>
    <w:rPr>
      <w:rFonts w:ascii="Arial" w:hAnsi="Arial" w:cs="Arial"/>
      <w:b/>
      <w:bCs/>
      <w:sz w:val="32"/>
      <w:szCs w:val="32"/>
    </w:rPr>
  </w:style>
  <w:style w:type="paragraph" w:styleId="34">
    <w:name w:val="annotation subject"/>
    <w:basedOn w:val="20"/>
    <w:next w:val="20"/>
    <w:link w:val="54"/>
    <w:unhideWhenUsed/>
    <w:qFormat/>
    <w:uiPriority w:val="99"/>
    <w:rPr>
      <w:b/>
      <w:bCs/>
    </w:rPr>
  </w:style>
  <w:style w:type="paragraph" w:styleId="35">
    <w:name w:val="Body Text First Indent"/>
    <w:basedOn w:val="21"/>
    <w:link w:val="137"/>
    <w:qFormat/>
    <w:uiPriority w:val="0"/>
    <w:pPr>
      <w:widowControl/>
      <w:spacing w:line="357" w:lineRule="atLeast"/>
      <w:ind w:firstLine="420" w:firstLineChars="100"/>
      <w:textAlignment w:val="baseline"/>
    </w:pPr>
    <w:rPr>
      <w:color w:val="000000"/>
    </w:rPr>
  </w:style>
  <w:style w:type="table" w:styleId="37">
    <w:name w:val="Table Grid"/>
    <w:basedOn w:val="36"/>
    <w:qFormat/>
    <w:uiPriority w:val="0"/>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basedOn w:val="38"/>
    <w:qFormat/>
    <w:uiPriority w:val="0"/>
    <w:rPr>
      <w:b/>
    </w:rPr>
  </w:style>
  <w:style w:type="character" w:styleId="40">
    <w:name w:val="page number"/>
    <w:qFormat/>
    <w:uiPriority w:val="0"/>
    <w:rPr>
      <w:rFonts w:ascii="Times New Roman" w:hAnsi="Times New Roman" w:eastAsia="宋体"/>
      <w:sz w:val="18"/>
    </w:rPr>
  </w:style>
  <w:style w:type="character" w:styleId="41">
    <w:name w:val="HTML Definition"/>
    <w:qFormat/>
    <w:uiPriority w:val="0"/>
    <w:rPr>
      <w:i/>
      <w:iCs/>
    </w:rPr>
  </w:style>
  <w:style w:type="character" w:styleId="42">
    <w:name w:val="HTML Typewriter"/>
    <w:qFormat/>
    <w:uiPriority w:val="0"/>
    <w:rPr>
      <w:rFonts w:ascii="Courier New" w:hAnsi="Courier New"/>
      <w:sz w:val="20"/>
      <w:szCs w:val="20"/>
    </w:rPr>
  </w:style>
  <w:style w:type="character" w:styleId="43">
    <w:name w:val="HTML Acronym"/>
    <w:basedOn w:val="38"/>
    <w:qFormat/>
    <w:uiPriority w:val="0"/>
  </w:style>
  <w:style w:type="character" w:styleId="44">
    <w:name w:val="HTML Variable"/>
    <w:qFormat/>
    <w:uiPriority w:val="0"/>
    <w:rPr>
      <w:i/>
      <w:iCs/>
    </w:rPr>
  </w:style>
  <w:style w:type="character" w:styleId="45">
    <w:name w:val="Hyperlink"/>
    <w:qFormat/>
    <w:uiPriority w:val="0"/>
    <w:rPr>
      <w:rFonts w:ascii="Times New Roman" w:hAnsi="Times New Roman" w:eastAsia="宋体"/>
      <w:color w:val="auto"/>
      <w:spacing w:val="0"/>
      <w:w w:val="100"/>
      <w:position w:val="0"/>
      <w:sz w:val="21"/>
      <w:u w:val="none"/>
      <w:vertAlign w:val="baseline"/>
    </w:rPr>
  </w:style>
  <w:style w:type="character" w:styleId="46">
    <w:name w:val="HTML Code"/>
    <w:qFormat/>
    <w:uiPriority w:val="0"/>
    <w:rPr>
      <w:rFonts w:ascii="Courier New" w:hAnsi="Courier New"/>
      <w:sz w:val="20"/>
      <w:szCs w:val="20"/>
    </w:rPr>
  </w:style>
  <w:style w:type="character" w:styleId="47">
    <w:name w:val="annotation reference"/>
    <w:unhideWhenUsed/>
    <w:qFormat/>
    <w:uiPriority w:val="99"/>
    <w:rPr>
      <w:sz w:val="21"/>
      <w:szCs w:val="21"/>
    </w:rPr>
  </w:style>
  <w:style w:type="character" w:styleId="48">
    <w:name w:val="HTML Cite"/>
    <w:qFormat/>
    <w:uiPriority w:val="0"/>
    <w:rPr>
      <w:i/>
      <w:iCs/>
    </w:rPr>
  </w:style>
  <w:style w:type="character" w:styleId="49">
    <w:name w:val="footnote reference"/>
    <w:semiHidden/>
    <w:qFormat/>
    <w:uiPriority w:val="0"/>
    <w:rPr>
      <w:vertAlign w:val="superscript"/>
    </w:rPr>
  </w:style>
  <w:style w:type="character" w:styleId="50">
    <w:name w:val="HTML Keyboard"/>
    <w:qFormat/>
    <w:uiPriority w:val="0"/>
    <w:rPr>
      <w:rFonts w:ascii="Courier New" w:hAnsi="Courier New"/>
      <w:sz w:val="20"/>
      <w:szCs w:val="20"/>
    </w:rPr>
  </w:style>
  <w:style w:type="character" w:styleId="51">
    <w:name w:val="HTML Sample"/>
    <w:qFormat/>
    <w:uiPriority w:val="0"/>
    <w:rPr>
      <w:rFonts w:ascii="Courier New" w:hAnsi="Courier New"/>
    </w:rPr>
  </w:style>
  <w:style w:type="character" w:customStyle="1" w:styleId="52">
    <w:name w:val="批注文字 字符"/>
    <w:link w:val="20"/>
    <w:qFormat/>
    <w:uiPriority w:val="99"/>
    <w:rPr>
      <w:rFonts w:ascii="Calibri" w:hAnsi="Calibri" w:eastAsia="宋体" w:cs="Times New Roman"/>
      <w:kern w:val="2"/>
      <w:sz w:val="21"/>
      <w:szCs w:val="22"/>
    </w:rPr>
  </w:style>
  <w:style w:type="character" w:customStyle="1" w:styleId="53">
    <w:name w:val="标题 1 字符1"/>
    <w:link w:val="3"/>
    <w:qFormat/>
    <w:uiPriority w:val="0"/>
    <w:rPr>
      <w:rFonts w:ascii="黑体" w:hAnsi="黑体" w:eastAsia="黑体"/>
      <w:bCs/>
      <w:kern w:val="44"/>
      <w:sz w:val="21"/>
      <w:szCs w:val="44"/>
      <w:lang w:val="zh-CN" w:eastAsia="zh-CN"/>
    </w:rPr>
  </w:style>
  <w:style w:type="character" w:customStyle="1" w:styleId="54">
    <w:name w:val="批注主题 字符"/>
    <w:link w:val="34"/>
    <w:qFormat/>
    <w:uiPriority w:val="99"/>
    <w:rPr>
      <w:rFonts w:ascii="Calibri" w:hAnsi="Calibri" w:eastAsia="宋体" w:cs="Times New Roman"/>
      <w:b/>
      <w:bCs/>
      <w:kern w:val="2"/>
      <w:sz w:val="21"/>
      <w:szCs w:val="22"/>
    </w:rPr>
  </w:style>
  <w:style w:type="character" w:customStyle="1" w:styleId="55">
    <w:name w:val="表格lyq Char"/>
    <w:link w:val="56"/>
    <w:qFormat/>
    <w:uiPriority w:val="0"/>
    <w:rPr>
      <w:sz w:val="21"/>
    </w:rPr>
  </w:style>
  <w:style w:type="paragraph" w:customStyle="1" w:styleId="56">
    <w:name w:val="表格lyq"/>
    <w:basedOn w:val="1"/>
    <w:link w:val="55"/>
    <w:qFormat/>
    <w:uiPriority w:val="0"/>
    <w:pPr>
      <w:widowControl w:val="0"/>
      <w:adjustRightInd w:val="0"/>
      <w:spacing w:line="360" w:lineRule="exact"/>
      <w:jc w:val="center"/>
      <w:textAlignment w:val="center"/>
    </w:pPr>
    <w:rPr>
      <w:color w:val="auto"/>
    </w:rPr>
  </w:style>
  <w:style w:type="character" w:customStyle="1" w:styleId="57">
    <w:name w:val="个人答复风格"/>
    <w:qFormat/>
    <w:uiPriority w:val="0"/>
    <w:rPr>
      <w:rFonts w:ascii="Arial" w:hAnsi="Arial" w:eastAsia="宋体" w:cs="Arial"/>
      <w:color w:val="auto"/>
      <w:sz w:val="20"/>
    </w:rPr>
  </w:style>
  <w:style w:type="character" w:customStyle="1" w:styleId="58">
    <w:name w:val="文档结构图 字符"/>
    <w:link w:val="19"/>
    <w:qFormat/>
    <w:uiPriority w:val="99"/>
    <w:rPr>
      <w:rFonts w:ascii="宋体"/>
      <w:color w:val="000000"/>
      <w:sz w:val="18"/>
      <w:szCs w:val="18"/>
      <w:u w:color="000000"/>
    </w:rPr>
  </w:style>
  <w:style w:type="character" w:customStyle="1" w:styleId="59">
    <w:name w:val="发布"/>
    <w:qFormat/>
    <w:uiPriority w:val="0"/>
    <w:rPr>
      <w:rFonts w:ascii="黑体" w:eastAsia="黑体"/>
      <w:spacing w:val="22"/>
      <w:w w:val="100"/>
      <w:position w:val="3"/>
      <w:sz w:val="28"/>
    </w:rPr>
  </w:style>
  <w:style w:type="character" w:customStyle="1" w:styleId="60">
    <w:name w:val="个人撰写风格"/>
    <w:qFormat/>
    <w:uiPriority w:val="0"/>
    <w:rPr>
      <w:rFonts w:ascii="Arial" w:hAnsi="Arial" w:eastAsia="宋体" w:cs="Arial"/>
      <w:color w:val="auto"/>
      <w:sz w:val="20"/>
    </w:rPr>
  </w:style>
  <w:style w:type="character" w:customStyle="1" w:styleId="61">
    <w:name w:val="宏文本 字符"/>
    <w:link w:val="2"/>
    <w:qFormat/>
    <w:uiPriority w:val="99"/>
    <w:rPr>
      <w:rFonts w:ascii="Courier New" w:hAnsi="Courier New" w:cs="Courier New"/>
      <w:kern w:val="2"/>
      <w:sz w:val="24"/>
      <w:szCs w:val="24"/>
      <w:lang w:val="en-US" w:eastAsia="zh-CN" w:bidi="ar-SA"/>
    </w:rPr>
  </w:style>
  <w:style w:type="character" w:customStyle="1" w:styleId="62">
    <w:name w:val="表格文字 Char"/>
    <w:link w:val="63"/>
    <w:qFormat/>
    <w:uiPriority w:val="0"/>
    <w:rPr>
      <w:sz w:val="24"/>
    </w:rPr>
  </w:style>
  <w:style w:type="paragraph" w:customStyle="1" w:styleId="63">
    <w:name w:val="表格文字"/>
    <w:basedOn w:val="1"/>
    <w:link w:val="62"/>
    <w:qFormat/>
    <w:uiPriority w:val="0"/>
    <w:pPr>
      <w:widowControl w:val="0"/>
      <w:adjustRightInd w:val="0"/>
      <w:snapToGrid w:val="0"/>
      <w:spacing w:line="240" w:lineRule="auto"/>
      <w:ind w:left="-106" w:leftChars="-38" w:right="-92" w:rightChars="-33"/>
      <w:jc w:val="center"/>
      <w:textAlignment w:val="auto"/>
    </w:pPr>
    <w:rPr>
      <w:color w:val="auto"/>
      <w:sz w:val="24"/>
    </w:rPr>
  </w:style>
  <w:style w:type="character" w:customStyle="1" w:styleId="64">
    <w:name w:val="段 Char"/>
    <w:link w:val="65"/>
    <w:qFormat/>
    <w:uiPriority w:val="0"/>
    <w:rPr>
      <w:rFonts w:ascii="宋体"/>
      <w:sz w:val="21"/>
      <w:lang w:val="en-US" w:eastAsia="zh-CN" w:bidi="ar-SA"/>
    </w:rPr>
  </w:style>
  <w:style w:type="paragraph" w:customStyle="1" w:styleId="65">
    <w:name w:val="段"/>
    <w:link w:val="6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66">
    <w:name w:val="fontstyle01"/>
    <w:qFormat/>
    <w:uiPriority w:val="0"/>
    <w:rPr>
      <w:rFonts w:hint="eastAsia" w:ascii="黑体" w:hAnsi="黑体" w:eastAsia="黑体"/>
      <w:color w:val="000000"/>
      <w:sz w:val="22"/>
      <w:szCs w:val="22"/>
    </w:rPr>
  </w:style>
  <w:style w:type="character" w:customStyle="1" w:styleId="67">
    <w:name w:val="页眉 字符"/>
    <w:link w:val="28"/>
    <w:qFormat/>
    <w:uiPriority w:val="99"/>
    <w:rPr>
      <w:color w:val="000000"/>
      <w:sz w:val="18"/>
      <w:szCs w:val="18"/>
      <w:u w:color="000000"/>
      <w:shd w:val="clear" w:color="auto" w:fill="FFFFFF"/>
    </w:rPr>
  </w:style>
  <w:style w:type="character" w:customStyle="1" w:styleId="68">
    <w:name w:val="正文 Char"/>
    <w:link w:val="69"/>
    <w:qFormat/>
    <w:uiPriority w:val="0"/>
    <w:rPr>
      <w:rFonts w:ascii="Calibri" w:hAnsi="Calibri" w:eastAsia="宋体" w:cs="Times New Roman"/>
      <w:kern w:val="2"/>
      <w:sz w:val="24"/>
      <w:szCs w:val="32"/>
    </w:rPr>
  </w:style>
  <w:style w:type="paragraph" w:customStyle="1" w:styleId="69">
    <w:name w:val="正文1"/>
    <w:basedOn w:val="1"/>
    <w:link w:val="68"/>
    <w:qFormat/>
    <w:uiPriority w:val="0"/>
    <w:pPr>
      <w:widowControl w:val="0"/>
      <w:spacing w:line="360" w:lineRule="auto"/>
      <w:ind w:firstLine="200" w:firstLineChars="200"/>
      <w:textAlignment w:val="auto"/>
    </w:pPr>
    <w:rPr>
      <w:rFonts w:ascii="Calibri" w:hAnsi="Calibri"/>
      <w:color w:val="auto"/>
      <w:kern w:val="2"/>
      <w:sz w:val="24"/>
      <w:szCs w:val="32"/>
    </w:rPr>
  </w:style>
  <w:style w:type="character" w:customStyle="1" w:styleId="70">
    <w:name w:val="纯文本 字符"/>
    <w:link w:val="23"/>
    <w:qFormat/>
    <w:uiPriority w:val="0"/>
    <w:rPr>
      <w:rFonts w:ascii="宋体" w:hAnsi="Courier New"/>
      <w:kern w:val="2"/>
      <w:sz w:val="21"/>
      <w:szCs w:val="21"/>
    </w:rPr>
  </w:style>
  <w:style w:type="character" w:customStyle="1" w:styleId="71">
    <w:name w:val="页脚 字符"/>
    <w:link w:val="27"/>
    <w:qFormat/>
    <w:uiPriority w:val="99"/>
    <w:rPr>
      <w:color w:val="000000"/>
      <w:sz w:val="18"/>
      <w:szCs w:val="18"/>
      <w:u w:color="000000"/>
    </w:rPr>
  </w:style>
  <w:style w:type="character" w:customStyle="1" w:styleId="72">
    <w:name w:val="正文文本 字符"/>
    <w:link w:val="21"/>
    <w:qFormat/>
    <w:uiPriority w:val="99"/>
    <w:rPr>
      <w:rFonts w:ascii="Calibri" w:hAnsi="Calibri" w:eastAsia="宋体" w:cs="Times New Roman"/>
      <w:kern w:val="2"/>
      <w:sz w:val="21"/>
      <w:szCs w:val="22"/>
    </w:rPr>
  </w:style>
  <w:style w:type="character" w:customStyle="1" w:styleId="73">
    <w:name w:val="日期 字符"/>
    <w:link w:val="25"/>
    <w:qFormat/>
    <w:uiPriority w:val="99"/>
    <w:rPr>
      <w:rFonts w:ascii="Calibri" w:hAnsi="Calibri" w:eastAsia="宋体" w:cs="Times New Roman"/>
      <w:kern w:val="2"/>
      <w:sz w:val="21"/>
      <w:szCs w:val="22"/>
    </w:rPr>
  </w:style>
  <w:style w:type="character" w:customStyle="1" w:styleId="74">
    <w:name w:val="批注框文本 字符"/>
    <w:link w:val="26"/>
    <w:qFormat/>
    <w:uiPriority w:val="99"/>
    <w:rPr>
      <w:rFonts w:ascii="Calibri" w:hAnsi="Calibri" w:eastAsia="宋体" w:cs="Times New Roman"/>
      <w:kern w:val="2"/>
      <w:sz w:val="18"/>
      <w:szCs w:val="18"/>
    </w:rPr>
  </w:style>
  <w:style w:type="character" w:customStyle="1" w:styleId="75">
    <w:name w:val="表格标题lyq1 Char"/>
    <w:link w:val="76"/>
    <w:qFormat/>
    <w:uiPriority w:val="0"/>
    <w:rPr>
      <w:rFonts w:cs="宋体"/>
      <w:b/>
      <w:bCs/>
      <w:kern w:val="2"/>
      <w:sz w:val="24"/>
    </w:rPr>
  </w:style>
  <w:style w:type="paragraph" w:customStyle="1" w:styleId="76">
    <w:name w:val="表格标题lyq1"/>
    <w:basedOn w:val="1"/>
    <w:link w:val="75"/>
    <w:qFormat/>
    <w:uiPriority w:val="0"/>
    <w:pPr>
      <w:widowControl w:val="0"/>
      <w:spacing w:line="300" w:lineRule="auto"/>
      <w:jc w:val="center"/>
      <w:textAlignment w:val="auto"/>
    </w:pPr>
    <w:rPr>
      <w:b/>
      <w:bCs/>
      <w:color w:val="auto"/>
      <w:kern w:val="2"/>
      <w:sz w:val="24"/>
    </w:rPr>
  </w:style>
  <w:style w:type="paragraph" w:customStyle="1" w:styleId="77">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78">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79">
    <w:name w:val="发布部门"/>
    <w:next w:val="65"/>
    <w:qFormat/>
    <w:uiPriority w:val="0"/>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 w:type="paragraph" w:customStyle="1" w:styleId="80">
    <w:name w:val="图表脚注"/>
    <w:next w:val="65"/>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81">
    <w:name w:val="一级条标题"/>
    <w:next w:val="65"/>
    <w:link w:val="145"/>
    <w:qFormat/>
    <w:uiPriority w:val="0"/>
    <w:pPr>
      <w:numPr>
        <w:ilvl w:val="2"/>
        <w:numId w:val="1"/>
      </w:numPr>
      <w:outlineLvl w:val="2"/>
    </w:pPr>
    <w:rPr>
      <w:rFonts w:ascii="Times New Roman" w:hAnsi="Times New Roman" w:eastAsia="黑体" w:cs="Times New Roman"/>
      <w:sz w:val="21"/>
      <w:lang w:val="en-US" w:eastAsia="zh-CN" w:bidi="ar-SA"/>
    </w:rPr>
  </w:style>
  <w:style w:type="paragraph" w:customStyle="1" w:styleId="82">
    <w:name w:val="参考文献、索引标题"/>
    <w:basedOn w:val="83"/>
    <w:next w:val="1"/>
    <w:qFormat/>
    <w:uiPriority w:val="0"/>
    <w:pPr>
      <w:numPr>
        <w:numId w:val="0"/>
      </w:numPr>
      <w:spacing w:after="200"/>
    </w:pPr>
    <w:rPr>
      <w:sz w:val="21"/>
    </w:rPr>
  </w:style>
  <w:style w:type="paragraph" w:customStyle="1" w:styleId="83">
    <w:name w:val="前言、引言标题"/>
    <w:next w:val="1"/>
    <w:qFormat/>
    <w:uiPriority w:val="0"/>
    <w:pPr>
      <w:numPr>
        <w:ilvl w:val="0"/>
        <w:numId w:val="1"/>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84">
    <w:name w:val="封面正文"/>
    <w:qFormat/>
    <w:uiPriority w:val="0"/>
    <w:pPr>
      <w:jc w:val="both"/>
    </w:pPr>
    <w:rPr>
      <w:rFonts w:ascii="Times New Roman" w:hAnsi="Times New Roman" w:eastAsia="宋体" w:cs="Times New Roman"/>
      <w:lang w:val="en-US" w:eastAsia="zh-CN" w:bidi="ar-SA"/>
    </w:rPr>
  </w:style>
  <w:style w:type="paragraph" w:customStyle="1" w:styleId="85">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86">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87">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88">
    <w:name w:val="五级条标题"/>
    <w:basedOn w:val="89"/>
    <w:next w:val="65"/>
    <w:qFormat/>
    <w:uiPriority w:val="0"/>
    <w:pPr>
      <w:numPr>
        <w:ilvl w:val="6"/>
      </w:numPr>
      <w:outlineLvl w:val="6"/>
    </w:pPr>
  </w:style>
  <w:style w:type="paragraph" w:customStyle="1" w:styleId="89">
    <w:name w:val="四级条标题"/>
    <w:basedOn w:val="90"/>
    <w:next w:val="65"/>
    <w:qFormat/>
    <w:uiPriority w:val="0"/>
    <w:pPr>
      <w:numPr>
        <w:ilvl w:val="5"/>
      </w:numPr>
      <w:outlineLvl w:val="5"/>
    </w:pPr>
  </w:style>
  <w:style w:type="paragraph" w:customStyle="1" w:styleId="90">
    <w:name w:val="三级条标题"/>
    <w:basedOn w:val="91"/>
    <w:next w:val="65"/>
    <w:link w:val="148"/>
    <w:qFormat/>
    <w:uiPriority w:val="0"/>
    <w:pPr>
      <w:numPr>
        <w:ilvl w:val="4"/>
      </w:numPr>
      <w:outlineLvl w:val="4"/>
    </w:pPr>
  </w:style>
  <w:style w:type="paragraph" w:customStyle="1" w:styleId="91">
    <w:name w:val="二级条标题"/>
    <w:basedOn w:val="81"/>
    <w:next w:val="65"/>
    <w:link w:val="146"/>
    <w:qFormat/>
    <w:uiPriority w:val="0"/>
    <w:pPr>
      <w:numPr>
        <w:ilvl w:val="3"/>
      </w:numPr>
      <w:outlineLvl w:val="3"/>
    </w:pPr>
  </w:style>
  <w:style w:type="paragraph" w:customStyle="1" w:styleId="92">
    <w:name w:val="标准书眉一"/>
    <w:qFormat/>
    <w:uiPriority w:val="0"/>
    <w:pPr>
      <w:jc w:val="both"/>
    </w:pPr>
    <w:rPr>
      <w:rFonts w:ascii="Times New Roman" w:hAnsi="Times New Roman" w:eastAsia="宋体" w:cs="Times New Roman"/>
      <w:lang w:val="en-US" w:eastAsia="zh-CN" w:bidi="ar-SA"/>
    </w:rPr>
  </w:style>
  <w:style w:type="paragraph" w:customStyle="1" w:styleId="93">
    <w:name w:val="附录章标题"/>
    <w:next w:val="65"/>
    <w:qFormat/>
    <w:uiPriority w:val="0"/>
    <w:pPr>
      <w:numPr>
        <w:ilvl w:val="1"/>
        <w:numId w:val="2"/>
      </w:num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4">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95">
    <w:name w:val="数字编号列项（二级）"/>
    <w:qFormat/>
    <w:uiPriority w:val="0"/>
    <w:pPr>
      <w:ind w:left="1260" w:leftChars="400" w:hanging="420" w:hangingChars="200"/>
      <w:jc w:val="both"/>
    </w:pPr>
    <w:rPr>
      <w:rFonts w:ascii="宋体" w:hAnsi="Times New Roman" w:eastAsia="宋体" w:cs="Times New Roman"/>
      <w:sz w:val="21"/>
      <w:lang w:val="en-US" w:eastAsia="zh-CN" w:bidi="ar-SA"/>
    </w:rPr>
  </w:style>
  <w:style w:type="paragraph" w:customStyle="1" w:styleId="96">
    <w:name w:val="标准书眉_偶数页"/>
    <w:basedOn w:val="94"/>
    <w:next w:val="1"/>
    <w:qFormat/>
    <w:uiPriority w:val="0"/>
    <w:pPr>
      <w:jc w:val="left"/>
    </w:pPr>
  </w:style>
  <w:style w:type="paragraph" w:customStyle="1" w:styleId="97">
    <w:name w:val="章标题"/>
    <w:next w:val="65"/>
    <w:qFormat/>
    <w:uiPriority w:val="0"/>
    <w:pPr>
      <w:numPr>
        <w:ilvl w:val="1"/>
        <w:numId w:val="1"/>
      </w:numPr>
      <w:spacing w:beforeLines="50" w:afterLines="50"/>
      <w:jc w:val="both"/>
      <w:outlineLvl w:val="1"/>
    </w:pPr>
    <w:rPr>
      <w:rFonts w:ascii="黑体" w:hAnsi="Times New Roman" w:eastAsia="黑体" w:cs="Times New Roman"/>
      <w:sz w:val="21"/>
      <w:lang w:val="en-US" w:eastAsia="zh-CN" w:bidi="ar-SA"/>
    </w:rPr>
  </w:style>
  <w:style w:type="paragraph" w:customStyle="1" w:styleId="98">
    <w:name w:val="封面标准号2"/>
    <w:basedOn w:val="87"/>
    <w:qFormat/>
    <w:uiPriority w:val="0"/>
    <w:pPr>
      <w:framePr w:w="9138" w:h="1244" w:hRule="exact" w:wrap="around" w:vAnchor="page" w:hAnchor="margin" w:y="2908"/>
      <w:adjustRightInd w:val="0"/>
      <w:spacing w:before="357" w:line="280" w:lineRule="exact"/>
    </w:pPr>
  </w:style>
  <w:style w:type="paragraph" w:customStyle="1" w:styleId="99">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00">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01">
    <w:name w:val="封面标准代替信息"/>
    <w:basedOn w:val="98"/>
    <w:qFormat/>
    <w:uiPriority w:val="0"/>
    <w:pPr>
      <w:framePr w:wrap="around"/>
      <w:spacing w:before="57"/>
    </w:pPr>
    <w:rPr>
      <w:rFonts w:ascii="宋体"/>
      <w:sz w:val="21"/>
    </w:rPr>
  </w:style>
  <w:style w:type="paragraph" w:customStyle="1" w:styleId="102">
    <w:name w:val="示例"/>
    <w:next w:val="65"/>
    <w:qFormat/>
    <w:uiPriority w:val="0"/>
    <w:pPr>
      <w:numPr>
        <w:ilvl w:val="0"/>
        <w:numId w:val="3"/>
      </w:numPr>
      <w:tabs>
        <w:tab w:val="left" w:pos="816"/>
        <w:tab w:val="clear" w:pos="1120"/>
      </w:tabs>
      <w:ind w:firstLine="419" w:firstLineChars="233"/>
      <w:jc w:val="both"/>
    </w:pPr>
    <w:rPr>
      <w:rFonts w:ascii="宋体" w:hAnsi="Times New Roman" w:eastAsia="宋体" w:cs="Times New Roman"/>
      <w:sz w:val="18"/>
      <w:lang w:val="en-US" w:eastAsia="zh-CN" w:bidi="ar-SA"/>
    </w:rPr>
  </w:style>
  <w:style w:type="paragraph" w:customStyle="1" w:styleId="103">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04">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05">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06">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107">
    <w:name w:val="封面一致性程度标识"/>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108">
    <w:name w:val="字母编号列项（一级）"/>
    <w:qFormat/>
    <w:uiPriority w:val="0"/>
    <w:pPr>
      <w:ind w:left="840" w:leftChars="200" w:hanging="420" w:hangingChars="200"/>
      <w:jc w:val="both"/>
    </w:pPr>
    <w:rPr>
      <w:rFonts w:ascii="宋体" w:hAnsi="Times New Roman" w:eastAsia="宋体" w:cs="Times New Roman"/>
      <w:sz w:val="21"/>
      <w:lang w:val="en-US" w:eastAsia="zh-CN" w:bidi="ar-SA"/>
    </w:rPr>
  </w:style>
  <w:style w:type="paragraph" w:customStyle="1" w:styleId="109">
    <w:name w:val="附录标识"/>
    <w:basedOn w:val="83"/>
    <w:qFormat/>
    <w:uiPriority w:val="0"/>
    <w:pPr>
      <w:numPr>
        <w:ilvl w:val="0"/>
        <w:numId w:val="2"/>
      </w:numPr>
      <w:tabs>
        <w:tab w:val="left" w:pos="6405"/>
      </w:tabs>
      <w:spacing w:after="200"/>
    </w:pPr>
    <w:rPr>
      <w:sz w:val="21"/>
    </w:rPr>
  </w:style>
  <w:style w:type="paragraph" w:customStyle="1" w:styleId="110">
    <w:name w:val="附录表标题"/>
    <w:next w:val="65"/>
    <w:qFormat/>
    <w:uiPriority w:val="0"/>
    <w:pPr>
      <w:numPr>
        <w:ilvl w:val="0"/>
        <w:numId w:val="4"/>
      </w:numPr>
      <w:jc w:val="center"/>
      <w:textAlignment w:val="baseline"/>
    </w:pPr>
    <w:rPr>
      <w:rFonts w:ascii="黑体" w:hAnsi="Times New Roman" w:eastAsia="黑体" w:cs="Times New Roman"/>
      <w:kern w:val="21"/>
      <w:sz w:val="21"/>
      <w:lang w:val="en-US" w:eastAsia="zh-CN" w:bidi="ar-SA"/>
    </w:rPr>
  </w:style>
  <w:style w:type="paragraph" w:customStyle="1" w:styleId="111">
    <w:name w:val="附录一级条标题"/>
    <w:basedOn w:val="93"/>
    <w:next w:val="65"/>
    <w:qFormat/>
    <w:uiPriority w:val="0"/>
    <w:pPr>
      <w:numPr>
        <w:ilvl w:val="2"/>
      </w:numPr>
      <w:autoSpaceDN w:val="0"/>
      <w:spacing w:beforeLines="0" w:afterLines="0"/>
      <w:outlineLvl w:val="2"/>
    </w:pPr>
  </w:style>
  <w:style w:type="paragraph" w:customStyle="1" w:styleId="112">
    <w:name w:val="附录二级条标题"/>
    <w:basedOn w:val="111"/>
    <w:next w:val="65"/>
    <w:qFormat/>
    <w:uiPriority w:val="0"/>
    <w:pPr>
      <w:numPr>
        <w:ilvl w:val="3"/>
      </w:numPr>
      <w:outlineLvl w:val="3"/>
    </w:pPr>
  </w:style>
  <w:style w:type="paragraph" w:customStyle="1" w:styleId="113">
    <w:name w:val="附录三级条标题"/>
    <w:basedOn w:val="112"/>
    <w:next w:val="65"/>
    <w:qFormat/>
    <w:uiPriority w:val="0"/>
    <w:pPr>
      <w:numPr>
        <w:ilvl w:val="4"/>
      </w:numPr>
      <w:outlineLvl w:val="4"/>
    </w:pPr>
  </w:style>
  <w:style w:type="paragraph" w:customStyle="1" w:styleId="114">
    <w:name w:val="附录四级条标题"/>
    <w:basedOn w:val="113"/>
    <w:next w:val="65"/>
    <w:qFormat/>
    <w:uiPriority w:val="0"/>
    <w:pPr>
      <w:numPr>
        <w:ilvl w:val="5"/>
      </w:numPr>
      <w:outlineLvl w:val="5"/>
    </w:pPr>
  </w:style>
  <w:style w:type="paragraph" w:customStyle="1" w:styleId="115">
    <w:name w:val="表头"/>
    <w:basedOn w:val="1"/>
    <w:next w:val="1"/>
    <w:link w:val="139"/>
    <w:qFormat/>
    <w:uiPriority w:val="0"/>
    <w:pPr>
      <w:widowControl w:val="0"/>
      <w:spacing w:line="360" w:lineRule="auto"/>
      <w:jc w:val="center"/>
      <w:textAlignment w:val="auto"/>
    </w:pPr>
    <w:rPr>
      <w:rFonts w:hAnsi="宋体"/>
      <w:b/>
      <w:color w:val="auto"/>
      <w:kern w:val="2"/>
      <w:szCs w:val="24"/>
    </w:rPr>
  </w:style>
  <w:style w:type="paragraph" w:customStyle="1" w:styleId="116">
    <w:name w:val="附录图标题"/>
    <w:next w:val="65"/>
    <w:qFormat/>
    <w:uiPriority w:val="0"/>
    <w:pPr>
      <w:numPr>
        <w:ilvl w:val="0"/>
        <w:numId w:val="5"/>
      </w:numPr>
      <w:jc w:val="center"/>
    </w:pPr>
    <w:rPr>
      <w:rFonts w:ascii="黑体" w:hAnsi="Times New Roman" w:eastAsia="黑体" w:cs="Times New Roman"/>
      <w:sz w:val="21"/>
      <w:lang w:val="en-US" w:eastAsia="zh-CN" w:bidi="ar-SA"/>
    </w:rPr>
  </w:style>
  <w:style w:type="paragraph" w:customStyle="1" w:styleId="117">
    <w:name w:val="编号列项（三级）"/>
    <w:qFormat/>
    <w:uiPriority w:val="0"/>
    <w:pPr>
      <w:ind w:left="800" w:leftChars="600" w:hanging="200" w:hangingChars="200"/>
    </w:pPr>
    <w:rPr>
      <w:rFonts w:ascii="宋体" w:hAnsi="Times New Roman" w:eastAsia="宋体" w:cs="Times New Roman"/>
      <w:sz w:val="21"/>
      <w:lang w:val="en-US" w:eastAsia="zh-CN" w:bidi="ar-SA"/>
    </w:rPr>
  </w:style>
  <w:style w:type="paragraph" w:customStyle="1" w:styleId="118">
    <w:name w:val="附录五级条标题"/>
    <w:basedOn w:val="114"/>
    <w:next w:val="65"/>
    <w:qFormat/>
    <w:uiPriority w:val="0"/>
    <w:pPr>
      <w:numPr>
        <w:ilvl w:val="6"/>
      </w:numPr>
      <w:outlineLvl w:val="6"/>
    </w:pPr>
  </w:style>
  <w:style w:type="paragraph" w:customStyle="1" w:styleId="119">
    <w:name w:val="列项——（一级）"/>
    <w:qFormat/>
    <w:uiPriority w:val="0"/>
    <w:pPr>
      <w:widowControl w:val="0"/>
      <w:numPr>
        <w:ilvl w:val="0"/>
        <w:numId w:val="6"/>
      </w:numPr>
      <w:tabs>
        <w:tab w:val="left" w:pos="854"/>
        <w:tab w:val="clear" w:pos="1140"/>
      </w:tabs>
      <w:ind w:left="200" w:leftChars="200" w:hanging="200" w:hangingChars="200"/>
      <w:jc w:val="both"/>
    </w:pPr>
    <w:rPr>
      <w:rFonts w:ascii="宋体" w:hAnsi="Times New Roman" w:eastAsia="宋体" w:cs="Times New Roman"/>
      <w:sz w:val="21"/>
      <w:lang w:val="en-US" w:eastAsia="zh-CN" w:bidi="ar-SA"/>
    </w:rPr>
  </w:style>
  <w:style w:type="paragraph" w:customStyle="1" w:styleId="120">
    <w:name w:val="列项◆（三级）"/>
    <w:qFormat/>
    <w:uiPriority w:val="0"/>
    <w:pPr>
      <w:numPr>
        <w:ilvl w:val="0"/>
        <w:numId w:val="7"/>
      </w:numPr>
      <w:ind w:left="800" w:leftChars="600" w:hanging="200" w:hangingChars="200"/>
    </w:pPr>
    <w:rPr>
      <w:rFonts w:ascii="宋体" w:hAnsi="Times New Roman" w:eastAsia="宋体" w:cs="Times New Roman"/>
      <w:sz w:val="21"/>
      <w:lang w:val="en-US" w:eastAsia="zh-CN" w:bidi="ar-SA"/>
    </w:rPr>
  </w:style>
  <w:style w:type="paragraph" w:customStyle="1" w:styleId="121">
    <w:name w:val="列项●（二级）"/>
    <w:qFormat/>
    <w:uiPriority w:val="0"/>
    <w:pPr>
      <w:numPr>
        <w:ilvl w:val="0"/>
        <w:numId w:val="8"/>
      </w:numPr>
      <w:tabs>
        <w:tab w:val="left" w:pos="840"/>
      </w:tabs>
      <w:ind w:left="600" w:leftChars="400" w:hanging="200" w:hangingChars="200"/>
      <w:jc w:val="both"/>
    </w:pPr>
    <w:rPr>
      <w:rFonts w:ascii="宋体" w:hAnsi="Times New Roman" w:eastAsia="宋体" w:cs="Times New Roman"/>
      <w:sz w:val="21"/>
      <w:lang w:val="en-US" w:eastAsia="zh-CN" w:bidi="ar-SA"/>
    </w:rPr>
  </w:style>
  <w:style w:type="paragraph" w:customStyle="1" w:styleId="122">
    <w:name w:val="目次、标准名称标题"/>
    <w:basedOn w:val="83"/>
    <w:next w:val="65"/>
    <w:qFormat/>
    <w:uiPriority w:val="0"/>
    <w:pPr>
      <w:numPr>
        <w:numId w:val="0"/>
      </w:numPr>
      <w:spacing w:line="460" w:lineRule="exact"/>
    </w:pPr>
  </w:style>
  <w:style w:type="paragraph" w:customStyle="1" w:styleId="123">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24">
    <w:name w:val="其他发布部门"/>
    <w:basedOn w:val="79"/>
    <w:qFormat/>
    <w:uiPriority w:val="0"/>
    <w:pPr>
      <w:framePr w:wrap="around"/>
      <w:spacing w:line="0" w:lineRule="atLeast"/>
    </w:pPr>
    <w:rPr>
      <w:rFonts w:ascii="黑体" w:eastAsia="黑体"/>
      <w:b w:val="0"/>
    </w:rPr>
  </w:style>
  <w:style w:type="paragraph" w:customStyle="1" w:styleId="125">
    <w:name w:val="实施日期"/>
    <w:basedOn w:val="99"/>
    <w:qFormat/>
    <w:uiPriority w:val="0"/>
    <w:pPr>
      <w:framePr w:hSpace="0" w:wrap="around" w:xAlign="right"/>
      <w:jc w:val="right"/>
    </w:pPr>
  </w:style>
  <w:style w:type="paragraph" w:customStyle="1" w:styleId="126">
    <w:name w:val="条文脚注"/>
    <w:basedOn w:val="29"/>
    <w:qFormat/>
    <w:uiPriority w:val="0"/>
    <w:pPr>
      <w:ind w:left="780" w:leftChars="200" w:hanging="360" w:hangingChars="200"/>
      <w:jc w:val="both"/>
    </w:pPr>
    <w:rPr>
      <w:rFonts w:ascii="宋体"/>
    </w:rPr>
  </w:style>
  <w:style w:type="paragraph" w:customStyle="1" w:styleId="127">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28">
    <w:name w:val="Char Char Char Char Char Char Char Char Char Char Char Char Char Char Char Char"/>
    <w:basedOn w:val="1"/>
    <w:qFormat/>
    <w:uiPriority w:val="0"/>
    <w:pPr>
      <w:spacing w:after="160" w:line="240" w:lineRule="exact"/>
      <w:jc w:val="left"/>
    </w:pPr>
    <w:rPr>
      <w:rFonts w:ascii="Verdana" w:hAnsi="Verdana"/>
      <w:sz w:val="20"/>
      <w:lang w:eastAsia="en-US"/>
    </w:rPr>
  </w:style>
  <w:style w:type="paragraph" w:customStyle="1" w:styleId="129">
    <w:name w:val="正文表标题"/>
    <w:next w:val="65"/>
    <w:qFormat/>
    <w:uiPriority w:val="0"/>
    <w:pPr>
      <w:numPr>
        <w:ilvl w:val="0"/>
        <w:numId w:val="9"/>
      </w:numPr>
      <w:jc w:val="center"/>
    </w:pPr>
    <w:rPr>
      <w:rFonts w:ascii="黑体" w:hAnsi="Times New Roman" w:eastAsia="黑体" w:cs="Times New Roman"/>
      <w:sz w:val="21"/>
      <w:lang w:val="en-US" w:eastAsia="zh-CN" w:bidi="ar-SA"/>
    </w:rPr>
  </w:style>
  <w:style w:type="paragraph" w:customStyle="1" w:styleId="130">
    <w:name w:val="正文图标题"/>
    <w:next w:val="65"/>
    <w:qFormat/>
    <w:uiPriority w:val="0"/>
    <w:pPr>
      <w:numPr>
        <w:ilvl w:val="0"/>
        <w:numId w:val="10"/>
      </w:numPr>
      <w:jc w:val="center"/>
    </w:pPr>
    <w:rPr>
      <w:rFonts w:ascii="黑体" w:hAnsi="Times New Roman" w:eastAsia="黑体" w:cs="Times New Roman"/>
      <w:sz w:val="21"/>
      <w:lang w:val="en-US" w:eastAsia="zh-CN" w:bidi="ar-SA"/>
    </w:rPr>
  </w:style>
  <w:style w:type="paragraph" w:customStyle="1" w:styleId="131">
    <w:name w:val="注："/>
    <w:next w:val="65"/>
    <w:qFormat/>
    <w:uiPriority w:val="0"/>
    <w:pPr>
      <w:widowControl w:val="0"/>
      <w:numPr>
        <w:ilvl w:val="0"/>
        <w:numId w:val="11"/>
      </w:numPr>
      <w:tabs>
        <w:tab w:val="clear" w:pos="1140"/>
      </w:tabs>
      <w:autoSpaceDE w:val="0"/>
      <w:autoSpaceDN w:val="0"/>
      <w:jc w:val="both"/>
    </w:pPr>
    <w:rPr>
      <w:rFonts w:ascii="宋体" w:hAnsi="Times New Roman" w:eastAsia="宋体" w:cs="Times New Roman"/>
      <w:sz w:val="18"/>
      <w:lang w:val="en-US" w:eastAsia="zh-CN" w:bidi="ar-SA"/>
    </w:rPr>
  </w:style>
  <w:style w:type="paragraph" w:customStyle="1" w:styleId="132">
    <w:name w:val="注×："/>
    <w:qFormat/>
    <w:uiPriority w:val="0"/>
    <w:pPr>
      <w:widowControl w:val="0"/>
      <w:numPr>
        <w:ilvl w:val="0"/>
        <w:numId w:val="12"/>
      </w:numPr>
      <w:tabs>
        <w:tab w:val="left" w:pos="630"/>
        <w:tab w:val="clear" w:pos="900"/>
      </w:tabs>
      <w:autoSpaceDE w:val="0"/>
      <w:autoSpaceDN w:val="0"/>
      <w:jc w:val="both"/>
    </w:pPr>
    <w:rPr>
      <w:rFonts w:ascii="宋体" w:hAnsi="Times New Roman" w:eastAsia="宋体" w:cs="Times New Roman"/>
      <w:sz w:val="18"/>
      <w:lang w:val="en-US" w:eastAsia="zh-CN" w:bidi="ar-SA"/>
    </w:rPr>
  </w:style>
  <w:style w:type="paragraph" w:customStyle="1" w:styleId="133">
    <w:name w:val="表内文字"/>
    <w:basedOn w:val="1"/>
    <w:qFormat/>
    <w:uiPriority w:val="0"/>
    <w:pPr>
      <w:widowControl w:val="0"/>
      <w:adjustRightInd w:val="0"/>
      <w:spacing w:line="240" w:lineRule="auto"/>
      <w:jc w:val="center"/>
    </w:pPr>
    <w:rPr>
      <w:rFonts w:ascii="仿宋_GB2312" w:eastAsia="仿宋_GB2312"/>
      <w:color w:val="FF0000"/>
      <w:kern w:val="16"/>
      <w:sz w:val="18"/>
      <w:szCs w:val="18"/>
    </w:rPr>
  </w:style>
  <w:style w:type="paragraph" w:customStyle="1" w:styleId="134">
    <w:name w:val="MY 表格文字"/>
    <w:next w:val="1"/>
    <w:qFormat/>
    <w:uiPriority w:val="0"/>
    <w:pPr>
      <w:adjustRightInd w:val="0"/>
      <w:snapToGrid w:val="0"/>
      <w:jc w:val="center"/>
    </w:pPr>
    <w:rPr>
      <w:rFonts w:ascii="宋体" w:hAnsi="Times New Roman" w:eastAsia="宋体" w:cs="Times New Roman"/>
      <w:kern w:val="2"/>
      <w:sz w:val="21"/>
      <w:szCs w:val="21"/>
      <w:lang w:val="en-US" w:eastAsia="zh-CN" w:bidi="ar-SA"/>
    </w:rPr>
  </w:style>
  <w:style w:type="paragraph" w:customStyle="1" w:styleId="135">
    <w:name w:val="修订1"/>
    <w:semiHidden/>
    <w:qFormat/>
    <w:uiPriority w:val="99"/>
    <w:rPr>
      <w:rFonts w:ascii="Calibri" w:hAnsi="Calibri" w:eastAsia="宋体" w:cs="Times New Roman"/>
      <w:kern w:val="2"/>
      <w:sz w:val="21"/>
      <w:szCs w:val="22"/>
      <w:lang w:val="en-US" w:eastAsia="zh-CN" w:bidi="ar-SA"/>
    </w:rPr>
  </w:style>
  <w:style w:type="paragraph" w:styleId="136">
    <w:name w:val="List Paragraph"/>
    <w:basedOn w:val="1"/>
    <w:qFormat/>
    <w:uiPriority w:val="99"/>
    <w:pPr>
      <w:widowControl w:val="0"/>
      <w:spacing w:line="240" w:lineRule="auto"/>
      <w:ind w:firstLine="420" w:firstLineChars="200"/>
      <w:textAlignment w:val="auto"/>
    </w:pPr>
    <w:rPr>
      <w:rFonts w:ascii="Calibri" w:hAnsi="Calibri"/>
      <w:color w:val="auto"/>
      <w:kern w:val="2"/>
      <w:szCs w:val="22"/>
    </w:rPr>
  </w:style>
  <w:style w:type="character" w:customStyle="1" w:styleId="137">
    <w:name w:val="正文文本首行缩进 字符"/>
    <w:link w:val="35"/>
    <w:qFormat/>
    <w:uiPriority w:val="0"/>
    <w:rPr>
      <w:rFonts w:ascii="Calibri" w:hAnsi="Calibri" w:eastAsia="宋体" w:cs="Times New Roman"/>
      <w:color w:val="000000"/>
      <w:kern w:val="2"/>
      <w:sz w:val="21"/>
      <w:szCs w:val="22"/>
      <w:u w:color="000000"/>
    </w:rPr>
  </w:style>
  <w:style w:type="paragraph" w:customStyle="1" w:styleId="138">
    <w:name w:val="样式 标题 4 + 首行缩进:  0.99 厘米"/>
    <w:basedOn w:val="6"/>
    <w:qFormat/>
    <w:uiPriority w:val="0"/>
    <w:pPr>
      <w:widowControl w:val="0"/>
      <w:numPr>
        <w:ilvl w:val="1"/>
        <w:numId w:val="13"/>
      </w:numPr>
      <w:spacing w:line="377" w:lineRule="auto"/>
      <w:ind w:firstLine="0"/>
      <w:jc w:val="left"/>
      <w:textAlignment w:val="auto"/>
    </w:pPr>
    <w:rPr>
      <w:rFonts w:eastAsia="宋体" w:cs="宋体"/>
      <w:b w:val="0"/>
      <w:bCs w:val="0"/>
      <w:color w:val="auto"/>
      <w:kern w:val="2"/>
      <w:szCs w:val="20"/>
    </w:rPr>
  </w:style>
  <w:style w:type="character" w:customStyle="1" w:styleId="139">
    <w:name w:val="表头 Char"/>
    <w:link w:val="115"/>
    <w:qFormat/>
    <w:uiPriority w:val="0"/>
    <w:rPr>
      <w:rFonts w:hAnsi="宋体"/>
      <w:b/>
      <w:kern w:val="2"/>
      <w:sz w:val="21"/>
      <w:szCs w:val="24"/>
    </w:rPr>
  </w:style>
  <w:style w:type="paragraph" w:customStyle="1" w:styleId="140">
    <w:name w:val="表后注释"/>
    <w:basedOn w:val="35"/>
    <w:next w:val="35"/>
    <w:link w:val="141"/>
    <w:qFormat/>
    <w:uiPriority w:val="0"/>
    <w:pPr>
      <w:widowControl w:val="0"/>
      <w:spacing w:after="0" w:line="400" w:lineRule="exact"/>
      <w:ind w:firstLine="200" w:firstLineChars="200"/>
      <w:textAlignment w:val="auto"/>
    </w:pPr>
    <w:rPr>
      <w:rFonts w:ascii="Times New Roman" w:hAnsi="Times New Roman"/>
      <w:color w:val="auto"/>
      <w:spacing w:val="10"/>
      <w:kern w:val="24"/>
      <w:sz w:val="24"/>
      <w:szCs w:val="24"/>
    </w:rPr>
  </w:style>
  <w:style w:type="character" w:customStyle="1" w:styleId="141">
    <w:name w:val="表后注释 Char"/>
    <w:link w:val="140"/>
    <w:qFormat/>
    <w:uiPriority w:val="0"/>
    <w:rPr>
      <w:spacing w:val="10"/>
      <w:kern w:val="24"/>
      <w:sz w:val="24"/>
      <w:szCs w:val="24"/>
    </w:rPr>
  </w:style>
  <w:style w:type="paragraph" w:customStyle="1" w:styleId="142">
    <w:name w:val="1"/>
    <w:basedOn w:val="1"/>
    <w:qFormat/>
    <w:uiPriority w:val="0"/>
    <w:pPr>
      <w:widowControl w:val="0"/>
      <w:spacing w:line="240" w:lineRule="auto"/>
      <w:textAlignment w:val="auto"/>
    </w:pPr>
    <w:rPr>
      <w:color w:val="auto"/>
      <w:kern w:val="2"/>
      <w:szCs w:val="24"/>
    </w:rPr>
  </w:style>
  <w:style w:type="paragraph" w:customStyle="1" w:styleId="143">
    <w:name w:val="TOC 标题1"/>
    <w:basedOn w:val="3"/>
    <w:next w:val="1"/>
    <w:unhideWhenUsed/>
    <w:qFormat/>
    <w:uiPriority w:val="39"/>
    <w:pPr>
      <w:spacing w:beforeLines="0" w:afterLines="0" w:line="276" w:lineRule="auto"/>
      <w:jc w:val="left"/>
      <w:outlineLvl w:val="9"/>
    </w:pPr>
    <w:rPr>
      <w:rFonts w:ascii="Cambria" w:hAnsi="Cambria" w:eastAsia="宋体"/>
      <w:b/>
      <w:color w:val="365F91"/>
      <w:kern w:val="0"/>
      <w:sz w:val="28"/>
      <w:szCs w:val="28"/>
    </w:rPr>
  </w:style>
  <w:style w:type="paragraph" w:customStyle="1" w:styleId="144">
    <w:name w:val="Char1"/>
    <w:basedOn w:val="1"/>
    <w:qFormat/>
    <w:uiPriority w:val="0"/>
    <w:pPr>
      <w:widowControl w:val="0"/>
      <w:autoSpaceDE w:val="0"/>
      <w:autoSpaceDN w:val="0"/>
      <w:adjustRightInd w:val="0"/>
      <w:snapToGrid w:val="0"/>
      <w:spacing w:before="50" w:after="50" w:line="360" w:lineRule="auto"/>
      <w:ind w:firstLine="560" w:firstLineChars="200"/>
      <w:textAlignment w:val="auto"/>
    </w:pPr>
    <w:rPr>
      <w:color w:val="auto"/>
      <w:kern w:val="2"/>
    </w:rPr>
  </w:style>
  <w:style w:type="character" w:customStyle="1" w:styleId="145">
    <w:name w:val="一级条标题 Char"/>
    <w:link w:val="81"/>
    <w:qFormat/>
    <w:uiPriority w:val="0"/>
    <w:rPr>
      <w:rFonts w:eastAsia="黑体"/>
      <w:sz w:val="21"/>
      <w:lang w:bidi="ar-SA"/>
    </w:rPr>
  </w:style>
  <w:style w:type="character" w:customStyle="1" w:styleId="146">
    <w:name w:val="二级条标题 Char"/>
    <w:link w:val="91"/>
    <w:qFormat/>
    <w:uiPriority w:val="0"/>
    <w:rPr>
      <w:rFonts w:eastAsia="黑体"/>
      <w:sz w:val="21"/>
    </w:rPr>
  </w:style>
  <w:style w:type="paragraph" w:customStyle="1" w:styleId="147">
    <w:name w:val="三级无"/>
    <w:basedOn w:val="90"/>
    <w:link w:val="149"/>
    <w:qFormat/>
    <w:uiPriority w:val="0"/>
    <w:pPr>
      <w:numPr>
        <w:ilvl w:val="0"/>
        <w:numId w:val="0"/>
      </w:numPr>
    </w:pPr>
    <w:rPr>
      <w:rFonts w:ascii="宋体" w:eastAsia="宋体"/>
      <w:szCs w:val="21"/>
    </w:rPr>
  </w:style>
  <w:style w:type="character" w:customStyle="1" w:styleId="148">
    <w:name w:val="三级条标题 Char"/>
    <w:link w:val="90"/>
    <w:qFormat/>
    <w:uiPriority w:val="0"/>
    <w:rPr>
      <w:rFonts w:eastAsia="黑体"/>
      <w:sz w:val="21"/>
    </w:rPr>
  </w:style>
  <w:style w:type="character" w:customStyle="1" w:styleId="149">
    <w:name w:val="三级无 Char"/>
    <w:link w:val="147"/>
    <w:qFormat/>
    <w:uiPriority w:val="0"/>
    <w:rPr>
      <w:rFonts w:ascii="宋体"/>
      <w:sz w:val="21"/>
      <w:szCs w:val="21"/>
    </w:rPr>
  </w:style>
  <w:style w:type="character" w:customStyle="1" w:styleId="150">
    <w:name w:val="标题 1 字符"/>
    <w:qFormat/>
    <w:uiPriority w:val="0"/>
    <w:rPr>
      <w:rFonts w:ascii="黑体" w:hAnsi="黑体" w:eastAsia="黑体"/>
      <w:bCs/>
      <w:kern w:val="44"/>
      <w:sz w:val="21"/>
      <w:szCs w:val="44"/>
      <w:lang w:val="zh-CN" w:eastAsia="zh-CN"/>
    </w:rPr>
  </w:style>
  <w:style w:type="character" w:customStyle="1" w:styleId="151">
    <w:name w:val="标题 2 字符"/>
    <w:link w:val="4"/>
    <w:qFormat/>
    <w:uiPriority w:val="0"/>
    <w:rPr>
      <w:rFonts w:ascii="黑体" w:hAnsi="黑体" w:eastAsia="黑体"/>
      <w:bCs/>
      <w:kern w:val="2"/>
      <w:sz w:val="21"/>
      <w:szCs w:val="32"/>
      <w:lang w:val="zh-CN" w:eastAsia="zh-CN"/>
    </w:rPr>
  </w:style>
  <w:style w:type="character" w:customStyle="1" w:styleId="152">
    <w:name w:val="标题 3 字符"/>
    <w:link w:val="5"/>
    <w:qFormat/>
    <w:uiPriority w:val="0"/>
    <w:rPr>
      <w:rFonts w:ascii="黑体" w:hAnsi="黑体" w:eastAsia="黑体"/>
      <w:bCs/>
      <w:kern w:val="2"/>
      <w:sz w:val="21"/>
      <w:szCs w:val="32"/>
      <w:lang w:val="zh-CN" w:eastAsia="zh-CN"/>
    </w:rPr>
  </w:style>
  <w:style w:type="paragraph" w:customStyle="1" w:styleId="153">
    <w:name w:val="标题3"/>
    <w:basedOn w:val="4"/>
    <w:link w:val="154"/>
    <w:qFormat/>
    <w:uiPriority w:val="0"/>
    <w:pPr>
      <w:spacing w:before="50" w:after="50"/>
      <w:outlineLvl w:val="2"/>
    </w:pPr>
  </w:style>
  <w:style w:type="character" w:customStyle="1" w:styleId="154">
    <w:name w:val="标题3 字符"/>
    <w:basedOn w:val="38"/>
    <w:link w:val="153"/>
    <w:qFormat/>
    <w:uiPriority w:val="0"/>
    <w:rPr>
      <w:rFonts w:ascii="黑体" w:hAnsi="黑体" w:eastAsia="黑体"/>
      <w:bCs/>
      <w:kern w:val="2"/>
      <w:sz w:val="21"/>
      <w:szCs w:val="32"/>
      <w:lang w:val="zh-CN" w:eastAsia="zh-CN"/>
    </w:rPr>
  </w:style>
  <w:style w:type="paragraph" w:customStyle="1" w:styleId="155">
    <w:name w:val="样式1"/>
    <w:basedOn w:val="35"/>
    <w:link w:val="156"/>
    <w:qFormat/>
    <w:uiPriority w:val="0"/>
    <w:pPr>
      <w:spacing w:after="0" w:line="240" w:lineRule="auto"/>
      <w:ind w:firstLine="424" w:firstLineChars="202"/>
    </w:pPr>
    <w:rPr>
      <w:rFonts w:ascii="宋体" w:hAnsi="Times New Roman"/>
      <w:color w:val="auto"/>
      <w:kern w:val="0"/>
      <w:szCs w:val="20"/>
    </w:rPr>
  </w:style>
  <w:style w:type="character" w:customStyle="1" w:styleId="156">
    <w:name w:val="样式1 Char"/>
    <w:basedOn w:val="137"/>
    <w:link w:val="155"/>
    <w:qFormat/>
    <w:uiPriority w:val="0"/>
    <w:rPr>
      <w:rFonts w:ascii="宋体" w:hAnsi="Calibri" w:eastAsia="宋体" w:cs="Times New Roman"/>
      <w:color w:val="000000"/>
      <w:kern w:val="2"/>
      <w:sz w:val="21"/>
      <w:szCs w:val="22"/>
      <w:u w:color="000000"/>
    </w:rPr>
  </w:style>
  <w:style w:type="paragraph" w:customStyle="1" w:styleId="157">
    <w:name w:val="表 三级"/>
    <w:next w:val="1"/>
    <w:qFormat/>
    <w:uiPriority w:val="0"/>
    <w:pPr>
      <w:widowControl w:val="0"/>
      <w:numPr>
        <w:ilvl w:val="6"/>
        <w:numId w:val="11"/>
      </w:numPr>
      <w:spacing w:before="50" w:beforeLines="50" w:after="50" w:afterLines="50"/>
      <w:jc w:val="center"/>
      <w:outlineLvl w:val="6"/>
    </w:pPr>
    <w:rPr>
      <w:rFonts w:ascii="Times New Roman" w:hAnsi="Times New Roman" w:eastAsia="黑体" w:cs="Times New Roman"/>
      <w:kern w:val="2"/>
      <w:sz w:val="21"/>
      <w:szCs w:val="24"/>
      <w:lang w:val="en-US" w:eastAsia="zh-CN" w:bidi="ar-SA"/>
    </w:rPr>
  </w:style>
  <w:style w:type="paragraph" w:customStyle="1" w:styleId="158">
    <w:name w:val="表格五号"/>
    <w:qFormat/>
    <w:uiPriority w:val="0"/>
    <w:pPr>
      <w:adjustRightInd w:val="0"/>
      <w:snapToGrid w:val="0"/>
      <w:jc w:val="center"/>
    </w:pPr>
    <w:rPr>
      <w:rFonts w:ascii="Times New Roman" w:hAnsi="Times New Roman" w:eastAsia="宋体" w:cs="Times New Roman"/>
      <w:kern w:val="2"/>
      <w:sz w:val="21"/>
      <w:szCs w:val="21"/>
      <w:lang w:val="en-US" w:eastAsia="zh-CN" w:bidi="ar-SA"/>
    </w:rPr>
  </w:style>
  <w:style w:type="paragraph" w:customStyle="1" w:styleId="159">
    <w:name w:val="修订2"/>
    <w:hidden/>
    <w:semiHidden/>
    <w:qFormat/>
    <w:uiPriority w:val="99"/>
    <w:rPr>
      <w:rFonts w:ascii="Times New Roman" w:hAnsi="Times New Roman" w:eastAsia="宋体" w:cs="Times New Roman"/>
      <w:color w:val="000000"/>
      <w:sz w:val="21"/>
      <w:u w:color="000000"/>
      <w:lang w:val="en-US" w:eastAsia="zh-CN" w:bidi="ar-SA"/>
    </w:rPr>
  </w:style>
  <w:style w:type="paragraph" w:customStyle="1" w:styleId="160">
    <w:name w:val="修订3"/>
    <w:hidden/>
    <w:semiHidden/>
    <w:qFormat/>
    <w:uiPriority w:val="99"/>
    <w:rPr>
      <w:rFonts w:ascii="Times New Roman" w:hAnsi="Times New Roman" w:eastAsia="宋体" w:cs="Times New Roman"/>
      <w:color w:val="000000"/>
      <w:sz w:val="21"/>
      <w:u w:color="000000"/>
      <w:lang w:val="en-US" w:eastAsia="zh-CN" w:bidi="ar-SA"/>
    </w:rPr>
  </w:style>
  <w:style w:type="paragraph" w:customStyle="1" w:styleId="161">
    <w:name w:val="表标题"/>
    <w:basedOn w:val="1"/>
    <w:qFormat/>
    <w:uiPriority w:val="99"/>
    <w:pPr>
      <w:spacing w:beforeLines="50" w:afterLines="50"/>
      <w:jc w:val="center"/>
    </w:pPr>
    <w:rPr>
      <w:rFonts w:ascii="黑体" w:hAnsi="黑体" w:eastAsia="黑体"/>
    </w:rPr>
  </w:style>
  <w:style w:type="paragraph" w:customStyle="1" w:styleId="162">
    <w:name w:val="导则正文"/>
    <w:basedOn w:val="1"/>
    <w:qFormat/>
    <w:uiPriority w:val="99"/>
    <w:pPr>
      <w:spacing w:line="360" w:lineRule="auto"/>
      <w:ind w:firstLine="482"/>
    </w:pPr>
    <w:rPr>
      <w:szCs w:val="21"/>
    </w:rPr>
  </w:style>
  <w:style w:type="paragraph" w:customStyle="1" w:styleId="163">
    <w:name w:val="公式"/>
    <w:qFormat/>
    <w:uiPriority w:val="99"/>
    <w:pPr>
      <w:widowControl w:val="0"/>
      <w:tabs>
        <w:tab w:val="center" w:pos="4830"/>
        <w:tab w:val="right" w:leader="middleDot" w:pos="9660"/>
      </w:tabs>
      <w:jc w:val="both"/>
      <w:textAlignment w:val="center"/>
    </w:pPr>
    <w:rPr>
      <w:rFonts w:ascii="Times New Roman" w:hAnsi="Times New Roman" w:eastAsia="宋体" w:cs="Times New Roman"/>
      <w:kern w:val="2"/>
      <w:sz w:val="21"/>
      <w:szCs w:val="21"/>
      <w:lang w:val="es-ES" w:eastAsia="zh-CN" w:bidi="ar-SA"/>
    </w:rPr>
  </w:style>
  <w:style w:type="character" w:customStyle="1" w:styleId="164">
    <w:name w:val="标题 字符"/>
    <w:basedOn w:val="38"/>
    <w:link w:val="33"/>
    <w:qFormat/>
    <w:uiPriority w:val="10"/>
    <w:rPr>
      <w:rFonts w:ascii="Arial" w:hAnsi="Arial" w:cs="Arial"/>
      <w:b/>
      <w:bCs/>
      <w:color w:val="000000"/>
      <w:sz w:val="32"/>
      <w:szCs w:val="32"/>
      <w:u w:color="000000"/>
    </w:rPr>
  </w:style>
</w:styles>
</file>

<file path=word/_rels/document.xml.rels><?xml version="1.0" encoding="UTF-8" standalone="yes"?>
<Relationships xmlns="http://schemas.openxmlformats.org/package/2006/relationships"><Relationship Id="rId99" Type="http://schemas.openxmlformats.org/officeDocument/2006/relationships/image" Target="media/image38.wmf"/><Relationship Id="rId98" Type="http://schemas.openxmlformats.org/officeDocument/2006/relationships/oleObject" Target="embeddings/oleObject44.bin"/><Relationship Id="rId97" Type="http://schemas.openxmlformats.org/officeDocument/2006/relationships/image" Target="media/image37.wmf"/><Relationship Id="rId96" Type="http://schemas.openxmlformats.org/officeDocument/2006/relationships/oleObject" Target="embeddings/oleObject43.bin"/><Relationship Id="rId95" Type="http://schemas.openxmlformats.org/officeDocument/2006/relationships/image" Target="media/image36.wmf"/><Relationship Id="rId94" Type="http://schemas.openxmlformats.org/officeDocument/2006/relationships/oleObject" Target="embeddings/oleObject42.bin"/><Relationship Id="rId93" Type="http://schemas.openxmlformats.org/officeDocument/2006/relationships/image" Target="media/image35.wmf"/><Relationship Id="rId92" Type="http://schemas.openxmlformats.org/officeDocument/2006/relationships/oleObject" Target="embeddings/oleObject41.bin"/><Relationship Id="rId91" Type="http://schemas.openxmlformats.org/officeDocument/2006/relationships/image" Target="media/image34.wmf"/><Relationship Id="rId90" Type="http://schemas.openxmlformats.org/officeDocument/2006/relationships/oleObject" Target="embeddings/oleObject40.bin"/><Relationship Id="rId9" Type="http://schemas.openxmlformats.org/officeDocument/2006/relationships/footer" Target="footer3.xml"/><Relationship Id="rId89" Type="http://schemas.openxmlformats.org/officeDocument/2006/relationships/image" Target="media/image33.wmf"/><Relationship Id="rId88" Type="http://schemas.openxmlformats.org/officeDocument/2006/relationships/oleObject" Target="embeddings/oleObject39.bin"/><Relationship Id="rId87" Type="http://schemas.openxmlformats.org/officeDocument/2006/relationships/image" Target="media/image32.wmf"/><Relationship Id="rId86" Type="http://schemas.openxmlformats.org/officeDocument/2006/relationships/oleObject" Target="embeddings/oleObject38.bin"/><Relationship Id="rId85" Type="http://schemas.openxmlformats.org/officeDocument/2006/relationships/image" Target="media/image31.wmf"/><Relationship Id="rId84" Type="http://schemas.openxmlformats.org/officeDocument/2006/relationships/oleObject" Target="embeddings/oleObject37.bin"/><Relationship Id="rId83" Type="http://schemas.openxmlformats.org/officeDocument/2006/relationships/image" Target="media/image30.wmf"/><Relationship Id="rId82" Type="http://schemas.openxmlformats.org/officeDocument/2006/relationships/oleObject" Target="embeddings/oleObject36.bin"/><Relationship Id="rId81" Type="http://schemas.openxmlformats.org/officeDocument/2006/relationships/image" Target="media/image29.wmf"/><Relationship Id="rId80" Type="http://schemas.openxmlformats.org/officeDocument/2006/relationships/oleObject" Target="embeddings/oleObject35.bin"/><Relationship Id="rId8" Type="http://schemas.openxmlformats.org/officeDocument/2006/relationships/footer" Target="footer2.xml"/><Relationship Id="rId79" Type="http://schemas.openxmlformats.org/officeDocument/2006/relationships/image" Target="media/image28.wmf"/><Relationship Id="rId78" Type="http://schemas.openxmlformats.org/officeDocument/2006/relationships/oleObject" Target="embeddings/oleObject34.bin"/><Relationship Id="rId77" Type="http://schemas.openxmlformats.org/officeDocument/2006/relationships/image" Target="media/image27.wmf"/><Relationship Id="rId76" Type="http://schemas.openxmlformats.org/officeDocument/2006/relationships/oleObject" Target="embeddings/oleObject33.bin"/><Relationship Id="rId75" Type="http://schemas.openxmlformats.org/officeDocument/2006/relationships/image" Target="media/image26.wmf"/><Relationship Id="rId74" Type="http://schemas.openxmlformats.org/officeDocument/2006/relationships/oleObject" Target="embeddings/oleObject32.bin"/><Relationship Id="rId73" Type="http://schemas.openxmlformats.org/officeDocument/2006/relationships/image" Target="media/image25.wmf"/><Relationship Id="rId72" Type="http://schemas.openxmlformats.org/officeDocument/2006/relationships/oleObject" Target="embeddings/oleObject31.bin"/><Relationship Id="rId71" Type="http://schemas.openxmlformats.org/officeDocument/2006/relationships/image" Target="media/image24.wmf"/><Relationship Id="rId70" Type="http://schemas.openxmlformats.org/officeDocument/2006/relationships/oleObject" Target="embeddings/oleObject30.bin"/><Relationship Id="rId7" Type="http://schemas.openxmlformats.org/officeDocument/2006/relationships/footer" Target="footer1.xml"/><Relationship Id="rId69" Type="http://schemas.openxmlformats.org/officeDocument/2006/relationships/image" Target="media/image23.wmf"/><Relationship Id="rId68" Type="http://schemas.openxmlformats.org/officeDocument/2006/relationships/oleObject" Target="embeddings/oleObject29.bin"/><Relationship Id="rId67" Type="http://schemas.openxmlformats.org/officeDocument/2006/relationships/image" Target="media/image22.wmf"/><Relationship Id="rId66" Type="http://schemas.openxmlformats.org/officeDocument/2006/relationships/oleObject" Target="embeddings/oleObject28.bin"/><Relationship Id="rId65" Type="http://schemas.openxmlformats.org/officeDocument/2006/relationships/oleObject" Target="embeddings/oleObject27.bin"/><Relationship Id="rId64" Type="http://schemas.openxmlformats.org/officeDocument/2006/relationships/image" Target="media/image21.wmf"/><Relationship Id="rId63" Type="http://schemas.openxmlformats.org/officeDocument/2006/relationships/oleObject" Target="embeddings/oleObject26.bin"/><Relationship Id="rId62" Type="http://schemas.openxmlformats.org/officeDocument/2006/relationships/image" Target="media/image20.wmf"/><Relationship Id="rId61" Type="http://schemas.openxmlformats.org/officeDocument/2006/relationships/oleObject" Target="embeddings/oleObject25.bin"/><Relationship Id="rId60" Type="http://schemas.openxmlformats.org/officeDocument/2006/relationships/image" Target="media/image19.wmf"/><Relationship Id="rId6" Type="http://schemas.openxmlformats.org/officeDocument/2006/relationships/header" Target="header2.xml"/><Relationship Id="rId59" Type="http://schemas.openxmlformats.org/officeDocument/2006/relationships/oleObject" Target="embeddings/oleObject24.bin"/><Relationship Id="rId58" Type="http://schemas.openxmlformats.org/officeDocument/2006/relationships/image" Target="media/image18.wmf"/><Relationship Id="rId57" Type="http://schemas.openxmlformats.org/officeDocument/2006/relationships/oleObject" Target="embeddings/oleObject23.bin"/><Relationship Id="rId56" Type="http://schemas.openxmlformats.org/officeDocument/2006/relationships/image" Target="media/image17.wmf"/><Relationship Id="rId55" Type="http://schemas.openxmlformats.org/officeDocument/2006/relationships/oleObject" Target="embeddings/oleObject22.bin"/><Relationship Id="rId54" Type="http://schemas.openxmlformats.org/officeDocument/2006/relationships/image" Target="media/image16.wmf"/><Relationship Id="rId53" Type="http://schemas.openxmlformats.org/officeDocument/2006/relationships/oleObject" Target="embeddings/oleObject21.bin"/><Relationship Id="rId52" Type="http://schemas.openxmlformats.org/officeDocument/2006/relationships/oleObject" Target="embeddings/oleObject20.bin"/><Relationship Id="rId51" Type="http://schemas.openxmlformats.org/officeDocument/2006/relationships/oleObject" Target="embeddings/oleObject19.bin"/><Relationship Id="rId50" Type="http://schemas.openxmlformats.org/officeDocument/2006/relationships/image" Target="media/image15.wmf"/><Relationship Id="rId5" Type="http://schemas.openxmlformats.org/officeDocument/2006/relationships/header" Target="header1.xml"/><Relationship Id="rId49" Type="http://schemas.openxmlformats.org/officeDocument/2006/relationships/oleObject" Target="embeddings/oleObject18.bin"/><Relationship Id="rId48" Type="http://schemas.openxmlformats.org/officeDocument/2006/relationships/image" Target="media/image14.wmf"/><Relationship Id="rId47" Type="http://schemas.openxmlformats.org/officeDocument/2006/relationships/oleObject" Target="embeddings/oleObject17.bin"/><Relationship Id="rId46" Type="http://schemas.openxmlformats.org/officeDocument/2006/relationships/image" Target="media/image13.wmf"/><Relationship Id="rId45" Type="http://schemas.openxmlformats.org/officeDocument/2006/relationships/oleObject" Target="embeddings/oleObject16.bin"/><Relationship Id="rId44" Type="http://schemas.openxmlformats.org/officeDocument/2006/relationships/image" Target="media/image12.wmf"/><Relationship Id="rId43" Type="http://schemas.openxmlformats.org/officeDocument/2006/relationships/oleObject" Target="embeddings/oleObject15.bin"/><Relationship Id="rId42" Type="http://schemas.openxmlformats.org/officeDocument/2006/relationships/image" Target="media/image11.wmf"/><Relationship Id="rId41" Type="http://schemas.openxmlformats.org/officeDocument/2006/relationships/oleObject" Target="embeddings/oleObject14.bin"/><Relationship Id="rId40" Type="http://schemas.openxmlformats.org/officeDocument/2006/relationships/oleObject" Target="embeddings/oleObject13.bin"/><Relationship Id="rId4" Type="http://schemas.openxmlformats.org/officeDocument/2006/relationships/endnotes" Target="endnotes.xml"/><Relationship Id="rId39" Type="http://schemas.openxmlformats.org/officeDocument/2006/relationships/oleObject" Target="embeddings/oleObject12.bin"/><Relationship Id="rId38" Type="http://schemas.openxmlformats.org/officeDocument/2006/relationships/image" Target="media/image10.wmf"/><Relationship Id="rId37" Type="http://schemas.openxmlformats.org/officeDocument/2006/relationships/oleObject" Target="embeddings/oleObject11.bin"/><Relationship Id="rId36" Type="http://schemas.openxmlformats.org/officeDocument/2006/relationships/image" Target="media/image9.wmf"/><Relationship Id="rId35" Type="http://schemas.openxmlformats.org/officeDocument/2006/relationships/oleObject" Target="embeddings/oleObject10.bin"/><Relationship Id="rId34" Type="http://schemas.openxmlformats.org/officeDocument/2006/relationships/image" Target="media/image8.wmf"/><Relationship Id="rId33" Type="http://schemas.openxmlformats.org/officeDocument/2006/relationships/oleObject" Target="embeddings/oleObject9.bin"/><Relationship Id="rId32" Type="http://schemas.openxmlformats.org/officeDocument/2006/relationships/image" Target="media/image7.wmf"/><Relationship Id="rId31" Type="http://schemas.openxmlformats.org/officeDocument/2006/relationships/oleObject" Target="embeddings/oleObject8.bin"/><Relationship Id="rId30" Type="http://schemas.openxmlformats.org/officeDocument/2006/relationships/oleObject" Target="embeddings/oleObject7.bin"/><Relationship Id="rId3" Type="http://schemas.openxmlformats.org/officeDocument/2006/relationships/footnotes" Target="footnotes.xml"/><Relationship Id="rId29" Type="http://schemas.openxmlformats.org/officeDocument/2006/relationships/image" Target="media/image6.wmf"/><Relationship Id="rId28" Type="http://schemas.openxmlformats.org/officeDocument/2006/relationships/oleObject" Target="embeddings/oleObject6.bin"/><Relationship Id="rId27" Type="http://schemas.openxmlformats.org/officeDocument/2006/relationships/image" Target="media/image5.wmf"/><Relationship Id="rId26" Type="http://schemas.openxmlformats.org/officeDocument/2006/relationships/oleObject" Target="embeddings/oleObject5.bin"/><Relationship Id="rId25" Type="http://schemas.openxmlformats.org/officeDocument/2006/relationships/image" Target="media/image4.wmf"/><Relationship Id="rId24" Type="http://schemas.openxmlformats.org/officeDocument/2006/relationships/oleObject" Target="embeddings/oleObject4.bin"/><Relationship Id="rId23" Type="http://schemas.openxmlformats.org/officeDocument/2006/relationships/image" Target="media/image3.wmf"/><Relationship Id="rId22" Type="http://schemas.openxmlformats.org/officeDocument/2006/relationships/oleObject" Target="embeddings/oleObject3.bin"/><Relationship Id="rId21" Type="http://schemas.openxmlformats.org/officeDocument/2006/relationships/image" Target="media/image2.wmf"/><Relationship Id="rId20" Type="http://schemas.openxmlformats.org/officeDocument/2006/relationships/oleObject" Target="embeddings/oleObject2.bin"/><Relationship Id="rId2" Type="http://schemas.openxmlformats.org/officeDocument/2006/relationships/settings" Target="settings.xml"/><Relationship Id="rId19" Type="http://schemas.openxmlformats.org/officeDocument/2006/relationships/image" Target="media/image1.wmf"/><Relationship Id="rId182" Type="http://schemas.openxmlformats.org/officeDocument/2006/relationships/fontTable" Target="fontTable.xml"/><Relationship Id="rId181" Type="http://schemas.openxmlformats.org/officeDocument/2006/relationships/customXml" Target="../customXml/item2.xml"/><Relationship Id="rId180" Type="http://schemas.openxmlformats.org/officeDocument/2006/relationships/numbering" Target="numbering.xml"/><Relationship Id="rId18" Type="http://schemas.openxmlformats.org/officeDocument/2006/relationships/oleObject" Target="embeddings/oleObject1.bin"/><Relationship Id="rId179" Type="http://schemas.openxmlformats.org/officeDocument/2006/relationships/customXml" Target="../customXml/item1.xml"/><Relationship Id="rId178" Type="http://schemas.openxmlformats.org/officeDocument/2006/relationships/oleObject" Target="embeddings/oleObject85.bin"/><Relationship Id="rId177" Type="http://schemas.openxmlformats.org/officeDocument/2006/relationships/image" Target="media/image76.wmf"/><Relationship Id="rId176" Type="http://schemas.openxmlformats.org/officeDocument/2006/relationships/oleObject" Target="embeddings/oleObject84.bin"/><Relationship Id="rId175" Type="http://schemas.openxmlformats.org/officeDocument/2006/relationships/image" Target="media/image75.wmf"/><Relationship Id="rId174" Type="http://schemas.openxmlformats.org/officeDocument/2006/relationships/oleObject" Target="embeddings/oleObject83.bin"/><Relationship Id="rId173" Type="http://schemas.openxmlformats.org/officeDocument/2006/relationships/image" Target="media/image74.wmf"/><Relationship Id="rId172" Type="http://schemas.openxmlformats.org/officeDocument/2006/relationships/oleObject" Target="embeddings/oleObject82.bin"/><Relationship Id="rId171" Type="http://schemas.openxmlformats.org/officeDocument/2006/relationships/image" Target="media/image73.wmf"/><Relationship Id="rId170" Type="http://schemas.openxmlformats.org/officeDocument/2006/relationships/oleObject" Target="embeddings/oleObject81.bin"/><Relationship Id="rId17" Type="http://schemas.openxmlformats.org/officeDocument/2006/relationships/theme" Target="theme/theme1.xml"/><Relationship Id="rId169" Type="http://schemas.openxmlformats.org/officeDocument/2006/relationships/image" Target="media/image72.wmf"/><Relationship Id="rId168" Type="http://schemas.openxmlformats.org/officeDocument/2006/relationships/oleObject" Target="embeddings/oleObject80.bin"/><Relationship Id="rId167" Type="http://schemas.openxmlformats.org/officeDocument/2006/relationships/image" Target="media/image71.wmf"/><Relationship Id="rId166" Type="http://schemas.openxmlformats.org/officeDocument/2006/relationships/oleObject" Target="embeddings/oleObject79.bin"/><Relationship Id="rId165" Type="http://schemas.openxmlformats.org/officeDocument/2006/relationships/image" Target="media/image70.emf"/><Relationship Id="rId164" Type="http://schemas.openxmlformats.org/officeDocument/2006/relationships/oleObject" Target="embeddings/oleObject78.bin"/><Relationship Id="rId163" Type="http://schemas.openxmlformats.org/officeDocument/2006/relationships/image" Target="media/image69.emf"/><Relationship Id="rId162" Type="http://schemas.openxmlformats.org/officeDocument/2006/relationships/oleObject" Target="embeddings/oleObject77.bin"/><Relationship Id="rId161" Type="http://schemas.openxmlformats.org/officeDocument/2006/relationships/image" Target="media/image68.emf"/><Relationship Id="rId160" Type="http://schemas.openxmlformats.org/officeDocument/2006/relationships/oleObject" Target="embeddings/oleObject76.bin"/><Relationship Id="rId16" Type="http://schemas.openxmlformats.org/officeDocument/2006/relationships/header" Target="header3.xml"/><Relationship Id="rId159" Type="http://schemas.openxmlformats.org/officeDocument/2006/relationships/image" Target="media/image67.wmf"/><Relationship Id="rId158" Type="http://schemas.openxmlformats.org/officeDocument/2006/relationships/oleObject" Target="embeddings/oleObject75.bin"/><Relationship Id="rId157" Type="http://schemas.openxmlformats.org/officeDocument/2006/relationships/oleObject" Target="embeddings/oleObject74.bin"/><Relationship Id="rId156" Type="http://schemas.openxmlformats.org/officeDocument/2006/relationships/image" Target="media/image66.wmf"/><Relationship Id="rId155" Type="http://schemas.openxmlformats.org/officeDocument/2006/relationships/oleObject" Target="embeddings/oleObject73.bin"/><Relationship Id="rId154" Type="http://schemas.openxmlformats.org/officeDocument/2006/relationships/oleObject" Target="embeddings/oleObject72.bin"/><Relationship Id="rId153" Type="http://schemas.openxmlformats.org/officeDocument/2006/relationships/image" Target="media/image65.wmf"/><Relationship Id="rId152" Type="http://schemas.openxmlformats.org/officeDocument/2006/relationships/oleObject" Target="embeddings/oleObject71.bin"/><Relationship Id="rId151" Type="http://schemas.openxmlformats.org/officeDocument/2006/relationships/image" Target="media/image64.wmf"/><Relationship Id="rId150" Type="http://schemas.openxmlformats.org/officeDocument/2006/relationships/oleObject" Target="embeddings/oleObject70.bin"/><Relationship Id="rId15" Type="http://schemas.openxmlformats.org/officeDocument/2006/relationships/footer" Target="footer9.xml"/><Relationship Id="rId149" Type="http://schemas.openxmlformats.org/officeDocument/2006/relationships/image" Target="media/image63.wmf"/><Relationship Id="rId148" Type="http://schemas.openxmlformats.org/officeDocument/2006/relationships/oleObject" Target="embeddings/oleObject69.bin"/><Relationship Id="rId147" Type="http://schemas.openxmlformats.org/officeDocument/2006/relationships/image" Target="media/image62.wmf"/><Relationship Id="rId146" Type="http://schemas.openxmlformats.org/officeDocument/2006/relationships/oleObject" Target="embeddings/oleObject68.bin"/><Relationship Id="rId145" Type="http://schemas.openxmlformats.org/officeDocument/2006/relationships/image" Target="media/image61.wmf"/><Relationship Id="rId144" Type="http://schemas.openxmlformats.org/officeDocument/2006/relationships/oleObject" Target="embeddings/oleObject67.bin"/><Relationship Id="rId143" Type="http://schemas.openxmlformats.org/officeDocument/2006/relationships/image" Target="media/image60.wmf"/><Relationship Id="rId142" Type="http://schemas.openxmlformats.org/officeDocument/2006/relationships/oleObject" Target="embeddings/oleObject66.bin"/><Relationship Id="rId141" Type="http://schemas.openxmlformats.org/officeDocument/2006/relationships/image" Target="media/image59.wmf"/><Relationship Id="rId140" Type="http://schemas.openxmlformats.org/officeDocument/2006/relationships/oleObject" Target="embeddings/oleObject65.bin"/><Relationship Id="rId14" Type="http://schemas.openxmlformats.org/officeDocument/2006/relationships/footer" Target="footer8.xml"/><Relationship Id="rId139" Type="http://schemas.openxmlformats.org/officeDocument/2006/relationships/image" Target="media/image58.wmf"/><Relationship Id="rId138" Type="http://schemas.openxmlformats.org/officeDocument/2006/relationships/oleObject" Target="embeddings/oleObject64.bin"/><Relationship Id="rId137" Type="http://schemas.openxmlformats.org/officeDocument/2006/relationships/image" Target="media/image57.wmf"/><Relationship Id="rId136" Type="http://schemas.openxmlformats.org/officeDocument/2006/relationships/oleObject" Target="embeddings/oleObject63.bin"/><Relationship Id="rId135" Type="http://schemas.openxmlformats.org/officeDocument/2006/relationships/image" Target="media/image56.wmf"/><Relationship Id="rId134" Type="http://schemas.openxmlformats.org/officeDocument/2006/relationships/oleObject" Target="embeddings/oleObject62.bin"/><Relationship Id="rId133" Type="http://schemas.openxmlformats.org/officeDocument/2006/relationships/image" Target="media/image55.wmf"/><Relationship Id="rId132" Type="http://schemas.openxmlformats.org/officeDocument/2006/relationships/oleObject" Target="embeddings/oleObject61.bin"/><Relationship Id="rId131" Type="http://schemas.openxmlformats.org/officeDocument/2006/relationships/image" Target="media/image54.wmf"/><Relationship Id="rId130" Type="http://schemas.openxmlformats.org/officeDocument/2006/relationships/oleObject" Target="embeddings/oleObject60.bin"/><Relationship Id="rId13" Type="http://schemas.openxmlformats.org/officeDocument/2006/relationships/footer" Target="footer7.xml"/><Relationship Id="rId129" Type="http://schemas.openxmlformats.org/officeDocument/2006/relationships/image" Target="media/image53.wmf"/><Relationship Id="rId128" Type="http://schemas.openxmlformats.org/officeDocument/2006/relationships/oleObject" Target="embeddings/oleObject59.bin"/><Relationship Id="rId127" Type="http://schemas.openxmlformats.org/officeDocument/2006/relationships/image" Target="media/image52.wmf"/><Relationship Id="rId126" Type="http://schemas.openxmlformats.org/officeDocument/2006/relationships/oleObject" Target="embeddings/oleObject58.bin"/><Relationship Id="rId125" Type="http://schemas.openxmlformats.org/officeDocument/2006/relationships/image" Target="media/image51.wmf"/><Relationship Id="rId124" Type="http://schemas.openxmlformats.org/officeDocument/2006/relationships/oleObject" Target="embeddings/oleObject57.bin"/><Relationship Id="rId123" Type="http://schemas.openxmlformats.org/officeDocument/2006/relationships/image" Target="media/image50.wmf"/><Relationship Id="rId122" Type="http://schemas.openxmlformats.org/officeDocument/2006/relationships/oleObject" Target="embeddings/oleObject56.bin"/><Relationship Id="rId121" Type="http://schemas.openxmlformats.org/officeDocument/2006/relationships/image" Target="media/image49.wmf"/><Relationship Id="rId120" Type="http://schemas.openxmlformats.org/officeDocument/2006/relationships/oleObject" Target="embeddings/oleObject55.bin"/><Relationship Id="rId12" Type="http://schemas.openxmlformats.org/officeDocument/2006/relationships/footer" Target="footer6.xml"/><Relationship Id="rId119" Type="http://schemas.openxmlformats.org/officeDocument/2006/relationships/image" Target="media/image48.wmf"/><Relationship Id="rId118" Type="http://schemas.openxmlformats.org/officeDocument/2006/relationships/oleObject" Target="embeddings/oleObject54.bin"/><Relationship Id="rId117" Type="http://schemas.openxmlformats.org/officeDocument/2006/relationships/image" Target="media/image47.wmf"/><Relationship Id="rId116" Type="http://schemas.openxmlformats.org/officeDocument/2006/relationships/oleObject" Target="embeddings/oleObject53.bin"/><Relationship Id="rId115" Type="http://schemas.openxmlformats.org/officeDocument/2006/relationships/image" Target="media/image46.wmf"/><Relationship Id="rId114" Type="http://schemas.openxmlformats.org/officeDocument/2006/relationships/oleObject" Target="embeddings/oleObject52.bin"/><Relationship Id="rId113" Type="http://schemas.openxmlformats.org/officeDocument/2006/relationships/image" Target="media/image45.wmf"/><Relationship Id="rId112" Type="http://schemas.openxmlformats.org/officeDocument/2006/relationships/oleObject" Target="embeddings/oleObject51.bin"/><Relationship Id="rId111" Type="http://schemas.openxmlformats.org/officeDocument/2006/relationships/image" Target="media/image44.wmf"/><Relationship Id="rId110" Type="http://schemas.openxmlformats.org/officeDocument/2006/relationships/oleObject" Target="embeddings/oleObject50.bin"/><Relationship Id="rId11" Type="http://schemas.openxmlformats.org/officeDocument/2006/relationships/footer" Target="footer5.xml"/><Relationship Id="rId109" Type="http://schemas.openxmlformats.org/officeDocument/2006/relationships/image" Target="media/image43.wmf"/><Relationship Id="rId108" Type="http://schemas.openxmlformats.org/officeDocument/2006/relationships/oleObject" Target="embeddings/oleObject49.bin"/><Relationship Id="rId107" Type="http://schemas.openxmlformats.org/officeDocument/2006/relationships/image" Target="media/image42.wmf"/><Relationship Id="rId106" Type="http://schemas.openxmlformats.org/officeDocument/2006/relationships/oleObject" Target="embeddings/oleObject48.bin"/><Relationship Id="rId105" Type="http://schemas.openxmlformats.org/officeDocument/2006/relationships/image" Target="media/image41.wmf"/><Relationship Id="rId104" Type="http://schemas.openxmlformats.org/officeDocument/2006/relationships/oleObject" Target="embeddings/oleObject47.bin"/><Relationship Id="rId103" Type="http://schemas.openxmlformats.org/officeDocument/2006/relationships/image" Target="media/image40.wmf"/><Relationship Id="rId102" Type="http://schemas.openxmlformats.org/officeDocument/2006/relationships/oleObject" Target="embeddings/oleObject46.bin"/><Relationship Id="rId101" Type="http://schemas.openxmlformats.org/officeDocument/2006/relationships/image" Target="media/image39.wmf"/><Relationship Id="rId100" Type="http://schemas.openxmlformats.org/officeDocument/2006/relationships/oleObject" Target="embeddings/oleObject45.bin"/><Relationship Id="rId10" Type="http://schemas.openxmlformats.org/officeDocument/2006/relationships/footer" Target="foot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tds2.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D764FEF-62F3-4DA4-B6E4-88A1B8B25EAB}">
  <ds:schemaRefs/>
</ds:datastoreItem>
</file>

<file path=docProps/app.xml><?xml version="1.0" encoding="utf-8"?>
<Properties xmlns="http://schemas.openxmlformats.org/officeDocument/2006/extended-properties" xmlns:vt="http://schemas.openxmlformats.org/officeDocument/2006/docPropsVTypes">
  <Template>tds2.dot</Template>
  <Company>Microsoft</Company>
  <Pages>118</Pages>
  <Words>2686</Words>
  <Characters>3262</Characters>
  <Lines>493</Lines>
  <Paragraphs>138</Paragraphs>
  <TotalTime>32</TotalTime>
  <ScaleCrop>false</ScaleCrop>
  <LinksUpToDate>false</LinksUpToDate>
  <CharactersWithSpaces>3457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2024-11-13T03:13:00Z</dcterms:created>
  <dc:creator>张圣柱</dc:creator>
  <cp:lastModifiedBy>一开心月</cp:lastModifiedBy>
  <cp:lastPrinted>2019-01-15T07:05:00Z</cp:lastPrinted>
  <dcterms:modified xsi:type="dcterms:W3CDTF">2025-01-15T07:16:28Z</dcterms:modified>
  <dc:title>标准名称</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DS属性">
    <vt:lpwstr>TDS 2.0 Document</vt:lpwstr>
  </property>
  <property fmtid="{D5CDD505-2E9C-101B-9397-08002B2CF9AE}" pid="3" name="KSOProductBuildVer">
    <vt:lpwstr>2052-12.1.0.19770</vt:lpwstr>
  </property>
  <property fmtid="{D5CDD505-2E9C-101B-9397-08002B2CF9AE}" pid="4" name="ICV">
    <vt:lpwstr>8C2FEE42F00D488EB8BFD481CE4EF3DB_13</vt:lpwstr>
  </property>
  <property fmtid="{D5CDD505-2E9C-101B-9397-08002B2CF9AE}" pid="5" name="KSOTemplateDocerSaveRecord">
    <vt:lpwstr>eyJoZGlkIjoiMjQ4NDg2MmY5ZTMwMzJiYTFmODk5NDNiMWJkNzIyNzkiLCJ1c2VySWQiOiIxMDYyMjU4NjU1In0=</vt:lpwstr>
  </property>
</Properties>
</file>